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3836"/>
        <w:gridCol w:w="739"/>
        <w:gridCol w:w="555"/>
        <w:gridCol w:w="184"/>
        <w:gridCol w:w="739"/>
        <w:gridCol w:w="371"/>
        <w:gridCol w:w="370"/>
        <w:gridCol w:w="739"/>
        <w:gridCol w:w="186"/>
        <w:gridCol w:w="554"/>
        <w:gridCol w:w="743"/>
      </w:tblGrid>
      <w:tr w:rsidR="00871CEB" w:rsidRPr="00922731" w14:paraId="49A46BD3" w14:textId="77777777" w:rsidTr="00930249">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62ED6E11" w14:textId="77777777" w:rsidR="00871CEB" w:rsidRPr="00922731" w:rsidRDefault="00871CEB" w:rsidP="00930249">
            <w:pPr>
              <w:rPr>
                <w:rFonts w:ascii="Trebuchet MS" w:eastAsia="Arial" w:hAnsi="Trebuchet MS" w:cs="Arial"/>
                <w:b/>
                <w:bCs/>
              </w:rPr>
            </w:pPr>
            <w:r w:rsidRPr="00922731">
              <w:rPr>
                <w:rFonts w:ascii="Trebuchet MS" w:eastAsia="Arial" w:hAnsi="Trebuchet MS" w:cs="Arial"/>
                <w:b/>
                <w:bCs/>
                <w:szCs w:val="22"/>
              </w:rPr>
              <w:t>Please write clearly in block capitals.</w:t>
            </w:r>
            <w:r w:rsidRPr="00922731">
              <w:rPr>
                <w:rFonts w:ascii="Trebuchet MS" w:hAnsi="Trebuchet MS"/>
              </w:rPr>
              <w:t xml:space="preserve">  </w:t>
            </w:r>
          </w:p>
        </w:tc>
      </w:tr>
      <w:tr w:rsidR="00871CEB" w:rsidRPr="00922731" w14:paraId="57D764F8" w14:textId="77777777" w:rsidTr="00930249">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43C95BD6" w14:textId="77777777" w:rsidR="00871CEB" w:rsidRPr="00922731" w:rsidRDefault="00871CEB" w:rsidP="00930249">
            <w:pPr>
              <w:rPr>
                <w:rFonts w:ascii="Trebuchet MS" w:eastAsia="Arial" w:hAnsi="Trebuchet MS" w:cs="Arial"/>
                <w:b/>
                <w:bCs/>
                <w:szCs w:val="22"/>
              </w:rPr>
            </w:pPr>
            <w:r w:rsidRPr="00922731">
              <w:rPr>
                <w:rFonts w:ascii="Trebuchet MS" w:eastAsia="Arial" w:hAnsi="Trebuchet MS" w:cs="Arial"/>
                <w:b/>
                <w:bCs/>
                <w:szCs w:val="22"/>
              </w:rPr>
              <w:t xml:space="preserve">Centre number: </w:t>
            </w:r>
          </w:p>
        </w:tc>
        <w:tc>
          <w:tcPr>
            <w:tcW w:w="718"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1ED506F2" w14:textId="27C69DAC" w:rsidR="00871CEB" w:rsidRPr="00922731" w:rsidRDefault="00871CEB" w:rsidP="00930249">
            <w:pPr>
              <w:rPr>
                <w:rFonts w:ascii="Trebuchet MS" w:eastAsia="Arial" w:hAnsi="Trebuchet MS" w:cs="Arial"/>
                <w:szCs w:val="22"/>
              </w:rPr>
            </w:pPr>
            <w:r w:rsidRPr="00922731">
              <w:rPr>
                <w:rFonts w:ascii="Trebuchet MS" w:eastAsia="Arial" w:hAnsi="Trebuchet MS" w:cs="Arial"/>
                <w:szCs w:val="22"/>
              </w:rPr>
              <w:t xml:space="preserve"> </w:t>
            </w:r>
            <w:r w:rsidR="00C87441">
              <w:rPr>
                <w:rFonts w:ascii="Trebuchet MS" w:eastAsia="Arial" w:hAnsi="Trebuchet MS"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6D784276" w14:textId="099B9758" w:rsidR="00871CEB" w:rsidRPr="00922731" w:rsidRDefault="00C87441" w:rsidP="00930249">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399A8CD2" w14:textId="3109C5DD" w:rsidR="00871CEB" w:rsidRPr="00922731" w:rsidRDefault="00C87441" w:rsidP="00930249">
            <w:pPr>
              <w:rPr>
                <w:rFonts w:ascii="Trebuchet MS" w:eastAsia="Arial" w:hAnsi="Trebuchet MS" w:cs="Arial"/>
                <w:szCs w:val="22"/>
              </w:rPr>
            </w:pPr>
            <w:r>
              <w:rPr>
                <w:rFonts w:ascii="Trebuchet MS" w:eastAsia="Arial" w:hAnsi="Trebuchet MS" w:cs="Arial"/>
                <w:szCs w:val="22"/>
              </w:rPr>
              <w:t>9</w:t>
            </w:r>
          </w:p>
        </w:tc>
        <w:tc>
          <w:tcPr>
            <w:tcW w:w="719"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79193A1D" w14:textId="77777777" w:rsidR="00871CEB" w:rsidRPr="00922731" w:rsidRDefault="00871CEB" w:rsidP="00930249">
            <w:pPr>
              <w:rPr>
                <w:rFonts w:ascii="Trebuchet MS" w:eastAsia="Arial" w:hAnsi="Trebuchet MS" w:cs="Arial"/>
                <w:szCs w:val="22"/>
              </w:rPr>
            </w:pPr>
          </w:p>
        </w:tc>
      </w:tr>
      <w:tr w:rsidR="00871CEB" w:rsidRPr="00922731" w14:paraId="798216BB" w14:textId="77777777" w:rsidTr="00930249">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7D495070" w14:textId="77777777" w:rsidR="00871CEB" w:rsidRPr="00922731" w:rsidRDefault="00871CEB" w:rsidP="00930249">
            <w:pPr>
              <w:rPr>
                <w:rFonts w:ascii="Trebuchet MS" w:eastAsia="Arial" w:hAnsi="Trebuchet MS" w:cs="Arial"/>
                <w:b/>
                <w:bCs/>
                <w:szCs w:val="22"/>
              </w:rPr>
            </w:pPr>
            <w:r w:rsidRPr="00922731">
              <w:rPr>
                <w:rFonts w:ascii="Trebuchet MS" w:eastAsia="Arial" w:hAnsi="Trebuchet MS" w:cs="Arial"/>
                <w:b/>
                <w:bCs/>
                <w:szCs w:val="22"/>
              </w:rPr>
              <w:t>Centre name:</w:t>
            </w:r>
          </w:p>
          <w:p w14:paraId="009FCA6F" w14:textId="77777777" w:rsidR="00871CEB" w:rsidRPr="00922731" w:rsidRDefault="00871CEB" w:rsidP="00930249">
            <w:pPr>
              <w:rPr>
                <w:rFonts w:ascii="Trebuchet MS" w:eastAsia="Arial" w:hAnsi="Trebuchet MS" w:cs="Arial"/>
                <w:b/>
                <w:bCs/>
                <w:szCs w:val="22"/>
              </w:rPr>
            </w:pP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D25AD9D" w14:textId="62433DF1" w:rsidR="00871CEB" w:rsidRPr="00922731" w:rsidRDefault="00AE7101" w:rsidP="00930249">
            <w:pPr>
              <w:rPr>
                <w:rFonts w:ascii="Trebuchet MS" w:eastAsia="Arial" w:hAnsi="Trebuchet MS" w:cs="Arial"/>
                <w:szCs w:val="22"/>
              </w:rPr>
            </w:pPr>
            <w:r>
              <w:rPr>
                <w:sz w:val="22"/>
                <w:szCs w:val="22"/>
              </w:rPr>
              <w:t>UNIVERSITY OF WALES TRINITY SAINT DAVID</w:t>
            </w:r>
          </w:p>
        </w:tc>
      </w:tr>
      <w:tr w:rsidR="00871CEB" w:rsidRPr="00922731" w14:paraId="344F4970" w14:textId="77777777" w:rsidTr="00930249">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EAF0035" w14:textId="77777777" w:rsidR="00871CEB" w:rsidRPr="00922731" w:rsidRDefault="00871CEB" w:rsidP="00930249">
            <w:pPr>
              <w:rPr>
                <w:rFonts w:ascii="Trebuchet MS" w:eastAsia="Arial" w:hAnsi="Trebuchet MS" w:cs="Arial"/>
                <w:b/>
                <w:bCs/>
                <w:szCs w:val="22"/>
              </w:rPr>
            </w:pPr>
            <w:r w:rsidRPr="00922731">
              <w:rPr>
                <w:rFonts w:ascii="Trebuchet MS" w:eastAsia="Arial" w:hAnsi="Trebuchet MS" w:cs="Arial"/>
                <w:b/>
                <w:bCs/>
                <w:szCs w:val="22"/>
              </w:rPr>
              <w:t>Learner number (1st 7 digits of CIPD Membership number):</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6AA79B49" w14:textId="569AFBAD" w:rsidR="00871CEB" w:rsidRPr="00922731" w:rsidRDefault="00871CEB" w:rsidP="00930249">
            <w:pPr>
              <w:rPr>
                <w:rFonts w:ascii="Trebuchet MS" w:eastAsia="Arial" w:hAnsi="Trebuchet MS" w:cs="Arial"/>
                <w:szCs w:val="22"/>
              </w:rPr>
            </w:pPr>
            <w:r w:rsidRPr="00922731">
              <w:rPr>
                <w:rFonts w:ascii="Trebuchet MS" w:eastAsia="Arial" w:hAnsi="Trebuchet MS" w:cs="Arial"/>
                <w:szCs w:val="22"/>
              </w:rPr>
              <w:t xml:space="preserve"> </w:t>
            </w:r>
            <w:r w:rsidR="00AE7101">
              <w:rPr>
                <w:rFonts w:ascii="Trebuchet MS" w:eastAsia="Arial" w:hAnsi="Trebuchet MS" w:cs="Arial"/>
                <w:szCs w:val="22"/>
              </w:rPr>
              <w:t>8</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3AFD3BE7" w14:textId="69E70F60" w:rsidR="00871CEB" w:rsidRPr="00922731" w:rsidRDefault="00AE7101" w:rsidP="00930249">
            <w:pPr>
              <w:rPr>
                <w:rFonts w:ascii="Trebuchet MS" w:eastAsia="Arial" w:hAnsi="Trebuchet MS" w:cs="Arial"/>
                <w:szCs w:val="22"/>
              </w:rPr>
            </w:pPr>
            <w:r>
              <w:rPr>
                <w:rFonts w:ascii="Trebuchet MS" w:eastAsia="Arial" w:hAnsi="Trebuchet MS" w:cs="Arial"/>
                <w:szCs w:val="22"/>
              </w:rPr>
              <w:t>9</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FEFD47A" w14:textId="6045BB54" w:rsidR="00871CEB" w:rsidRPr="00922731" w:rsidRDefault="00AE7101" w:rsidP="00930249">
            <w:pPr>
              <w:rPr>
                <w:rFonts w:ascii="Trebuchet MS" w:eastAsia="Arial" w:hAnsi="Trebuchet MS" w:cs="Arial"/>
                <w:szCs w:val="22"/>
              </w:rPr>
            </w:pPr>
            <w:r>
              <w:rPr>
                <w:rFonts w:ascii="Trebuchet MS" w:eastAsia="Arial" w:hAnsi="Trebuchet MS" w:cs="Arial"/>
                <w:szCs w:val="22"/>
              </w:rPr>
              <w:t>2</w:t>
            </w:r>
          </w:p>
        </w:tc>
        <w:tc>
          <w:tcPr>
            <w:tcW w:w="411"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4EB711B4" w14:textId="6E305D1B" w:rsidR="00871CEB" w:rsidRPr="00922731" w:rsidRDefault="00AE7101" w:rsidP="00930249">
            <w:pPr>
              <w:rPr>
                <w:rFonts w:ascii="Trebuchet MS" w:eastAsia="Arial" w:hAnsi="Trebuchet MS" w:cs="Arial"/>
                <w:szCs w:val="22"/>
              </w:rPr>
            </w:pPr>
            <w:r>
              <w:rPr>
                <w:rFonts w:ascii="Trebuchet MS" w:eastAsia="Arial" w:hAnsi="Trebuchet MS" w:cs="Arial"/>
                <w:szCs w:val="22"/>
              </w:rPr>
              <w:t>0</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602F07DF" w14:textId="5070BB9C" w:rsidR="00871CEB" w:rsidRPr="00922731" w:rsidRDefault="00AE7101" w:rsidP="00930249">
            <w:pPr>
              <w:rPr>
                <w:rFonts w:ascii="Trebuchet MS" w:eastAsia="Arial" w:hAnsi="Trebuchet MS" w:cs="Arial"/>
                <w:szCs w:val="22"/>
              </w:rPr>
            </w:pPr>
            <w:r>
              <w:rPr>
                <w:rFonts w:ascii="Trebuchet MS" w:eastAsia="Arial" w:hAnsi="Trebuchet MS" w:cs="Arial"/>
                <w:szCs w:val="22"/>
              </w:rPr>
              <w:t>0</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074DDBEB" w14:textId="0FDA319B" w:rsidR="00871CEB" w:rsidRPr="00922731" w:rsidRDefault="00AE7101" w:rsidP="00930249">
            <w:pPr>
              <w:rPr>
                <w:rFonts w:ascii="Trebuchet MS" w:eastAsia="Arial" w:hAnsi="Trebuchet MS" w:cs="Arial"/>
                <w:szCs w:val="22"/>
              </w:rPr>
            </w:pPr>
            <w:r>
              <w:rPr>
                <w:rFonts w:ascii="Trebuchet MS" w:eastAsia="Arial" w:hAnsi="Trebuchet MS" w:cs="Arial"/>
                <w:szCs w:val="22"/>
              </w:rPr>
              <w:t>9</w:t>
            </w:r>
          </w:p>
        </w:tc>
        <w:tc>
          <w:tcPr>
            <w:tcW w:w="412" w:type="pct"/>
            <w:tcBorders>
              <w:top w:val="single" w:sz="4" w:space="0" w:color="000000"/>
              <w:left w:val="single" w:sz="4" w:space="0" w:color="000000"/>
              <w:bottom w:val="single" w:sz="4" w:space="0" w:color="000000"/>
              <w:right w:val="single" w:sz="4" w:space="0" w:color="000000"/>
            </w:tcBorders>
            <w:shd w:val="clear" w:color="auto" w:fill="auto"/>
            <w:vAlign w:val="center"/>
          </w:tcPr>
          <w:p w14:paraId="50FA7B0C" w14:textId="40ADCA4B" w:rsidR="00871CEB" w:rsidRPr="00922731" w:rsidRDefault="00AE7101" w:rsidP="00930249">
            <w:pPr>
              <w:rPr>
                <w:rFonts w:ascii="Trebuchet MS" w:eastAsia="Arial" w:hAnsi="Trebuchet MS" w:cs="Arial"/>
                <w:szCs w:val="22"/>
              </w:rPr>
            </w:pPr>
            <w:r>
              <w:rPr>
                <w:rFonts w:ascii="Trebuchet MS" w:eastAsia="Arial" w:hAnsi="Trebuchet MS" w:cs="Arial"/>
                <w:szCs w:val="22"/>
              </w:rPr>
              <w:t>3</w:t>
            </w:r>
          </w:p>
        </w:tc>
      </w:tr>
      <w:tr w:rsidR="00871CEB" w:rsidRPr="00922731" w14:paraId="6D858DC2" w14:textId="77777777" w:rsidTr="00930249">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60C10B80" w14:textId="77777777" w:rsidR="00871CEB" w:rsidRPr="00922731" w:rsidRDefault="00871CEB" w:rsidP="00930249">
            <w:pPr>
              <w:rPr>
                <w:rFonts w:ascii="Trebuchet MS" w:eastAsia="Arial" w:hAnsi="Trebuchet MS" w:cs="Arial"/>
                <w:b/>
                <w:bCs/>
                <w:szCs w:val="22"/>
              </w:rPr>
            </w:pPr>
            <w:r w:rsidRPr="00922731">
              <w:rPr>
                <w:rFonts w:ascii="Trebuchet MS" w:eastAsia="Arial" w:hAnsi="Trebuchet MS" w:cs="Arial"/>
                <w:b/>
                <w:bCs/>
                <w:szCs w:val="22"/>
              </w:rPr>
              <w:t xml:space="preserve">Learner surname: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8E32815" w14:textId="2FEB9D2C" w:rsidR="00871CEB" w:rsidRPr="00922731" w:rsidRDefault="00871CEB" w:rsidP="00930249">
            <w:pPr>
              <w:rPr>
                <w:rFonts w:ascii="Trebuchet MS" w:eastAsia="Arial" w:hAnsi="Trebuchet MS" w:cs="Arial"/>
                <w:szCs w:val="22"/>
              </w:rPr>
            </w:pPr>
            <w:r w:rsidRPr="00922731">
              <w:rPr>
                <w:rFonts w:ascii="Trebuchet MS" w:eastAsia="Arial" w:hAnsi="Trebuchet MS" w:cs="Arial"/>
                <w:szCs w:val="22"/>
              </w:rPr>
              <w:t xml:space="preserve"> </w:t>
            </w:r>
            <w:r w:rsidR="00AE7101">
              <w:rPr>
                <w:rFonts w:ascii="Trebuchet MS" w:eastAsia="Arial" w:hAnsi="Trebuchet MS" w:cs="Arial"/>
                <w:szCs w:val="22"/>
              </w:rPr>
              <w:t>GELDER</w:t>
            </w:r>
          </w:p>
        </w:tc>
      </w:tr>
      <w:tr w:rsidR="00871CEB" w:rsidRPr="00922731" w14:paraId="2896B1B8" w14:textId="77777777" w:rsidTr="00930249">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79C4D67" w14:textId="77777777" w:rsidR="00871CEB" w:rsidRPr="00922731" w:rsidRDefault="00871CEB" w:rsidP="00930249">
            <w:pPr>
              <w:rPr>
                <w:rFonts w:ascii="Trebuchet MS" w:eastAsia="Arial" w:hAnsi="Trebuchet MS" w:cs="Arial"/>
                <w:b/>
                <w:bCs/>
                <w:szCs w:val="22"/>
              </w:rPr>
            </w:pPr>
            <w:r w:rsidRPr="00922731">
              <w:rPr>
                <w:rFonts w:ascii="Trebuchet MS" w:eastAsia="Arial" w:hAnsi="Trebuchet MS" w:cs="Arial"/>
                <w:b/>
                <w:bCs/>
                <w:szCs w:val="22"/>
              </w:rPr>
              <w:t xml:space="preserve">Learner other names: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2524110" w14:textId="0BA22598" w:rsidR="00871CEB" w:rsidRPr="00922731" w:rsidRDefault="00871CEB" w:rsidP="00930249">
            <w:pPr>
              <w:rPr>
                <w:rFonts w:ascii="Trebuchet MS" w:eastAsia="Arial" w:hAnsi="Trebuchet MS" w:cs="Arial"/>
                <w:szCs w:val="22"/>
              </w:rPr>
            </w:pPr>
            <w:r w:rsidRPr="00922731">
              <w:rPr>
                <w:rFonts w:ascii="Trebuchet MS" w:eastAsia="Arial" w:hAnsi="Trebuchet MS" w:cs="Arial"/>
                <w:szCs w:val="22"/>
              </w:rPr>
              <w:t xml:space="preserve"> </w:t>
            </w:r>
            <w:r w:rsidR="00AE7101">
              <w:rPr>
                <w:rFonts w:ascii="Trebuchet MS" w:eastAsia="Arial" w:hAnsi="Trebuchet MS" w:cs="Arial"/>
                <w:szCs w:val="22"/>
              </w:rPr>
              <w:t>MICHAEL JON</w:t>
            </w:r>
          </w:p>
        </w:tc>
      </w:tr>
      <w:tr w:rsidR="00871CEB" w:rsidRPr="00922731" w14:paraId="252D2AA6" w14:textId="77777777" w:rsidTr="00930249">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382CAE72" w14:textId="77777777" w:rsidR="00871CEB" w:rsidRPr="00922731" w:rsidRDefault="00871CEB" w:rsidP="00930249">
            <w:pPr>
              <w:rPr>
                <w:rFonts w:ascii="Trebuchet MS" w:eastAsia="Arial" w:hAnsi="Trebuchet MS" w:cs="Arial"/>
                <w:szCs w:val="22"/>
              </w:rPr>
            </w:pPr>
          </w:p>
        </w:tc>
      </w:tr>
      <w:tr w:rsidR="00871CEB" w:rsidRPr="00922731" w14:paraId="03334C79" w14:textId="77777777" w:rsidTr="00930249">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0C9F6F9" w14:textId="77777777" w:rsidR="00871CEB" w:rsidRPr="00922731" w:rsidRDefault="00871CEB" w:rsidP="00930249">
            <w:pPr>
              <w:rPr>
                <w:rFonts w:ascii="Trebuchet MS" w:eastAsia="Arial" w:hAnsi="Trebuchet MS" w:cs="Arial"/>
                <w:b/>
                <w:bCs/>
                <w:szCs w:val="22"/>
              </w:rPr>
            </w:pPr>
            <w:r w:rsidRPr="00922731">
              <w:rPr>
                <w:rFonts w:ascii="Trebuchet MS" w:eastAsia="Arial" w:hAnsi="Trebuchet MS" w:cs="Arial"/>
                <w:b/>
                <w:bCs/>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F149209" w14:textId="77777777" w:rsidR="00871CEB" w:rsidRPr="00922731" w:rsidRDefault="00871CEB" w:rsidP="00930249">
            <w:pPr>
              <w:rPr>
                <w:rFonts w:ascii="Trebuchet MS" w:eastAsia="Arial" w:hAnsi="Trebuchet MS" w:cs="Arial"/>
                <w:szCs w:val="22"/>
              </w:rPr>
            </w:pPr>
            <w:r w:rsidRPr="00922731">
              <w:rPr>
                <w:rFonts w:ascii="Trebuchet MS" w:eastAsia="Arial" w:hAnsi="Trebuchet MS" w:cs="Arial"/>
                <w:szCs w:val="22"/>
              </w:rPr>
              <w:t>5OS01</w:t>
            </w:r>
          </w:p>
        </w:tc>
      </w:tr>
      <w:tr w:rsidR="00871CEB" w:rsidRPr="00922731" w14:paraId="401B9DB8" w14:textId="77777777" w:rsidTr="00930249">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62097255" w14:textId="77777777" w:rsidR="00871CEB" w:rsidRPr="00922731" w:rsidRDefault="00871CEB" w:rsidP="00930249">
            <w:pPr>
              <w:rPr>
                <w:rFonts w:ascii="Trebuchet MS" w:eastAsia="Arial" w:hAnsi="Trebuchet MS" w:cs="Arial"/>
                <w:b/>
                <w:bCs/>
                <w:szCs w:val="22"/>
              </w:rPr>
            </w:pPr>
            <w:r w:rsidRPr="00922731">
              <w:rPr>
                <w:rFonts w:ascii="Trebuchet MS" w:eastAsia="Arial" w:hAnsi="Trebuchet MS" w:cs="Arial"/>
                <w:b/>
                <w:bCs/>
                <w:szCs w:val="22"/>
              </w:rPr>
              <w:t>Unit title: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F73FF73" w14:textId="77777777" w:rsidR="00871CEB" w:rsidRPr="00922731" w:rsidRDefault="00871CEB" w:rsidP="00930249">
            <w:pPr>
              <w:rPr>
                <w:rFonts w:ascii="Trebuchet MS" w:eastAsia="Arial" w:hAnsi="Trebuchet MS" w:cs="Arial"/>
                <w:szCs w:val="22"/>
              </w:rPr>
            </w:pPr>
            <w:r w:rsidRPr="00922731">
              <w:rPr>
                <w:rFonts w:ascii="Trebuchet MS" w:eastAsia="Arial" w:hAnsi="Trebuchet MS" w:cs="Arial"/>
                <w:szCs w:val="22"/>
              </w:rPr>
              <w:t>Specialist employment law</w:t>
            </w:r>
          </w:p>
        </w:tc>
      </w:tr>
      <w:tr w:rsidR="00871CEB" w:rsidRPr="00922731" w14:paraId="3128CE0B" w14:textId="77777777" w:rsidTr="00930249">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7E7E657F" w14:textId="77777777" w:rsidR="00871CEB" w:rsidRPr="00922731" w:rsidRDefault="00871CEB" w:rsidP="00930249">
            <w:pPr>
              <w:rPr>
                <w:rFonts w:ascii="Trebuchet MS" w:eastAsia="Arial" w:hAnsi="Trebuchet MS" w:cs="Arial"/>
                <w:b/>
                <w:bCs/>
                <w:szCs w:val="22"/>
              </w:rPr>
            </w:pPr>
            <w:r w:rsidRPr="00922731">
              <w:rPr>
                <w:rFonts w:ascii="Trebuchet MS" w:eastAsia="Arial" w:hAnsi="Trebuchet MS" w:cs="Arial"/>
                <w:b/>
                <w:bCs/>
                <w:szCs w:val="22"/>
              </w:rPr>
              <w:t>Assessment ID:</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5208A82E" w14:textId="77777777" w:rsidR="00871CEB" w:rsidRPr="00922731" w:rsidRDefault="00871CEB" w:rsidP="00930249">
            <w:pPr>
              <w:rPr>
                <w:rFonts w:ascii="Trebuchet MS" w:eastAsia="Arial" w:hAnsi="Trebuchet MS" w:cs="Arial"/>
                <w:szCs w:val="22"/>
              </w:rPr>
            </w:pPr>
            <w:r w:rsidRPr="00922731">
              <w:rPr>
                <w:rFonts w:ascii="Trebuchet MS" w:eastAsia="Arial" w:hAnsi="Trebuchet MS" w:cs="Arial"/>
                <w:szCs w:val="22"/>
              </w:rPr>
              <w:t>CIPD_5OS01_24_01</w:t>
            </w:r>
          </w:p>
        </w:tc>
      </w:tr>
      <w:tr w:rsidR="00871CEB" w:rsidRPr="00922731" w14:paraId="331D98A2" w14:textId="77777777" w:rsidTr="00930249">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57553F7" w14:textId="77777777" w:rsidR="00871CEB" w:rsidRPr="00922731" w:rsidRDefault="00871CEB" w:rsidP="00930249">
            <w:pPr>
              <w:rPr>
                <w:rFonts w:ascii="Trebuchet MS" w:eastAsia="Arial" w:hAnsi="Trebuchet MS" w:cs="Arial"/>
                <w:b/>
                <w:bCs/>
              </w:rPr>
            </w:pPr>
            <w:r w:rsidRPr="00922731">
              <w:rPr>
                <w:rFonts w:ascii="Trebuchet MS" w:eastAsia="Arial" w:hAnsi="Trebuchet MS" w:cs="Arial"/>
                <w:b/>
                <w:bCs/>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122E7A7" w14:textId="75D6F401" w:rsidR="00871CEB" w:rsidRPr="00922731" w:rsidRDefault="008B1166" w:rsidP="00930249">
            <w:pPr>
              <w:rPr>
                <w:rFonts w:ascii="Trebuchet MS" w:eastAsia="Arial" w:hAnsi="Trebuchet MS" w:cs="Arial"/>
                <w:szCs w:val="22"/>
              </w:rPr>
            </w:pPr>
            <w:r>
              <w:rPr>
                <w:rFonts w:ascii="Trebuchet MS" w:eastAsia="Arial" w:hAnsi="Trebuchet MS" w:cs="Arial"/>
                <w:szCs w:val="22"/>
              </w:rPr>
              <w:t>22.01.25</w:t>
            </w:r>
          </w:p>
        </w:tc>
      </w:tr>
      <w:tr w:rsidR="00871CEB" w:rsidRPr="00922731" w14:paraId="3336479C" w14:textId="77777777" w:rsidTr="00930249">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7543B7" w14:textId="77777777" w:rsidR="00871CEB" w:rsidRPr="00922731" w:rsidRDefault="00871CEB" w:rsidP="00930249">
            <w:pPr>
              <w:rPr>
                <w:rFonts w:ascii="Trebuchet MS" w:eastAsia="Arial" w:hAnsi="Trebuchet MS" w:cs="Arial"/>
                <w:b/>
                <w:bCs/>
              </w:rPr>
            </w:pPr>
            <w:r w:rsidRPr="00922731">
              <w:rPr>
                <w:rFonts w:ascii="Trebuchet MS" w:eastAsia="Arial" w:hAnsi="Trebuchet MS" w:cs="Arial"/>
                <w:b/>
                <w:bCs/>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5AB37FAF" w14:textId="6AF59804" w:rsidR="00871CEB" w:rsidRPr="00922731" w:rsidRDefault="006104C6" w:rsidP="00930249">
            <w:pPr>
              <w:rPr>
                <w:rFonts w:ascii="Trebuchet MS" w:eastAsia="Arial" w:hAnsi="Trebuchet MS" w:cs="Arial"/>
                <w:szCs w:val="22"/>
              </w:rPr>
            </w:pPr>
            <w:r>
              <w:rPr>
                <w:rFonts w:ascii="Trebuchet MS" w:eastAsia="Arial" w:hAnsi="Trebuchet MS" w:cs="Arial"/>
                <w:szCs w:val="22"/>
              </w:rPr>
              <w:t>17.03.25</w:t>
            </w:r>
          </w:p>
        </w:tc>
      </w:tr>
      <w:tr w:rsidR="00871CEB" w:rsidRPr="00922731" w14:paraId="6E2A3726" w14:textId="77777777" w:rsidTr="00930249">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44660489" w14:textId="77777777" w:rsidR="00871CEB" w:rsidRPr="00922731" w:rsidRDefault="00871CEB" w:rsidP="00930249">
            <w:pPr>
              <w:rPr>
                <w:rFonts w:ascii="Trebuchet MS" w:eastAsia="Arial" w:hAnsi="Trebuchet MS" w:cs="Arial"/>
                <w:b/>
                <w:bCs/>
              </w:rPr>
            </w:pPr>
            <w:r w:rsidRPr="00922731">
              <w:rPr>
                <w:rFonts w:ascii="Trebuchet MS" w:eastAsia="Arial" w:hAnsi="Trebuchet MS" w:cs="Arial"/>
                <w:b/>
                <w:bCs/>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8C8E5F2" w14:textId="17F973AC" w:rsidR="00871CEB" w:rsidRPr="00922731" w:rsidRDefault="00C73A45" w:rsidP="00930249">
            <w:pPr>
              <w:rPr>
                <w:rFonts w:ascii="Trebuchet MS" w:eastAsia="Arial" w:hAnsi="Trebuchet MS" w:cs="Arial"/>
                <w:szCs w:val="22"/>
              </w:rPr>
            </w:pPr>
            <w:r>
              <w:rPr>
                <w:rFonts w:ascii="Trebuchet MS" w:eastAsia="Arial" w:hAnsi="Trebuchet MS" w:cs="Arial"/>
                <w:szCs w:val="22"/>
              </w:rPr>
              <w:t>25.05.25</w:t>
            </w:r>
          </w:p>
        </w:tc>
      </w:tr>
      <w:tr w:rsidR="00871CEB" w:rsidRPr="00922731" w14:paraId="70B6BD5E" w14:textId="77777777" w:rsidTr="00930249">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64929C85" w14:textId="77777777" w:rsidR="00871CEB" w:rsidRPr="00922731" w:rsidRDefault="00871CEB" w:rsidP="00930249">
            <w:pPr>
              <w:rPr>
                <w:rFonts w:ascii="Trebuchet MS" w:eastAsia="Arial" w:hAnsi="Trebuchet MS" w:cs="Arial"/>
                <w:b/>
                <w:bCs/>
              </w:rPr>
            </w:pPr>
            <w:r w:rsidRPr="00922731">
              <w:rPr>
                <w:rFonts w:ascii="Trebuchet MS" w:eastAsia="Arial" w:hAnsi="Trebuchet MS" w:cs="Arial"/>
                <w:b/>
                <w:bCs/>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78B93EC" w14:textId="77777777" w:rsidR="00871CEB" w:rsidRPr="00922731" w:rsidRDefault="00871CEB" w:rsidP="00930249">
            <w:pPr>
              <w:rPr>
                <w:rFonts w:ascii="Trebuchet MS" w:eastAsia="Arial" w:hAnsi="Trebuchet MS" w:cs="Arial"/>
                <w:szCs w:val="22"/>
              </w:rPr>
            </w:pPr>
          </w:p>
        </w:tc>
      </w:tr>
      <w:tr w:rsidR="00871CEB" w:rsidRPr="00922731" w14:paraId="1851CFAF" w14:textId="77777777" w:rsidTr="00930249">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D8BA9EC" w14:textId="77777777" w:rsidR="00871CEB" w:rsidRPr="00922731" w:rsidRDefault="00871CEB" w:rsidP="00930249">
            <w:pPr>
              <w:rPr>
                <w:rFonts w:ascii="Trebuchet MS" w:eastAsia="Arial" w:hAnsi="Trebuchet MS" w:cs="Arial"/>
                <w:b/>
                <w:bCs/>
              </w:rPr>
            </w:pPr>
            <w:r w:rsidRPr="00922731">
              <w:rPr>
                <w:rFonts w:ascii="Trebuchet MS" w:eastAsia="Arial" w:hAnsi="Trebuchet MS" w:cs="Arial"/>
                <w:b/>
                <w:bCs/>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202966D" w14:textId="13C10C0D" w:rsidR="00871CEB" w:rsidRPr="003C2628" w:rsidRDefault="006104C6" w:rsidP="00930249">
            <w:pPr>
              <w:rPr>
                <w:rFonts w:ascii="Trebuchet MS" w:eastAsia="Arial" w:hAnsi="Trebuchet MS" w:cs="Arial"/>
                <w:color w:val="FF0000"/>
                <w:szCs w:val="22"/>
              </w:rPr>
            </w:pPr>
            <w:r w:rsidRPr="00C73A45">
              <w:rPr>
                <w:rFonts w:ascii="Trebuchet MS" w:eastAsia="Arial" w:hAnsi="Trebuchet MS" w:cs="Arial"/>
                <w:strike/>
                <w:szCs w:val="22"/>
              </w:rPr>
              <w:t>38</w:t>
            </w:r>
            <w:r w:rsidR="000E4015" w:rsidRPr="00C73A45">
              <w:rPr>
                <w:rFonts w:ascii="Trebuchet MS" w:eastAsia="Arial" w:hAnsi="Trebuchet MS" w:cs="Arial"/>
                <w:strike/>
                <w:szCs w:val="22"/>
              </w:rPr>
              <w:t>5</w:t>
            </w:r>
            <w:r w:rsidR="00D8496D" w:rsidRPr="00C73A45">
              <w:rPr>
                <w:rFonts w:ascii="Trebuchet MS" w:eastAsia="Arial" w:hAnsi="Trebuchet MS" w:cs="Arial"/>
                <w:strike/>
                <w:szCs w:val="22"/>
              </w:rPr>
              <w:t>8</w:t>
            </w:r>
            <w:r w:rsidR="003C2628">
              <w:rPr>
                <w:rFonts w:ascii="Trebuchet MS" w:eastAsia="Arial" w:hAnsi="Trebuchet MS" w:cs="Arial"/>
                <w:szCs w:val="22"/>
              </w:rPr>
              <w:t xml:space="preserve"> </w:t>
            </w:r>
            <w:r w:rsidR="003C2628">
              <w:rPr>
                <w:rFonts w:ascii="Trebuchet MS" w:eastAsia="Arial" w:hAnsi="Trebuchet MS" w:cs="Arial"/>
                <w:color w:val="FF0000"/>
                <w:szCs w:val="22"/>
              </w:rPr>
              <w:t>4</w:t>
            </w:r>
            <w:r w:rsidR="00CF0B1E">
              <w:rPr>
                <w:rFonts w:ascii="Trebuchet MS" w:eastAsia="Arial" w:hAnsi="Trebuchet MS" w:cs="Arial"/>
                <w:color w:val="FF0000"/>
                <w:szCs w:val="22"/>
              </w:rPr>
              <w:t>266</w:t>
            </w:r>
          </w:p>
        </w:tc>
      </w:tr>
    </w:tbl>
    <w:p w14:paraId="36E7C629" w14:textId="77777777" w:rsidR="00871CEB" w:rsidRDefault="00871CEB" w:rsidP="00EB2CC7">
      <w:pPr>
        <w:rPr>
          <w:b/>
          <w:bCs/>
        </w:rPr>
      </w:pPr>
    </w:p>
    <w:p w14:paraId="334B183B" w14:textId="77777777" w:rsidR="00871CEB" w:rsidRDefault="00871CEB" w:rsidP="00EB2CC7">
      <w:pPr>
        <w:rPr>
          <w:b/>
          <w:bCs/>
        </w:rPr>
      </w:pPr>
    </w:p>
    <w:p w14:paraId="685BAE25" w14:textId="77777777" w:rsidR="0066521C" w:rsidRDefault="0066521C" w:rsidP="00EB2CC7">
      <w:pPr>
        <w:rPr>
          <w:b/>
          <w:bCs/>
        </w:rPr>
      </w:pPr>
    </w:p>
    <w:p w14:paraId="1E891B92" w14:textId="77777777" w:rsidR="0066521C" w:rsidRDefault="0066521C" w:rsidP="00EB2CC7">
      <w:pPr>
        <w:rPr>
          <w:b/>
          <w:bCs/>
        </w:rPr>
      </w:pPr>
    </w:p>
    <w:p w14:paraId="72097BEE" w14:textId="77777777" w:rsidR="0066521C" w:rsidRDefault="0066521C" w:rsidP="00EB2CC7">
      <w:pPr>
        <w:rPr>
          <w:b/>
          <w:bCs/>
        </w:rPr>
      </w:pPr>
    </w:p>
    <w:p w14:paraId="022B6DB3" w14:textId="77777777" w:rsidR="0066521C" w:rsidRDefault="0066521C" w:rsidP="00EB2CC7">
      <w:pPr>
        <w:rPr>
          <w:b/>
          <w:bCs/>
        </w:rPr>
      </w:pPr>
    </w:p>
    <w:p w14:paraId="6DAF2100" w14:textId="77777777" w:rsidR="0066521C" w:rsidRDefault="0066521C" w:rsidP="00EB2CC7">
      <w:pPr>
        <w:rPr>
          <w:b/>
          <w:bCs/>
        </w:rPr>
      </w:pPr>
    </w:p>
    <w:p w14:paraId="62C8C6F3" w14:textId="77777777" w:rsidR="0066521C" w:rsidRDefault="0066521C" w:rsidP="00EB2CC7">
      <w:pPr>
        <w:rPr>
          <w:b/>
          <w:bCs/>
        </w:rPr>
      </w:pPr>
    </w:p>
    <w:p w14:paraId="4FA6FD28" w14:textId="77777777" w:rsidR="0066521C" w:rsidRDefault="0066521C" w:rsidP="00EB2CC7">
      <w:pPr>
        <w:rPr>
          <w:b/>
          <w:bCs/>
        </w:rPr>
      </w:pPr>
    </w:p>
    <w:p w14:paraId="53B26221" w14:textId="77777777" w:rsidR="0066521C" w:rsidRDefault="0066521C" w:rsidP="00EB2CC7">
      <w:pPr>
        <w:rPr>
          <w:b/>
          <w:bCs/>
        </w:rPr>
      </w:pPr>
    </w:p>
    <w:p w14:paraId="1EE028A7" w14:textId="77777777" w:rsidR="0066521C" w:rsidRDefault="0066521C" w:rsidP="00EB2CC7">
      <w:pPr>
        <w:rPr>
          <w:b/>
          <w:bCs/>
        </w:rPr>
      </w:pPr>
    </w:p>
    <w:p w14:paraId="2620C926" w14:textId="77777777" w:rsidR="0066521C" w:rsidRDefault="0066521C" w:rsidP="00EB2CC7">
      <w:pPr>
        <w:rPr>
          <w:b/>
          <w:bCs/>
        </w:rPr>
      </w:pPr>
    </w:p>
    <w:p w14:paraId="49204439" w14:textId="77777777" w:rsidR="0066521C" w:rsidRDefault="0066521C" w:rsidP="00EB2CC7">
      <w:pPr>
        <w:rPr>
          <w:b/>
          <w:bCs/>
        </w:rPr>
      </w:pPr>
    </w:p>
    <w:p w14:paraId="15AA9728" w14:textId="77777777" w:rsidR="0066521C" w:rsidRDefault="0066521C" w:rsidP="00EB2CC7">
      <w:pPr>
        <w:rPr>
          <w:b/>
          <w:bCs/>
        </w:rPr>
      </w:pPr>
    </w:p>
    <w:p w14:paraId="5755B8E0" w14:textId="77777777" w:rsidR="0066521C" w:rsidRDefault="0066521C" w:rsidP="00EB2CC7">
      <w:pPr>
        <w:rPr>
          <w:b/>
          <w:bCs/>
        </w:rPr>
      </w:pPr>
    </w:p>
    <w:p w14:paraId="05A27C7F" w14:textId="77777777" w:rsidR="0066521C" w:rsidRDefault="0066521C" w:rsidP="00EB2CC7">
      <w:pPr>
        <w:rPr>
          <w:b/>
          <w:bCs/>
        </w:rPr>
      </w:pPr>
    </w:p>
    <w:p w14:paraId="38047955" w14:textId="0EA25BA5" w:rsidR="00EB2CC7" w:rsidRPr="00EB2CC7" w:rsidRDefault="00EB2CC7" w:rsidP="00EB2CC7">
      <w:pPr>
        <w:rPr>
          <w:b/>
          <w:bCs/>
        </w:rPr>
      </w:pPr>
      <w:r w:rsidRPr="00EB2CC7">
        <w:rPr>
          <w:b/>
          <w:bCs/>
        </w:rPr>
        <w:lastRenderedPageBreak/>
        <w:t>Email 1 (AC 1.1)</w:t>
      </w:r>
    </w:p>
    <w:p w14:paraId="28EB5604" w14:textId="4FEC4BBE" w:rsidR="00EB2CC7" w:rsidRPr="00AF783F" w:rsidRDefault="00672C3A" w:rsidP="00EB2CC7">
      <w:pPr>
        <w:rPr>
          <w:strike/>
        </w:rPr>
      </w:pPr>
      <w:r w:rsidRPr="00AF783F">
        <w:rPr>
          <w:strike/>
        </w:rPr>
        <w:t>Dear</w:t>
      </w:r>
      <w:r w:rsidR="006031B7" w:rsidRPr="00AF783F">
        <w:rPr>
          <w:strike/>
        </w:rPr>
        <w:t xml:space="preserve"> Colleague,</w:t>
      </w:r>
    </w:p>
    <w:p w14:paraId="41F3B2DA" w14:textId="785F2360" w:rsidR="00672C3A" w:rsidRPr="00AF783F" w:rsidRDefault="00672C3A" w:rsidP="00EB2CC7">
      <w:pPr>
        <w:rPr>
          <w:strike/>
        </w:rPr>
      </w:pPr>
      <w:r w:rsidRPr="00AF783F">
        <w:rPr>
          <w:strike/>
        </w:rPr>
        <w:t xml:space="preserve">Thank you for sharing your concerns regarding your workload and </w:t>
      </w:r>
      <w:r w:rsidR="00EB2D44" w:rsidRPr="00AF783F">
        <w:rPr>
          <w:strike/>
        </w:rPr>
        <w:t>the</w:t>
      </w:r>
      <w:r w:rsidRPr="00AF783F">
        <w:rPr>
          <w:strike/>
        </w:rPr>
        <w:t xml:space="preserve"> focus on employment regulat</w:t>
      </w:r>
      <w:r w:rsidR="00EB2D44" w:rsidRPr="00AF783F">
        <w:rPr>
          <w:strike/>
        </w:rPr>
        <w:t>ions. I understand your request to commit more time to improving our employees experience, however, our commitment to engaging with employment law is fundamental to ensure that we create a fair and effective workplace.</w:t>
      </w:r>
    </w:p>
    <w:p w14:paraId="5EDCDE6E" w14:textId="033A4B87" w:rsidR="00EB2D44" w:rsidRPr="00AF783F" w:rsidRDefault="007220D3" w:rsidP="00EB2CC7">
      <w:pPr>
        <w:rPr>
          <w:strike/>
        </w:rPr>
      </w:pPr>
      <w:r w:rsidRPr="00AF783F">
        <w:rPr>
          <w:strike/>
        </w:rPr>
        <w:t>Employment law safeguards an employees’ rights and ensures fair treatment against discrimination and unfair dismissal. The Employment Relations (Flexible Working) Act 2023 provides employees with the right to request flexible working</w:t>
      </w:r>
      <w:r w:rsidR="00B52851" w:rsidRPr="00AF783F">
        <w:rPr>
          <w:strike/>
        </w:rPr>
        <w:t xml:space="preserve">. </w:t>
      </w:r>
      <w:r w:rsidR="007F65D7" w:rsidRPr="00AF783F">
        <w:rPr>
          <w:strike/>
        </w:rPr>
        <w:t xml:space="preserve">In the case of </w:t>
      </w:r>
      <w:r w:rsidR="007816BB" w:rsidRPr="00AF783F">
        <w:rPr>
          <w:i/>
          <w:iCs/>
          <w:strike/>
        </w:rPr>
        <w:t>Miss Wilson</w:t>
      </w:r>
      <w:r w:rsidR="00A252DE" w:rsidRPr="00AF783F">
        <w:rPr>
          <w:i/>
          <w:iCs/>
          <w:strike/>
        </w:rPr>
        <w:t xml:space="preserve"> v. Financial Conduct Authority</w:t>
      </w:r>
      <w:r w:rsidR="007D4A32" w:rsidRPr="00AF783F">
        <w:rPr>
          <w:i/>
          <w:iCs/>
          <w:strike/>
        </w:rPr>
        <w:t xml:space="preserve"> [2023]</w:t>
      </w:r>
      <w:r w:rsidR="007F65D7" w:rsidRPr="00AF783F">
        <w:rPr>
          <w:strike/>
        </w:rPr>
        <w:t xml:space="preserve">, the tribunal found that the FCA breached the statutory </w:t>
      </w:r>
      <w:r w:rsidR="00BF6EDF" w:rsidRPr="00AF783F">
        <w:rPr>
          <w:strike/>
        </w:rPr>
        <w:t>decision period time limit resulting in com</w:t>
      </w:r>
      <w:r w:rsidR="00EA3A5E" w:rsidRPr="00AF783F">
        <w:rPr>
          <w:strike/>
        </w:rPr>
        <w:t>p</w:t>
      </w:r>
      <w:r w:rsidR="00BF6EDF" w:rsidRPr="00AF783F">
        <w:rPr>
          <w:strike/>
        </w:rPr>
        <w:t>ensation</w:t>
      </w:r>
      <w:r w:rsidR="00EA3A5E" w:rsidRPr="00AF783F">
        <w:rPr>
          <w:strike/>
        </w:rPr>
        <w:t>.</w:t>
      </w:r>
    </w:p>
    <w:p w14:paraId="5331B6C1" w14:textId="434C0CC2" w:rsidR="007220D3" w:rsidRPr="00AF783F" w:rsidRDefault="007220D3" w:rsidP="00EB2CC7">
      <w:pPr>
        <w:rPr>
          <w:strike/>
        </w:rPr>
      </w:pPr>
      <w:r w:rsidRPr="00AF783F">
        <w:rPr>
          <w:strike/>
        </w:rPr>
        <w:t xml:space="preserve">Employment regulations also provide for a safe working environment, promotes wellbeing and helps to prevent accidents through the Health and Safety at Work Act 1974 by necessitating </w:t>
      </w:r>
      <w:r w:rsidR="00577838" w:rsidRPr="00AF783F">
        <w:rPr>
          <w:strike/>
        </w:rPr>
        <w:t>employers to consider the health, safety and welfare of all employees as far as reasonably practicable.</w:t>
      </w:r>
    </w:p>
    <w:p w14:paraId="22D032E2" w14:textId="65F35998" w:rsidR="00577838" w:rsidRPr="00AF783F" w:rsidRDefault="00577838" w:rsidP="00EB2CC7">
      <w:pPr>
        <w:rPr>
          <w:strike/>
        </w:rPr>
      </w:pPr>
      <w:r w:rsidRPr="00AF783F">
        <w:rPr>
          <w:strike/>
        </w:rPr>
        <w:t xml:space="preserve">By actively complying with Employment Law matter we can limit the risk of legal disputes for the Trust that could lead harm, whether that is financial or reputational harm. For example, the case of </w:t>
      </w:r>
      <w:r w:rsidRPr="00AF783F">
        <w:rPr>
          <w:i/>
          <w:iCs/>
          <w:strike/>
        </w:rPr>
        <w:t>Union of S</w:t>
      </w:r>
      <w:r w:rsidR="005E3370" w:rsidRPr="00AF783F">
        <w:rPr>
          <w:i/>
          <w:iCs/>
          <w:strike/>
        </w:rPr>
        <w:t>h</w:t>
      </w:r>
      <w:r w:rsidRPr="00AF783F">
        <w:rPr>
          <w:i/>
          <w:iCs/>
          <w:strike/>
        </w:rPr>
        <w:t xml:space="preserve">op, Distributive and Allied Workers (USDAW) v Tesco Stores Ltd </w:t>
      </w:r>
      <w:r w:rsidR="002729BA" w:rsidRPr="00AF783F">
        <w:rPr>
          <w:i/>
          <w:iCs/>
          <w:strike/>
        </w:rPr>
        <w:t>(</w:t>
      </w:r>
      <w:r w:rsidRPr="00AF783F">
        <w:rPr>
          <w:i/>
          <w:iCs/>
          <w:strike/>
        </w:rPr>
        <w:t>2024</w:t>
      </w:r>
      <w:r w:rsidR="002729BA" w:rsidRPr="00AF783F">
        <w:rPr>
          <w:i/>
          <w:iCs/>
          <w:strike/>
        </w:rPr>
        <w:t>)</w:t>
      </w:r>
      <w:r w:rsidRPr="00AF783F">
        <w:rPr>
          <w:strike/>
        </w:rPr>
        <w:t xml:space="preserve"> we can see the importance of adhering to employment contracts and consultation procedures to minimise risk.</w:t>
      </w:r>
    </w:p>
    <w:p w14:paraId="535C27EE" w14:textId="3D332664" w:rsidR="00577838" w:rsidRPr="00AF783F" w:rsidRDefault="00577838" w:rsidP="00EB2CC7">
      <w:pPr>
        <w:rPr>
          <w:strike/>
        </w:rPr>
      </w:pPr>
      <w:r w:rsidRPr="00AF783F">
        <w:rPr>
          <w:strike/>
        </w:rPr>
        <w:t>Additional regulations such as the Equality Act 2010 provides for a workplace that is inclusive and free from discrimination</w:t>
      </w:r>
      <w:r w:rsidR="005E3370" w:rsidRPr="00AF783F">
        <w:rPr>
          <w:strike/>
        </w:rPr>
        <w:t xml:space="preserve"> and reinforces the importance of equal treatment for all employees, regardless of family status or protected characteristics as seen in </w:t>
      </w:r>
      <w:r w:rsidR="005E3370" w:rsidRPr="00AF783F">
        <w:rPr>
          <w:i/>
          <w:iCs/>
          <w:strike/>
        </w:rPr>
        <w:t xml:space="preserve">Coleman v Attridge Law </w:t>
      </w:r>
      <w:r w:rsidR="002729BA" w:rsidRPr="00AF783F">
        <w:rPr>
          <w:i/>
          <w:iCs/>
          <w:strike/>
        </w:rPr>
        <w:t>(</w:t>
      </w:r>
      <w:r w:rsidR="005E3370" w:rsidRPr="00AF783F">
        <w:rPr>
          <w:i/>
          <w:iCs/>
          <w:strike/>
        </w:rPr>
        <w:t>2008</w:t>
      </w:r>
      <w:r w:rsidR="002729BA" w:rsidRPr="00AF783F">
        <w:rPr>
          <w:i/>
          <w:iCs/>
          <w:strike/>
        </w:rPr>
        <w:t>)</w:t>
      </w:r>
      <w:r w:rsidR="004F12C4" w:rsidRPr="00AF783F">
        <w:rPr>
          <w:strike/>
        </w:rPr>
        <w:t xml:space="preserve"> where an employee</w:t>
      </w:r>
      <w:r w:rsidR="0023024D" w:rsidRPr="00AF783F">
        <w:rPr>
          <w:strike/>
        </w:rPr>
        <w:t xml:space="preserve">, who was the primary carer for their son </w:t>
      </w:r>
      <w:r w:rsidR="00255A2C" w:rsidRPr="00AF783F">
        <w:rPr>
          <w:strike/>
        </w:rPr>
        <w:t>felt discriminated against and filed for constructive dismissal.</w:t>
      </w:r>
    </w:p>
    <w:p w14:paraId="7BBAFF7D" w14:textId="6F561DAF" w:rsidR="005E3370" w:rsidRPr="00AF783F" w:rsidRDefault="005E3370" w:rsidP="00EB2CC7">
      <w:pPr>
        <w:rPr>
          <w:strike/>
        </w:rPr>
      </w:pPr>
      <w:r w:rsidRPr="00AF783F">
        <w:rPr>
          <w:strike/>
        </w:rPr>
        <w:t>Finally, the Employment Rights Act 1996 provides protection against unfair dismissal and ensures fair contract terms which are critical in providing a safe working environment.</w:t>
      </w:r>
    </w:p>
    <w:p w14:paraId="56B728C7" w14:textId="0A0E0874" w:rsidR="006A3CF9" w:rsidRPr="00AF783F" w:rsidRDefault="005E3370" w:rsidP="00EB2CC7">
      <w:pPr>
        <w:rPr>
          <w:strike/>
        </w:rPr>
      </w:pPr>
      <w:r w:rsidRPr="00AF783F">
        <w:rPr>
          <w:strike/>
        </w:rPr>
        <w:t>Although these tasks may appear to be laborious, they are vital in the Trusts legal compliance in maintaining a positive environment for our employees</w:t>
      </w:r>
      <w:r w:rsidR="006A3CF9" w:rsidRPr="00AF783F">
        <w:rPr>
          <w:strike/>
        </w:rPr>
        <w:t>. Your support in these matters, alongside your interest in enhancing the employment experience, are key to providing a fair and effective workplace.</w:t>
      </w:r>
    </w:p>
    <w:p w14:paraId="1324272A" w14:textId="20E8478F" w:rsidR="005E3370" w:rsidRPr="00AF783F" w:rsidRDefault="006A3CF9" w:rsidP="00EB2CC7">
      <w:pPr>
        <w:rPr>
          <w:strike/>
        </w:rPr>
      </w:pPr>
      <w:r w:rsidRPr="00AF783F">
        <w:rPr>
          <w:strike/>
        </w:rPr>
        <w:t xml:space="preserve">Regards,  </w:t>
      </w:r>
    </w:p>
    <w:p w14:paraId="674FA6CD" w14:textId="470BAB80" w:rsidR="00EB2CC7" w:rsidRDefault="00842C02" w:rsidP="00EB2CC7">
      <w:pPr>
        <w:rPr>
          <w:color w:val="FF0000"/>
        </w:rPr>
      </w:pPr>
      <w:r w:rsidRPr="00B93088">
        <w:rPr>
          <w:color w:val="FF0000"/>
        </w:rPr>
        <w:t>Dear Col</w:t>
      </w:r>
      <w:r w:rsidR="00B93088">
        <w:rPr>
          <w:color w:val="FF0000"/>
        </w:rPr>
        <w:t>l</w:t>
      </w:r>
      <w:r w:rsidRPr="00B93088">
        <w:rPr>
          <w:color w:val="FF0000"/>
        </w:rPr>
        <w:t>eague</w:t>
      </w:r>
      <w:r w:rsidR="00B93088">
        <w:rPr>
          <w:color w:val="FF0000"/>
        </w:rPr>
        <w:t>,</w:t>
      </w:r>
    </w:p>
    <w:p w14:paraId="303B52F4" w14:textId="15C75E61" w:rsidR="00B93088" w:rsidRDefault="00AD383C" w:rsidP="00EB2CC7">
      <w:pPr>
        <w:rPr>
          <w:color w:val="FF0000"/>
        </w:rPr>
      </w:pPr>
      <w:r>
        <w:rPr>
          <w:color w:val="FF0000"/>
        </w:rPr>
        <w:t xml:space="preserve">Thank you for </w:t>
      </w:r>
      <w:r w:rsidR="00AD0FCB">
        <w:rPr>
          <w:color w:val="FF0000"/>
        </w:rPr>
        <w:t>email</w:t>
      </w:r>
      <w:r>
        <w:rPr>
          <w:color w:val="FF0000"/>
        </w:rPr>
        <w:t xml:space="preserve"> regarding </w:t>
      </w:r>
      <w:r w:rsidR="00563F69">
        <w:rPr>
          <w:color w:val="FF0000"/>
        </w:rPr>
        <w:t>your</w:t>
      </w:r>
      <w:r>
        <w:rPr>
          <w:color w:val="FF0000"/>
        </w:rPr>
        <w:t xml:space="preserve"> current workload and time spent </w:t>
      </w:r>
      <w:r w:rsidR="00563F69">
        <w:rPr>
          <w:color w:val="FF0000"/>
        </w:rPr>
        <w:t>managing</w:t>
      </w:r>
      <w:r>
        <w:rPr>
          <w:color w:val="FF0000"/>
        </w:rPr>
        <w:t xml:space="preserve"> employment regulations. I understand your </w:t>
      </w:r>
      <w:r w:rsidR="00AD0FCB">
        <w:rPr>
          <w:color w:val="FF0000"/>
        </w:rPr>
        <w:t>wish</w:t>
      </w:r>
      <w:r>
        <w:rPr>
          <w:color w:val="FF0000"/>
        </w:rPr>
        <w:t xml:space="preserve"> to focus on </w:t>
      </w:r>
      <w:r w:rsidR="00563F69">
        <w:rPr>
          <w:color w:val="FF0000"/>
        </w:rPr>
        <w:t xml:space="preserve">employment experience </w:t>
      </w:r>
      <w:r w:rsidR="00C705B6">
        <w:rPr>
          <w:color w:val="FF0000"/>
        </w:rPr>
        <w:t>improvement</w:t>
      </w:r>
      <w:r w:rsidR="00AD0FCB">
        <w:rPr>
          <w:color w:val="FF0000"/>
        </w:rPr>
        <w:t>s</w:t>
      </w:r>
      <w:r w:rsidR="00C705B6">
        <w:rPr>
          <w:color w:val="FF0000"/>
        </w:rPr>
        <w:t xml:space="preserve">, but we must </w:t>
      </w:r>
      <w:r w:rsidR="00AD0FCB">
        <w:rPr>
          <w:color w:val="FF0000"/>
        </w:rPr>
        <w:t xml:space="preserve">also </w:t>
      </w:r>
      <w:r w:rsidR="00C705B6">
        <w:rPr>
          <w:color w:val="FF0000"/>
        </w:rPr>
        <w:t>focus on Employment Law</w:t>
      </w:r>
      <w:r w:rsidR="00C56562">
        <w:rPr>
          <w:color w:val="FF0000"/>
        </w:rPr>
        <w:t xml:space="preserve"> as this is a fundamental structure and underpins a positive and fair working environment.</w:t>
      </w:r>
    </w:p>
    <w:p w14:paraId="0DF19286" w14:textId="1C7C70E1" w:rsidR="00C56562" w:rsidRDefault="00C45C96" w:rsidP="00EB2CC7">
      <w:pPr>
        <w:rPr>
          <w:color w:val="FF0000"/>
        </w:rPr>
      </w:pPr>
      <w:r>
        <w:rPr>
          <w:color w:val="FF0000"/>
        </w:rPr>
        <w:t xml:space="preserve">Employment </w:t>
      </w:r>
      <w:r w:rsidR="00F21FE8">
        <w:rPr>
          <w:color w:val="FF0000"/>
        </w:rPr>
        <w:t>regulation exists to ensure that the relationship between employer and employee is und</w:t>
      </w:r>
      <w:r w:rsidR="00C8798B">
        <w:rPr>
          <w:color w:val="FF0000"/>
        </w:rPr>
        <w:t xml:space="preserve">erpinned by fairness, transparency, and legal protection (ACAS, 2024). It seeks to prevent exploitation, discrimination, and </w:t>
      </w:r>
      <w:r w:rsidR="00F134BB">
        <w:rPr>
          <w:color w:val="FF0000"/>
        </w:rPr>
        <w:t>unsafe</w:t>
      </w:r>
      <w:r w:rsidR="00C8798B">
        <w:rPr>
          <w:color w:val="FF0000"/>
        </w:rPr>
        <w:t xml:space="preserve"> working condition</w:t>
      </w:r>
      <w:r w:rsidR="00F134BB">
        <w:rPr>
          <w:color w:val="FF0000"/>
        </w:rPr>
        <w:t xml:space="preserve">s, while empowering employers to </w:t>
      </w:r>
      <w:r w:rsidR="00F134BB">
        <w:rPr>
          <w:color w:val="FF0000"/>
        </w:rPr>
        <w:lastRenderedPageBreak/>
        <w:t>manage workforces within a clear legal fram</w:t>
      </w:r>
      <w:r w:rsidR="007E7EFB">
        <w:rPr>
          <w:color w:val="FF0000"/>
        </w:rPr>
        <w:t>ework. The CIPD (</w:t>
      </w:r>
      <w:r w:rsidR="002D7836">
        <w:rPr>
          <w:color w:val="FF0000"/>
        </w:rPr>
        <w:t>2023) highlights</w:t>
      </w:r>
      <w:r w:rsidR="00E54462">
        <w:rPr>
          <w:color w:val="FF0000"/>
        </w:rPr>
        <w:t xml:space="preserve"> that adherence to employment law is integral to supporting “good work” and advancing ethical people practices</w:t>
      </w:r>
      <w:r w:rsidR="006F4144">
        <w:rPr>
          <w:color w:val="FF0000"/>
        </w:rPr>
        <w:t>.</w:t>
      </w:r>
    </w:p>
    <w:p w14:paraId="4349433D" w14:textId="4136854A" w:rsidR="006F4144" w:rsidRDefault="00AD0FCB" w:rsidP="00EB2CC7">
      <w:pPr>
        <w:rPr>
          <w:color w:val="FF0000"/>
        </w:rPr>
      </w:pPr>
      <w:r>
        <w:rPr>
          <w:color w:val="FF0000"/>
        </w:rPr>
        <w:t>Employment</w:t>
      </w:r>
      <w:r w:rsidR="00134AC5">
        <w:rPr>
          <w:color w:val="FF0000"/>
        </w:rPr>
        <w:t xml:space="preserve"> </w:t>
      </w:r>
      <w:r w:rsidR="00FF707A">
        <w:rPr>
          <w:color w:val="FF0000"/>
        </w:rPr>
        <w:t xml:space="preserve">regulation can be broken down into key areas. Firstly, it promotes </w:t>
      </w:r>
      <w:r w:rsidR="00193E1F">
        <w:rPr>
          <w:color w:val="FF0000"/>
        </w:rPr>
        <w:t xml:space="preserve">equality and inclusion, as seen in the Equality Act 2010, </w:t>
      </w:r>
      <w:r>
        <w:rPr>
          <w:color w:val="FF0000"/>
        </w:rPr>
        <w:t>protecting</w:t>
      </w:r>
      <w:r w:rsidR="00193E1F">
        <w:rPr>
          <w:color w:val="FF0000"/>
        </w:rPr>
        <w:t xml:space="preserve"> employees from discrimination based on characteristics such as race, gender</w:t>
      </w:r>
      <w:r w:rsidR="000755D2">
        <w:rPr>
          <w:color w:val="FF0000"/>
        </w:rPr>
        <w:t>, disability, and belief. I</w:t>
      </w:r>
      <w:r w:rsidR="001350C6">
        <w:rPr>
          <w:color w:val="FF0000"/>
        </w:rPr>
        <w:t xml:space="preserve">n </w:t>
      </w:r>
      <w:r w:rsidR="001350C6" w:rsidRPr="00B959DE">
        <w:rPr>
          <w:i/>
          <w:iCs/>
          <w:color w:val="FF0000"/>
        </w:rPr>
        <w:t xml:space="preserve">Higgs V Farmor’s School </w:t>
      </w:r>
      <w:r w:rsidR="0039013A" w:rsidRPr="00B959DE">
        <w:rPr>
          <w:i/>
          <w:iCs/>
          <w:color w:val="FF0000"/>
        </w:rPr>
        <w:t>[2023] EAT</w:t>
      </w:r>
      <w:r w:rsidR="00780CC9" w:rsidRPr="00B959DE">
        <w:rPr>
          <w:i/>
          <w:iCs/>
          <w:color w:val="FF0000"/>
        </w:rPr>
        <w:t xml:space="preserve"> </w:t>
      </w:r>
      <w:r w:rsidR="0039013A" w:rsidRPr="00B959DE">
        <w:rPr>
          <w:i/>
          <w:iCs/>
          <w:color w:val="FF0000"/>
        </w:rPr>
        <w:t>8</w:t>
      </w:r>
      <w:r w:rsidR="0039426E" w:rsidRPr="00B959DE">
        <w:rPr>
          <w:i/>
          <w:iCs/>
          <w:color w:val="FF0000"/>
        </w:rPr>
        <w:t>9</w:t>
      </w:r>
      <w:r w:rsidR="007934BE">
        <w:rPr>
          <w:color w:val="FF0000"/>
        </w:rPr>
        <w:t>, the Employment Tribunal</w:t>
      </w:r>
      <w:r w:rsidR="004A3E46">
        <w:rPr>
          <w:color w:val="FF0000"/>
        </w:rPr>
        <w:t xml:space="preserve"> held that employers must not disregard protected beliefs when taking </w:t>
      </w:r>
      <w:r w:rsidR="009F5B4D">
        <w:rPr>
          <w:color w:val="FF0000"/>
        </w:rPr>
        <w:t>disciplinary</w:t>
      </w:r>
      <w:r w:rsidR="004A3E46">
        <w:rPr>
          <w:color w:val="FF0000"/>
        </w:rPr>
        <w:t xml:space="preserve"> action</w:t>
      </w:r>
      <w:r w:rsidR="009F5B4D">
        <w:rPr>
          <w:color w:val="FF0000"/>
        </w:rPr>
        <w:t>, underscoring how legal compliance also fosters a respectful and inclusive environment.</w:t>
      </w:r>
    </w:p>
    <w:p w14:paraId="7901592E" w14:textId="3D0177B1" w:rsidR="009F5B4D" w:rsidRDefault="009F5B4D" w:rsidP="00EB2CC7">
      <w:pPr>
        <w:rPr>
          <w:color w:val="FF0000"/>
        </w:rPr>
      </w:pPr>
      <w:r>
        <w:rPr>
          <w:color w:val="FF0000"/>
        </w:rPr>
        <w:t xml:space="preserve">Regulation also supports job security </w:t>
      </w:r>
      <w:r w:rsidR="00396193">
        <w:rPr>
          <w:color w:val="FF0000"/>
        </w:rPr>
        <w:t>and procedural fairness. The Employment Rights Act 1996 provides a framework for fair dismissal, redundancy, and disciplinary procedures</w:t>
      </w:r>
      <w:r w:rsidR="00742241">
        <w:rPr>
          <w:color w:val="FF0000"/>
        </w:rPr>
        <w:t>.</w:t>
      </w:r>
      <w:r w:rsidR="00360ADB">
        <w:rPr>
          <w:color w:val="FF0000"/>
        </w:rPr>
        <w:t xml:space="preserve"> </w:t>
      </w:r>
      <w:r w:rsidR="00360ADB" w:rsidRPr="00B959DE">
        <w:rPr>
          <w:i/>
          <w:iCs/>
          <w:color w:val="FF0000"/>
        </w:rPr>
        <w:t>McElroy</w:t>
      </w:r>
      <w:r w:rsidR="00941EAD" w:rsidRPr="00B959DE">
        <w:rPr>
          <w:i/>
          <w:iCs/>
          <w:color w:val="FF0000"/>
        </w:rPr>
        <w:t xml:space="preserve"> v Cambridge</w:t>
      </w:r>
      <w:r w:rsidR="006D25D1" w:rsidRPr="00B959DE">
        <w:rPr>
          <w:i/>
          <w:iCs/>
          <w:color w:val="FF0000"/>
        </w:rPr>
        <w:t xml:space="preserve"> Community Services NHS Trust </w:t>
      </w:r>
      <w:r w:rsidR="00035146" w:rsidRPr="00B959DE">
        <w:rPr>
          <w:i/>
          <w:iCs/>
          <w:color w:val="FF0000"/>
        </w:rPr>
        <w:t>[</w:t>
      </w:r>
      <w:r w:rsidR="006D25D1" w:rsidRPr="00B959DE">
        <w:rPr>
          <w:i/>
          <w:iCs/>
          <w:color w:val="FF0000"/>
        </w:rPr>
        <w:t>2015</w:t>
      </w:r>
      <w:r w:rsidR="00035146" w:rsidRPr="00B959DE">
        <w:rPr>
          <w:i/>
          <w:iCs/>
          <w:color w:val="FF0000"/>
        </w:rPr>
        <w:t>]</w:t>
      </w:r>
      <w:r w:rsidR="00DA4980">
        <w:rPr>
          <w:color w:val="FF0000"/>
        </w:rPr>
        <w:t xml:space="preserve"> illustrated how an unfair dismissal due to inadequate investigation resulted in both reputational and financial consequences for the </w:t>
      </w:r>
      <w:r w:rsidR="00B31215">
        <w:rPr>
          <w:color w:val="FF0000"/>
        </w:rPr>
        <w:t>employer, highlight</w:t>
      </w:r>
      <w:r w:rsidR="00AD0FCB">
        <w:rPr>
          <w:color w:val="FF0000"/>
        </w:rPr>
        <w:t>ing</w:t>
      </w:r>
      <w:r w:rsidR="00B31215">
        <w:rPr>
          <w:color w:val="FF0000"/>
        </w:rPr>
        <w:t xml:space="preserve"> the operational importance of legal adherence.</w:t>
      </w:r>
    </w:p>
    <w:p w14:paraId="547676E4" w14:textId="1A5E649E" w:rsidR="00A6497F" w:rsidRDefault="00A6497F" w:rsidP="00EB2CC7">
      <w:pPr>
        <w:rPr>
          <w:color w:val="FF0000"/>
        </w:rPr>
      </w:pPr>
      <w:r>
        <w:rPr>
          <w:color w:val="FF0000"/>
        </w:rPr>
        <w:t>Employment la</w:t>
      </w:r>
      <w:r w:rsidR="00063589">
        <w:rPr>
          <w:color w:val="FF0000"/>
        </w:rPr>
        <w:t>w</w:t>
      </w:r>
      <w:r>
        <w:rPr>
          <w:color w:val="FF0000"/>
        </w:rPr>
        <w:t xml:space="preserve"> also safeguards health, safety and wellbeing. The Health and Safety at Work Act 1974 places duty on employers to maintain safe working conditions. </w:t>
      </w:r>
      <w:r w:rsidR="00DD624F">
        <w:rPr>
          <w:color w:val="FF0000"/>
        </w:rPr>
        <w:t>In the NHS,</w:t>
      </w:r>
      <w:r w:rsidR="005E109D">
        <w:rPr>
          <w:color w:val="FF0000"/>
        </w:rPr>
        <w:t xml:space="preserve"> staff are routinely exposed t</w:t>
      </w:r>
      <w:r w:rsidR="00AD0FCB">
        <w:rPr>
          <w:color w:val="FF0000"/>
        </w:rPr>
        <w:t>o</w:t>
      </w:r>
      <w:r w:rsidR="005E109D">
        <w:rPr>
          <w:color w:val="FF0000"/>
        </w:rPr>
        <w:t xml:space="preserve"> emotional and physical pressures, failure to observe these duties can lead to</w:t>
      </w:r>
      <w:r w:rsidR="000167AC">
        <w:rPr>
          <w:color w:val="FF0000"/>
        </w:rPr>
        <w:t xml:space="preserve"> both legal penalties and staff burnout and attrition (NHS Employers, 2023)</w:t>
      </w:r>
      <w:r w:rsidR="00960A63">
        <w:rPr>
          <w:color w:val="FF0000"/>
        </w:rPr>
        <w:t>.</w:t>
      </w:r>
    </w:p>
    <w:p w14:paraId="22E3304D" w14:textId="6393AAD6" w:rsidR="00960A63" w:rsidRDefault="00901524" w:rsidP="00EB2CC7">
      <w:pPr>
        <w:rPr>
          <w:color w:val="FF0000"/>
        </w:rPr>
      </w:pPr>
      <w:r>
        <w:rPr>
          <w:color w:val="FF0000"/>
        </w:rPr>
        <w:t xml:space="preserve">Employment regulation is a strategic enabler, offering a structured approach to people management </w:t>
      </w:r>
      <w:r w:rsidR="00AD0FCB">
        <w:rPr>
          <w:color w:val="FF0000"/>
        </w:rPr>
        <w:t>mitigating</w:t>
      </w:r>
      <w:r>
        <w:rPr>
          <w:color w:val="FF0000"/>
        </w:rPr>
        <w:t xml:space="preserve"> risk and encourag</w:t>
      </w:r>
      <w:r w:rsidR="00AD0FCB">
        <w:rPr>
          <w:color w:val="FF0000"/>
        </w:rPr>
        <w:t>ing</w:t>
      </w:r>
      <w:r>
        <w:rPr>
          <w:color w:val="FF0000"/>
        </w:rPr>
        <w:t xml:space="preserve"> best practice. For example, robust equality practices derived from legal obligations also serve to enhance talent acquisition, retention and engagement (CIPD, 2023).</w:t>
      </w:r>
    </w:p>
    <w:p w14:paraId="69479CB5" w14:textId="042A5F02" w:rsidR="008C3B0C" w:rsidRDefault="008C3B0C" w:rsidP="00EB2CC7">
      <w:pPr>
        <w:rPr>
          <w:color w:val="FF0000"/>
        </w:rPr>
      </w:pPr>
      <w:r>
        <w:rPr>
          <w:color w:val="FF0000"/>
        </w:rPr>
        <w:t>By addressing legal concerns promptly and</w:t>
      </w:r>
      <w:r w:rsidR="00F61DB5">
        <w:rPr>
          <w:color w:val="FF0000"/>
        </w:rPr>
        <w:t xml:space="preserve"> competently, we build trust with staff and external stakeholders</w:t>
      </w:r>
      <w:r w:rsidR="00436B05">
        <w:rPr>
          <w:color w:val="FF0000"/>
        </w:rPr>
        <w:t xml:space="preserve">. The Taylor Review of Modern Working Practices </w:t>
      </w:r>
      <w:r w:rsidR="00441414">
        <w:rPr>
          <w:color w:val="FF0000"/>
        </w:rPr>
        <w:t>(Nolan, 2017)</w:t>
      </w:r>
      <w:r w:rsidR="00436B05">
        <w:rPr>
          <w:color w:val="FF0000"/>
        </w:rPr>
        <w:t xml:space="preserve"> emphasises the importance of fair and transparent working practices</w:t>
      </w:r>
      <w:r w:rsidR="00BA2903">
        <w:rPr>
          <w:color w:val="FF0000"/>
        </w:rPr>
        <w:t xml:space="preserve"> in achieving sustainable, high-performing organisations. Compliance contributes </w:t>
      </w:r>
      <w:r w:rsidR="002D0AFC">
        <w:rPr>
          <w:color w:val="FF0000"/>
        </w:rPr>
        <w:t>positively to organisational culture and reputation</w:t>
      </w:r>
      <w:r w:rsidR="00BB7EEC">
        <w:rPr>
          <w:color w:val="FF0000"/>
        </w:rPr>
        <w:t>.</w:t>
      </w:r>
    </w:p>
    <w:p w14:paraId="79B0D35B" w14:textId="038D28F7" w:rsidR="00BB7EEC" w:rsidRDefault="00BB7EEC" w:rsidP="00EB2CC7">
      <w:pPr>
        <w:rPr>
          <w:color w:val="FF0000"/>
        </w:rPr>
      </w:pPr>
      <w:r>
        <w:rPr>
          <w:color w:val="FF0000"/>
        </w:rPr>
        <w:t xml:space="preserve">In conclusion, employment regulation is not a distraction from good people </w:t>
      </w:r>
      <w:r w:rsidR="00983037">
        <w:rPr>
          <w:color w:val="FF0000"/>
        </w:rPr>
        <w:t>management but is the basis on which it is built. Investing in compliance helps us create an NHS workforce that is secure, valued, and empowered.</w:t>
      </w:r>
    </w:p>
    <w:p w14:paraId="3DB378F3" w14:textId="6907FB3B" w:rsidR="00B93088" w:rsidRDefault="000F715A" w:rsidP="00EB2CC7">
      <w:pPr>
        <w:rPr>
          <w:color w:val="FF0000"/>
        </w:rPr>
      </w:pPr>
      <w:r>
        <w:rPr>
          <w:color w:val="FF0000"/>
        </w:rPr>
        <w:t xml:space="preserve">Regards, </w:t>
      </w:r>
    </w:p>
    <w:p w14:paraId="50D0AA0A" w14:textId="77777777" w:rsidR="000F715A" w:rsidRPr="00B93088" w:rsidRDefault="000F715A" w:rsidP="00EB2CC7">
      <w:pPr>
        <w:rPr>
          <w:color w:val="FF0000"/>
        </w:rPr>
      </w:pPr>
    </w:p>
    <w:p w14:paraId="75BEEE05" w14:textId="799C237D" w:rsidR="00EB2CC7" w:rsidRPr="00EB2CC7" w:rsidRDefault="00EB2CC7" w:rsidP="00EB2CC7">
      <w:pPr>
        <w:rPr>
          <w:b/>
          <w:bCs/>
        </w:rPr>
      </w:pPr>
      <w:r w:rsidRPr="00EB2CC7">
        <w:rPr>
          <w:b/>
          <w:bCs/>
        </w:rPr>
        <w:t>Email 2 (AC 1.2)</w:t>
      </w:r>
    </w:p>
    <w:p w14:paraId="14016602" w14:textId="26BE72A4" w:rsidR="005256DD" w:rsidRPr="00AF69F3" w:rsidRDefault="005256DD" w:rsidP="005256DD">
      <w:pPr>
        <w:rPr>
          <w:strike/>
        </w:rPr>
      </w:pPr>
      <w:r w:rsidRPr="00AF69F3">
        <w:rPr>
          <w:strike/>
        </w:rPr>
        <w:t>Dear</w:t>
      </w:r>
      <w:r w:rsidR="006031B7" w:rsidRPr="00AF69F3">
        <w:rPr>
          <w:strike/>
        </w:rPr>
        <w:t xml:space="preserve"> Colleague,</w:t>
      </w:r>
    </w:p>
    <w:p w14:paraId="14B3116D" w14:textId="77777777" w:rsidR="005256DD" w:rsidRPr="00AF69F3" w:rsidRDefault="005256DD" w:rsidP="005256DD">
      <w:pPr>
        <w:rPr>
          <w:strike/>
        </w:rPr>
      </w:pPr>
      <w:r w:rsidRPr="00AF69F3">
        <w:rPr>
          <w:strike/>
        </w:rPr>
        <w:t>I would like to address your query regarding the status of judgments made by the European Court of Justice (ECJ) prior to the UK's departure from the European Union in 2020. This is a complex issue, involving both the European Union (Withdrawal) Act 2018 and subsequent case law, which determine the extent to which these judgments remain relevant.</w:t>
      </w:r>
    </w:p>
    <w:p w14:paraId="34B04D01" w14:textId="094BFD33" w:rsidR="005256DD" w:rsidRPr="00AF69F3" w:rsidRDefault="005256DD" w:rsidP="005256DD">
      <w:pPr>
        <w:rPr>
          <w:strike/>
        </w:rPr>
      </w:pPr>
      <w:r w:rsidRPr="00AF69F3">
        <w:rPr>
          <w:strike/>
        </w:rPr>
        <w:t>Under the European Union (Withdrawal) Act 2018, ECJ judgments remain part of UK law. The Act retained all EU law as it stood prior to Brexit, including ECJ case law, unless explicitly altered by domestic legislation. However, this does not mean that EU law automatically applies to UK law as it did when the UK was a Member State. The Act allows UK courts to amend, repeal, or reinterpret EU law post-Brexit.</w:t>
      </w:r>
    </w:p>
    <w:p w14:paraId="6A86E100" w14:textId="30BD6399" w:rsidR="005256DD" w:rsidRPr="00AF69F3" w:rsidRDefault="005256DD" w:rsidP="005256DD">
      <w:pPr>
        <w:rPr>
          <w:strike/>
        </w:rPr>
      </w:pPr>
      <w:r w:rsidRPr="00AF69F3">
        <w:rPr>
          <w:strike/>
        </w:rPr>
        <w:lastRenderedPageBreak/>
        <w:t>UK courts are no longer bound by pre-Brexit ECJ judgments. While they must consider them when interpreting retained EU law, they have the flexibility to depart from these rulings if deemed appropriate</w:t>
      </w:r>
      <w:r w:rsidR="002C520D" w:rsidRPr="00AF69F3">
        <w:rPr>
          <w:strike/>
        </w:rPr>
        <w:t>.</w:t>
      </w:r>
    </w:p>
    <w:p w14:paraId="53729B55" w14:textId="4FCAD0C6" w:rsidR="005256DD" w:rsidRPr="00AF69F3" w:rsidRDefault="005256DD" w:rsidP="005256DD">
      <w:pPr>
        <w:rPr>
          <w:strike/>
        </w:rPr>
      </w:pPr>
      <w:r w:rsidRPr="00AF69F3">
        <w:rPr>
          <w:strike/>
        </w:rPr>
        <w:t xml:space="preserve">For example, in </w:t>
      </w:r>
      <w:r w:rsidR="005D26D8" w:rsidRPr="00AF69F3">
        <w:rPr>
          <w:i/>
          <w:iCs/>
          <w:strike/>
        </w:rPr>
        <w:t xml:space="preserve">R </w:t>
      </w:r>
      <w:r w:rsidRPr="00AF69F3">
        <w:rPr>
          <w:i/>
          <w:iCs/>
          <w:strike/>
        </w:rPr>
        <w:t>Miller v. The Prime Minister (2019)</w:t>
      </w:r>
      <w:r w:rsidRPr="00AF69F3">
        <w:rPr>
          <w:strike/>
        </w:rPr>
        <w:t>, the UKSC reviewed ECJ case law regarding executive powers but ultimately prioritized UK constitutional principles, demonstrating the shift in judicial authority post-Brexit.</w:t>
      </w:r>
    </w:p>
    <w:p w14:paraId="6EBE0004" w14:textId="7A2EABD5" w:rsidR="005256DD" w:rsidRPr="00AF69F3" w:rsidRDefault="005256DD" w:rsidP="005256DD">
      <w:pPr>
        <w:rPr>
          <w:strike/>
        </w:rPr>
      </w:pPr>
      <w:r w:rsidRPr="00AF69F3">
        <w:rPr>
          <w:strike/>
        </w:rPr>
        <w:t xml:space="preserve">Although ECJ rulings can be disregarded, UK courts must do so with caution. </w:t>
      </w:r>
      <w:r w:rsidR="00AA4838" w:rsidRPr="00AF69F3">
        <w:rPr>
          <w:strike/>
        </w:rPr>
        <w:t xml:space="preserve">In </w:t>
      </w:r>
      <w:r w:rsidR="00AA4838" w:rsidRPr="00AF69F3">
        <w:rPr>
          <w:i/>
          <w:iCs/>
          <w:strike/>
        </w:rPr>
        <w:t>Lipton v BA City Flyer Ltd</w:t>
      </w:r>
      <w:r w:rsidR="00AB5923" w:rsidRPr="00AF69F3">
        <w:rPr>
          <w:i/>
          <w:iCs/>
          <w:strike/>
        </w:rPr>
        <w:t xml:space="preserve"> (2021)</w:t>
      </w:r>
      <w:r w:rsidR="005E63B3" w:rsidRPr="00AF69F3">
        <w:rPr>
          <w:strike/>
        </w:rPr>
        <w:t xml:space="preserve">, the UK court </w:t>
      </w:r>
      <w:r w:rsidR="00093238" w:rsidRPr="00AF69F3">
        <w:rPr>
          <w:strike/>
        </w:rPr>
        <w:t>inferred that that the 2018 Act was intended to apply retrospectively, meaning the UK court had more discr</w:t>
      </w:r>
      <w:r w:rsidR="00DB2B02" w:rsidRPr="00AF69F3">
        <w:rPr>
          <w:strike/>
        </w:rPr>
        <w:t>etion to depart from EU case law.</w:t>
      </w:r>
    </w:p>
    <w:p w14:paraId="0A138820" w14:textId="7A530536" w:rsidR="005256DD" w:rsidRPr="00AF69F3" w:rsidRDefault="005256DD" w:rsidP="005256DD">
      <w:pPr>
        <w:rPr>
          <w:strike/>
        </w:rPr>
      </w:pPr>
      <w:r w:rsidRPr="00AF69F3">
        <w:rPr>
          <w:strike/>
        </w:rPr>
        <w:t>The Judicial Review and Courts Bill 2021 propose</w:t>
      </w:r>
      <w:r w:rsidR="00113666" w:rsidRPr="00AF69F3">
        <w:rPr>
          <w:strike/>
        </w:rPr>
        <w:t>d</w:t>
      </w:r>
      <w:r w:rsidRPr="00AF69F3">
        <w:rPr>
          <w:strike/>
        </w:rPr>
        <w:t xml:space="preserve"> changes to further limit the influence of ECJ rulings on UK law, aiming to reshape the legal landscape.</w:t>
      </w:r>
    </w:p>
    <w:p w14:paraId="2A59F20B" w14:textId="3E240A79" w:rsidR="005256DD" w:rsidRPr="00AF69F3" w:rsidRDefault="005256DD" w:rsidP="005256DD">
      <w:pPr>
        <w:rPr>
          <w:strike/>
        </w:rPr>
      </w:pPr>
      <w:r w:rsidRPr="00AF69F3">
        <w:rPr>
          <w:strike/>
        </w:rPr>
        <w:t xml:space="preserve">In the case of </w:t>
      </w:r>
      <w:r w:rsidR="0039400A" w:rsidRPr="00AF69F3">
        <w:rPr>
          <w:i/>
          <w:iCs/>
          <w:strike/>
        </w:rPr>
        <w:t>R (Friends of the Earth lim</w:t>
      </w:r>
      <w:r w:rsidR="00E80699" w:rsidRPr="00AF69F3">
        <w:rPr>
          <w:i/>
          <w:iCs/>
          <w:strike/>
        </w:rPr>
        <w:t>ited)</w:t>
      </w:r>
      <w:r w:rsidRPr="00AF69F3">
        <w:rPr>
          <w:i/>
          <w:iCs/>
          <w:strike/>
        </w:rPr>
        <w:t xml:space="preserve"> v. Secretary of State for</w:t>
      </w:r>
      <w:r w:rsidR="009A25FF" w:rsidRPr="00AF69F3">
        <w:rPr>
          <w:i/>
          <w:iCs/>
          <w:strike/>
        </w:rPr>
        <w:t xml:space="preserve"> International</w:t>
      </w:r>
      <w:r w:rsidR="006972DD" w:rsidRPr="00AF69F3">
        <w:rPr>
          <w:i/>
          <w:iCs/>
          <w:strike/>
        </w:rPr>
        <w:t xml:space="preserve"> Trade </w:t>
      </w:r>
      <w:r w:rsidR="002F14FB" w:rsidRPr="00AF69F3">
        <w:rPr>
          <w:i/>
          <w:iCs/>
          <w:strike/>
        </w:rPr>
        <w:t>(</w:t>
      </w:r>
      <w:r w:rsidR="006972DD" w:rsidRPr="00AF69F3">
        <w:rPr>
          <w:i/>
          <w:iCs/>
          <w:strike/>
        </w:rPr>
        <w:t>2022</w:t>
      </w:r>
      <w:r w:rsidR="002F14FB" w:rsidRPr="00AF69F3">
        <w:rPr>
          <w:i/>
          <w:iCs/>
          <w:strike/>
        </w:rPr>
        <w:t>)</w:t>
      </w:r>
      <w:r w:rsidRPr="00AF69F3">
        <w:rPr>
          <w:strike/>
        </w:rPr>
        <w:t>, the High Court considered EU state aid rules. While the previous ECJ ruling was not binding, the court referred to it, indicating that ECJ decisions still hold persuasive value.</w:t>
      </w:r>
    </w:p>
    <w:p w14:paraId="57A74F3C" w14:textId="77777777" w:rsidR="005256DD" w:rsidRPr="00AF69F3" w:rsidRDefault="005256DD" w:rsidP="005256DD">
      <w:pPr>
        <w:rPr>
          <w:strike/>
        </w:rPr>
      </w:pPr>
      <w:r w:rsidRPr="00AF69F3">
        <w:rPr>
          <w:strike/>
        </w:rPr>
        <w:t>In conclusion, pre-Brexit ECJ judgments are part of UK law as retained EU law but are no longer binding. UK courts must consider them but have the flexibility to diverge as new legislation and case law evolve. The UK legal system continues to adapt post-Brexit, and future reforms may further diminish the influence of ECJ rulings.</w:t>
      </w:r>
    </w:p>
    <w:p w14:paraId="4DEBF3FF" w14:textId="5D9EE738" w:rsidR="004745E0" w:rsidRPr="00AF69F3" w:rsidRDefault="005256DD" w:rsidP="00EB2CC7">
      <w:pPr>
        <w:rPr>
          <w:strike/>
        </w:rPr>
      </w:pPr>
      <w:r w:rsidRPr="00AF69F3">
        <w:rPr>
          <w:strike/>
        </w:rPr>
        <w:t>Regards,</w:t>
      </w:r>
    </w:p>
    <w:p w14:paraId="5E64A799" w14:textId="77777777" w:rsidR="00E565A4" w:rsidRDefault="0030196A" w:rsidP="00EB2CC7">
      <w:pPr>
        <w:rPr>
          <w:color w:val="FF0000"/>
        </w:rPr>
      </w:pPr>
      <w:r>
        <w:rPr>
          <w:color w:val="FF0000"/>
        </w:rPr>
        <w:t>Dear Colleague,</w:t>
      </w:r>
    </w:p>
    <w:p w14:paraId="71C370A8" w14:textId="6BB2826D" w:rsidR="003E7999" w:rsidRDefault="00FF1F3B" w:rsidP="00EB2CC7">
      <w:pPr>
        <w:rPr>
          <w:color w:val="FF0000"/>
        </w:rPr>
      </w:pPr>
      <w:r>
        <w:rPr>
          <w:color w:val="FF0000"/>
        </w:rPr>
        <w:t xml:space="preserve">Thank you for your question regarding the continuing </w:t>
      </w:r>
      <w:r w:rsidR="00D270F9">
        <w:rPr>
          <w:color w:val="FF0000"/>
        </w:rPr>
        <w:t xml:space="preserve">relevance of European Court of </w:t>
      </w:r>
      <w:r w:rsidR="007A2134">
        <w:rPr>
          <w:color w:val="FF0000"/>
        </w:rPr>
        <w:t>Justice</w:t>
      </w:r>
      <w:r w:rsidR="00D270F9">
        <w:rPr>
          <w:color w:val="FF0000"/>
        </w:rPr>
        <w:t xml:space="preserve"> (ECJ) decision in UK employment law following Brexit. </w:t>
      </w:r>
      <w:r w:rsidR="00D3404D">
        <w:rPr>
          <w:color w:val="FF0000"/>
        </w:rPr>
        <w:t>Much of our employment framework, including working time, equality, and transfers of undertaking (TUPE)</w:t>
      </w:r>
      <w:r w:rsidR="001152D5">
        <w:rPr>
          <w:color w:val="FF0000"/>
        </w:rPr>
        <w:t>, is heavily influenced by EU directives and the ECJ’s interpretative role (Barnard, 20</w:t>
      </w:r>
      <w:r w:rsidR="00D71CDF">
        <w:rPr>
          <w:color w:val="FF0000"/>
        </w:rPr>
        <w:t>13</w:t>
      </w:r>
      <w:r w:rsidR="001152D5">
        <w:rPr>
          <w:color w:val="FF0000"/>
        </w:rPr>
        <w:t>).</w:t>
      </w:r>
    </w:p>
    <w:p w14:paraId="3D89C271" w14:textId="35CFD159" w:rsidR="004745E0" w:rsidRDefault="00BD45D2" w:rsidP="00EB2CC7">
      <w:pPr>
        <w:rPr>
          <w:color w:val="FF0000"/>
        </w:rPr>
      </w:pPr>
      <w:r>
        <w:rPr>
          <w:color w:val="FF0000"/>
        </w:rPr>
        <w:t>The UK’s exit from the EU was formalised under the European Union (Withdrawal) Act 2018</w:t>
      </w:r>
      <w:r w:rsidR="00D9634D">
        <w:rPr>
          <w:color w:val="FF0000"/>
        </w:rPr>
        <w:t>, later amended by the European Union (Withdrawal) Act</w:t>
      </w:r>
      <w:r w:rsidR="0030196A">
        <w:rPr>
          <w:color w:val="FF0000"/>
        </w:rPr>
        <w:t xml:space="preserve"> </w:t>
      </w:r>
      <w:r w:rsidR="00D9634D">
        <w:rPr>
          <w:color w:val="FF0000"/>
        </w:rPr>
        <w:t>2020. These Acts created a new category of domestic law re</w:t>
      </w:r>
      <w:r w:rsidR="00A8394E">
        <w:rPr>
          <w:color w:val="FF0000"/>
        </w:rPr>
        <w:t xml:space="preserve">ferred to as “retained EU law” </w:t>
      </w:r>
      <w:r w:rsidR="007A2134">
        <w:rPr>
          <w:color w:val="FF0000"/>
        </w:rPr>
        <w:t>incorporating</w:t>
      </w:r>
      <w:r w:rsidR="00A8394E">
        <w:rPr>
          <w:color w:val="FF0000"/>
        </w:rPr>
        <w:t xml:space="preserve"> existing EU-Derived legislation and case law as it stood at the end </w:t>
      </w:r>
      <w:r w:rsidR="002916AF">
        <w:rPr>
          <w:color w:val="FF0000"/>
        </w:rPr>
        <w:t>of</w:t>
      </w:r>
      <w:r w:rsidR="00A8394E">
        <w:rPr>
          <w:color w:val="FF0000"/>
        </w:rPr>
        <w:t xml:space="preserve"> the transition period</w:t>
      </w:r>
      <w:r w:rsidR="002916AF">
        <w:rPr>
          <w:color w:val="FF0000"/>
        </w:rPr>
        <w:t xml:space="preserve"> of 31 December 2020</w:t>
      </w:r>
      <w:r w:rsidR="00B00343">
        <w:rPr>
          <w:color w:val="FF0000"/>
        </w:rPr>
        <w:t xml:space="preserve"> (</w:t>
      </w:r>
      <w:proofErr w:type="spellStart"/>
      <w:r w:rsidR="00B00343">
        <w:rPr>
          <w:color w:val="FF0000"/>
        </w:rPr>
        <w:t>Syrpis</w:t>
      </w:r>
      <w:proofErr w:type="spellEnd"/>
      <w:r w:rsidR="00B00343">
        <w:rPr>
          <w:color w:val="FF0000"/>
        </w:rPr>
        <w:t>, 2022)</w:t>
      </w:r>
      <w:r w:rsidR="00861A00">
        <w:rPr>
          <w:color w:val="FF0000"/>
        </w:rPr>
        <w:t>.</w:t>
      </w:r>
    </w:p>
    <w:p w14:paraId="7155CEB1" w14:textId="2249CBCA" w:rsidR="00861A00" w:rsidRDefault="00861A00" w:rsidP="00EB2CC7">
      <w:pPr>
        <w:rPr>
          <w:color w:val="FF0000"/>
        </w:rPr>
      </w:pPr>
      <w:r>
        <w:rPr>
          <w:color w:val="FF0000"/>
        </w:rPr>
        <w:t xml:space="preserve">Under the Withdrawal Act, pre-Brexit ECJ decisions remain binding on UK courts and tribunals below the Supreme Court and Court of Appeal. This continuity </w:t>
      </w:r>
      <w:r w:rsidR="007A2134">
        <w:rPr>
          <w:color w:val="FF0000"/>
        </w:rPr>
        <w:t>was</w:t>
      </w:r>
      <w:r>
        <w:rPr>
          <w:color w:val="FF0000"/>
        </w:rPr>
        <w:t xml:space="preserve"> essential to maintain consistency in the interpre</w:t>
      </w:r>
      <w:r w:rsidR="003331DC">
        <w:rPr>
          <w:color w:val="FF0000"/>
        </w:rPr>
        <w:t>tation of rights such as annual leave, equal pay, and part-time worker protections (</w:t>
      </w:r>
      <w:r w:rsidR="00406130">
        <w:rPr>
          <w:color w:val="FF0000"/>
        </w:rPr>
        <w:t>Ewing, 2021)</w:t>
      </w:r>
      <w:r w:rsidR="004A4E3B">
        <w:rPr>
          <w:color w:val="FF0000"/>
        </w:rPr>
        <w:t>.</w:t>
      </w:r>
    </w:p>
    <w:p w14:paraId="1E9AAA7E" w14:textId="389EB8A4" w:rsidR="004A4E3B" w:rsidRDefault="004A4E3B" w:rsidP="00EB2CC7">
      <w:pPr>
        <w:rPr>
          <w:color w:val="FF0000"/>
        </w:rPr>
      </w:pPr>
      <w:r>
        <w:rPr>
          <w:color w:val="FF0000"/>
        </w:rPr>
        <w:t xml:space="preserve">Post-Brexit </w:t>
      </w:r>
      <w:r w:rsidR="001A6461">
        <w:rPr>
          <w:color w:val="FF0000"/>
        </w:rPr>
        <w:t xml:space="preserve">ECJ </w:t>
      </w:r>
      <w:r w:rsidR="00A71240">
        <w:rPr>
          <w:color w:val="FF0000"/>
        </w:rPr>
        <w:t>judgments</w:t>
      </w:r>
      <w:r w:rsidR="001A6461">
        <w:rPr>
          <w:color w:val="FF0000"/>
        </w:rPr>
        <w:t xml:space="preserve"> are no longer binding, but UK courts may have</w:t>
      </w:r>
      <w:r w:rsidR="006623DF">
        <w:rPr>
          <w:color w:val="FF0000"/>
        </w:rPr>
        <w:t xml:space="preserve"> regard to them when interpreting </w:t>
      </w:r>
      <w:r w:rsidR="007D51AF">
        <w:rPr>
          <w:color w:val="FF0000"/>
        </w:rPr>
        <w:t>retained EU law, particularly where gaps exist (</w:t>
      </w:r>
      <w:r w:rsidR="00244641">
        <w:rPr>
          <w:color w:val="FF0000"/>
        </w:rPr>
        <w:t>Vajda</w:t>
      </w:r>
      <w:r w:rsidR="007D51AF">
        <w:rPr>
          <w:color w:val="FF0000"/>
        </w:rPr>
        <w:t>, 2021).</w:t>
      </w:r>
      <w:r w:rsidR="00305AA4">
        <w:rPr>
          <w:color w:val="FF0000"/>
        </w:rPr>
        <w:t xml:space="preserve"> This discretionary power ensures a degree of legal evolution whilst still allowing the UK to follow </w:t>
      </w:r>
      <w:r w:rsidR="00C16DC3">
        <w:rPr>
          <w:color w:val="FF0000"/>
        </w:rPr>
        <w:t>its</w:t>
      </w:r>
      <w:r w:rsidR="00305AA4">
        <w:rPr>
          <w:color w:val="FF0000"/>
        </w:rPr>
        <w:t xml:space="preserve"> own path.</w:t>
      </w:r>
    </w:p>
    <w:p w14:paraId="74D15BA7" w14:textId="47E5847F" w:rsidR="00B12B80" w:rsidRDefault="00E3271F" w:rsidP="00EB2CC7">
      <w:pPr>
        <w:rPr>
          <w:color w:val="FF0000"/>
        </w:rPr>
      </w:pPr>
      <w:r>
        <w:rPr>
          <w:color w:val="FF0000"/>
        </w:rPr>
        <w:t xml:space="preserve">The Supreme Court and Court of Appeal </w:t>
      </w:r>
      <w:r w:rsidR="007A2134">
        <w:rPr>
          <w:color w:val="FF0000"/>
        </w:rPr>
        <w:t>can</w:t>
      </w:r>
      <w:r>
        <w:rPr>
          <w:color w:val="FF0000"/>
        </w:rPr>
        <w:t xml:space="preserve"> depart from retained EU case law if they consider it “right to do so”</w:t>
      </w:r>
      <w:r w:rsidR="00686E8A">
        <w:rPr>
          <w:color w:val="FF0000"/>
        </w:rPr>
        <w:t xml:space="preserve">, </w:t>
      </w:r>
      <w:r w:rsidR="00507820">
        <w:rPr>
          <w:color w:val="FF0000"/>
        </w:rPr>
        <w:t>applying the 1966 Practice Statement (First, 2024).</w:t>
      </w:r>
      <w:r w:rsidR="008F0147">
        <w:rPr>
          <w:color w:val="FF0000"/>
        </w:rPr>
        <w:t xml:space="preserve"> </w:t>
      </w:r>
      <w:r w:rsidR="00D1516D">
        <w:rPr>
          <w:color w:val="FF0000"/>
        </w:rPr>
        <w:t xml:space="preserve">This power reflects the UK’s post-Brexit legal sovereignty </w:t>
      </w:r>
      <w:r w:rsidR="00BB7B5F">
        <w:rPr>
          <w:color w:val="FF0000"/>
        </w:rPr>
        <w:t>b</w:t>
      </w:r>
      <w:r w:rsidR="00D1516D">
        <w:rPr>
          <w:color w:val="FF0000"/>
        </w:rPr>
        <w:t>ut is expected to be used sparingly, especially in areas where consistency is vital for public sector employees like the NHS</w:t>
      </w:r>
      <w:r w:rsidR="00BB7B5F">
        <w:rPr>
          <w:color w:val="FF0000"/>
        </w:rPr>
        <w:t xml:space="preserve"> (Hinks, n.d.)</w:t>
      </w:r>
      <w:r w:rsidR="00FA646D">
        <w:rPr>
          <w:color w:val="FF0000"/>
        </w:rPr>
        <w:t>.</w:t>
      </w:r>
    </w:p>
    <w:p w14:paraId="69EBB49A" w14:textId="2028F967" w:rsidR="00AF69F3" w:rsidRPr="002624AE" w:rsidRDefault="00AF69F3" w:rsidP="00AF69F3">
      <w:pPr>
        <w:rPr>
          <w:color w:val="FF0000"/>
        </w:rPr>
      </w:pPr>
      <w:r w:rsidRPr="002624AE">
        <w:rPr>
          <w:color w:val="FF0000"/>
        </w:rPr>
        <w:lastRenderedPageBreak/>
        <w:t xml:space="preserve">In </w:t>
      </w:r>
      <w:r w:rsidRPr="002624AE">
        <w:rPr>
          <w:i/>
          <w:iCs/>
          <w:color w:val="FF0000"/>
        </w:rPr>
        <w:t>Lipton v BA City Flyer Ltd (2021)</w:t>
      </w:r>
      <w:r w:rsidRPr="002624AE">
        <w:rPr>
          <w:color w:val="FF0000"/>
        </w:rPr>
        <w:t>, the UK court inferred that that the 2018 Act was intended to apply retrospectively, meaning the UK court had more discretion to depart from EU case law.</w:t>
      </w:r>
    </w:p>
    <w:p w14:paraId="127C5C47" w14:textId="77777777" w:rsidR="00AF69F3" w:rsidRPr="002624AE" w:rsidRDefault="00AF69F3" w:rsidP="00AF69F3">
      <w:pPr>
        <w:rPr>
          <w:color w:val="FF0000"/>
        </w:rPr>
      </w:pPr>
      <w:r w:rsidRPr="002624AE">
        <w:rPr>
          <w:color w:val="FF0000"/>
        </w:rPr>
        <w:t>The Judicial Review and Courts Bill 2021 proposed changes to further limit the influence of ECJ rulings on UK law, aiming to reshape the legal landscape.</w:t>
      </w:r>
    </w:p>
    <w:p w14:paraId="47ECCB96" w14:textId="77777777" w:rsidR="00AF69F3" w:rsidRPr="002624AE" w:rsidRDefault="00AF69F3" w:rsidP="00AF69F3">
      <w:pPr>
        <w:rPr>
          <w:color w:val="FF0000"/>
        </w:rPr>
      </w:pPr>
      <w:r w:rsidRPr="002624AE">
        <w:rPr>
          <w:color w:val="FF0000"/>
        </w:rPr>
        <w:t xml:space="preserve">In the case of </w:t>
      </w:r>
      <w:r w:rsidRPr="002624AE">
        <w:rPr>
          <w:i/>
          <w:iCs/>
          <w:color w:val="FF0000"/>
        </w:rPr>
        <w:t>R (Friends of the Earth limited) v. Secretary of State for International Trade (2022)</w:t>
      </w:r>
      <w:r w:rsidRPr="002624AE">
        <w:rPr>
          <w:color w:val="FF0000"/>
        </w:rPr>
        <w:t>, the High Court considered EU state aid rules. While the previous ECJ ruling was not binding, the court referred to it, indicating that ECJ decisions still hold persuasive value.</w:t>
      </w:r>
    </w:p>
    <w:p w14:paraId="4D148466" w14:textId="77777777" w:rsidR="00AF69F3" w:rsidRPr="002624AE" w:rsidRDefault="00AF69F3" w:rsidP="00AF69F3">
      <w:pPr>
        <w:rPr>
          <w:color w:val="FF0000"/>
        </w:rPr>
      </w:pPr>
      <w:r w:rsidRPr="002624AE">
        <w:rPr>
          <w:color w:val="FF0000"/>
        </w:rPr>
        <w:t>In conclusion, pre-Brexit ECJ judgments are part of UK law as retained EU law but are no longer binding. UK courts must consider them but have the flexibility to diverge as new legislation and case law evolve. The UK legal system continues to adapt post-Brexit, and future reforms may further diminish the influence of ECJ rulings.</w:t>
      </w:r>
    </w:p>
    <w:p w14:paraId="3B3160A8" w14:textId="77860612" w:rsidR="00AF69F3" w:rsidRPr="002624AE" w:rsidRDefault="00AF69F3" w:rsidP="00AF69F3">
      <w:pPr>
        <w:rPr>
          <w:color w:val="FF0000"/>
        </w:rPr>
      </w:pPr>
      <w:r w:rsidRPr="002624AE">
        <w:rPr>
          <w:color w:val="FF0000"/>
        </w:rPr>
        <w:t>Regards,</w:t>
      </w:r>
    </w:p>
    <w:p w14:paraId="15227D36" w14:textId="77777777" w:rsidR="00AF69F3" w:rsidRDefault="00AF69F3" w:rsidP="00EB2CC7"/>
    <w:p w14:paraId="16928327" w14:textId="145B7EF7" w:rsidR="00EB2CC7" w:rsidRPr="00EB2CC7" w:rsidRDefault="00EB2CC7" w:rsidP="00EB2CC7">
      <w:pPr>
        <w:rPr>
          <w:b/>
          <w:bCs/>
        </w:rPr>
      </w:pPr>
      <w:r w:rsidRPr="00EB2CC7">
        <w:rPr>
          <w:b/>
          <w:bCs/>
        </w:rPr>
        <w:t xml:space="preserve">Email 3 (AC 2.1) </w:t>
      </w:r>
    </w:p>
    <w:p w14:paraId="19A65BE6" w14:textId="5DFBECF0" w:rsidR="00EB2CC7" w:rsidRPr="002624AE" w:rsidRDefault="00BD610B" w:rsidP="00EB2CC7">
      <w:pPr>
        <w:rPr>
          <w:strike/>
        </w:rPr>
      </w:pPr>
      <w:r w:rsidRPr="002624AE">
        <w:rPr>
          <w:strike/>
        </w:rPr>
        <w:t>Dear</w:t>
      </w:r>
      <w:r w:rsidR="006031B7" w:rsidRPr="002624AE">
        <w:rPr>
          <w:strike/>
        </w:rPr>
        <w:t xml:space="preserve"> Colleague,</w:t>
      </w:r>
    </w:p>
    <w:p w14:paraId="20E02944" w14:textId="7DD1E193" w:rsidR="00BD610B" w:rsidRPr="002624AE" w:rsidRDefault="00C25406" w:rsidP="00EB2CC7">
      <w:pPr>
        <w:rPr>
          <w:strike/>
        </w:rPr>
      </w:pPr>
      <w:r w:rsidRPr="002624AE">
        <w:rPr>
          <w:strike/>
        </w:rPr>
        <w:t>Following you request for advice on when it may be appropriate to specify in a job description the requirements</w:t>
      </w:r>
      <w:r w:rsidR="00714518" w:rsidRPr="002624AE">
        <w:rPr>
          <w:strike/>
        </w:rPr>
        <w:t xml:space="preserve"> that the position must be carried out by a specific gender</w:t>
      </w:r>
      <w:r w:rsidR="00997A09" w:rsidRPr="002624AE">
        <w:rPr>
          <w:strike/>
        </w:rPr>
        <w:t>,</w:t>
      </w:r>
      <w:r w:rsidR="00714518" w:rsidRPr="002624AE">
        <w:rPr>
          <w:strike/>
        </w:rPr>
        <w:t xml:space="preserve"> I wanted to reach out to you to provide some clarification</w:t>
      </w:r>
      <w:r w:rsidR="00E7532A" w:rsidRPr="002624AE">
        <w:rPr>
          <w:strike/>
        </w:rPr>
        <w:t xml:space="preserve"> based on certain principles of discrimination law.</w:t>
      </w:r>
    </w:p>
    <w:p w14:paraId="4D72BA45" w14:textId="0D784818" w:rsidR="00A35224" w:rsidRPr="002624AE" w:rsidRDefault="00A35224" w:rsidP="00EB2CC7">
      <w:pPr>
        <w:rPr>
          <w:strike/>
        </w:rPr>
      </w:pPr>
      <w:r w:rsidRPr="002624AE">
        <w:rPr>
          <w:strike/>
        </w:rPr>
        <w:t>Under the Equality Act 2010</w:t>
      </w:r>
      <w:r w:rsidR="00796CF4" w:rsidRPr="002624AE">
        <w:rPr>
          <w:strike/>
        </w:rPr>
        <w:t xml:space="preserve"> </w:t>
      </w:r>
      <w:r w:rsidR="008E0899" w:rsidRPr="002624AE">
        <w:rPr>
          <w:strike/>
        </w:rPr>
        <w:t>recruitment should be gender neutral. Employers cannot directly discriminate through the specification of gender unless there is a genuine occupational requirement or GOR</w:t>
      </w:r>
      <w:r w:rsidR="00027D53" w:rsidRPr="002624AE">
        <w:rPr>
          <w:strike/>
        </w:rPr>
        <w:t xml:space="preserve"> (Equality Act 2010, s.9). I have provided examples of where this may be applied</w:t>
      </w:r>
      <w:r w:rsidR="00BA6F17" w:rsidRPr="002624AE">
        <w:rPr>
          <w:strike/>
        </w:rPr>
        <w:t>.</w:t>
      </w:r>
    </w:p>
    <w:p w14:paraId="356D6EB3" w14:textId="6E25A559" w:rsidR="00E0429B" w:rsidRPr="002624AE" w:rsidRDefault="00E0429B" w:rsidP="00E0429B">
      <w:pPr>
        <w:rPr>
          <w:strike/>
        </w:rPr>
      </w:pPr>
      <w:r w:rsidRPr="002624AE">
        <w:rPr>
          <w:strike/>
        </w:rPr>
        <w:t xml:space="preserve">Authenticity </w:t>
      </w:r>
      <w:r w:rsidR="003F1041" w:rsidRPr="002624AE">
        <w:rPr>
          <w:strike/>
        </w:rPr>
        <w:t xml:space="preserve">may be applied to </w:t>
      </w:r>
      <w:r w:rsidR="00AD4BBB" w:rsidRPr="002624AE">
        <w:rPr>
          <w:strike/>
        </w:rPr>
        <w:t>the creative industry</w:t>
      </w:r>
      <w:r w:rsidR="00F93AC6" w:rsidRPr="002624AE">
        <w:rPr>
          <w:strike/>
        </w:rPr>
        <w:t xml:space="preserve"> where a specific gender is required for a particular role, for example</w:t>
      </w:r>
      <w:r w:rsidR="00E1075E" w:rsidRPr="002624AE">
        <w:rPr>
          <w:strike/>
        </w:rPr>
        <w:t>, casting a fema</w:t>
      </w:r>
      <w:r w:rsidR="00E619EC" w:rsidRPr="002624AE">
        <w:rPr>
          <w:strike/>
        </w:rPr>
        <w:t>le</w:t>
      </w:r>
      <w:r w:rsidR="00E1075E" w:rsidRPr="002624AE">
        <w:rPr>
          <w:strike/>
        </w:rPr>
        <w:t xml:space="preserve"> actor to </w:t>
      </w:r>
      <w:r w:rsidR="00E619EC" w:rsidRPr="002624AE">
        <w:rPr>
          <w:strike/>
        </w:rPr>
        <w:t>portray a female historical figure</w:t>
      </w:r>
      <w:r w:rsidR="00EE5C8D" w:rsidRPr="002624AE">
        <w:rPr>
          <w:strike/>
        </w:rPr>
        <w:t xml:space="preserve"> (Equality Act 2010, s</w:t>
      </w:r>
      <w:r w:rsidR="00720545" w:rsidRPr="002624AE">
        <w:rPr>
          <w:strike/>
        </w:rPr>
        <w:t>.9(1)(a)).</w:t>
      </w:r>
      <w:r w:rsidR="002A2BB1" w:rsidRPr="002624AE">
        <w:rPr>
          <w:strike/>
        </w:rPr>
        <w:t xml:space="preserve"> </w:t>
      </w:r>
    </w:p>
    <w:p w14:paraId="57E6D333" w14:textId="7C288BE8" w:rsidR="00F1289D" w:rsidRPr="002624AE" w:rsidRDefault="00F1289D" w:rsidP="00E0429B">
      <w:pPr>
        <w:rPr>
          <w:strike/>
        </w:rPr>
      </w:pPr>
      <w:r w:rsidRPr="002624AE">
        <w:rPr>
          <w:strike/>
        </w:rPr>
        <w:t>In healthca</w:t>
      </w:r>
      <w:r w:rsidR="00A24858" w:rsidRPr="002624AE">
        <w:rPr>
          <w:strike/>
        </w:rPr>
        <w:t>r</w:t>
      </w:r>
      <w:r w:rsidRPr="002624AE">
        <w:rPr>
          <w:strike/>
        </w:rPr>
        <w:t>e or personal care positions, where gender may be necessary</w:t>
      </w:r>
      <w:r w:rsidR="00F82557" w:rsidRPr="002624AE">
        <w:rPr>
          <w:strike/>
        </w:rPr>
        <w:t xml:space="preserve"> out of respect</w:t>
      </w:r>
      <w:r w:rsidR="006C280D" w:rsidRPr="002624AE">
        <w:rPr>
          <w:strike/>
        </w:rPr>
        <w:t xml:space="preserve">, Privacy/Sensitivity can be </w:t>
      </w:r>
      <w:r w:rsidR="00BA5EA1" w:rsidRPr="002624AE">
        <w:rPr>
          <w:strike/>
        </w:rPr>
        <w:t>ap</w:t>
      </w:r>
      <w:r w:rsidR="006C280D" w:rsidRPr="002624AE">
        <w:rPr>
          <w:strike/>
        </w:rPr>
        <w:t>plied (Equality Act 2010, s</w:t>
      </w:r>
      <w:r w:rsidR="00612B53" w:rsidRPr="002624AE">
        <w:rPr>
          <w:strike/>
        </w:rPr>
        <w:t>9</w:t>
      </w:r>
      <w:r w:rsidR="006C280D" w:rsidRPr="002624AE">
        <w:rPr>
          <w:strike/>
        </w:rPr>
        <w:t>(1)(b)).</w:t>
      </w:r>
      <w:r w:rsidR="00612B53" w:rsidRPr="002624AE">
        <w:rPr>
          <w:strike/>
        </w:rPr>
        <w:t xml:space="preserve"> </w:t>
      </w:r>
      <w:r w:rsidR="007E6039" w:rsidRPr="002624AE">
        <w:rPr>
          <w:strike/>
        </w:rPr>
        <w:t>An example of this</w:t>
      </w:r>
      <w:r w:rsidR="002B46DA" w:rsidRPr="002624AE">
        <w:rPr>
          <w:strike/>
        </w:rPr>
        <w:t xml:space="preserve"> is </w:t>
      </w:r>
      <w:r w:rsidR="002A7AC0" w:rsidRPr="002624AE">
        <w:rPr>
          <w:i/>
          <w:iCs/>
          <w:strike/>
        </w:rPr>
        <w:t>Donnelly v PQ</w:t>
      </w:r>
      <w:r w:rsidR="007D333C" w:rsidRPr="002624AE">
        <w:rPr>
          <w:strike/>
        </w:rPr>
        <w:t xml:space="preserve"> (2023)</w:t>
      </w:r>
      <w:r w:rsidR="0009365B" w:rsidRPr="002624AE">
        <w:rPr>
          <w:strike/>
        </w:rPr>
        <w:t xml:space="preserve"> </w:t>
      </w:r>
      <w:r w:rsidR="008E048B" w:rsidRPr="002624AE">
        <w:rPr>
          <w:strike/>
        </w:rPr>
        <w:t xml:space="preserve">where a </w:t>
      </w:r>
      <w:r w:rsidR="00521074" w:rsidRPr="002624AE">
        <w:rPr>
          <w:strike/>
        </w:rPr>
        <w:t xml:space="preserve">male carer </w:t>
      </w:r>
      <w:r w:rsidR="00611AE4" w:rsidRPr="002624AE">
        <w:rPr>
          <w:strike/>
        </w:rPr>
        <w:t xml:space="preserve">to a disabled woman was dismissed during their </w:t>
      </w:r>
      <w:r w:rsidR="004F696D" w:rsidRPr="002624AE">
        <w:rPr>
          <w:strike/>
        </w:rPr>
        <w:t xml:space="preserve">extended </w:t>
      </w:r>
      <w:r w:rsidR="00611AE4" w:rsidRPr="002624AE">
        <w:rPr>
          <w:strike/>
        </w:rPr>
        <w:t>probationary period</w:t>
      </w:r>
      <w:r w:rsidR="004F696D" w:rsidRPr="002624AE">
        <w:rPr>
          <w:strike/>
        </w:rPr>
        <w:t xml:space="preserve">. </w:t>
      </w:r>
      <w:r w:rsidR="000D3F1C" w:rsidRPr="002624AE">
        <w:rPr>
          <w:strike/>
        </w:rPr>
        <w:t>The tribunal held that PQ had a legitimate reason under a GOR.</w:t>
      </w:r>
    </w:p>
    <w:p w14:paraId="104B911C" w14:textId="3230DE29" w:rsidR="006A415C" w:rsidRPr="002624AE" w:rsidRDefault="008B7205" w:rsidP="00E0429B">
      <w:pPr>
        <w:rPr>
          <w:strike/>
        </w:rPr>
      </w:pPr>
      <w:r w:rsidRPr="002624AE">
        <w:rPr>
          <w:strike/>
        </w:rPr>
        <w:t>In rare cases, gender may be specified for roles that form part of a specific cultural or religious practice (Equality Act 2010, s</w:t>
      </w:r>
      <w:r w:rsidR="00E00A07" w:rsidRPr="002624AE">
        <w:rPr>
          <w:strike/>
        </w:rPr>
        <w:t>.9(1)).</w:t>
      </w:r>
    </w:p>
    <w:p w14:paraId="4E45DD30" w14:textId="4B10D507" w:rsidR="00770054" w:rsidRPr="002624AE" w:rsidRDefault="00770054" w:rsidP="00E0429B">
      <w:pPr>
        <w:rPr>
          <w:strike/>
        </w:rPr>
      </w:pPr>
      <w:r w:rsidRPr="002624AE">
        <w:rPr>
          <w:strike/>
        </w:rPr>
        <w:t>Gender cannot be specified for general office or administra</w:t>
      </w:r>
      <w:r w:rsidR="00994143" w:rsidRPr="002624AE">
        <w:rPr>
          <w:strike/>
        </w:rPr>
        <w:t xml:space="preserve">tive roles unless there is a clear, </w:t>
      </w:r>
      <w:r w:rsidR="002C05C8" w:rsidRPr="002624AE">
        <w:rPr>
          <w:strike/>
        </w:rPr>
        <w:t>job-related</w:t>
      </w:r>
      <w:r w:rsidR="00994143" w:rsidRPr="002624AE">
        <w:rPr>
          <w:strike/>
        </w:rPr>
        <w:t xml:space="preserve"> need</w:t>
      </w:r>
      <w:r w:rsidR="006F5987" w:rsidRPr="002624AE">
        <w:rPr>
          <w:strike/>
        </w:rPr>
        <w:t xml:space="preserve"> or for roles where gender does not influence the performance of the role, such as customer facing or administrative roles</w:t>
      </w:r>
      <w:r w:rsidR="002C05C8" w:rsidRPr="002624AE">
        <w:rPr>
          <w:strike/>
        </w:rPr>
        <w:t>.</w:t>
      </w:r>
    </w:p>
    <w:p w14:paraId="2BC6FAE1" w14:textId="0593323B" w:rsidR="002C05C8" w:rsidRPr="002624AE" w:rsidRDefault="002C05C8" w:rsidP="00E0429B">
      <w:pPr>
        <w:rPr>
          <w:strike/>
        </w:rPr>
      </w:pPr>
      <w:r w:rsidRPr="002624AE">
        <w:rPr>
          <w:strike/>
        </w:rPr>
        <w:t>We must always ensure that any gender-specific requirement is proportionate and directly related to the role</w:t>
      </w:r>
      <w:r w:rsidR="005C4761" w:rsidRPr="002624AE">
        <w:rPr>
          <w:strike/>
        </w:rPr>
        <w:t xml:space="preserve"> as excessive reliance on </w:t>
      </w:r>
      <w:r w:rsidR="00BA536A" w:rsidRPr="002624AE">
        <w:rPr>
          <w:strike/>
        </w:rPr>
        <w:t>these criteria</w:t>
      </w:r>
      <w:r w:rsidR="005C4761" w:rsidRPr="002624AE">
        <w:rPr>
          <w:strike/>
        </w:rPr>
        <w:t xml:space="preserve"> could lead to discrimination claims</w:t>
      </w:r>
      <w:r w:rsidR="00BA536A" w:rsidRPr="002624AE">
        <w:rPr>
          <w:strike/>
        </w:rPr>
        <w:t>.</w:t>
      </w:r>
    </w:p>
    <w:p w14:paraId="1A9B1EEF" w14:textId="33D786A1" w:rsidR="00BA536A" w:rsidRPr="002624AE" w:rsidRDefault="00BA536A" w:rsidP="00E0429B">
      <w:pPr>
        <w:rPr>
          <w:strike/>
        </w:rPr>
      </w:pPr>
      <w:r w:rsidRPr="002624AE">
        <w:rPr>
          <w:strike/>
        </w:rPr>
        <w:t xml:space="preserve">If you </w:t>
      </w:r>
      <w:r w:rsidR="00895400" w:rsidRPr="002624AE">
        <w:rPr>
          <w:strike/>
        </w:rPr>
        <w:t>would like any further support, please contact me before making any commitments.</w:t>
      </w:r>
    </w:p>
    <w:p w14:paraId="3FF2D9E3" w14:textId="77777777" w:rsidR="00895400" w:rsidRPr="002624AE" w:rsidRDefault="00895400" w:rsidP="00E0429B">
      <w:pPr>
        <w:rPr>
          <w:strike/>
        </w:rPr>
      </w:pPr>
    </w:p>
    <w:p w14:paraId="573985E7" w14:textId="68F1882D" w:rsidR="00895400" w:rsidRPr="002624AE" w:rsidRDefault="00895400" w:rsidP="00E0429B">
      <w:pPr>
        <w:rPr>
          <w:strike/>
        </w:rPr>
      </w:pPr>
      <w:r w:rsidRPr="002624AE">
        <w:rPr>
          <w:strike/>
        </w:rPr>
        <w:lastRenderedPageBreak/>
        <w:t>Regards</w:t>
      </w:r>
    </w:p>
    <w:p w14:paraId="24C1CC22" w14:textId="3D2C12DC" w:rsidR="00CF5790" w:rsidRDefault="00D86157" w:rsidP="00EB2CC7">
      <w:pPr>
        <w:rPr>
          <w:color w:val="FF0000"/>
        </w:rPr>
      </w:pPr>
      <w:r>
        <w:rPr>
          <w:color w:val="FF0000"/>
        </w:rPr>
        <w:t xml:space="preserve">Dear Colleague, </w:t>
      </w:r>
    </w:p>
    <w:p w14:paraId="46F576CC" w14:textId="768E1057" w:rsidR="00D86157" w:rsidRDefault="00370782" w:rsidP="00EB2CC7">
      <w:pPr>
        <w:rPr>
          <w:color w:val="FF0000"/>
        </w:rPr>
      </w:pPr>
      <w:r>
        <w:rPr>
          <w:color w:val="FF0000"/>
        </w:rPr>
        <w:t xml:space="preserve">Thank you for your query regarding the legality </w:t>
      </w:r>
      <w:r w:rsidR="00B959DE">
        <w:rPr>
          <w:color w:val="FF0000"/>
        </w:rPr>
        <w:t>of gender</w:t>
      </w:r>
      <w:r>
        <w:rPr>
          <w:color w:val="FF0000"/>
        </w:rPr>
        <w:t xml:space="preserve">-based roles. This </w:t>
      </w:r>
      <w:r w:rsidR="002968AC">
        <w:rPr>
          <w:color w:val="FF0000"/>
        </w:rPr>
        <w:t>area of employment law is</w:t>
      </w:r>
      <w:r>
        <w:rPr>
          <w:color w:val="FF0000"/>
        </w:rPr>
        <w:t xml:space="preserve"> governed by the Equality Act</w:t>
      </w:r>
      <w:r w:rsidR="001B0282">
        <w:rPr>
          <w:color w:val="FF0000"/>
        </w:rPr>
        <w:t xml:space="preserve"> 2010</w:t>
      </w:r>
      <w:r w:rsidR="002968AC">
        <w:rPr>
          <w:color w:val="FF0000"/>
        </w:rPr>
        <w:t>, which protects</w:t>
      </w:r>
      <w:r w:rsidR="00B06CE3">
        <w:rPr>
          <w:color w:val="FF0000"/>
        </w:rPr>
        <w:t xml:space="preserve"> individuals from discrimination based on nine protected characteristics, including sex (s.4). An</w:t>
      </w:r>
      <w:r w:rsidR="008615A8">
        <w:rPr>
          <w:color w:val="FF0000"/>
        </w:rPr>
        <w:t>y</w:t>
      </w:r>
      <w:r w:rsidR="00B06CE3">
        <w:rPr>
          <w:color w:val="FF0000"/>
        </w:rPr>
        <w:t xml:space="preserve"> departure from the general principle of </w:t>
      </w:r>
      <w:r w:rsidR="0035295B">
        <w:rPr>
          <w:color w:val="FF0000"/>
        </w:rPr>
        <w:t>equal treatment must be justified under the limited exceptions outlined in the legislation</w:t>
      </w:r>
      <w:r w:rsidR="00EF0A35">
        <w:rPr>
          <w:color w:val="FF0000"/>
        </w:rPr>
        <w:t>.</w:t>
      </w:r>
    </w:p>
    <w:p w14:paraId="0A12A68A" w14:textId="3FFA85AA" w:rsidR="00EF0A35" w:rsidRDefault="00094DD0" w:rsidP="00EB2CC7">
      <w:pPr>
        <w:rPr>
          <w:color w:val="FF0000"/>
        </w:rPr>
      </w:pPr>
      <w:r>
        <w:rPr>
          <w:color w:val="FF0000"/>
        </w:rPr>
        <w:t>Advertising</w:t>
      </w:r>
      <w:r w:rsidR="000D2DA0">
        <w:rPr>
          <w:color w:val="FF0000"/>
        </w:rPr>
        <w:t xml:space="preserve"> a role as specific gender would be considered direct discrimination, prohibited under section 13 of the Act. However, </w:t>
      </w:r>
      <w:r w:rsidR="001E4358">
        <w:rPr>
          <w:color w:val="FF0000"/>
        </w:rPr>
        <w:t xml:space="preserve">S9.1 </w:t>
      </w:r>
      <w:r w:rsidR="002A4F01">
        <w:rPr>
          <w:color w:val="FF0000"/>
        </w:rPr>
        <w:t>introduces</w:t>
      </w:r>
      <w:r w:rsidR="001E4358">
        <w:rPr>
          <w:color w:val="FF0000"/>
        </w:rPr>
        <w:t xml:space="preserve"> the concept of occupational requirement, which can lawfully allow such a restriction</w:t>
      </w:r>
      <w:r w:rsidR="00E75F4B">
        <w:rPr>
          <w:color w:val="FF0000"/>
        </w:rPr>
        <w:t xml:space="preserve"> if three conditions are met:</w:t>
      </w:r>
    </w:p>
    <w:p w14:paraId="5A7B3B1C" w14:textId="1D14B33D" w:rsidR="00E75F4B" w:rsidRPr="00213A7B" w:rsidRDefault="00E75F4B" w:rsidP="00213A7B">
      <w:pPr>
        <w:pStyle w:val="ListParagraph"/>
        <w:numPr>
          <w:ilvl w:val="0"/>
          <w:numId w:val="7"/>
        </w:numPr>
        <w:rPr>
          <w:color w:val="FF0000"/>
        </w:rPr>
      </w:pPr>
      <w:r w:rsidRPr="00213A7B">
        <w:rPr>
          <w:color w:val="FF0000"/>
        </w:rPr>
        <w:t>The requirement relates to the genuine nature of the work;</w:t>
      </w:r>
    </w:p>
    <w:p w14:paraId="5BAAB646" w14:textId="6620144F" w:rsidR="00E75F4B" w:rsidRPr="00213A7B" w:rsidRDefault="00E75F4B" w:rsidP="00213A7B">
      <w:pPr>
        <w:pStyle w:val="ListParagraph"/>
        <w:numPr>
          <w:ilvl w:val="0"/>
          <w:numId w:val="7"/>
        </w:numPr>
        <w:rPr>
          <w:color w:val="FF0000"/>
        </w:rPr>
      </w:pPr>
      <w:r w:rsidRPr="00213A7B">
        <w:rPr>
          <w:color w:val="FF0000"/>
        </w:rPr>
        <w:t>It pursues a legitimate aim (e.g. privacy, dignity, safeguarding); and</w:t>
      </w:r>
    </w:p>
    <w:p w14:paraId="681E98F0" w14:textId="1CC7E02C" w:rsidR="00E75F4B" w:rsidRPr="00213A7B" w:rsidRDefault="00E75F4B" w:rsidP="00213A7B">
      <w:pPr>
        <w:pStyle w:val="ListParagraph"/>
        <w:numPr>
          <w:ilvl w:val="0"/>
          <w:numId w:val="7"/>
        </w:numPr>
        <w:rPr>
          <w:color w:val="FF0000"/>
        </w:rPr>
      </w:pPr>
      <w:r w:rsidRPr="00213A7B">
        <w:rPr>
          <w:color w:val="FF0000"/>
        </w:rPr>
        <w:t xml:space="preserve">It is a </w:t>
      </w:r>
      <w:r w:rsidR="00C30B90" w:rsidRPr="00213A7B">
        <w:rPr>
          <w:color w:val="FF0000"/>
        </w:rPr>
        <w:t>proportionate means of achieving that aim.</w:t>
      </w:r>
    </w:p>
    <w:p w14:paraId="24CA8471" w14:textId="754DF95F" w:rsidR="0056328D" w:rsidRDefault="00C30B90" w:rsidP="0056328D">
      <w:pPr>
        <w:rPr>
          <w:color w:val="FF0000"/>
        </w:rPr>
      </w:pPr>
      <w:r>
        <w:rPr>
          <w:color w:val="FF0000"/>
        </w:rPr>
        <w:t>The legal test</w:t>
      </w:r>
      <w:r w:rsidR="00445EE0">
        <w:rPr>
          <w:color w:val="FF0000"/>
        </w:rPr>
        <w:t xml:space="preserve"> is narrow and applied</w:t>
      </w:r>
      <w:r w:rsidR="00021DBA">
        <w:rPr>
          <w:color w:val="FF0000"/>
        </w:rPr>
        <w:t xml:space="preserve"> by tribunals (Taylor and Emir, 2019)</w:t>
      </w:r>
      <w:r w:rsidR="00354E45">
        <w:rPr>
          <w:color w:val="FF0000"/>
        </w:rPr>
        <w:t>. A</w:t>
      </w:r>
      <w:r w:rsidR="0044583D">
        <w:rPr>
          <w:color w:val="FF0000"/>
        </w:rPr>
        <w:t>n</w:t>
      </w:r>
      <w:r w:rsidR="00354E45">
        <w:rPr>
          <w:color w:val="FF0000"/>
        </w:rPr>
        <w:t xml:space="preserve"> example</w:t>
      </w:r>
      <w:r w:rsidR="0056328D">
        <w:rPr>
          <w:color w:val="FF0000"/>
        </w:rPr>
        <w:t xml:space="preserve"> in a</w:t>
      </w:r>
      <w:r w:rsidR="0056328D">
        <w:t xml:space="preserve"> </w:t>
      </w:r>
      <w:r w:rsidR="0056328D" w:rsidRPr="0056328D">
        <w:rPr>
          <w:color w:val="FF0000"/>
        </w:rPr>
        <w:t xml:space="preserve">healthcare or personal care setting is </w:t>
      </w:r>
      <w:r w:rsidR="0056328D" w:rsidRPr="0056328D">
        <w:rPr>
          <w:i/>
          <w:iCs/>
          <w:color w:val="FF0000"/>
        </w:rPr>
        <w:t>Donnelly v PQ</w:t>
      </w:r>
      <w:r w:rsidR="0056328D" w:rsidRPr="0056328D">
        <w:rPr>
          <w:color w:val="FF0000"/>
        </w:rPr>
        <w:t xml:space="preserve"> (2023) where a male carer to a disabled woman was dismissed during their extended probationary period. The tribunal held that PQ had a legitimate reason under a GOR.</w:t>
      </w:r>
    </w:p>
    <w:p w14:paraId="768658AD" w14:textId="3B22DE88" w:rsidR="00791CD7" w:rsidRDefault="00791CD7" w:rsidP="0056328D">
      <w:pPr>
        <w:rPr>
          <w:color w:val="FF0000"/>
        </w:rPr>
      </w:pPr>
      <w:r>
        <w:rPr>
          <w:color w:val="FF0000"/>
        </w:rPr>
        <w:t>In the NHS</w:t>
      </w:r>
      <w:r w:rsidR="001B51BB">
        <w:rPr>
          <w:color w:val="FF0000"/>
        </w:rPr>
        <w:t xml:space="preserve">, scenarios may arise where </w:t>
      </w:r>
      <w:r w:rsidR="00D46159">
        <w:rPr>
          <w:color w:val="FF0000"/>
        </w:rPr>
        <w:t xml:space="preserve">a </w:t>
      </w:r>
      <w:r w:rsidR="001B51BB">
        <w:rPr>
          <w:color w:val="FF0000"/>
        </w:rPr>
        <w:t xml:space="preserve">gender-specific </w:t>
      </w:r>
      <w:r w:rsidR="00D46159">
        <w:rPr>
          <w:color w:val="FF0000"/>
        </w:rPr>
        <w:t xml:space="preserve">requirement could be justified, for example, when a patient requests same-sex care for religious or cultural reasons, particularly in </w:t>
      </w:r>
      <w:r w:rsidR="00056C05">
        <w:rPr>
          <w:color w:val="FF0000"/>
        </w:rPr>
        <w:t>personal care setting. In th</w:t>
      </w:r>
      <w:r w:rsidR="00137C99">
        <w:rPr>
          <w:color w:val="FF0000"/>
        </w:rPr>
        <w:t>is</w:t>
      </w:r>
      <w:r w:rsidR="00056C05">
        <w:rPr>
          <w:color w:val="FF0000"/>
        </w:rPr>
        <w:t xml:space="preserve"> situation, the Trust may cite the </w:t>
      </w:r>
      <w:r w:rsidR="00BB7A58">
        <w:rPr>
          <w:color w:val="FF0000"/>
        </w:rPr>
        <w:t>patient’s</w:t>
      </w:r>
      <w:r w:rsidR="00056C05">
        <w:rPr>
          <w:color w:val="FF0000"/>
        </w:rPr>
        <w:t xml:space="preserve"> dignity and wellbeing as the legitimate aim</w:t>
      </w:r>
      <w:r w:rsidR="00BB7A58">
        <w:rPr>
          <w:color w:val="FF0000"/>
        </w:rPr>
        <w:t xml:space="preserve">. However, this justification must be evidenced and clearly linked to the job’s specific </w:t>
      </w:r>
      <w:r w:rsidR="00F86A6F">
        <w:rPr>
          <w:color w:val="FF0000"/>
        </w:rPr>
        <w:t>duties (</w:t>
      </w:r>
      <w:r w:rsidR="008C760E">
        <w:rPr>
          <w:color w:val="FF0000"/>
        </w:rPr>
        <w:t>Daniels, 2022</w:t>
      </w:r>
      <w:r w:rsidR="00BB7A58">
        <w:rPr>
          <w:color w:val="FF0000"/>
        </w:rPr>
        <w:t>)</w:t>
      </w:r>
      <w:r w:rsidR="00F86A6F">
        <w:rPr>
          <w:color w:val="FF0000"/>
        </w:rPr>
        <w:t>.</w:t>
      </w:r>
    </w:p>
    <w:p w14:paraId="1AFB783A" w14:textId="0B4EB6C7" w:rsidR="00C30B90" w:rsidRDefault="00DB573C" w:rsidP="00EB2CC7">
      <w:pPr>
        <w:rPr>
          <w:color w:val="FF0000"/>
        </w:rPr>
      </w:pPr>
      <w:r>
        <w:rPr>
          <w:color w:val="FF0000"/>
        </w:rPr>
        <w:t>An alternative example</w:t>
      </w:r>
      <w:r w:rsidR="005B56EC">
        <w:rPr>
          <w:color w:val="FF0000"/>
        </w:rPr>
        <w:t xml:space="preserve"> would be </w:t>
      </w:r>
      <w:proofErr w:type="spellStart"/>
      <w:r w:rsidR="005B56EC" w:rsidRPr="00B959DE">
        <w:rPr>
          <w:i/>
          <w:iCs/>
          <w:color w:val="FF0000"/>
        </w:rPr>
        <w:t>Fhima</w:t>
      </w:r>
      <w:proofErr w:type="spellEnd"/>
      <w:r w:rsidR="005B56EC" w:rsidRPr="00B959DE">
        <w:rPr>
          <w:i/>
          <w:iCs/>
          <w:color w:val="FF0000"/>
        </w:rPr>
        <w:t xml:space="preserve"> v Travel Jigsaw Ltd (2013)</w:t>
      </w:r>
      <w:r w:rsidR="0044583D" w:rsidRPr="00B959DE">
        <w:rPr>
          <w:i/>
          <w:iCs/>
          <w:color w:val="FF0000"/>
        </w:rPr>
        <w:t>.</w:t>
      </w:r>
      <w:r w:rsidR="0044583D">
        <w:rPr>
          <w:color w:val="FF0000"/>
        </w:rPr>
        <w:t xml:space="preserve"> A</w:t>
      </w:r>
      <w:r w:rsidR="005B56EC">
        <w:rPr>
          <w:color w:val="FF0000"/>
        </w:rPr>
        <w:t xml:space="preserve">n employer sought to justify the rejection of a female candidate for a sales role on the basis that the role involved </w:t>
      </w:r>
      <w:r w:rsidR="00B25F75">
        <w:rPr>
          <w:color w:val="FF0000"/>
        </w:rPr>
        <w:t>significant travel to the Middle East, where, it was argued, local customs made it inappropriate for women to engage</w:t>
      </w:r>
      <w:r w:rsidR="00817131">
        <w:rPr>
          <w:color w:val="FF0000"/>
        </w:rPr>
        <w:t xml:space="preserve"> in </w:t>
      </w:r>
      <w:r w:rsidR="001068D8">
        <w:rPr>
          <w:color w:val="FF0000"/>
        </w:rPr>
        <w:t xml:space="preserve">business negotiations. </w:t>
      </w:r>
      <w:r w:rsidR="00D179CF">
        <w:rPr>
          <w:color w:val="FF0000"/>
        </w:rPr>
        <w:t xml:space="preserve">The tribunal rejected this justification, stating that </w:t>
      </w:r>
      <w:r w:rsidR="0032693B">
        <w:rPr>
          <w:color w:val="FF0000"/>
        </w:rPr>
        <w:t xml:space="preserve">stereotyping or accommodating discriminatory customer preferences could not amount to a legitimate </w:t>
      </w:r>
      <w:r w:rsidR="00336F65">
        <w:rPr>
          <w:color w:val="FF0000"/>
        </w:rPr>
        <w:t>occupational requirement.</w:t>
      </w:r>
    </w:p>
    <w:p w14:paraId="68985E74" w14:textId="69515344" w:rsidR="00336F65" w:rsidRDefault="000E6FB5" w:rsidP="00EB2CC7">
      <w:pPr>
        <w:rPr>
          <w:color w:val="FF0000"/>
        </w:rPr>
      </w:pPr>
      <w:r>
        <w:rPr>
          <w:color w:val="FF0000"/>
        </w:rPr>
        <w:t>To lawfully apply an occupational requirement based on gender, I recommend:</w:t>
      </w:r>
    </w:p>
    <w:p w14:paraId="075C84D1" w14:textId="289F5980" w:rsidR="000E6FB5" w:rsidRPr="00134BAD" w:rsidRDefault="000E6FB5" w:rsidP="00134BAD">
      <w:pPr>
        <w:pStyle w:val="ListParagraph"/>
        <w:numPr>
          <w:ilvl w:val="0"/>
          <w:numId w:val="8"/>
        </w:numPr>
        <w:rPr>
          <w:color w:val="FF0000"/>
        </w:rPr>
      </w:pPr>
      <w:r w:rsidRPr="00134BAD">
        <w:rPr>
          <w:color w:val="FF0000"/>
        </w:rPr>
        <w:t>Conducting a detailed job analysis to identify where gender is truly intrinsic to the role.</w:t>
      </w:r>
    </w:p>
    <w:p w14:paraId="26EFAD97" w14:textId="299F3447" w:rsidR="000E6FB5" w:rsidRPr="00134BAD" w:rsidRDefault="000E6FB5" w:rsidP="00134BAD">
      <w:pPr>
        <w:pStyle w:val="ListParagraph"/>
        <w:numPr>
          <w:ilvl w:val="0"/>
          <w:numId w:val="8"/>
        </w:numPr>
        <w:rPr>
          <w:color w:val="FF0000"/>
        </w:rPr>
      </w:pPr>
      <w:r w:rsidRPr="00134BAD">
        <w:rPr>
          <w:color w:val="FF0000"/>
        </w:rPr>
        <w:t>Documenting the legitimate aim</w:t>
      </w:r>
      <w:r w:rsidR="004F50BF" w:rsidRPr="00134BAD">
        <w:rPr>
          <w:color w:val="FF0000"/>
        </w:rPr>
        <w:t xml:space="preserve"> (e.g. cultural sensitivity, safeguarding).</w:t>
      </w:r>
    </w:p>
    <w:p w14:paraId="70F8C888" w14:textId="5A24CFED" w:rsidR="004F50BF" w:rsidRPr="00134BAD" w:rsidRDefault="004F50BF" w:rsidP="00134BAD">
      <w:pPr>
        <w:pStyle w:val="ListParagraph"/>
        <w:numPr>
          <w:ilvl w:val="0"/>
          <w:numId w:val="8"/>
        </w:numPr>
        <w:rPr>
          <w:color w:val="FF0000"/>
        </w:rPr>
      </w:pPr>
      <w:r w:rsidRPr="00134BAD">
        <w:rPr>
          <w:color w:val="FF0000"/>
        </w:rPr>
        <w:t>Exploring whether there is a less discriminatory alternative.</w:t>
      </w:r>
    </w:p>
    <w:p w14:paraId="10975E5A" w14:textId="18002216" w:rsidR="004F50BF" w:rsidRPr="00134BAD" w:rsidRDefault="004F50BF" w:rsidP="00134BAD">
      <w:pPr>
        <w:pStyle w:val="ListParagraph"/>
        <w:numPr>
          <w:ilvl w:val="0"/>
          <w:numId w:val="8"/>
        </w:numPr>
        <w:rPr>
          <w:color w:val="FF0000"/>
        </w:rPr>
      </w:pPr>
      <w:r w:rsidRPr="00134BAD">
        <w:rPr>
          <w:color w:val="FF0000"/>
        </w:rPr>
        <w:t>Ensuring objective evidence supports the decision, such as patient feedback, religious requirements, or safeguarding concerns.</w:t>
      </w:r>
    </w:p>
    <w:p w14:paraId="40822954" w14:textId="37FBBC31" w:rsidR="00AC3AAD" w:rsidRDefault="00AC3AAD" w:rsidP="00EB2CC7">
      <w:pPr>
        <w:rPr>
          <w:color w:val="FF0000"/>
        </w:rPr>
      </w:pPr>
      <w:r>
        <w:rPr>
          <w:color w:val="FF0000"/>
        </w:rPr>
        <w:t xml:space="preserve">It is essential that any condition is clearly stated in the job advertisement and explained in the person specification. </w:t>
      </w:r>
      <w:r w:rsidR="003A6713">
        <w:rPr>
          <w:color w:val="FF0000"/>
        </w:rPr>
        <w:t>Misuse</w:t>
      </w:r>
      <w:r>
        <w:rPr>
          <w:color w:val="FF0000"/>
        </w:rPr>
        <w:t xml:space="preserve"> of this exception can expose the trust to legal claims and reputational damage</w:t>
      </w:r>
      <w:r w:rsidR="00134BAD">
        <w:rPr>
          <w:color w:val="FF0000"/>
        </w:rPr>
        <w:t xml:space="preserve"> (</w:t>
      </w:r>
      <w:r w:rsidR="009D3F01">
        <w:rPr>
          <w:color w:val="FF0000"/>
        </w:rPr>
        <w:t>Walsh, 2024</w:t>
      </w:r>
      <w:r w:rsidR="00134BAD">
        <w:rPr>
          <w:color w:val="FF0000"/>
        </w:rPr>
        <w:t>).</w:t>
      </w:r>
    </w:p>
    <w:p w14:paraId="7F724EF9" w14:textId="588D6535" w:rsidR="00D7445C" w:rsidRDefault="00D7445C" w:rsidP="00EB2CC7">
      <w:pPr>
        <w:rPr>
          <w:color w:val="FF0000"/>
        </w:rPr>
      </w:pPr>
      <w:r>
        <w:rPr>
          <w:color w:val="FF0000"/>
        </w:rPr>
        <w:t xml:space="preserve">Ultimately, </w:t>
      </w:r>
      <w:r w:rsidR="00094DD0">
        <w:rPr>
          <w:color w:val="FF0000"/>
        </w:rPr>
        <w:t>while</w:t>
      </w:r>
      <w:r>
        <w:rPr>
          <w:color w:val="FF0000"/>
        </w:rPr>
        <w:t xml:space="preserve"> occupational requirements based on sex are lawful in specific contexts, they must be approached with care, transparency</w:t>
      </w:r>
      <w:r w:rsidR="00094DD0">
        <w:rPr>
          <w:color w:val="FF0000"/>
        </w:rPr>
        <w:t xml:space="preserve">, and justification. </w:t>
      </w:r>
    </w:p>
    <w:p w14:paraId="6F627D36" w14:textId="419F5BFC" w:rsidR="00094DD0" w:rsidRDefault="00094DD0" w:rsidP="00EB2CC7">
      <w:pPr>
        <w:rPr>
          <w:color w:val="FF0000"/>
        </w:rPr>
      </w:pPr>
      <w:r>
        <w:rPr>
          <w:color w:val="FF0000"/>
        </w:rPr>
        <w:t>Regards,</w:t>
      </w:r>
    </w:p>
    <w:p w14:paraId="2D919AE3" w14:textId="77777777" w:rsidR="002968AC" w:rsidRPr="00D86157" w:rsidRDefault="002968AC" w:rsidP="00EB2CC7">
      <w:pPr>
        <w:rPr>
          <w:color w:val="FF0000"/>
        </w:rPr>
      </w:pPr>
    </w:p>
    <w:p w14:paraId="546AC192" w14:textId="77777777" w:rsidR="00EB2CC7" w:rsidRPr="00EB2CC7" w:rsidRDefault="00EB2CC7" w:rsidP="00EB2CC7">
      <w:pPr>
        <w:rPr>
          <w:b/>
          <w:bCs/>
        </w:rPr>
      </w:pPr>
      <w:r w:rsidRPr="00EB2CC7">
        <w:rPr>
          <w:b/>
          <w:bCs/>
        </w:rPr>
        <w:lastRenderedPageBreak/>
        <w:t>Email 4 (AC 2.2)</w:t>
      </w:r>
    </w:p>
    <w:p w14:paraId="7135B1C8" w14:textId="2F9A1E4E" w:rsidR="007B40FD" w:rsidRPr="000F715A" w:rsidRDefault="007B40FD" w:rsidP="00EB2CC7">
      <w:pPr>
        <w:rPr>
          <w:strike/>
        </w:rPr>
      </w:pPr>
      <w:r w:rsidRPr="000F715A">
        <w:rPr>
          <w:strike/>
        </w:rPr>
        <w:t>Dear</w:t>
      </w:r>
      <w:r w:rsidR="006031B7" w:rsidRPr="000F715A">
        <w:rPr>
          <w:strike/>
        </w:rPr>
        <w:t xml:space="preserve"> Colleague, </w:t>
      </w:r>
    </w:p>
    <w:p w14:paraId="3A9EC57E" w14:textId="6077E4D7" w:rsidR="007B40FD" w:rsidRPr="000F715A" w:rsidRDefault="008B3EEC" w:rsidP="00EB2CC7">
      <w:pPr>
        <w:rPr>
          <w:strike/>
        </w:rPr>
      </w:pPr>
      <w:r w:rsidRPr="000F715A">
        <w:rPr>
          <w:strike/>
        </w:rPr>
        <w:t>Following your request to increase the grading for two male</w:t>
      </w:r>
      <w:r w:rsidR="008A2BE8" w:rsidRPr="000F715A">
        <w:rPr>
          <w:strike/>
        </w:rPr>
        <w:t xml:space="preserve"> health care assistants</w:t>
      </w:r>
      <w:r w:rsidR="004E551A" w:rsidRPr="000F715A">
        <w:rPr>
          <w:strike/>
        </w:rPr>
        <w:t xml:space="preserve"> (HCA)</w:t>
      </w:r>
      <w:r w:rsidR="008A2BE8" w:rsidRPr="000F715A">
        <w:rPr>
          <w:strike/>
        </w:rPr>
        <w:t xml:space="preserve"> from an A Grade to B Grade I though</w:t>
      </w:r>
      <w:r w:rsidR="006F2CF8" w:rsidRPr="000F715A">
        <w:rPr>
          <w:strike/>
        </w:rPr>
        <w:t>t</w:t>
      </w:r>
      <w:r w:rsidR="008A2BE8" w:rsidRPr="000F715A">
        <w:rPr>
          <w:strike/>
        </w:rPr>
        <w:t xml:space="preserve"> it would be </w:t>
      </w:r>
      <w:r w:rsidR="006031B7" w:rsidRPr="000F715A">
        <w:rPr>
          <w:strike/>
        </w:rPr>
        <w:t>prudent</w:t>
      </w:r>
      <w:r w:rsidR="008A2BE8" w:rsidRPr="000F715A">
        <w:rPr>
          <w:strike/>
        </w:rPr>
        <w:t xml:space="preserve"> to</w:t>
      </w:r>
      <w:r w:rsidR="008B22B6" w:rsidRPr="000F715A">
        <w:rPr>
          <w:strike/>
        </w:rPr>
        <w:t xml:space="preserve"> review the legalities surrounding equal pay in relation to the Equality Act 2010.</w:t>
      </w:r>
    </w:p>
    <w:p w14:paraId="20657330" w14:textId="32062445" w:rsidR="002F270B" w:rsidRPr="000F715A" w:rsidRDefault="00664423" w:rsidP="00EB2CC7">
      <w:pPr>
        <w:rPr>
          <w:strike/>
        </w:rPr>
      </w:pPr>
      <w:r w:rsidRPr="000F715A">
        <w:rPr>
          <w:strike/>
        </w:rPr>
        <w:t>Section 79 of the Eq</w:t>
      </w:r>
      <w:r w:rsidR="0003772D" w:rsidRPr="000F715A">
        <w:rPr>
          <w:strike/>
        </w:rPr>
        <w:t>uality Act</w:t>
      </w:r>
      <w:r w:rsidR="00AF2C66" w:rsidRPr="000F715A">
        <w:rPr>
          <w:strike/>
        </w:rPr>
        <w:t xml:space="preserve"> 2010 </w:t>
      </w:r>
      <w:r w:rsidR="00B429E6" w:rsidRPr="000F715A">
        <w:rPr>
          <w:strike/>
        </w:rPr>
        <w:t>stipulates</w:t>
      </w:r>
      <w:r w:rsidR="000B4695" w:rsidRPr="000F715A">
        <w:rPr>
          <w:strike/>
        </w:rPr>
        <w:t xml:space="preserve"> that men and woman performing equal work </w:t>
      </w:r>
      <w:r w:rsidR="00593CC5" w:rsidRPr="000F715A">
        <w:rPr>
          <w:strike/>
        </w:rPr>
        <w:t>or work of equal value</w:t>
      </w:r>
      <w:r w:rsidR="008A667E" w:rsidRPr="000F715A">
        <w:rPr>
          <w:strike/>
        </w:rPr>
        <w:t xml:space="preserve"> must receive the same renumeration</w:t>
      </w:r>
      <w:r w:rsidR="003E775F" w:rsidRPr="000F715A">
        <w:rPr>
          <w:strike/>
        </w:rPr>
        <w:t xml:space="preserve"> unless there is an objective justi</w:t>
      </w:r>
      <w:r w:rsidR="008B14BB" w:rsidRPr="000F715A">
        <w:rPr>
          <w:strike/>
        </w:rPr>
        <w:t>fication</w:t>
      </w:r>
      <w:r w:rsidR="00997AFC" w:rsidRPr="000F715A">
        <w:rPr>
          <w:strike/>
        </w:rPr>
        <w:t xml:space="preserve"> for a difference (Equality Act, 2010). This </w:t>
      </w:r>
      <w:r w:rsidR="004E551A" w:rsidRPr="000F715A">
        <w:rPr>
          <w:strike/>
        </w:rPr>
        <w:t>applies to all employees, including the HCA’s</w:t>
      </w:r>
      <w:r w:rsidR="00AF3272" w:rsidRPr="000F715A">
        <w:rPr>
          <w:strike/>
        </w:rPr>
        <w:t>, and prohibits gender discrimination in relation to pay.</w:t>
      </w:r>
    </w:p>
    <w:p w14:paraId="0DDA98B3" w14:textId="18D64288" w:rsidR="00AF3272" w:rsidRPr="000F715A" w:rsidRDefault="00AF3272" w:rsidP="00EB2CC7">
      <w:pPr>
        <w:rPr>
          <w:strike/>
        </w:rPr>
      </w:pPr>
      <w:r w:rsidRPr="000F715A">
        <w:rPr>
          <w:strike/>
        </w:rPr>
        <w:t>The Equal Pay Act 1970</w:t>
      </w:r>
      <w:r w:rsidR="008A520F" w:rsidRPr="000F715A">
        <w:rPr>
          <w:strike/>
        </w:rPr>
        <w:t xml:space="preserve"> merged with the Equality Act 2010</w:t>
      </w:r>
      <w:r w:rsidR="006F07EF" w:rsidRPr="000F715A">
        <w:rPr>
          <w:strike/>
        </w:rPr>
        <w:t xml:space="preserve"> and established the requirement for equal pay in comparable roles.</w:t>
      </w:r>
      <w:r w:rsidR="00783FE0" w:rsidRPr="000F715A">
        <w:rPr>
          <w:strike/>
        </w:rPr>
        <w:t xml:space="preserve"> A recent </w:t>
      </w:r>
      <w:r w:rsidR="00822256" w:rsidRPr="000F715A">
        <w:rPr>
          <w:strike/>
        </w:rPr>
        <w:t xml:space="preserve">Employment Tribunal </w:t>
      </w:r>
      <w:r w:rsidR="00783FE0" w:rsidRPr="000F715A">
        <w:rPr>
          <w:strike/>
        </w:rPr>
        <w:t xml:space="preserve">case involving </w:t>
      </w:r>
      <w:r w:rsidR="00923159" w:rsidRPr="000F715A">
        <w:rPr>
          <w:strike/>
        </w:rPr>
        <w:t xml:space="preserve">3,500 </w:t>
      </w:r>
      <w:r w:rsidR="00AA6184" w:rsidRPr="000F715A">
        <w:rPr>
          <w:strike/>
        </w:rPr>
        <w:t xml:space="preserve">predominantly female </w:t>
      </w:r>
      <w:r w:rsidR="00822256" w:rsidRPr="000F715A">
        <w:rPr>
          <w:strike/>
        </w:rPr>
        <w:t xml:space="preserve">employees at Next Retail Ltd </w:t>
      </w:r>
      <w:r w:rsidR="005433DC" w:rsidRPr="000F715A">
        <w:rPr>
          <w:strike/>
        </w:rPr>
        <w:t>ruled in 2024 that their roles were of equal value to those of predominantly male warehouse staff</w:t>
      </w:r>
      <w:r w:rsidR="000D3A67" w:rsidRPr="000F715A">
        <w:rPr>
          <w:strike/>
        </w:rPr>
        <w:t xml:space="preserve"> and that Next had insufficient justification</w:t>
      </w:r>
      <w:r w:rsidR="00257B30" w:rsidRPr="000F715A">
        <w:rPr>
          <w:strike/>
        </w:rPr>
        <w:t xml:space="preserve"> for the pay disparity (</w:t>
      </w:r>
      <w:r w:rsidR="005F1475" w:rsidRPr="000F715A">
        <w:rPr>
          <w:i/>
          <w:iCs/>
          <w:strike/>
        </w:rPr>
        <w:t>Thandi and other</w:t>
      </w:r>
      <w:r w:rsidR="008557C8" w:rsidRPr="000F715A">
        <w:rPr>
          <w:i/>
          <w:iCs/>
          <w:strike/>
        </w:rPr>
        <w:t>s</w:t>
      </w:r>
      <w:r w:rsidR="00257B30" w:rsidRPr="000F715A">
        <w:rPr>
          <w:i/>
          <w:iCs/>
          <w:strike/>
        </w:rPr>
        <w:t xml:space="preserve"> v. Next Retail Ltd</w:t>
      </w:r>
      <w:r w:rsidR="00154942" w:rsidRPr="000F715A">
        <w:rPr>
          <w:i/>
          <w:iCs/>
          <w:strike/>
        </w:rPr>
        <w:t xml:space="preserve">., </w:t>
      </w:r>
      <w:r w:rsidR="00A25448" w:rsidRPr="000F715A">
        <w:rPr>
          <w:i/>
          <w:iCs/>
          <w:strike/>
        </w:rPr>
        <w:t>(</w:t>
      </w:r>
      <w:r w:rsidR="00154942" w:rsidRPr="000F715A">
        <w:rPr>
          <w:i/>
          <w:iCs/>
          <w:strike/>
        </w:rPr>
        <w:t>2024</w:t>
      </w:r>
      <w:r w:rsidR="00A25448" w:rsidRPr="000F715A">
        <w:rPr>
          <w:i/>
          <w:iCs/>
          <w:strike/>
        </w:rPr>
        <w:t>)</w:t>
      </w:r>
      <w:r w:rsidR="00257B30" w:rsidRPr="000F715A">
        <w:rPr>
          <w:strike/>
        </w:rPr>
        <w:t>)</w:t>
      </w:r>
      <w:r w:rsidR="00FE354A" w:rsidRPr="000F715A">
        <w:rPr>
          <w:strike/>
        </w:rPr>
        <w:t>.</w:t>
      </w:r>
    </w:p>
    <w:p w14:paraId="5B4B575D" w14:textId="39611792" w:rsidR="00EB2CC7" w:rsidRPr="000F715A" w:rsidRDefault="009E43D2" w:rsidP="00EB2CC7">
      <w:pPr>
        <w:rPr>
          <w:strike/>
        </w:rPr>
      </w:pPr>
      <w:r w:rsidRPr="000F715A">
        <w:rPr>
          <w:strike/>
        </w:rPr>
        <w:t xml:space="preserve">There are 3 main </w:t>
      </w:r>
      <w:r w:rsidR="00033BE1" w:rsidRPr="000F715A">
        <w:rPr>
          <w:strike/>
        </w:rPr>
        <w:t>areas that we must address</w:t>
      </w:r>
      <w:r w:rsidR="00722A4F" w:rsidRPr="000F715A">
        <w:rPr>
          <w:strike/>
        </w:rPr>
        <w:t xml:space="preserve"> before any changes can take place:</w:t>
      </w:r>
    </w:p>
    <w:p w14:paraId="54F8B996" w14:textId="56E15565" w:rsidR="003A3645" w:rsidRPr="000F715A" w:rsidRDefault="00625333" w:rsidP="00EB2CC7">
      <w:pPr>
        <w:rPr>
          <w:strike/>
        </w:rPr>
      </w:pPr>
      <w:r w:rsidRPr="000F715A">
        <w:rPr>
          <w:strike/>
        </w:rPr>
        <w:t xml:space="preserve">Evaluate the work of </w:t>
      </w:r>
      <w:r w:rsidR="003137DC" w:rsidRPr="000F715A">
        <w:rPr>
          <w:strike/>
        </w:rPr>
        <w:t>the male HCA’s. If the work is of a comparable nature to their female colleagues</w:t>
      </w:r>
      <w:r w:rsidR="00DB5DCA" w:rsidRPr="000F715A">
        <w:rPr>
          <w:strike/>
        </w:rPr>
        <w:t>, an upgrade for the male employees without a clear distinction could lead to claims of unequal pay.</w:t>
      </w:r>
    </w:p>
    <w:p w14:paraId="6917DDD6" w14:textId="2D7AAE49" w:rsidR="0097576D" w:rsidRPr="000F715A" w:rsidRDefault="008A4525" w:rsidP="00EB2CC7">
      <w:pPr>
        <w:rPr>
          <w:strike/>
        </w:rPr>
      </w:pPr>
      <w:r w:rsidRPr="000F715A">
        <w:rPr>
          <w:strike/>
        </w:rPr>
        <w:t>Our pay grades are based on an objective criteria including skills and experience and this is applied constantly</w:t>
      </w:r>
      <w:r w:rsidR="00AD7DDE" w:rsidRPr="000F715A">
        <w:rPr>
          <w:strike/>
        </w:rPr>
        <w:t xml:space="preserve"> regardless of gender. The decision to promote two male HCA’s over female HCA’s that perform the same or similar duties</w:t>
      </w:r>
      <w:r w:rsidR="0042467E" w:rsidRPr="000F715A">
        <w:rPr>
          <w:strike/>
        </w:rPr>
        <w:t xml:space="preserve"> could risk an unequal treatment claim.</w:t>
      </w:r>
      <w:r w:rsidR="0076061B" w:rsidRPr="000F715A">
        <w:rPr>
          <w:strike/>
        </w:rPr>
        <w:t xml:space="preserve"> </w:t>
      </w:r>
      <w:r w:rsidR="00B6438D" w:rsidRPr="000F715A">
        <w:rPr>
          <w:strike/>
        </w:rPr>
        <w:t xml:space="preserve">The case of </w:t>
      </w:r>
      <w:r w:rsidR="00304034" w:rsidRPr="000F715A">
        <w:rPr>
          <w:i/>
          <w:iCs/>
          <w:strike/>
        </w:rPr>
        <w:t xml:space="preserve">Lockwood v. Department for Work and Pensions </w:t>
      </w:r>
      <w:r w:rsidR="00773ED6" w:rsidRPr="000F715A">
        <w:rPr>
          <w:i/>
          <w:iCs/>
          <w:strike/>
        </w:rPr>
        <w:t>(</w:t>
      </w:r>
      <w:r w:rsidR="00304034" w:rsidRPr="000F715A">
        <w:rPr>
          <w:i/>
          <w:iCs/>
          <w:strike/>
        </w:rPr>
        <w:t>201</w:t>
      </w:r>
      <w:r w:rsidR="004A02D2" w:rsidRPr="000F715A">
        <w:rPr>
          <w:i/>
          <w:iCs/>
          <w:strike/>
        </w:rPr>
        <w:t>3</w:t>
      </w:r>
      <w:r w:rsidR="00773ED6" w:rsidRPr="000F715A">
        <w:rPr>
          <w:i/>
          <w:iCs/>
          <w:strike/>
        </w:rPr>
        <w:t>)</w:t>
      </w:r>
      <w:r w:rsidR="00084ACA" w:rsidRPr="000F715A">
        <w:rPr>
          <w:strike/>
        </w:rPr>
        <w:t xml:space="preserve"> </w:t>
      </w:r>
      <w:r w:rsidR="00D56AB1" w:rsidRPr="000F715A">
        <w:rPr>
          <w:strike/>
        </w:rPr>
        <w:t xml:space="preserve">the court </w:t>
      </w:r>
      <w:r w:rsidR="00196EDE" w:rsidRPr="000F715A">
        <w:rPr>
          <w:strike/>
        </w:rPr>
        <w:t xml:space="preserve">dealt with the issue of equal pay claims arising from pay disparities between employees of different </w:t>
      </w:r>
      <w:r w:rsidR="008A17CE" w:rsidRPr="000F715A">
        <w:rPr>
          <w:strike/>
        </w:rPr>
        <w:t>gender performing work of equal value.</w:t>
      </w:r>
    </w:p>
    <w:p w14:paraId="1C255E8D" w14:textId="311A63CE" w:rsidR="00E91A9F" w:rsidRPr="000F715A" w:rsidRDefault="00E91A9F" w:rsidP="00EB2CC7">
      <w:pPr>
        <w:rPr>
          <w:strike/>
        </w:rPr>
      </w:pPr>
      <w:r w:rsidRPr="000F715A">
        <w:rPr>
          <w:strike/>
        </w:rPr>
        <w:t>Finally, we must address any legal risk</w:t>
      </w:r>
      <w:r w:rsidR="00596F76" w:rsidRPr="000F715A">
        <w:rPr>
          <w:strike/>
        </w:rPr>
        <w:t>s that may arise from any pay disparity between male and female HCA’s performing equal</w:t>
      </w:r>
      <w:r w:rsidR="00BC2C18" w:rsidRPr="000F715A">
        <w:rPr>
          <w:strike/>
        </w:rPr>
        <w:t xml:space="preserve"> work as this could lead to tribunal claims.</w:t>
      </w:r>
    </w:p>
    <w:p w14:paraId="5D16124B" w14:textId="3B436284" w:rsidR="00BC2C18" w:rsidRPr="000F715A" w:rsidRDefault="00BC2C18" w:rsidP="00EB2CC7">
      <w:pPr>
        <w:rPr>
          <w:strike/>
        </w:rPr>
      </w:pPr>
      <w:r w:rsidRPr="000F715A">
        <w:rPr>
          <w:strike/>
        </w:rPr>
        <w:t xml:space="preserve">In light of the above, </w:t>
      </w:r>
      <w:r w:rsidR="002578FB" w:rsidRPr="000F715A">
        <w:rPr>
          <w:strike/>
        </w:rPr>
        <w:t xml:space="preserve">before approving any upgrades </w:t>
      </w:r>
      <w:r w:rsidRPr="000F715A">
        <w:rPr>
          <w:strike/>
        </w:rPr>
        <w:t>I would recommend reviewing the roles and responsibilities</w:t>
      </w:r>
      <w:r w:rsidR="008F758A" w:rsidRPr="000F715A">
        <w:rPr>
          <w:strike/>
        </w:rPr>
        <w:t xml:space="preserve"> </w:t>
      </w:r>
      <w:r w:rsidR="002578FB" w:rsidRPr="000F715A">
        <w:rPr>
          <w:strike/>
        </w:rPr>
        <w:t>of the male HCA’s comp</w:t>
      </w:r>
      <w:r w:rsidR="00B57D38" w:rsidRPr="000F715A">
        <w:rPr>
          <w:strike/>
        </w:rPr>
        <w:t xml:space="preserve">ared to their female colleagues and also ensuring that the upgrade is consistent with our </w:t>
      </w:r>
      <w:r w:rsidR="00F42776" w:rsidRPr="000F715A">
        <w:rPr>
          <w:strike/>
        </w:rPr>
        <w:t>current polices.</w:t>
      </w:r>
    </w:p>
    <w:p w14:paraId="31C93C75" w14:textId="1AE22660" w:rsidR="00F42776" w:rsidRPr="000F715A" w:rsidRDefault="00F42776" w:rsidP="00EB2CC7">
      <w:pPr>
        <w:rPr>
          <w:strike/>
        </w:rPr>
      </w:pPr>
      <w:r w:rsidRPr="000F715A">
        <w:rPr>
          <w:strike/>
        </w:rPr>
        <w:t>If no legal risks are discovered, then the upgrades can proceed. However, we will continue to review</w:t>
      </w:r>
      <w:r w:rsidR="005A6D76" w:rsidRPr="000F715A">
        <w:rPr>
          <w:strike/>
        </w:rPr>
        <w:t xml:space="preserve"> </w:t>
      </w:r>
      <w:r w:rsidR="00E75CD5" w:rsidRPr="000F715A">
        <w:rPr>
          <w:strike/>
        </w:rPr>
        <w:t xml:space="preserve">these </w:t>
      </w:r>
      <w:r w:rsidR="005A6D76" w:rsidRPr="000F715A">
        <w:rPr>
          <w:strike/>
        </w:rPr>
        <w:t xml:space="preserve">changes for potential </w:t>
      </w:r>
      <w:r w:rsidR="000148C1" w:rsidRPr="000F715A">
        <w:rPr>
          <w:strike/>
        </w:rPr>
        <w:t>equal pay or indirect discrimination</w:t>
      </w:r>
      <w:r w:rsidR="00E75CD5" w:rsidRPr="000F715A">
        <w:rPr>
          <w:strike/>
        </w:rPr>
        <w:t xml:space="preserve"> issues.</w:t>
      </w:r>
    </w:p>
    <w:p w14:paraId="65CA573E" w14:textId="2374F514" w:rsidR="00E75CD5" w:rsidRPr="000F715A" w:rsidRDefault="00E75CD5" w:rsidP="00EB2CC7">
      <w:pPr>
        <w:rPr>
          <w:strike/>
        </w:rPr>
      </w:pPr>
      <w:r w:rsidRPr="000F715A">
        <w:rPr>
          <w:strike/>
        </w:rPr>
        <w:t>Sincerely</w:t>
      </w:r>
    </w:p>
    <w:p w14:paraId="746365E5" w14:textId="0C971B78" w:rsidR="00EB2CC7" w:rsidRDefault="00BB031B" w:rsidP="00EB2CC7">
      <w:pPr>
        <w:rPr>
          <w:color w:val="FF0000"/>
        </w:rPr>
      </w:pPr>
      <w:r w:rsidRPr="00BB031B">
        <w:rPr>
          <w:color w:val="FF0000"/>
        </w:rPr>
        <w:t>Dear Colleague</w:t>
      </w:r>
      <w:r>
        <w:rPr>
          <w:color w:val="FF0000"/>
        </w:rPr>
        <w:t>,</w:t>
      </w:r>
    </w:p>
    <w:p w14:paraId="19D674CF" w14:textId="5239A668" w:rsidR="00BB031B" w:rsidRDefault="004976BE" w:rsidP="00EB2CC7">
      <w:pPr>
        <w:rPr>
          <w:color w:val="FF0000"/>
        </w:rPr>
      </w:pPr>
      <w:r>
        <w:rPr>
          <w:color w:val="FF0000"/>
        </w:rPr>
        <w:t>Thank you for your email regarding the proposed</w:t>
      </w:r>
      <w:r w:rsidR="009444B5">
        <w:rPr>
          <w:color w:val="FF0000"/>
        </w:rPr>
        <w:t xml:space="preserve"> reg</w:t>
      </w:r>
      <w:r w:rsidR="00E931B3">
        <w:rPr>
          <w:color w:val="FF0000"/>
        </w:rPr>
        <w:t xml:space="preserve">rading of two </w:t>
      </w:r>
      <w:r w:rsidR="00733B36">
        <w:rPr>
          <w:color w:val="FF0000"/>
        </w:rPr>
        <w:t>male Health Care Assistants (HCAs) fro</w:t>
      </w:r>
      <w:r w:rsidR="000E5C5F">
        <w:rPr>
          <w:color w:val="FF0000"/>
        </w:rPr>
        <w:t xml:space="preserve">m Grade A to B. I understand the </w:t>
      </w:r>
      <w:r w:rsidR="00971AC4">
        <w:rPr>
          <w:color w:val="FF0000"/>
        </w:rPr>
        <w:t>intent,</w:t>
      </w:r>
      <w:r w:rsidR="000E5C5F">
        <w:rPr>
          <w:color w:val="FF0000"/>
        </w:rPr>
        <w:t xml:space="preserve"> </w:t>
      </w:r>
      <w:r w:rsidR="00FF5A23">
        <w:rPr>
          <w:color w:val="FF0000"/>
        </w:rPr>
        <w:t xml:space="preserve">but </w:t>
      </w:r>
      <w:r w:rsidR="000E5C5F">
        <w:rPr>
          <w:color w:val="FF0000"/>
        </w:rPr>
        <w:t>it is critical to ensure that this decision aligns with employment law, particularly the Equality Act 2010, which governs both equal pay and non-discrimination in the workplace.</w:t>
      </w:r>
    </w:p>
    <w:p w14:paraId="45715D90" w14:textId="2BBCC12D" w:rsidR="00FF5EFE" w:rsidRDefault="00324801" w:rsidP="00EB2CC7">
      <w:pPr>
        <w:rPr>
          <w:color w:val="FF0000"/>
        </w:rPr>
      </w:pPr>
      <w:r>
        <w:rPr>
          <w:color w:val="FF0000"/>
        </w:rPr>
        <w:t xml:space="preserve">Under the Equality Act 2010, men and women are entitled to equal pay for “like work”, </w:t>
      </w:r>
      <w:r w:rsidR="00540E4C">
        <w:rPr>
          <w:color w:val="FF0000"/>
        </w:rPr>
        <w:t xml:space="preserve">“work related as equivalent”, or “work of equal value”. </w:t>
      </w:r>
      <w:r w:rsidR="00DC54F6">
        <w:rPr>
          <w:color w:val="FF0000"/>
        </w:rPr>
        <w:t xml:space="preserve">As 80% of the Trust’s HCA workforce are </w:t>
      </w:r>
      <w:r w:rsidR="00DC54F6">
        <w:rPr>
          <w:color w:val="FF0000"/>
        </w:rPr>
        <w:lastRenderedPageBreak/>
        <w:t xml:space="preserve">women, any decision that disproportionately </w:t>
      </w:r>
      <w:r w:rsidR="000B4490">
        <w:rPr>
          <w:color w:val="FF0000"/>
        </w:rPr>
        <w:t>benefits</w:t>
      </w:r>
      <w:r w:rsidR="00DC54F6">
        <w:rPr>
          <w:color w:val="FF0000"/>
        </w:rPr>
        <w:t xml:space="preserve"> make staff may give rise to indirect sex discrimination</w:t>
      </w:r>
      <w:r w:rsidR="00344885">
        <w:rPr>
          <w:color w:val="FF0000"/>
        </w:rPr>
        <w:t xml:space="preserve">, particularly if it cannot be </w:t>
      </w:r>
      <w:r w:rsidR="00630C83">
        <w:rPr>
          <w:color w:val="FF0000"/>
        </w:rPr>
        <w:t>objectively</w:t>
      </w:r>
      <w:r w:rsidR="00344885">
        <w:rPr>
          <w:color w:val="FF0000"/>
        </w:rPr>
        <w:t xml:space="preserve"> justified</w:t>
      </w:r>
      <w:r w:rsidR="003B1D5A">
        <w:rPr>
          <w:color w:val="FF0000"/>
        </w:rPr>
        <w:t xml:space="preserve"> (Taylor</w:t>
      </w:r>
      <w:r w:rsidR="00FF5EFE">
        <w:rPr>
          <w:color w:val="FF0000"/>
        </w:rPr>
        <w:t xml:space="preserve"> and Emir, 20</w:t>
      </w:r>
      <w:r w:rsidR="00D83000">
        <w:rPr>
          <w:color w:val="FF0000"/>
        </w:rPr>
        <w:t>19</w:t>
      </w:r>
      <w:r w:rsidR="00FF5EFE">
        <w:rPr>
          <w:color w:val="FF0000"/>
        </w:rPr>
        <w:t>)</w:t>
      </w:r>
      <w:r w:rsidR="00344885">
        <w:rPr>
          <w:color w:val="FF0000"/>
        </w:rPr>
        <w:t>.</w:t>
      </w:r>
    </w:p>
    <w:p w14:paraId="2B36EEC4" w14:textId="633D1768" w:rsidR="00324801" w:rsidRDefault="00344885" w:rsidP="00EB2CC7">
      <w:pPr>
        <w:rPr>
          <w:color w:val="FF0000"/>
        </w:rPr>
      </w:pPr>
      <w:r>
        <w:rPr>
          <w:color w:val="FF0000"/>
        </w:rPr>
        <w:t>Indirect discrimination occurs where a provision, criterion or practice (PCP</w:t>
      </w:r>
      <w:r w:rsidR="00962016">
        <w:rPr>
          <w:color w:val="FF0000"/>
        </w:rPr>
        <w:t>)</w:t>
      </w:r>
      <w:r>
        <w:rPr>
          <w:color w:val="FF0000"/>
        </w:rPr>
        <w:t xml:space="preserve">, such as selectively </w:t>
      </w:r>
      <w:r w:rsidR="00630C83">
        <w:rPr>
          <w:color w:val="FF0000"/>
        </w:rPr>
        <w:t>upgrading</w:t>
      </w:r>
      <w:r>
        <w:rPr>
          <w:color w:val="FF0000"/>
        </w:rPr>
        <w:t xml:space="preserve">, puts one group </w:t>
      </w:r>
      <w:r w:rsidR="00630C83">
        <w:rPr>
          <w:color w:val="FF0000"/>
        </w:rPr>
        <w:t>at a disadvantage compared to another, unless it is a proportionate means of achieving a legitimate aim (s.19, Equality Act 2010).</w:t>
      </w:r>
      <w:r w:rsidR="00747DE5">
        <w:rPr>
          <w:color w:val="FF0000"/>
        </w:rPr>
        <w:t xml:space="preserve"> As highlighted by Walsh (202</w:t>
      </w:r>
      <w:r w:rsidR="008C0EB9">
        <w:rPr>
          <w:color w:val="FF0000"/>
        </w:rPr>
        <w:t>4</w:t>
      </w:r>
      <w:r w:rsidR="00747DE5">
        <w:rPr>
          <w:color w:val="FF0000"/>
        </w:rPr>
        <w:t>)</w:t>
      </w:r>
      <w:r w:rsidR="0059639C">
        <w:rPr>
          <w:color w:val="FF0000"/>
        </w:rPr>
        <w:t xml:space="preserve">, decisions related to pay must be transparently linked to a </w:t>
      </w:r>
      <w:r w:rsidR="00131963">
        <w:rPr>
          <w:color w:val="FF0000"/>
        </w:rPr>
        <w:t>legitimate organisational need</w:t>
      </w:r>
      <w:r w:rsidR="0059639C">
        <w:rPr>
          <w:color w:val="FF0000"/>
        </w:rPr>
        <w:t xml:space="preserve"> and applied consistently to avoid potential Employment Tribunal </w:t>
      </w:r>
      <w:r w:rsidR="00131963">
        <w:rPr>
          <w:color w:val="FF0000"/>
        </w:rPr>
        <w:t>claims.</w:t>
      </w:r>
    </w:p>
    <w:p w14:paraId="0F2814F3" w14:textId="79D42312" w:rsidR="00D902A3" w:rsidRPr="006F0AF8" w:rsidRDefault="00D902A3" w:rsidP="00D902A3">
      <w:pPr>
        <w:rPr>
          <w:color w:val="FF0000"/>
        </w:rPr>
      </w:pPr>
      <w:r w:rsidRPr="006F0AF8">
        <w:rPr>
          <w:color w:val="FF0000"/>
        </w:rPr>
        <w:t>The Equal Pay Act 1970 merged with the Equality Act 2010 and established the requirement for equal pay in comparable roles. A</w:t>
      </w:r>
      <w:r w:rsidR="002434D5">
        <w:rPr>
          <w:color w:val="FF0000"/>
        </w:rPr>
        <w:t>n</w:t>
      </w:r>
      <w:r w:rsidRPr="006F0AF8">
        <w:rPr>
          <w:color w:val="FF0000"/>
        </w:rPr>
        <w:t xml:space="preserve"> Employment Tribunal case involving 3,500 predominantly female employees at Next Retail Ltd ruled in 2024 that their roles were of equal value to those of predominantly male warehouse staff and that Next had insufficient justification for the pay disparity (</w:t>
      </w:r>
      <w:r w:rsidRPr="006F0AF8">
        <w:rPr>
          <w:i/>
          <w:iCs/>
          <w:color w:val="FF0000"/>
        </w:rPr>
        <w:t>Thandi and others v. Next Retail Ltd., (2024)</w:t>
      </w:r>
      <w:r w:rsidRPr="006F0AF8">
        <w:rPr>
          <w:color w:val="FF0000"/>
        </w:rPr>
        <w:t>).</w:t>
      </w:r>
      <w:r w:rsidR="00CA36DD" w:rsidRPr="006F0AF8">
        <w:rPr>
          <w:color w:val="FF0000"/>
        </w:rPr>
        <w:t xml:space="preserve"> </w:t>
      </w:r>
      <w:r w:rsidR="00F208B4" w:rsidRPr="006F0AF8">
        <w:rPr>
          <w:color w:val="FF0000"/>
        </w:rPr>
        <w:t xml:space="preserve">The justification of market forces for pay differentials was dismissed due to lack of substantive evidence </w:t>
      </w:r>
      <w:r w:rsidR="006F0AF8" w:rsidRPr="006F0AF8">
        <w:rPr>
          <w:color w:val="FF0000"/>
        </w:rPr>
        <w:t>(Herbet Smith Freehills | Global law firm, 2024).</w:t>
      </w:r>
    </w:p>
    <w:p w14:paraId="20D8422A" w14:textId="6B1D4922" w:rsidR="00131963" w:rsidRDefault="00AB4412" w:rsidP="00EB2CC7">
      <w:pPr>
        <w:rPr>
          <w:color w:val="FF0000"/>
        </w:rPr>
      </w:pPr>
      <w:r>
        <w:rPr>
          <w:color w:val="FF0000"/>
        </w:rPr>
        <w:t>As an NHS Trus</w:t>
      </w:r>
      <w:r w:rsidR="008A362B">
        <w:rPr>
          <w:color w:val="FF0000"/>
        </w:rPr>
        <w:t>t</w:t>
      </w:r>
      <w:r>
        <w:rPr>
          <w:color w:val="FF0000"/>
        </w:rPr>
        <w:t xml:space="preserve">, you are bound by the Public Sector Equality Duty </w:t>
      </w:r>
      <w:r w:rsidR="00962016">
        <w:rPr>
          <w:color w:val="FF0000"/>
        </w:rPr>
        <w:t xml:space="preserve">(a </w:t>
      </w:r>
      <w:r w:rsidR="00FC1583">
        <w:rPr>
          <w:color w:val="FF0000"/>
        </w:rPr>
        <w:t>legal obligation to have due regard to the need to eliminate discrimination and advance equality of opportunity</w:t>
      </w:r>
      <w:r w:rsidR="00962016">
        <w:rPr>
          <w:color w:val="FF0000"/>
        </w:rPr>
        <w:t>)</w:t>
      </w:r>
      <w:r w:rsidR="00FC1583">
        <w:rPr>
          <w:color w:val="FF0000"/>
        </w:rPr>
        <w:t>. Public bodies must consider the implications of employment decisions on protected groups and ensure equitable treatment across staff populations</w:t>
      </w:r>
      <w:r w:rsidR="003309D7">
        <w:rPr>
          <w:color w:val="FF0000"/>
        </w:rPr>
        <w:t xml:space="preserve"> (Daniels</w:t>
      </w:r>
      <w:r w:rsidR="009857FE">
        <w:rPr>
          <w:color w:val="FF0000"/>
        </w:rPr>
        <w:t>, 2022).</w:t>
      </w:r>
    </w:p>
    <w:p w14:paraId="3AFA74E3" w14:textId="3B8F943B" w:rsidR="008A362B" w:rsidRPr="008A362B" w:rsidRDefault="001E58DC" w:rsidP="008A362B">
      <w:pPr>
        <w:rPr>
          <w:color w:val="FF0000"/>
        </w:rPr>
      </w:pPr>
      <w:r>
        <w:rPr>
          <w:color w:val="FF0000"/>
        </w:rPr>
        <w:t>Grades</w:t>
      </w:r>
      <w:r w:rsidR="008A362B" w:rsidRPr="008A362B">
        <w:rPr>
          <w:color w:val="FF0000"/>
        </w:rPr>
        <w:t xml:space="preserve"> are based on an </w:t>
      </w:r>
      <w:r w:rsidR="00A7231C" w:rsidRPr="008A362B">
        <w:rPr>
          <w:color w:val="FF0000"/>
        </w:rPr>
        <w:t>objective criterion</w:t>
      </w:r>
      <w:r w:rsidR="008A362B" w:rsidRPr="008A362B">
        <w:rPr>
          <w:color w:val="FF0000"/>
        </w:rPr>
        <w:t xml:space="preserve">, applied regardless of gender. The decision to promote two male HCA’s </w:t>
      </w:r>
      <w:r w:rsidR="00A94917">
        <w:rPr>
          <w:color w:val="FF0000"/>
        </w:rPr>
        <w:t>above others</w:t>
      </w:r>
      <w:r w:rsidR="008A362B" w:rsidRPr="008A362B">
        <w:rPr>
          <w:color w:val="FF0000"/>
        </w:rPr>
        <w:t xml:space="preserve"> that perform the same or similar duties could risk an unequal treatment claim. The case of </w:t>
      </w:r>
      <w:r w:rsidR="008A362B" w:rsidRPr="008A362B">
        <w:rPr>
          <w:i/>
          <w:iCs/>
          <w:color w:val="FF0000"/>
        </w:rPr>
        <w:t>Lockwood v. Department for Work and Pensions (2013)</w:t>
      </w:r>
      <w:r w:rsidR="008A362B" w:rsidRPr="008A362B">
        <w:rPr>
          <w:color w:val="FF0000"/>
        </w:rPr>
        <w:t xml:space="preserve"> </w:t>
      </w:r>
      <w:r w:rsidR="00A94917">
        <w:rPr>
          <w:color w:val="FF0000"/>
        </w:rPr>
        <w:t>saw</w:t>
      </w:r>
      <w:r w:rsidR="008A362B" w:rsidRPr="008A362B">
        <w:rPr>
          <w:color w:val="FF0000"/>
        </w:rPr>
        <w:t xml:space="preserve"> the issue of equal pay claims arising from pay disparities between employees of different gender performing work of equal value.</w:t>
      </w:r>
    </w:p>
    <w:p w14:paraId="4272E89E" w14:textId="08AF8C97" w:rsidR="00630C83" w:rsidRDefault="009023E4" w:rsidP="00EB2CC7">
      <w:pPr>
        <w:rPr>
          <w:color w:val="FF0000"/>
        </w:rPr>
      </w:pPr>
      <w:r>
        <w:rPr>
          <w:color w:val="FF0000"/>
        </w:rPr>
        <w:t>I recommend undertaking a job evaluation using a struc</w:t>
      </w:r>
      <w:r w:rsidR="00531280">
        <w:rPr>
          <w:color w:val="FF0000"/>
        </w:rPr>
        <w:t>tured and gender-neutral framework</w:t>
      </w:r>
      <w:r w:rsidR="008A362B">
        <w:rPr>
          <w:color w:val="FF0000"/>
        </w:rPr>
        <w:t xml:space="preserve"> </w:t>
      </w:r>
      <w:r w:rsidR="00531280">
        <w:rPr>
          <w:color w:val="FF0000"/>
        </w:rPr>
        <w:t>to determine whether the two roles merit a higher grade. If new or additional responsibili</w:t>
      </w:r>
      <w:r w:rsidR="00306BFC">
        <w:rPr>
          <w:color w:val="FF0000"/>
        </w:rPr>
        <w:t xml:space="preserve">ties justify an upgrade, the opportunity to apply should be communicated to all HCAs in </w:t>
      </w:r>
      <w:r w:rsidR="00A43073">
        <w:rPr>
          <w:color w:val="FF0000"/>
        </w:rPr>
        <w:t>line with</w:t>
      </w:r>
      <w:r w:rsidR="00D2017C">
        <w:rPr>
          <w:color w:val="FF0000"/>
        </w:rPr>
        <w:t xml:space="preserve"> Practice (CIPD, 2023).</w:t>
      </w:r>
    </w:p>
    <w:p w14:paraId="66F1B1AB" w14:textId="6C8FFF42" w:rsidR="00A43073" w:rsidRDefault="00A43073" w:rsidP="00EB2CC7">
      <w:pPr>
        <w:rPr>
          <w:color w:val="FF0000"/>
        </w:rPr>
      </w:pPr>
      <w:r>
        <w:rPr>
          <w:color w:val="FF0000"/>
        </w:rPr>
        <w:t>This ensures fairness, reduces the ri</w:t>
      </w:r>
      <w:r w:rsidR="00FF5A23">
        <w:rPr>
          <w:color w:val="FF0000"/>
        </w:rPr>
        <w:t>sk of litigation, and promotes a culture of inclusivity and procedural justice.</w:t>
      </w:r>
    </w:p>
    <w:p w14:paraId="14CC604C" w14:textId="1FA6BCF9" w:rsidR="00FF5A23" w:rsidRDefault="00FF5A23" w:rsidP="00EB2CC7">
      <w:pPr>
        <w:rPr>
          <w:color w:val="FF0000"/>
        </w:rPr>
      </w:pPr>
      <w:r>
        <w:rPr>
          <w:color w:val="FF0000"/>
        </w:rPr>
        <w:t xml:space="preserve">Regards, </w:t>
      </w:r>
    </w:p>
    <w:p w14:paraId="083DC93E" w14:textId="77777777" w:rsidR="000E5C5F" w:rsidRPr="00BB031B" w:rsidRDefault="000E5C5F" w:rsidP="00EB2CC7">
      <w:pPr>
        <w:rPr>
          <w:color w:val="FF0000"/>
        </w:rPr>
      </w:pPr>
    </w:p>
    <w:p w14:paraId="52C1CF71" w14:textId="77777777" w:rsidR="00EB2CC7" w:rsidRPr="00EB2CC7" w:rsidRDefault="00EB2CC7" w:rsidP="00EB2CC7">
      <w:pPr>
        <w:rPr>
          <w:b/>
          <w:bCs/>
        </w:rPr>
      </w:pPr>
      <w:r w:rsidRPr="00EB2CC7">
        <w:rPr>
          <w:b/>
          <w:bCs/>
        </w:rPr>
        <w:t xml:space="preserve">Email 5 (AC 3.1)    </w:t>
      </w:r>
    </w:p>
    <w:p w14:paraId="3958A616" w14:textId="0C349939" w:rsidR="000512A8" w:rsidRPr="000F715A" w:rsidRDefault="000512A8" w:rsidP="00EB2CC7">
      <w:pPr>
        <w:rPr>
          <w:strike/>
        </w:rPr>
      </w:pPr>
      <w:r w:rsidRPr="000F715A">
        <w:rPr>
          <w:strike/>
        </w:rPr>
        <w:t xml:space="preserve">Dear Colleague, </w:t>
      </w:r>
    </w:p>
    <w:p w14:paraId="7943AC35" w14:textId="2992AA23" w:rsidR="00710E41" w:rsidRPr="000F715A" w:rsidRDefault="00333C65" w:rsidP="00EB2CC7">
      <w:pPr>
        <w:rPr>
          <w:strike/>
        </w:rPr>
      </w:pPr>
      <w:r w:rsidRPr="000F715A">
        <w:rPr>
          <w:strike/>
        </w:rPr>
        <w:t>I am sorry to hear about your concerns regarding you</w:t>
      </w:r>
      <w:r w:rsidR="00BD3B96" w:rsidRPr="000F715A">
        <w:rPr>
          <w:strike/>
        </w:rPr>
        <w:t xml:space="preserve">r </w:t>
      </w:r>
      <w:r w:rsidR="00304C2F" w:rsidRPr="000F715A">
        <w:rPr>
          <w:strike/>
        </w:rPr>
        <w:t>radiographer’s</w:t>
      </w:r>
      <w:r w:rsidR="00BD3B96" w:rsidRPr="000F715A">
        <w:rPr>
          <w:strike/>
        </w:rPr>
        <w:t xml:space="preserve"> departure and a potential constructive dismissal claim</w:t>
      </w:r>
      <w:r w:rsidR="005A6380" w:rsidRPr="000F715A">
        <w:rPr>
          <w:strike/>
        </w:rPr>
        <w:t xml:space="preserve"> due to their recent changes to their working hours. I hope that the below information </w:t>
      </w:r>
      <w:r w:rsidR="00D73723" w:rsidRPr="000F715A">
        <w:rPr>
          <w:strike/>
        </w:rPr>
        <w:t xml:space="preserve">regarding relevant legal principles will be of </w:t>
      </w:r>
      <w:r w:rsidR="00337444" w:rsidRPr="000F715A">
        <w:rPr>
          <w:strike/>
        </w:rPr>
        <w:t>assistance to you.</w:t>
      </w:r>
    </w:p>
    <w:p w14:paraId="1CA5FB46" w14:textId="32647D64" w:rsidR="00337444" w:rsidRPr="000F715A" w:rsidRDefault="00271869" w:rsidP="00EB2CC7">
      <w:pPr>
        <w:rPr>
          <w:strike/>
        </w:rPr>
      </w:pPr>
      <w:r w:rsidRPr="000F715A">
        <w:rPr>
          <w:strike/>
        </w:rPr>
        <w:t>For a constructive dismissal claim</w:t>
      </w:r>
      <w:r w:rsidR="00864ECD" w:rsidRPr="000F715A">
        <w:rPr>
          <w:strike/>
        </w:rPr>
        <w:t xml:space="preserve">, </w:t>
      </w:r>
      <w:r w:rsidR="00101EFF" w:rsidRPr="000F715A">
        <w:rPr>
          <w:strike/>
        </w:rPr>
        <w:t>the onus is on the</w:t>
      </w:r>
      <w:r w:rsidR="00864ECD" w:rsidRPr="000F715A">
        <w:rPr>
          <w:strike/>
        </w:rPr>
        <w:t xml:space="preserve"> employee to prove that they have resigned from a position due a breach of their employment contract. </w:t>
      </w:r>
      <w:r w:rsidR="00947726" w:rsidRPr="000F715A">
        <w:rPr>
          <w:strike/>
        </w:rPr>
        <w:t>For the claim to be successful, the breach must be significant enough to undermine the employment relationship and force the employee to resign</w:t>
      </w:r>
      <w:r w:rsidR="003D451B" w:rsidRPr="000F715A">
        <w:rPr>
          <w:strike/>
        </w:rPr>
        <w:t xml:space="preserve"> </w:t>
      </w:r>
      <w:r w:rsidR="00957DBD" w:rsidRPr="000F715A">
        <w:rPr>
          <w:strike/>
        </w:rPr>
        <w:t xml:space="preserve">as in </w:t>
      </w:r>
      <w:r w:rsidR="00807637" w:rsidRPr="000F715A">
        <w:rPr>
          <w:i/>
          <w:iCs/>
          <w:strike/>
        </w:rPr>
        <w:t>Hinds v Mitie Ltd</w:t>
      </w:r>
      <w:r w:rsidR="00255AAC" w:rsidRPr="000F715A">
        <w:rPr>
          <w:i/>
          <w:iCs/>
          <w:strike/>
        </w:rPr>
        <w:t xml:space="preserve"> (2024)</w:t>
      </w:r>
      <w:r w:rsidR="00957DBD" w:rsidRPr="000F715A">
        <w:rPr>
          <w:strike/>
        </w:rPr>
        <w:t xml:space="preserve"> where </w:t>
      </w:r>
      <w:r w:rsidR="00504077" w:rsidRPr="000F715A">
        <w:rPr>
          <w:strike/>
        </w:rPr>
        <w:t xml:space="preserve">a pregnant employee received </w:t>
      </w:r>
      <w:r w:rsidR="00F62E6A" w:rsidRPr="000F715A">
        <w:rPr>
          <w:strike/>
        </w:rPr>
        <w:t>discrimin</w:t>
      </w:r>
      <w:r w:rsidR="007B3AF9" w:rsidRPr="000F715A">
        <w:rPr>
          <w:strike/>
        </w:rPr>
        <w:t>atory treatment during their pregnancy, maternity leave and return to work</w:t>
      </w:r>
      <w:r w:rsidR="003108EB" w:rsidRPr="000F715A">
        <w:rPr>
          <w:strike/>
        </w:rPr>
        <w:t>.</w:t>
      </w:r>
    </w:p>
    <w:p w14:paraId="220F6DDE" w14:textId="479C8354" w:rsidR="00DB482E" w:rsidRPr="000F715A" w:rsidRDefault="00483C3C" w:rsidP="00483C3C">
      <w:pPr>
        <w:rPr>
          <w:strike/>
        </w:rPr>
      </w:pPr>
      <w:r w:rsidRPr="000F715A">
        <w:rPr>
          <w:strike/>
        </w:rPr>
        <w:lastRenderedPageBreak/>
        <w:t xml:space="preserve">A breach of contract may occur if an employee's working hours are changed without their consent, particularly if those hours were agreed upon at the beginning of their employment and were a significant term in the employment contract </w:t>
      </w:r>
      <w:r w:rsidR="00513AD3" w:rsidRPr="000F715A">
        <w:rPr>
          <w:strike/>
        </w:rPr>
        <w:t xml:space="preserve">as seen in </w:t>
      </w:r>
      <w:r w:rsidRPr="000F715A">
        <w:rPr>
          <w:i/>
          <w:iCs/>
          <w:strike/>
        </w:rPr>
        <w:t xml:space="preserve">Carmichael v National Power PLC </w:t>
      </w:r>
      <w:r w:rsidR="00513AD3" w:rsidRPr="000F715A">
        <w:rPr>
          <w:i/>
          <w:iCs/>
          <w:strike/>
        </w:rPr>
        <w:t>(</w:t>
      </w:r>
      <w:r w:rsidRPr="000F715A">
        <w:rPr>
          <w:i/>
          <w:iCs/>
          <w:strike/>
        </w:rPr>
        <w:t>2000</w:t>
      </w:r>
      <w:r w:rsidR="00513AD3" w:rsidRPr="000F715A">
        <w:rPr>
          <w:i/>
          <w:iCs/>
          <w:strike/>
        </w:rPr>
        <w:t>)</w:t>
      </w:r>
      <w:r w:rsidRPr="000F715A">
        <w:rPr>
          <w:strike/>
        </w:rPr>
        <w:t>.</w:t>
      </w:r>
    </w:p>
    <w:p w14:paraId="42F6611D" w14:textId="3E277902" w:rsidR="00DB482E" w:rsidRPr="000F715A" w:rsidRDefault="008325F1" w:rsidP="00EB2CC7">
      <w:pPr>
        <w:rPr>
          <w:strike/>
        </w:rPr>
      </w:pPr>
      <w:r w:rsidRPr="000F715A">
        <w:rPr>
          <w:strike/>
        </w:rPr>
        <w:t>There could be a substantial breach of contract</w:t>
      </w:r>
      <w:r w:rsidR="00613223" w:rsidRPr="000F715A">
        <w:rPr>
          <w:strike/>
        </w:rPr>
        <w:t xml:space="preserve"> and therefore a case for constructive dismissal if the change in working hours significantly</w:t>
      </w:r>
      <w:r w:rsidR="00F87401" w:rsidRPr="000F715A">
        <w:rPr>
          <w:strike/>
        </w:rPr>
        <w:t xml:space="preserve"> </w:t>
      </w:r>
      <w:r w:rsidR="00515A8D" w:rsidRPr="000F715A">
        <w:rPr>
          <w:strike/>
        </w:rPr>
        <w:t>affects</w:t>
      </w:r>
      <w:r w:rsidR="00F87401" w:rsidRPr="000F715A">
        <w:rPr>
          <w:strike/>
        </w:rPr>
        <w:t xml:space="preserve"> the employment terms that makes the employee’s position untenable or forces them to resign. </w:t>
      </w:r>
      <w:r w:rsidR="00513AD3" w:rsidRPr="000F715A">
        <w:rPr>
          <w:strike/>
        </w:rPr>
        <w:t>For</w:t>
      </w:r>
      <w:r w:rsidR="002B0542" w:rsidRPr="000F715A">
        <w:rPr>
          <w:strike/>
        </w:rPr>
        <w:t xml:space="preserve"> the breach to be justified though, it must undermine the core elements of the contract</w:t>
      </w:r>
      <w:r w:rsidR="00626984" w:rsidRPr="000F715A">
        <w:rPr>
          <w:strike/>
        </w:rPr>
        <w:t xml:space="preserve"> and disrupt the employee’s working conditions, making this a serious breach.</w:t>
      </w:r>
    </w:p>
    <w:p w14:paraId="791FD9B7" w14:textId="131404E0" w:rsidR="00626984" w:rsidRPr="000F715A" w:rsidRDefault="00626984" w:rsidP="00EB2CC7">
      <w:pPr>
        <w:rPr>
          <w:strike/>
        </w:rPr>
      </w:pPr>
      <w:r w:rsidRPr="000F715A">
        <w:rPr>
          <w:strike/>
        </w:rPr>
        <w:t xml:space="preserve">Finally, </w:t>
      </w:r>
      <w:r w:rsidR="00831E3E" w:rsidRPr="000F715A">
        <w:rPr>
          <w:strike/>
        </w:rPr>
        <w:t>it is possible to defend a constructive dismissal claim the employer can provide evidence that the change of hours was reasonabl</w:t>
      </w:r>
      <w:r w:rsidR="001331A3" w:rsidRPr="000F715A">
        <w:rPr>
          <w:strike/>
        </w:rPr>
        <w:t>e</w:t>
      </w:r>
      <w:r w:rsidR="006E547B" w:rsidRPr="000F715A">
        <w:rPr>
          <w:strike/>
        </w:rPr>
        <w:t xml:space="preserve"> or in line with any contractual clause covering flexibility. If the change falls within the parameters </w:t>
      </w:r>
      <w:r w:rsidR="00B74536" w:rsidRPr="000F715A">
        <w:rPr>
          <w:strike/>
        </w:rPr>
        <w:t>of the flexibility clause</w:t>
      </w:r>
      <w:r w:rsidR="005F7EE5" w:rsidRPr="000F715A">
        <w:rPr>
          <w:strike/>
        </w:rPr>
        <w:t>,</w:t>
      </w:r>
      <w:r w:rsidR="00B74536" w:rsidRPr="000F715A">
        <w:rPr>
          <w:strike/>
        </w:rPr>
        <w:t xml:space="preserve"> then a successful defence of a constructive dismissal case is likely</w:t>
      </w:r>
      <w:r w:rsidR="00AD71AF" w:rsidRPr="000F715A">
        <w:rPr>
          <w:strike/>
        </w:rPr>
        <w:t xml:space="preserve"> </w:t>
      </w:r>
      <w:r w:rsidR="008733CC" w:rsidRPr="000F715A">
        <w:rPr>
          <w:strike/>
        </w:rPr>
        <w:t>(</w:t>
      </w:r>
      <w:r w:rsidR="008733CC" w:rsidRPr="000F715A">
        <w:rPr>
          <w:i/>
          <w:iCs/>
          <w:strike/>
        </w:rPr>
        <w:t>Cable &amp; Wireless plc v. Muscat [2006]</w:t>
      </w:r>
      <w:r w:rsidR="005F7EE5" w:rsidRPr="000F715A">
        <w:rPr>
          <w:strike/>
        </w:rPr>
        <w:t>).</w:t>
      </w:r>
    </w:p>
    <w:p w14:paraId="0D9621DC" w14:textId="01B25E43" w:rsidR="00EB2CC7" w:rsidRPr="000F715A" w:rsidRDefault="001D2E93" w:rsidP="00EB2CC7">
      <w:pPr>
        <w:rPr>
          <w:strike/>
        </w:rPr>
      </w:pPr>
      <w:r w:rsidRPr="000F715A">
        <w:rPr>
          <w:strike/>
        </w:rPr>
        <w:t>A claim for constructive dismissal by the employee must be submitted with</w:t>
      </w:r>
      <w:r w:rsidR="00A76EC3" w:rsidRPr="000F715A">
        <w:rPr>
          <w:strike/>
        </w:rPr>
        <w:t>in three months</w:t>
      </w:r>
      <w:r w:rsidR="00D75AC4" w:rsidRPr="000F715A">
        <w:rPr>
          <w:strike/>
        </w:rPr>
        <w:t xml:space="preserve"> less 1 day from the date of their resignation</w:t>
      </w:r>
      <w:r w:rsidR="00D2272E" w:rsidRPr="000F715A">
        <w:rPr>
          <w:strike/>
        </w:rPr>
        <w:t xml:space="preserve"> (Employment Rights Act 1996)</w:t>
      </w:r>
      <w:r w:rsidR="00E958E7" w:rsidRPr="000F715A">
        <w:rPr>
          <w:strike/>
        </w:rPr>
        <w:t xml:space="preserve">. </w:t>
      </w:r>
      <w:r w:rsidR="00172F26" w:rsidRPr="000F715A">
        <w:rPr>
          <w:strike/>
        </w:rPr>
        <w:t>However, i</w:t>
      </w:r>
      <w:r w:rsidR="004E706E" w:rsidRPr="000F715A">
        <w:rPr>
          <w:strike/>
        </w:rPr>
        <w:t xml:space="preserve">n </w:t>
      </w:r>
      <w:r w:rsidR="004A1D5D" w:rsidRPr="000F715A">
        <w:rPr>
          <w:i/>
          <w:iCs/>
          <w:strike/>
        </w:rPr>
        <w:t>Dr Paul Leaney v Loughborough Universit</w:t>
      </w:r>
      <w:r w:rsidR="00643EAA" w:rsidRPr="000F715A">
        <w:rPr>
          <w:i/>
          <w:iCs/>
          <w:strike/>
        </w:rPr>
        <w:t>y</w:t>
      </w:r>
      <w:r w:rsidR="00D62ACE" w:rsidRPr="000F715A">
        <w:rPr>
          <w:i/>
          <w:iCs/>
          <w:strike/>
        </w:rPr>
        <w:t xml:space="preserve"> </w:t>
      </w:r>
      <w:r w:rsidR="00AE4874" w:rsidRPr="000F715A">
        <w:rPr>
          <w:i/>
          <w:iCs/>
          <w:strike/>
        </w:rPr>
        <w:t>(2023)</w:t>
      </w:r>
      <w:r w:rsidR="00AE4874" w:rsidRPr="000F715A">
        <w:rPr>
          <w:strike/>
        </w:rPr>
        <w:t xml:space="preserve"> </w:t>
      </w:r>
      <w:r w:rsidR="002D5FD1" w:rsidRPr="000F715A">
        <w:rPr>
          <w:strike/>
        </w:rPr>
        <w:t>the gap between the breach and the resignation can also</w:t>
      </w:r>
      <w:r w:rsidR="00667827" w:rsidRPr="000F715A">
        <w:rPr>
          <w:strike/>
        </w:rPr>
        <w:t xml:space="preserve"> impact the successfulness of a case</w:t>
      </w:r>
      <w:r w:rsidR="00172F26" w:rsidRPr="000F715A">
        <w:rPr>
          <w:strike/>
        </w:rPr>
        <w:t xml:space="preserve"> if the employee continues their employment for a significant period following the breach.</w:t>
      </w:r>
    </w:p>
    <w:p w14:paraId="0D9742B7" w14:textId="38DE3B82" w:rsidR="00B1566D" w:rsidRPr="000F715A" w:rsidRDefault="00B1566D" w:rsidP="00B1566D">
      <w:pPr>
        <w:rPr>
          <w:strike/>
        </w:rPr>
      </w:pPr>
      <w:r w:rsidRPr="000F715A">
        <w:rPr>
          <w:strike/>
        </w:rPr>
        <w:t xml:space="preserve">I would recommend reviewing the contract of employment </w:t>
      </w:r>
      <w:r w:rsidR="00F75D16" w:rsidRPr="000F715A">
        <w:rPr>
          <w:strike/>
        </w:rPr>
        <w:t>to determine if there was a flexibility clause</w:t>
      </w:r>
      <w:r w:rsidR="008018E8" w:rsidRPr="000F715A">
        <w:rPr>
          <w:strike/>
        </w:rPr>
        <w:t xml:space="preserve"> regarding working hours to identify if a breach took place. We would also need to confirm that the radiographer</w:t>
      </w:r>
      <w:r w:rsidR="004457BD" w:rsidRPr="000F715A">
        <w:rPr>
          <w:strike/>
        </w:rPr>
        <w:t>’s resignation date is within the specified time limit for filing a claim.</w:t>
      </w:r>
    </w:p>
    <w:p w14:paraId="7BB77D0A" w14:textId="0A5440D3" w:rsidR="004457BD" w:rsidRPr="000F715A" w:rsidRDefault="004457BD" w:rsidP="00B1566D">
      <w:pPr>
        <w:rPr>
          <w:strike/>
        </w:rPr>
      </w:pPr>
      <w:r w:rsidRPr="000F715A">
        <w:rPr>
          <w:strike/>
        </w:rPr>
        <w:t xml:space="preserve">Please reach out should you require further </w:t>
      </w:r>
      <w:r w:rsidR="001E609D" w:rsidRPr="000F715A">
        <w:rPr>
          <w:strike/>
        </w:rPr>
        <w:t>information</w:t>
      </w:r>
      <w:r w:rsidR="006E5974" w:rsidRPr="000F715A">
        <w:rPr>
          <w:strike/>
        </w:rPr>
        <w:t>.</w:t>
      </w:r>
    </w:p>
    <w:p w14:paraId="20AC0BE9" w14:textId="7BADCB28" w:rsidR="006E5974" w:rsidRPr="000F715A" w:rsidRDefault="006E5974" w:rsidP="00B1566D">
      <w:pPr>
        <w:rPr>
          <w:strike/>
        </w:rPr>
      </w:pPr>
      <w:r w:rsidRPr="000F715A">
        <w:rPr>
          <w:strike/>
        </w:rPr>
        <w:t xml:space="preserve">Regards, </w:t>
      </w:r>
    </w:p>
    <w:p w14:paraId="3BBD858E" w14:textId="77777777" w:rsidR="00172F26" w:rsidRDefault="00172F26" w:rsidP="00EB2CC7">
      <w:pPr>
        <w:rPr>
          <w:b/>
          <w:bCs/>
        </w:rPr>
      </w:pPr>
    </w:p>
    <w:p w14:paraId="476DA9AD" w14:textId="2B86FF06" w:rsidR="00F77DBB" w:rsidRDefault="00F77DBB" w:rsidP="00EB2CC7">
      <w:pPr>
        <w:rPr>
          <w:color w:val="FF0000"/>
        </w:rPr>
      </w:pPr>
      <w:r>
        <w:rPr>
          <w:color w:val="FF0000"/>
        </w:rPr>
        <w:t xml:space="preserve">Dear Colleague, </w:t>
      </w:r>
    </w:p>
    <w:p w14:paraId="627BFC71" w14:textId="2BD36F92" w:rsidR="00BF2249" w:rsidRPr="005E500C" w:rsidRDefault="00BF2249" w:rsidP="00BF2249">
      <w:pPr>
        <w:rPr>
          <w:color w:val="FF0000"/>
        </w:rPr>
      </w:pPr>
      <w:r w:rsidRPr="005E500C">
        <w:rPr>
          <w:color w:val="FF0000"/>
        </w:rPr>
        <w:t xml:space="preserve">I am sorry to hear about your concerns regarding your radiographer’s departure and a potential constructive dismissal claim due to their changes </w:t>
      </w:r>
      <w:r w:rsidR="00D35941">
        <w:rPr>
          <w:color w:val="FF0000"/>
        </w:rPr>
        <w:t>of</w:t>
      </w:r>
      <w:r w:rsidRPr="005E500C">
        <w:rPr>
          <w:color w:val="FF0000"/>
        </w:rPr>
        <w:t xml:space="preserve"> working hours. I hope </w:t>
      </w:r>
      <w:r w:rsidR="00057316">
        <w:rPr>
          <w:color w:val="FF0000"/>
        </w:rPr>
        <w:t xml:space="preserve">this </w:t>
      </w:r>
      <w:r w:rsidRPr="005E500C">
        <w:rPr>
          <w:color w:val="FF0000"/>
        </w:rPr>
        <w:t>information regarding relevant legal principles will be of assistance to you.</w:t>
      </w:r>
    </w:p>
    <w:p w14:paraId="1971DB0A" w14:textId="0B708E78" w:rsidR="00BF2249" w:rsidRDefault="00BF2249" w:rsidP="00BF2249">
      <w:pPr>
        <w:rPr>
          <w:color w:val="FF0000"/>
        </w:rPr>
      </w:pPr>
      <w:r w:rsidRPr="005E500C">
        <w:rPr>
          <w:color w:val="FF0000"/>
        </w:rPr>
        <w:t xml:space="preserve">Constructive dismissal </w:t>
      </w:r>
      <w:r w:rsidR="009B4930" w:rsidRPr="005E500C">
        <w:rPr>
          <w:color w:val="FF0000"/>
        </w:rPr>
        <w:t>arises</w:t>
      </w:r>
      <w:r w:rsidRPr="005E500C">
        <w:rPr>
          <w:color w:val="FF0000"/>
        </w:rPr>
        <w:t xml:space="preserve"> where an employee resigns</w:t>
      </w:r>
      <w:r w:rsidR="009B4930" w:rsidRPr="005E500C">
        <w:rPr>
          <w:color w:val="FF0000"/>
        </w:rPr>
        <w:t xml:space="preserve"> in response to</w:t>
      </w:r>
      <w:r w:rsidR="005E500C">
        <w:rPr>
          <w:color w:val="FF0000"/>
        </w:rPr>
        <w:t xml:space="preserve"> </w:t>
      </w:r>
      <w:r w:rsidR="009B4930" w:rsidRPr="005E500C">
        <w:rPr>
          <w:color w:val="FF0000"/>
        </w:rPr>
        <w:t xml:space="preserve">a fundamental breach of contract by the employer. Under </w:t>
      </w:r>
      <w:r w:rsidR="00BB017F">
        <w:rPr>
          <w:color w:val="FF0000"/>
        </w:rPr>
        <w:t xml:space="preserve">the Employment Rights Act 1996, this includes any conduct by the employer that effectively forces the employee to resign (Taylor and Emir, 2019). A breach can be either of an express contractual term or </w:t>
      </w:r>
      <w:r w:rsidR="00390FDC">
        <w:rPr>
          <w:color w:val="FF0000"/>
        </w:rPr>
        <w:t>of an implied term of mutual trust and confidence. The latter is often cited when an employer’s conduct makes continued employment untenable (Daniels, 2022).</w:t>
      </w:r>
    </w:p>
    <w:p w14:paraId="07620C5D" w14:textId="123326C2" w:rsidR="00390FDC" w:rsidRPr="005E500C" w:rsidRDefault="00390FDC" w:rsidP="00BF2249">
      <w:pPr>
        <w:rPr>
          <w:color w:val="FF0000"/>
        </w:rPr>
      </w:pPr>
      <w:r>
        <w:rPr>
          <w:color w:val="FF0000"/>
        </w:rPr>
        <w:t xml:space="preserve">Changes to working hours may amount to a </w:t>
      </w:r>
      <w:r w:rsidR="001C6F22">
        <w:rPr>
          <w:color w:val="FF0000"/>
        </w:rPr>
        <w:t>breach</w:t>
      </w:r>
      <w:r>
        <w:rPr>
          <w:color w:val="FF0000"/>
        </w:rPr>
        <w:t xml:space="preserve">, particularly if they are imposed </w:t>
      </w:r>
      <w:r w:rsidR="001C6F22">
        <w:rPr>
          <w:color w:val="FF0000"/>
        </w:rPr>
        <w:t>unilaterally</w:t>
      </w:r>
      <w:r>
        <w:rPr>
          <w:color w:val="FF0000"/>
        </w:rPr>
        <w:t xml:space="preserve"> without consultation or contractual agreement. </w:t>
      </w:r>
      <w:r w:rsidR="001C6F22">
        <w:rPr>
          <w:color w:val="FF0000"/>
        </w:rPr>
        <w:t>The key test is whether the change represents a fundamental variation of the employment contract.</w:t>
      </w:r>
    </w:p>
    <w:p w14:paraId="2A95198C" w14:textId="658C05C0" w:rsidR="00E211E2" w:rsidRDefault="00E211E2" w:rsidP="00E211E2">
      <w:pPr>
        <w:rPr>
          <w:color w:val="FF0000"/>
        </w:rPr>
      </w:pPr>
      <w:r w:rsidRPr="00C61ED2">
        <w:rPr>
          <w:color w:val="FF0000"/>
        </w:rPr>
        <w:t xml:space="preserve">A breach of contract may occur if an employee's working hours are changed without their consent, particularly if those hours were agreed upon at the beginning of their employment and were a significant term in the employment contract as seen in </w:t>
      </w:r>
      <w:r w:rsidRPr="00C61ED2">
        <w:rPr>
          <w:i/>
          <w:iCs/>
          <w:color w:val="FF0000"/>
        </w:rPr>
        <w:t xml:space="preserve">Carmichael v National Power PLC </w:t>
      </w:r>
      <w:r w:rsidRPr="00C61ED2">
        <w:rPr>
          <w:i/>
          <w:iCs/>
          <w:color w:val="FF0000"/>
        </w:rPr>
        <w:lastRenderedPageBreak/>
        <w:t>(2000)</w:t>
      </w:r>
      <w:r w:rsidRPr="00C61ED2">
        <w:rPr>
          <w:color w:val="FF0000"/>
        </w:rPr>
        <w:t>.</w:t>
      </w:r>
      <w:r w:rsidR="000330D5">
        <w:rPr>
          <w:color w:val="FF0000"/>
        </w:rPr>
        <w:t xml:space="preserve"> Similarly, in </w:t>
      </w:r>
      <w:r w:rsidR="000330D5" w:rsidRPr="00A7231C">
        <w:rPr>
          <w:i/>
          <w:iCs/>
          <w:color w:val="FF0000"/>
        </w:rPr>
        <w:t>Rob</w:t>
      </w:r>
      <w:r w:rsidR="001A7182" w:rsidRPr="00A7231C">
        <w:rPr>
          <w:i/>
          <w:iCs/>
          <w:color w:val="FF0000"/>
        </w:rPr>
        <w:t xml:space="preserve">inson v </w:t>
      </w:r>
      <w:proofErr w:type="spellStart"/>
      <w:r w:rsidR="001A7182" w:rsidRPr="00A7231C">
        <w:rPr>
          <w:i/>
          <w:iCs/>
          <w:color w:val="FF0000"/>
        </w:rPr>
        <w:t>Tescom</w:t>
      </w:r>
      <w:proofErr w:type="spellEnd"/>
      <w:r w:rsidR="001A7182" w:rsidRPr="00A7231C">
        <w:rPr>
          <w:i/>
          <w:iCs/>
          <w:color w:val="FF0000"/>
        </w:rPr>
        <w:t xml:space="preserve"> Corporation [2008]</w:t>
      </w:r>
      <w:r w:rsidR="00610E38">
        <w:rPr>
          <w:color w:val="FF0000"/>
        </w:rPr>
        <w:t xml:space="preserve"> the Employment Tribunal held that significant and imposed changes to working patterns constituted a repu</w:t>
      </w:r>
      <w:r w:rsidR="00E213FA">
        <w:rPr>
          <w:color w:val="FF0000"/>
        </w:rPr>
        <w:t>diatory breach.</w:t>
      </w:r>
    </w:p>
    <w:p w14:paraId="7CD35EA5" w14:textId="2CC01E3D" w:rsidR="00E213FA" w:rsidRPr="00C61ED2" w:rsidRDefault="00E213FA" w:rsidP="00E211E2">
      <w:pPr>
        <w:rPr>
          <w:color w:val="FF0000"/>
        </w:rPr>
      </w:pPr>
      <w:r>
        <w:rPr>
          <w:color w:val="FF0000"/>
        </w:rPr>
        <w:t xml:space="preserve">If the Radiographer’s contract did not contain a flexibility cause allowing for a variation of hours, or </w:t>
      </w:r>
      <w:r w:rsidR="001D6CB7">
        <w:rPr>
          <w:color w:val="FF0000"/>
        </w:rPr>
        <w:t>if the clause was used unreasonably, this could amount to a constructive dismissal. However, for the claim to succeed, the employee must show that the bre</w:t>
      </w:r>
      <w:r w:rsidR="00AD534F">
        <w:rPr>
          <w:color w:val="FF0000"/>
        </w:rPr>
        <w:t>ach was serious enough</w:t>
      </w:r>
      <w:r w:rsidR="002405B9">
        <w:rPr>
          <w:color w:val="FF0000"/>
        </w:rPr>
        <w:t xml:space="preserve"> to</w:t>
      </w:r>
      <w:r w:rsidR="00AD534F">
        <w:rPr>
          <w:color w:val="FF0000"/>
        </w:rPr>
        <w:t xml:space="preserve"> justify resignation and that they resigned promptly in response to the breach</w:t>
      </w:r>
      <w:r w:rsidR="002405B9">
        <w:rPr>
          <w:color w:val="FF0000"/>
        </w:rPr>
        <w:t>.</w:t>
      </w:r>
      <w:r w:rsidR="00AD534F">
        <w:rPr>
          <w:color w:val="FF0000"/>
        </w:rPr>
        <w:t xml:space="preserve"> </w:t>
      </w:r>
    </w:p>
    <w:p w14:paraId="59DD3B5F" w14:textId="216B87EF" w:rsidR="002F50BF" w:rsidRDefault="002405B9" w:rsidP="002F50BF">
      <w:pPr>
        <w:rPr>
          <w:color w:val="FF0000"/>
        </w:rPr>
      </w:pPr>
      <w:r>
        <w:rPr>
          <w:color w:val="FF0000"/>
        </w:rPr>
        <w:t>Claims</w:t>
      </w:r>
      <w:r w:rsidR="002F50BF" w:rsidRPr="002F50BF">
        <w:rPr>
          <w:color w:val="FF0000"/>
        </w:rPr>
        <w:t xml:space="preserve"> for constructive dismissal must be submitted within three months less 1 day from the date of their resignation (Employment Rights Act 1996). However, in </w:t>
      </w:r>
      <w:r w:rsidR="002F50BF" w:rsidRPr="002F50BF">
        <w:rPr>
          <w:i/>
          <w:iCs/>
          <w:color w:val="FF0000"/>
        </w:rPr>
        <w:t>Dr Paul Leaney v Loughborough University (2023)</w:t>
      </w:r>
      <w:r w:rsidR="002F50BF" w:rsidRPr="002F50BF">
        <w:rPr>
          <w:color w:val="FF0000"/>
        </w:rPr>
        <w:t xml:space="preserve"> the gap between the breach and the resignation can also impact the successfulness of a case if the employee continues their employment for a significant period following the breach.</w:t>
      </w:r>
    </w:p>
    <w:p w14:paraId="4FE4FC42" w14:textId="74F1A420" w:rsidR="002F50BF" w:rsidRDefault="002F50BF" w:rsidP="002F50BF">
      <w:pPr>
        <w:rPr>
          <w:color w:val="FF0000"/>
        </w:rPr>
      </w:pPr>
      <w:r>
        <w:rPr>
          <w:color w:val="FF0000"/>
        </w:rPr>
        <w:t>This period can be extended</w:t>
      </w:r>
      <w:r w:rsidR="00704CC7">
        <w:rPr>
          <w:color w:val="FF0000"/>
        </w:rPr>
        <w:t xml:space="preserve"> if the claimant engages in ACAS Early Conciliation</w:t>
      </w:r>
      <w:r w:rsidR="008C5F87">
        <w:rPr>
          <w:color w:val="FF0000"/>
        </w:rPr>
        <w:t>, which can pause the clock for up to six weeks (ACAS, 2024). If the individual fails to pre</w:t>
      </w:r>
      <w:r w:rsidR="003038C8">
        <w:rPr>
          <w:color w:val="FF0000"/>
        </w:rPr>
        <w:t>sent the claim within this window, it will usually be deemed “out of time”, unless the Tribunal concludes it was not reasonably practicable to do so earlier.</w:t>
      </w:r>
    </w:p>
    <w:p w14:paraId="6BBA672E" w14:textId="2EE658C2" w:rsidR="002C7941" w:rsidRDefault="002C7941" w:rsidP="002F50BF">
      <w:pPr>
        <w:rPr>
          <w:color w:val="FF0000"/>
        </w:rPr>
      </w:pPr>
      <w:r>
        <w:rPr>
          <w:color w:val="FF0000"/>
        </w:rPr>
        <w:t>I would advise reviewing the employee’s contract and resignation correspondence</w:t>
      </w:r>
      <w:r w:rsidR="000F715A">
        <w:rPr>
          <w:color w:val="FF0000"/>
        </w:rPr>
        <w:t xml:space="preserve"> </w:t>
      </w:r>
      <w:r>
        <w:rPr>
          <w:color w:val="FF0000"/>
        </w:rPr>
        <w:t xml:space="preserve">to </w:t>
      </w:r>
      <w:r w:rsidR="000F715A">
        <w:rPr>
          <w:color w:val="FF0000"/>
        </w:rPr>
        <w:t>assess</w:t>
      </w:r>
      <w:r>
        <w:rPr>
          <w:color w:val="FF0000"/>
        </w:rPr>
        <w:t xml:space="preserve"> the facts and whether reasonable consultation occurr</w:t>
      </w:r>
      <w:r w:rsidR="000F715A">
        <w:rPr>
          <w:color w:val="FF0000"/>
        </w:rPr>
        <w:t>ed.</w:t>
      </w:r>
    </w:p>
    <w:p w14:paraId="08D443DE" w14:textId="01CB721D" w:rsidR="000F715A" w:rsidRPr="002F50BF" w:rsidRDefault="000F715A" w:rsidP="002F50BF">
      <w:pPr>
        <w:rPr>
          <w:color w:val="FF0000"/>
        </w:rPr>
      </w:pPr>
      <w:r>
        <w:rPr>
          <w:color w:val="FF0000"/>
        </w:rPr>
        <w:t xml:space="preserve">Regards, </w:t>
      </w:r>
    </w:p>
    <w:p w14:paraId="63846F62" w14:textId="77777777" w:rsidR="00F77DBB" w:rsidRDefault="00F77DBB" w:rsidP="00EB2CC7">
      <w:pPr>
        <w:rPr>
          <w:b/>
          <w:bCs/>
        </w:rPr>
      </w:pPr>
    </w:p>
    <w:p w14:paraId="539DA8D9" w14:textId="426870D5" w:rsidR="00EB2CC7" w:rsidRPr="00EB2CC7" w:rsidRDefault="00EB2CC7" w:rsidP="00EB2CC7">
      <w:pPr>
        <w:rPr>
          <w:b/>
          <w:bCs/>
        </w:rPr>
      </w:pPr>
      <w:r w:rsidRPr="00EB2CC7">
        <w:rPr>
          <w:b/>
          <w:bCs/>
        </w:rPr>
        <w:t>Email 6 (AC 3.2)</w:t>
      </w:r>
    </w:p>
    <w:p w14:paraId="25FD57A6" w14:textId="4B346DDB" w:rsidR="001A6B5D" w:rsidRPr="009A2A71" w:rsidRDefault="001A6B5D" w:rsidP="00EB2CC7">
      <w:pPr>
        <w:rPr>
          <w:strike/>
        </w:rPr>
      </w:pPr>
      <w:r w:rsidRPr="009A2A71">
        <w:rPr>
          <w:strike/>
        </w:rPr>
        <w:t>Dear Colleague,</w:t>
      </w:r>
    </w:p>
    <w:p w14:paraId="535C29E2" w14:textId="513F7BDA" w:rsidR="001A6B5D" w:rsidRPr="009A2A71" w:rsidRDefault="00602FAE" w:rsidP="00EB2CC7">
      <w:pPr>
        <w:rPr>
          <w:strike/>
        </w:rPr>
      </w:pPr>
      <w:r w:rsidRPr="009A2A71">
        <w:rPr>
          <w:strike/>
        </w:rPr>
        <w:t xml:space="preserve">I understand that </w:t>
      </w:r>
      <w:r w:rsidR="00FB652C" w:rsidRPr="009A2A71">
        <w:rPr>
          <w:strike/>
        </w:rPr>
        <w:t xml:space="preserve">there are plans to make fifty posts redundant as a direct result of </w:t>
      </w:r>
      <w:r w:rsidR="00C76F8C" w:rsidRPr="009A2A71">
        <w:rPr>
          <w:strike/>
        </w:rPr>
        <w:t>the</w:t>
      </w:r>
      <w:r w:rsidR="00FB652C" w:rsidRPr="009A2A71">
        <w:rPr>
          <w:strike/>
        </w:rPr>
        <w:t xml:space="preserve"> planned reorganisation of </w:t>
      </w:r>
      <w:r w:rsidR="00914B69" w:rsidRPr="009A2A71">
        <w:rPr>
          <w:strike/>
        </w:rPr>
        <w:t xml:space="preserve">your directorate. </w:t>
      </w:r>
      <w:r w:rsidR="00C76F8C" w:rsidRPr="009A2A71">
        <w:rPr>
          <w:strike/>
        </w:rPr>
        <w:t>I</w:t>
      </w:r>
      <w:r w:rsidR="00914B69" w:rsidRPr="009A2A71">
        <w:rPr>
          <w:strike/>
        </w:rPr>
        <w:t xml:space="preserve"> thought it would be prudent to review the legal considerations of this action</w:t>
      </w:r>
      <w:r w:rsidR="00F86D65" w:rsidRPr="009A2A71">
        <w:rPr>
          <w:strike/>
        </w:rPr>
        <w:t xml:space="preserve"> especially as a number of these positions will be through compulsory redundancies.</w:t>
      </w:r>
    </w:p>
    <w:p w14:paraId="346C0E95" w14:textId="383BCDCC" w:rsidR="008B4649" w:rsidRPr="009A2A71" w:rsidRDefault="0049556A" w:rsidP="00EB2CC7">
      <w:pPr>
        <w:rPr>
          <w:strike/>
        </w:rPr>
      </w:pPr>
      <w:r w:rsidRPr="009A2A71">
        <w:rPr>
          <w:strike/>
        </w:rPr>
        <w:t>I understand the urgency to move forward with this action, but</w:t>
      </w:r>
      <w:r w:rsidR="00974B02" w:rsidRPr="009A2A71">
        <w:rPr>
          <w:strike/>
        </w:rPr>
        <w:t xml:space="preserve"> it is essential that we follow the legal process regarding redundancies</w:t>
      </w:r>
      <w:r w:rsidR="00180FFB" w:rsidRPr="009A2A71">
        <w:rPr>
          <w:strike/>
        </w:rPr>
        <w:t xml:space="preserve"> to remove the </w:t>
      </w:r>
      <w:r w:rsidR="008A69F3" w:rsidRPr="009A2A71">
        <w:rPr>
          <w:strike/>
        </w:rPr>
        <w:t xml:space="preserve">potential risks to the Trust. </w:t>
      </w:r>
    </w:p>
    <w:p w14:paraId="15A34937" w14:textId="3CF5582B" w:rsidR="00394199" w:rsidRPr="009A2A71" w:rsidRDefault="005F17DF" w:rsidP="00EB2CC7">
      <w:pPr>
        <w:rPr>
          <w:strike/>
        </w:rPr>
      </w:pPr>
      <w:r w:rsidRPr="009A2A71">
        <w:rPr>
          <w:strike/>
        </w:rPr>
        <w:t>UK Law states that a redundancy may occur when a position is eliminated due to restructuring or cost-cutting</w:t>
      </w:r>
      <w:r w:rsidR="00D8496D" w:rsidRPr="009A2A71">
        <w:rPr>
          <w:strike/>
        </w:rPr>
        <w:t xml:space="preserve"> </w:t>
      </w:r>
      <w:r w:rsidR="006E1640" w:rsidRPr="009A2A71">
        <w:rPr>
          <w:strike/>
        </w:rPr>
        <w:t>and e</w:t>
      </w:r>
      <w:r w:rsidRPr="009A2A71">
        <w:rPr>
          <w:strike/>
        </w:rPr>
        <w:t>mployees must receive a fair and transparent process</w:t>
      </w:r>
      <w:r w:rsidR="006E1640" w:rsidRPr="009A2A71">
        <w:rPr>
          <w:strike/>
        </w:rPr>
        <w:t>, as stated in the Employment Rights Act 1996.</w:t>
      </w:r>
      <w:r w:rsidR="00394199" w:rsidRPr="009A2A71">
        <w:rPr>
          <w:strike/>
        </w:rPr>
        <w:t xml:space="preserve"> </w:t>
      </w:r>
    </w:p>
    <w:p w14:paraId="04D339DD" w14:textId="6644B9D4" w:rsidR="00DB6C62" w:rsidRPr="009A2A71" w:rsidRDefault="006A2542" w:rsidP="006A2542">
      <w:pPr>
        <w:rPr>
          <w:strike/>
        </w:rPr>
      </w:pPr>
      <w:r w:rsidRPr="009A2A71">
        <w:rPr>
          <w:strike/>
        </w:rPr>
        <w:t xml:space="preserve">It is necessary to provide both collective and individual consultations for all employees. </w:t>
      </w:r>
      <w:r w:rsidR="00C75FE2" w:rsidRPr="009A2A71">
        <w:rPr>
          <w:strike/>
        </w:rPr>
        <w:t>Collective consul</w:t>
      </w:r>
      <w:r w:rsidR="00864466" w:rsidRPr="009A2A71">
        <w:rPr>
          <w:strike/>
        </w:rPr>
        <w:t>tation with employee representatives or trade unions</w:t>
      </w:r>
      <w:r w:rsidR="009F333B" w:rsidRPr="009A2A71">
        <w:rPr>
          <w:strike/>
        </w:rPr>
        <w:t xml:space="preserve"> </w:t>
      </w:r>
      <w:r w:rsidR="00881D43" w:rsidRPr="009A2A71">
        <w:rPr>
          <w:strike/>
        </w:rPr>
        <w:t>must take place and we must inform the Secretary of State</w:t>
      </w:r>
      <w:r w:rsidR="002A2779" w:rsidRPr="009A2A71">
        <w:rPr>
          <w:strike/>
        </w:rPr>
        <w:t xml:space="preserve"> of Trade and Industry via the HR1 form</w:t>
      </w:r>
      <w:r w:rsidR="00DB6C62" w:rsidRPr="009A2A71">
        <w:rPr>
          <w:strike/>
        </w:rPr>
        <w:t xml:space="preserve">. This will provide </w:t>
      </w:r>
      <w:r w:rsidR="007E6CB9" w:rsidRPr="009A2A71">
        <w:rPr>
          <w:strike/>
        </w:rPr>
        <w:t>employees the</w:t>
      </w:r>
      <w:r w:rsidR="00DB6C62" w:rsidRPr="009A2A71">
        <w:rPr>
          <w:strike/>
        </w:rPr>
        <w:t xml:space="preserve"> opportunity to raise concerns, receive information and suggest alternatives.</w:t>
      </w:r>
      <w:r w:rsidR="007E6CB9" w:rsidRPr="009A2A71">
        <w:rPr>
          <w:strike/>
        </w:rPr>
        <w:t xml:space="preserve"> Failure to engage in this process would be </w:t>
      </w:r>
      <w:r w:rsidR="0019337D" w:rsidRPr="009A2A71">
        <w:rPr>
          <w:strike/>
        </w:rPr>
        <w:t>detrimental to the Trust through a protective award (compensation).</w:t>
      </w:r>
    </w:p>
    <w:p w14:paraId="2A3EA046" w14:textId="4353BBA2" w:rsidR="0019337D" w:rsidRPr="009A2A71" w:rsidRDefault="0019337D" w:rsidP="006A2542">
      <w:pPr>
        <w:rPr>
          <w:strike/>
        </w:rPr>
      </w:pPr>
      <w:r w:rsidRPr="009A2A71">
        <w:rPr>
          <w:strike/>
        </w:rPr>
        <w:t xml:space="preserve">Individual consultation </w:t>
      </w:r>
      <w:r w:rsidR="00024501" w:rsidRPr="009A2A71">
        <w:rPr>
          <w:strike/>
        </w:rPr>
        <w:t>must also take place</w:t>
      </w:r>
      <w:r w:rsidR="00280A0D" w:rsidRPr="009A2A71">
        <w:rPr>
          <w:strike/>
        </w:rPr>
        <w:t xml:space="preserve"> with all </w:t>
      </w:r>
      <w:r w:rsidR="009C3681" w:rsidRPr="009A2A71">
        <w:rPr>
          <w:strike/>
        </w:rPr>
        <w:t xml:space="preserve">employees </w:t>
      </w:r>
      <w:r w:rsidR="00280A0D" w:rsidRPr="009A2A71">
        <w:rPr>
          <w:strike/>
        </w:rPr>
        <w:t xml:space="preserve">at risk to provide </w:t>
      </w:r>
      <w:r w:rsidR="00484415" w:rsidRPr="009A2A71">
        <w:rPr>
          <w:strike/>
        </w:rPr>
        <w:t>opportunity to understand the reasons for their selection and discuss their views</w:t>
      </w:r>
      <w:r w:rsidR="005031AC" w:rsidRPr="009A2A71">
        <w:rPr>
          <w:strike/>
        </w:rPr>
        <w:t>. You would also discuss alternatives to redundancy such as rede</w:t>
      </w:r>
      <w:r w:rsidR="00CC3F6E" w:rsidRPr="009A2A71">
        <w:rPr>
          <w:strike/>
        </w:rPr>
        <w:t>ployment, retraining or adjusted working hours.</w:t>
      </w:r>
    </w:p>
    <w:p w14:paraId="50FC34F4" w14:textId="6843B0F3" w:rsidR="00AD339B" w:rsidRPr="009A2A71" w:rsidRDefault="006A2542" w:rsidP="006A2542">
      <w:pPr>
        <w:rPr>
          <w:strike/>
        </w:rPr>
      </w:pPr>
      <w:r w:rsidRPr="009A2A71">
        <w:rPr>
          <w:strike/>
        </w:rPr>
        <w:lastRenderedPageBreak/>
        <w:t>A 30-day consultation period</w:t>
      </w:r>
      <w:r w:rsidR="0005016F" w:rsidRPr="009A2A71">
        <w:rPr>
          <w:strike/>
        </w:rPr>
        <w:t xml:space="preserve"> is required </w:t>
      </w:r>
      <w:r w:rsidRPr="009A2A71">
        <w:rPr>
          <w:strike/>
        </w:rPr>
        <w:t>before issuing any dismissal notices due to the number of employees affected</w:t>
      </w:r>
      <w:r w:rsidR="005875C2" w:rsidRPr="009A2A71">
        <w:rPr>
          <w:strike/>
        </w:rPr>
        <w:t xml:space="preserve"> </w:t>
      </w:r>
      <w:r w:rsidR="00DF39D7" w:rsidRPr="009A2A71">
        <w:rPr>
          <w:strike/>
        </w:rPr>
        <w:t>(Trade Unions and Labour Relations (Consolidation) Act 1992)</w:t>
      </w:r>
      <w:r w:rsidRPr="009A2A71">
        <w:rPr>
          <w:strike/>
        </w:rPr>
        <w:t xml:space="preserve">. </w:t>
      </w:r>
      <w:r w:rsidR="00E2505D" w:rsidRPr="009A2A71">
        <w:rPr>
          <w:strike/>
        </w:rPr>
        <w:t>We must ensure tha</w:t>
      </w:r>
      <w:r w:rsidR="00473BFB" w:rsidRPr="009A2A71">
        <w:rPr>
          <w:strike/>
        </w:rPr>
        <w:t xml:space="preserve">t 30 days have passed to avoid issues as seen in </w:t>
      </w:r>
      <w:r w:rsidR="00515DE9" w:rsidRPr="009A2A71">
        <w:rPr>
          <w:i/>
          <w:iCs/>
          <w:strike/>
        </w:rPr>
        <w:t>Lydden v. Smith (2004) IRLR 572</w:t>
      </w:r>
      <w:r w:rsidR="0056581C" w:rsidRPr="009A2A71">
        <w:rPr>
          <w:i/>
          <w:iCs/>
          <w:strike/>
        </w:rPr>
        <w:t>.</w:t>
      </w:r>
    </w:p>
    <w:p w14:paraId="2AA59CD1" w14:textId="7A41B71A" w:rsidR="0005016F" w:rsidRPr="009A2A71" w:rsidRDefault="00C317A9" w:rsidP="006A2542">
      <w:pPr>
        <w:rPr>
          <w:strike/>
        </w:rPr>
      </w:pPr>
      <w:r w:rsidRPr="009A2A71">
        <w:rPr>
          <w:strike/>
        </w:rPr>
        <w:t>Regarding</w:t>
      </w:r>
      <w:r w:rsidR="00EE240B" w:rsidRPr="009A2A71">
        <w:rPr>
          <w:strike/>
        </w:rPr>
        <w:t xml:space="preserve"> your request to remove the poorest performing individuals</w:t>
      </w:r>
      <w:r w:rsidR="008419A1" w:rsidRPr="009A2A71">
        <w:rPr>
          <w:strike/>
        </w:rPr>
        <w:t>,</w:t>
      </w:r>
      <w:r w:rsidR="00E914CD" w:rsidRPr="009A2A71">
        <w:rPr>
          <w:strike/>
        </w:rPr>
        <w:t xml:space="preserve"> I would like to consider the potential risks this may </w:t>
      </w:r>
      <w:r w:rsidR="00F37A1D" w:rsidRPr="009A2A71">
        <w:rPr>
          <w:strike/>
        </w:rPr>
        <w:t xml:space="preserve">open up </w:t>
      </w:r>
      <w:r w:rsidR="00E91EA1" w:rsidRPr="009A2A71">
        <w:rPr>
          <w:strike/>
        </w:rPr>
        <w:t>in regard to</w:t>
      </w:r>
      <w:r w:rsidR="00F37A1D" w:rsidRPr="009A2A71">
        <w:rPr>
          <w:strike/>
        </w:rPr>
        <w:t xml:space="preserve"> unfair dismissal. The redundancy selection criteria must be objective, fair and non-discriminatory</w:t>
      </w:r>
      <w:r w:rsidR="00C6766E" w:rsidRPr="009A2A71">
        <w:rPr>
          <w:strike/>
        </w:rPr>
        <w:t>. By dismissing the lowest perform</w:t>
      </w:r>
      <w:r w:rsidR="00131E4B" w:rsidRPr="009A2A71">
        <w:rPr>
          <w:strike/>
        </w:rPr>
        <w:t xml:space="preserve">ers without adequate </w:t>
      </w:r>
      <w:r w:rsidR="00C5066A" w:rsidRPr="009A2A71">
        <w:rPr>
          <w:strike/>
        </w:rPr>
        <w:t>consultation,</w:t>
      </w:r>
      <w:r w:rsidR="00131E4B" w:rsidRPr="009A2A71">
        <w:rPr>
          <w:strike/>
        </w:rPr>
        <w:t xml:space="preserve"> we may be subject to legal challenges if the process is no seen to be fair and transparent.</w:t>
      </w:r>
    </w:p>
    <w:p w14:paraId="196FE77B" w14:textId="3DBAFA8F" w:rsidR="006F1916" w:rsidRPr="009A2A71" w:rsidRDefault="006F1916" w:rsidP="006A2542">
      <w:pPr>
        <w:rPr>
          <w:strike/>
        </w:rPr>
      </w:pPr>
      <w:r w:rsidRPr="009A2A71">
        <w:rPr>
          <w:strike/>
        </w:rPr>
        <w:t>In summary, I understand the need to move quickly, but it is crucial that the proper process is followed</w:t>
      </w:r>
      <w:r w:rsidR="00E231AB" w:rsidRPr="009A2A71">
        <w:rPr>
          <w:strike/>
        </w:rPr>
        <w:t>, including consultation with a fair selection process</w:t>
      </w:r>
      <w:r w:rsidR="00AA2662" w:rsidRPr="009A2A71">
        <w:rPr>
          <w:strike/>
        </w:rPr>
        <w:t>, and recommend reviewing your proposed approach to fully comply with all current legislation.</w:t>
      </w:r>
    </w:p>
    <w:p w14:paraId="20CF9017" w14:textId="708BD847" w:rsidR="00E6355B" w:rsidRPr="009A2A71" w:rsidRDefault="00E6355B" w:rsidP="006A2542">
      <w:pPr>
        <w:rPr>
          <w:strike/>
        </w:rPr>
      </w:pPr>
      <w:r w:rsidRPr="009A2A71">
        <w:rPr>
          <w:strike/>
        </w:rPr>
        <w:t>Regards</w:t>
      </w:r>
    </w:p>
    <w:p w14:paraId="66D2CF5F" w14:textId="57128E40" w:rsidR="00AD339B" w:rsidRDefault="00960B97" w:rsidP="00EB2CC7">
      <w:pPr>
        <w:rPr>
          <w:color w:val="FF0000"/>
        </w:rPr>
      </w:pPr>
      <w:r>
        <w:rPr>
          <w:color w:val="FF0000"/>
        </w:rPr>
        <w:t xml:space="preserve">Dear Colleague, </w:t>
      </w:r>
    </w:p>
    <w:p w14:paraId="4946ABE3" w14:textId="65413EF8" w:rsidR="00960B97" w:rsidRDefault="00E74778" w:rsidP="00EB2CC7">
      <w:pPr>
        <w:rPr>
          <w:color w:val="FF0000"/>
        </w:rPr>
      </w:pPr>
      <w:r>
        <w:rPr>
          <w:color w:val="FF0000"/>
        </w:rPr>
        <w:t>Thank you for your enquiry regarding the proposed reorganisation and reduction of posts in your directorate</w:t>
      </w:r>
      <w:r w:rsidR="00C0763A">
        <w:rPr>
          <w:color w:val="FF0000"/>
        </w:rPr>
        <w:t>. While the Trust’s operational needs are important, redundancy exercises are heavily regulated under Employment Law. Acting quickly or without due process, particularly in relation to consultation and fair selection, risks both legal claims and reputational damage</w:t>
      </w:r>
      <w:r w:rsidR="004F7B7E">
        <w:rPr>
          <w:color w:val="FF0000"/>
        </w:rPr>
        <w:t>.</w:t>
      </w:r>
    </w:p>
    <w:p w14:paraId="585CCA02" w14:textId="4289DAA8" w:rsidR="004F7B7E" w:rsidRDefault="009B5EB1" w:rsidP="00EB2CC7">
      <w:pPr>
        <w:rPr>
          <w:color w:val="FF0000"/>
        </w:rPr>
      </w:pPr>
      <w:r>
        <w:rPr>
          <w:color w:val="FF0000"/>
        </w:rPr>
        <w:t>The Employment Rights Act 1996</w:t>
      </w:r>
      <w:r w:rsidR="00722E0A">
        <w:rPr>
          <w:color w:val="FF0000"/>
        </w:rPr>
        <w:t xml:space="preserve"> defines redundancy as a dismissal attributable to the closure of the business</w:t>
      </w:r>
      <w:r w:rsidR="005F68A3">
        <w:rPr>
          <w:color w:val="FF0000"/>
        </w:rPr>
        <w:t xml:space="preserve"> or workplace, or a diminished requirement for employees to carry out work of a particular kind. The scenario you</w:t>
      </w:r>
      <w:r w:rsidR="00BE1136">
        <w:rPr>
          <w:color w:val="FF0000"/>
        </w:rPr>
        <w:t xml:space="preserve"> have described falls within this statutory definition, especially where functions are being streamlined or removed.</w:t>
      </w:r>
    </w:p>
    <w:p w14:paraId="0EC4372A" w14:textId="3A84A42E" w:rsidR="00BE1136" w:rsidRDefault="005A41A9" w:rsidP="00EB2CC7">
      <w:pPr>
        <w:rPr>
          <w:color w:val="FF0000"/>
        </w:rPr>
      </w:pPr>
      <w:r>
        <w:rPr>
          <w:color w:val="FF0000"/>
        </w:rPr>
        <w:t xml:space="preserve">For a </w:t>
      </w:r>
      <w:r w:rsidR="00DE018A">
        <w:rPr>
          <w:color w:val="FF0000"/>
        </w:rPr>
        <w:t xml:space="preserve">fair </w:t>
      </w:r>
      <w:r>
        <w:rPr>
          <w:color w:val="FF0000"/>
        </w:rPr>
        <w:t>redundancy di</w:t>
      </w:r>
      <w:r w:rsidR="008E397B">
        <w:rPr>
          <w:color w:val="FF0000"/>
        </w:rPr>
        <w:t>smissal</w:t>
      </w:r>
      <w:r w:rsidR="00DE018A">
        <w:rPr>
          <w:color w:val="FF0000"/>
        </w:rPr>
        <w:t xml:space="preserve">, </w:t>
      </w:r>
      <w:r w:rsidR="00136443">
        <w:rPr>
          <w:color w:val="FF0000"/>
        </w:rPr>
        <w:t xml:space="preserve">employers must demonstrate a genuine redundancy situation </w:t>
      </w:r>
      <w:r w:rsidR="00DE018A">
        <w:rPr>
          <w:color w:val="FF0000"/>
        </w:rPr>
        <w:t>and</w:t>
      </w:r>
      <w:r w:rsidR="00136443">
        <w:rPr>
          <w:color w:val="FF0000"/>
        </w:rPr>
        <w:t xml:space="preserve"> follow a </w:t>
      </w:r>
      <w:r w:rsidR="001E3AD4">
        <w:rPr>
          <w:color w:val="FF0000"/>
        </w:rPr>
        <w:t>fair procedure. A critical component of this is applying objective, consistent and non-discriminatory selection criteria.</w:t>
      </w:r>
      <w:r w:rsidR="00B13F01">
        <w:rPr>
          <w:color w:val="FF0000"/>
        </w:rPr>
        <w:t xml:space="preserve"> Targeting perceived “poor performers” could be considered unlawful if not based on robust and evidence</w:t>
      </w:r>
      <w:r w:rsidR="008C3BAF">
        <w:rPr>
          <w:color w:val="FF0000"/>
        </w:rPr>
        <w:t>-based assessments (Daniels, 2022)</w:t>
      </w:r>
      <w:r w:rsidR="00ED091C">
        <w:rPr>
          <w:color w:val="FF0000"/>
        </w:rPr>
        <w:t>. The courts have consistently held that selection must be transparent and verifiable.</w:t>
      </w:r>
      <w:r w:rsidR="00B94D1C">
        <w:rPr>
          <w:color w:val="FF0000"/>
        </w:rPr>
        <w:t xml:space="preserve"> In </w:t>
      </w:r>
      <w:r w:rsidR="00B94D1C" w:rsidRPr="00A7231C">
        <w:rPr>
          <w:i/>
          <w:iCs/>
          <w:color w:val="FF0000"/>
        </w:rPr>
        <w:t>Williams v Compare Maxam Ltd [1982]</w:t>
      </w:r>
      <w:r w:rsidR="00724489">
        <w:rPr>
          <w:color w:val="FF0000"/>
        </w:rPr>
        <w:t>, the EAT</w:t>
      </w:r>
      <w:r w:rsidR="0067202C">
        <w:rPr>
          <w:color w:val="FF0000"/>
        </w:rPr>
        <w:t xml:space="preserve"> outlined procedural fairness principles that continue to guide tribunals today, including the duty to consult with affected staff and trade unions, and to consider alternatives to redundancy</w:t>
      </w:r>
      <w:r w:rsidR="00A84C26">
        <w:rPr>
          <w:color w:val="FF0000"/>
        </w:rPr>
        <w:t xml:space="preserve"> (Taylor and Emir, 2019)</w:t>
      </w:r>
      <w:r w:rsidR="0067202C">
        <w:rPr>
          <w:color w:val="FF0000"/>
        </w:rPr>
        <w:t>.</w:t>
      </w:r>
    </w:p>
    <w:p w14:paraId="186C64DF" w14:textId="048C8829" w:rsidR="001A6B5D" w:rsidRDefault="0047457D" w:rsidP="00EB2CC7">
      <w:pPr>
        <w:rPr>
          <w:color w:val="FF0000"/>
        </w:rPr>
      </w:pPr>
      <w:r>
        <w:rPr>
          <w:color w:val="FF0000"/>
        </w:rPr>
        <w:t>When</w:t>
      </w:r>
      <w:r w:rsidR="003236F9">
        <w:rPr>
          <w:color w:val="FF0000"/>
        </w:rPr>
        <w:t xml:space="preserve"> proposing the dismiss</w:t>
      </w:r>
      <w:r>
        <w:rPr>
          <w:color w:val="FF0000"/>
        </w:rPr>
        <w:t>al of</w:t>
      </w:r>
      <w:r w:rsidR="003236F9">
        <w:rPr>
          <w:color w:val="FF0000"/>
        </w:rPr>
        <w:t xml:space="preserve"> 20 or more employees within a 90-day period at one establishment, the Trust has a statutory duty to engage in collective consultation under the Trade Union and Labour Relations (Consolidation) Act 1992</w:t>
      </w:r>
      <w:r w:rsidR="007D270F">
        <w:rPr>
          <w:color w:val="FF0000"/>
        </w:rPr>
        <w:t xml:space="preserve"> (TULRCA)</w:t>
      </w:r>
      <w:r w:rsidR="003236F9">
        <w:rPr>
          <w:color w:val="FF0000"/>
        </w:rPr>
        <w:t xml:space="preserve">. If the proposed redundancies number between 20 and </w:t>
      </w:r>
      <w:r w:rsidR="002B530B">
        <w:rPr>
          <w:color w:val="FF0000"/>
        </w:rPr>
        <w:t xml:space="preserve">99, consultation must commence at least 30 days before the first dismissal. </w:t>
      </w:r>
      <w:r w:rsidR="00C86B23">
        <w:rPr>
          <w:color w:val="FF0000"/>
        </w:rPr>
        <w:t xml:space="preserve">The Employment Rights Bill is currently under review and </w:t>
      </w:r>
      <w:r w:rsidR="00A352B6">
        <w:rPr>
          <w:color w:val="FF0000"/>
        </w:rPr>
        <w:t xml:space="preserve">will see changes to this information including the definition of one establishment and numbers of </w:t>
      </w:r>
      <w:r w:rsidR="00095152">
        <w:rPr>
          <w:color w:val="FF0000"/>
        </w:rPr>
        <w:t xml:space="preserve">proposed redundancies. Failure to </w:t>
      </w:r>
      <w:r w:rsidR="00047A80">
        <w:rPr>
          <w:color w:val="FF0000"/>
        </w:rPr>
        <w:t xml:space="preserve">comply may lead to a protective aware of up to 90 days’ gross pay per affected employee as seen in </w:t>
      </w:r>
      <w:r w:rsidR="00047A80" w:rsidRPr="00A7231C">
        <w:rPr>
          <w:i/>
          <w:iCs/>
          <w:color w:val="FF0000"/>
        </w:rPr>
        <w:t>UK Coal Mining Ltd v NUM [2008]</w:t>
      </w:r>
      <w:r w:rsidR="004110D9">
        <w:rPr>
          <w:color w:val="FF0000"/>
        </w:rPr>
        <w:t>.</w:t>
      </w:r>
    </w:p>
    <w:p w14:paraId="69F9D8BA" w14:textId="3DC509EF" w:rsidR="007D270F" w:rsidRDefault="007D270F" w:rsidP="00EB2CC7">
      <w:pPr>
        <w:rPr>
          <w:color w:val="FF0000"/>
        </w:rPr>
      </w:pPr>
      <w:r>
        <w:rPr>
          <w:color w:val="FF0000"/>
        </w:rPr>
        <w:t xml:space="preserve">Additionally, you must </w:t>
      </w:r>
      <w:r w:rsidR="00B34FC2">
        <w:rPr>
          <w:color w:val="FF0000"/>
        </w:rPr>
        <w:t>notify the Secretary of State using Form HR1. Failure to do so</w:t>
      </w:r>
      <w:r w:rsidR="005207B8">
        <w:rPr>
          <w:color w:val="FF0000"/>
        </w:rPr>
        <w:t xml:space="preserve"> can constitute a criminal offence (TULRCA 1992). This notification should occur in parallel with the start of collective consultation.</w:t>
      </w:r>
    </w:p>
    <w:p w14:paraId="268E79C2" w14:textId="2066D009" w:rsidR="00E02535" w:rsidRDefault="00E02535" w:rsidP="00EB2CC7">
      <w:pPr>
        <w:rPr>
          <w:color w:val="FF0000"/>
        </w:rPr>
      </w:pPr>
      <w:r>
        <w:rPr>
          <w:color w:val="FF0000"/>
        </w:rPr>
        <w:t>The ACAS Code of Practice</w:t>
      </w:r>
      <w:r w:rsidR="000160B2">
        <w:rPr>
          <w:color w:val="FF0000"/>
        </w:rPr>
        <w:t xml:space="preserve"> </w:t>
      </w:r>
      <w:r w:rsidR="001045E3">
        <w:rPr>
          <w:color w:val="FF0000"/>
        </w:rPr>
        <w:t xml:space="preserve">on handing redundancies underscores the importance of early, meaningful, and </w:t>
      </w:r>
      <w:r w:rsidR="00ED74B3">
        <w:rPr>
          <w:color w:val="FF0000"/>
        </w:rPr>
        <w:t>compassionate consultation</w:t>
      </w:r>
      <w:r w:rsidR="003A5A60">
        <w:rPr>
          <w:color w:val="FF0000"/>
        </w:rPr>
        <w:t xml:space="preserve"> (ACAS</w:t>
      </w:r>
      <w:r w:rsidR="000160B2">
        <w:rPr>
          <w:color w:val="FF0000"/>
        </w:rPr>
        <w:t>, 2020)</w:t>
      </w:r>
      <w:r w:rsidR="00ED74B3">
        <w:rPr>
          <w:color w:val="FF0000"/>
        </w:rPr>
        <w:t>.</w:t>
      </w:r>
      <w:r w:rsidR="00AA4650">
        <w:rPr>
          <w:color w:val="FF0000"/>
        </w:rPr>
        <w:t xml:space="preserve"> Where the consultation obligations </w:t>
      </w:r>
      <w:r w:rsidR="00AA4650">
        <w:rPr>
          <w:color w:val="FF0000"/>
        </w:rPr>
        <w:lastRenderedPageBreak/>
        <w:t xml:space="preserve">are not triggers (e.g., fewer than 20 redundancies), </w:t>
      </w:r>
      <w:r w:rsidR="00024C1D">
        <w:rPr>
          <w:color w:val="FF0000"/>
        </w:rPr>
        <w:t>individual consultation remains a legal and ethical necessity. Staff morale, psychological safety, and trust in leadership can all be severely impacted by poorly handled re</w:t>
      </w:r>
      <w:r w:rsidR="00786686">
        <w:rPr>
          <w:color w:val="FF0000"/>
        </w:rPr>
        <w:t>dundancy processes (Armstrong and Taylor, 2020)</w:t>
      </w:r>
    </w:p>
    <w:p w14:paraId="62102DF2" w14:textId="78B63BA1" w:rsidR="005207B8" w:rsidRDefault="009A2A71" w:rsidP="00EB2CC7">
      <w:pPr>
        <w:rPr>
          <w:color w:val="FF0000"/>
        </w:rPr>
      </w:pPr>
      <w:r>
        <w:rPr>
          <w:color w:val="FF0000"/>
        </w:rPr>
        <w:t>I recommend a collaborative approach</w:t>
      </w:r>
      <w:r w:rsidR="00DE018A">
        <w:rPr>
          <w:color w:val="FF0000"/>
        </w:rPr>
        <w:t xml:space="preserve"> including </w:t>
      </w:r>
      <w:r>
        <w:rPr>
          <w:color w:val="FF0000"/>
        </w:rPr>
        <w:t>union</w:t>
      </w:r>
      <w:r w:rsidR="00DE018A">
        <w:rPr>
          <w:color w:val="FF0000"/>
        </w:rPr>
        <w:t>s</w:t>
      </w:r>
      <w:r>
        <w:rPr>
          <w:color w:val="FF0000"/>
        </w:rPr>
        <w:t>, clear communication, and a well-document</w:t>
      </w:r>
      <w:r w:rsidR="00DE018A">
        <w:rPr>
          <w:color w:val="FF0000"/>
        </w:rPr>
        <w:t>ed</w:t>
      </w:r>
      <w:r>
        <w:rPr>
          <w:color w:val="FF0000"/>
        </w:rPr>
        <w:t xml:space="preserve"> selection process</w:t>
      </w:r>
      <w:r w:rsidR="00DE018A">
        <w:rPr>
          <w:color w:val="FF0000"/>
        </w:rPr>
        <w:t>.</w:t>
      </w:r>
    </w:p>
    <w:p w14:paraId="6E804C18" w14:textId="1E88FB31" w:rsidR="00DE018A" w:rsidRPr="007D270F" w:rsidRDefault="00DE018A" w:rsidP="00EB2CC7">
      <w:pPr>
        <w:rPr>
          <w:color w:val="FF0000"/>
        </w:rPr>
      </w:pPr>
      <w:r>
        <w:rPr>
          <w:color w:val="FF0000"/>
        </w:rPr>
        <w:t xml:space="preserve">Regards, </w:t>
      </w:r>
    </w:p>
    <w:p w14:paraId="3B264264" w14:textId="77777777" w:rsidR="005E61AA" w:rsidRDefault="005E61AA" w:rsidP="00EB2CC7">
      <w:pPr>
        <w:rPr>
          <w:b/>
          <w:bCs/>
        </w:rPr>
      </w:pPr>
    </w:p>
    <w:p w14:paraId="1BB554E0" w14:textId="794730C1" w:rsidR="00EB2CC7" w:rsidRPr="00EB2CC7" w:rsidRDefault="00EB2CC7" w:rsidP="00EB2CC7">
      <w:pPr>
        <w:rPr>
          <w:b/>
          <w:bCs/>
        </w:rPr>
      </w:pPr>
      <w:r w:rsidRPr="00EB2CC7">
        <w:rPr>
          <w:b/>
          <w:bCs/>
        </w:rPr>
        <w:t xml:space="preserve">Email 7 (AC 3.3)   </w:t>
      </w:r>
    </w:p>
    <w:p w14:paraId="01EB1F5D" w14:textId="71CEF16C" w:rsidR="00EB2CC7" w:rsidRPr="00221048" w:rsidRDefault="00142316" w:rsidP="00EB2CC7">
      <w:pPr>
        <w:rPr>
          <w:strike/>
        </w:rPr>
      </w:pPr>
      <w:r w:rsidRPr="00221048">
        <w:rPr>
          <w:strike/>
        </w:rPr>
        <w:t>Dear Colleague</w:t>
      </w:r>
    </w:p>
    <w:p w14:paraId="341EE956" w14:textId="43004B4E" w:rsidR="00EB2CC7" w:rsidRPr="00221048" w:rsidRDefault="0050543D" w:rsidP="0050543D">
      <w:pPr>
        <w:rPr>
          <w:strike/>
        </w:rPr>
      </w:pPr>
      <w:r w:rsidRPr="00221048">
        <w:rPr>
          <w:strike/>
        </w:rPr>
        <w:t xml:space="preserve">Regarding your request on the </w:t>
      </w:r>
      <w:r w:rsidR="003E012F" w:rsidRPr="00221048">
        <w:rPr>
          <w:strike/>
        </w:rPr>
        <w:t>Collective</w:t>
      </w:r>
      <w:r w:rsidR="00C36850" w:rsidRPr="00221048">
        <w:rPr>
          <w:strike/>
        </w:rPr>
        <w:t xml:space="preserve"> Redundancies and </w:t>
      </w:r>
      <w:r w:rsidRPr="00221048">
        <w:rPr>
          <w:strike/>
        </w:rPr>
        <w:t xml:space="preserve">Transfer of Undertakings (Protection of Employment) </w:t>
      </w:r>
      <w:r w:rsidR="009404B5" w:rsidRPr="00221048">
        <w:rPr>
          <w:strike/>
        </w:rPr>
        <w:t>(Amendment)</w:t>
      </w:r>
      <w:r w:rsidR="001E6D48" w:rsidRPr="00221048">
        <w:rPr>
          <w:strike/>
        </w:rPr>
        <w:t xml:space="preserve"> </w:t>
      </w:r>
      <w:r w:rsidRPr="00221048">
        <w:rPr>
          <w:strike/>
        </w:rPr>
        <w:t>Regulations 2</w:t>
      </w:r>
      <w:r w:rsidR="00C36850" w:rsidRPr="00221048">
        <w:rPr>
          <w:strike/>
        </w:rPr>
        <w:t>014</w:t>
      </w:r>
      <w:r w:rsidRPr="00221048">
        <w:rPr>
          <w:strike/>
        </w:rPr>
        <w:t xml:space="preserve"> (TUPE) and employee rights in the proposed pharmacy merger, here are key factors to consider.</w:t>
      </w:r>
    </w:p>
    <w:p w14:paraId="589532C9" w14:textId="2B969E63" w:rsidR="00701F37" w:rsidRPr="00221048" w:rsidRDefault="0050543D" w:rsidP="0050543D">
      <w:pPr>
        <w:rPr>
          <w:strike/>
        </w:rPr>
      </w:pPr>
      <w:r w:rsidRPr="00221048">
        <w:rPr>
          <w:strike/>
        </w:rPr>
        <w:t>TUPE</w:t>
      </w:r>
      <w:r w:rsidR="00EE0F56" w:rsidRPr="00221048">
        <w:rPr>
          <w:strike/>
        </w:rPr>
        <w:t xml:space="preserve"> regulations aim to protect the employee’s rights when they transfer</w:t>
      </w:r>
      <w:r w:rsidR="001D590B" w:rsidRPr="00221048">
        <w:rPr>
          <w:strike/>
        </w:rPr>
        <w:t xml:space="preserve"> between businesses or services. </w:t>
      </w:r>
      <w:r w:rsidR="002809D0" w:rsidRPr="00221048">
        <w:rPr>
          <w:strike/>
        </w:rPr>
        <w:t>A transfer</w:t>
      </w:r>
      <w:r w:rsidR="00BB10F8" w:rsidRPr="00221048">
        <w:rPr>
          <w:strike/>
        </w:rPr>
        <w:t xml:space="preserve"> falls under two definitions</w:t>
      </w:r>
      <w:r w:rsidR="002809D0" w:rsidRPr="00221048">
        <w:rPr>
          <w:strike/>
        </w:rPr>
        <w:t xml:space="preserve"> (but are not mutually exclusive). </w:t>
      </w:r>
      <w:r w:rsidR="00701F37" w:rsidRPr="00221048">
        <w:rPr>
          <w:strike/>
        </w:rPr>
        <w:t xml:space="preserve">These are </w:t>
      </w:r>
      <w:r w:rsidR="00D83B8F" w:rsidRPr="00221048">
        <w:rPr>
          <w:strike/>
        </w:rPr>
        <w:t xml:space="preserve">a change of service provision or </w:t>
      </w:r>
      <w:r w:rsidR="00701F37" w:rsidRPr="00221048">
        <w:rPr>
          <w:strike/>
        </w:rPr>
        <w:t>the transfer of a</w:t>
      </w:r>
      <w:r w:rsidR="00D83B8F" w:rsidRPr="00221048">
        <w:rPr>
          <w:strike/>
        </w:rPr>
        <w:t>n</w:t>
      </w:r>
      <w:r w:rsidR="00701F37" w:rsidRPr="00221048">
        <w:rPr>
          <w:strike/>
        </w:rPr>
        <w:t xml:space="preserve"> economic entity that retains its identity</w:t>
      </w:r>
      <w:r w:rsidR="00D470E7" w:rsidRPr="00221048">
        <w:rPr>
          <w:strike/>
        </w:rPr>
        <w:t>, which this would be.</w:t>
      </w:r>
    </w:p>
    <w:p w14:paraId="1452DDAC" w14:textId="45D00679" w:rsidR="0050543D" w:rsidRPr="00221048" w:rsidRDefault="001D590B" w:rsidP="0050543D">
      <w:pPr>
        <w:rPr>
          <w:strike/>
        </w:rPr>
      </w:pPr>
      <w:r w:rsidRPr="00221048">
        <w:rPr>
          <w:strike/>
        </w:rPr>
        <w:t>The main points to apply for this are:</w:t>
      </w:r>
    </w:p>
    <w:p w14:paraId="10AD4423" w14:textId="41264F65" w:rsidR="001D590B" w:rsidRPr="00221048" w:rsidRDefault="00024E5B" w:rsidP="001D590B">
      <w:pPr>
        <w:pStyle w:val="ListParagraph"/>
        <w:numPr>
          <w:ilvl w:val="0"/>
          <w:numId w:val="3"/>
        </w:numPr>
        <w:rPr>
          <w:strike/>
        </w:rPr>
      </w:pPr>
      <w:r w:rsidRPr="00221048">
        <w:rPr>
          <w:strike/>
        </w:rPr>
        <w:t xml:space="preserve">The employees would automatically transfer to the new employer </w:t>
      </w:r>
      <w:r w:rsidR="005E047A" w:rsidRPr="00221048">
        <w:rPr>
          <w:strike/>
        </w:rPr>
        <w:t>under the same terms and</w:t>
      </w:r>
      <w:r w:rsidR="006D0960" w:rsidRPr="00221048">
        <w:rPr>
          <w:strike/>
        </w:rPr>
        <w:t xml:space="preserve"> conditions of employment, including salary, benefits and accrued holiday entitlement</w:t>
      </w:r>
      <w:r w:rsidR="001E6D48" w:rsidRPr="00221048">
        <w:rPr>
          <w:strike/>
        </w:rPr>
        <w:t>.</w:t>
      </w:r>
      <w:r w:rsidR="00652A58" w:rsidRPr="00221048">
        <w:rPr>
          <w:strike/>
        </w:rPr>
        <w:t xml:space="preserve"> These </w:t>
      </w:r>
      <w:r w:rsidR="00FF0F31" w:rsidRPr="00221048">
        <w:rPr>
          <w:strike/>
        </w:rPr>
        <w:t>cannot</w:t>
      </w:r>
      <w:r w:rsidR="006E660D" w:rsidRPr="00221048">
        <w:rPr>
          <w:strike/>
        </w:rPr>
        <w:t xml:space="preserve"> be altered without agreement without </w:t>
      </w:r>
      <w:r w:rsidR="00C62197" w:rsidRPr="00221048">
        <w:rPr>
          <w:strike/>
        </w:rPr>
        <w:t xml:space="preserve">risk, as seen in </w:t>
      </w:r>
      <w:r w:rsidR="006E660D" w:rsidRPr="00221048">
        <w:rPr>
          <w:i/>
          <w:iCs/>
          <w:strike/>
        </w:rPr>
        <w:t>Taylor v. Connex South Eastern Ltd (2000)</w:t>
      </w:r>
      <w:r w:rsidR="00C62197" w:rsidRPr="00221048">
        <w:rPr>
          <w:strike/>
        </w:rPr>
        <w:t>.</w:t>
      </w:r>
      <w:r w:rsidR="0015121E" w:rsidRPr="00221048">
        <w:rPr>
          <w:strike/>
        </w:rPr>
        <w:t xml:space="preserve"> </w:t>
      </w:r>
    </w:p>
    <w:p w14:paraId="3277A422" w14:textId="77777777" w:rsidR="00425640" w:rsidRPr="00221048" w:rsidRDefault="00CF3030" w:rsidP="00425640">
      <w:pPr>
        <w:pStyle w:val="ListParagraph"/>
        <w:numPr>
          <w:ilvl w:val="0"/>
          <w:numId w:val="3"/>
        </w:numPr>
        <w:rPr>
          <w:strike/>
        </w:rPr>
      </w:pPr>
      <w:r w:rsidRPr="00221048">
        <w:rPr>
          <w:strike/>
        </w:rPr>
        <w:t>Employees</w:t>
      </w:r>
      <w:r w:rsidR="00C62197" w:rsidRPr="00221048">
        <w:rPr>
          <w:strike/>
        </w:rPr>
        <w:t xml:space="preserve"> have the right to object to the transfer</w:t>
      </w:r>
      <w:r w:rsidR="00AB36FE" w:rsidRPr="00221048">
        <w:rPr>
          <w:strike/>
        </w:rPr>
        <w:t xml:space="preserve"> and therefore their contract will be dee</w:t>
      </w:r>
      <w:r w:rsidR="00D70C33" w:rsidRPr="00221048">
        <w:rPr>
          <w:strike/>
        </w:rPr>
        <w:t>m</w:t>
      </w:r>
      <w:r w:rsidR="00AB36FE" w:rsidRPr="00221048">
        <w:rPr>
          <w:strike/>
        </w:rPr>
        <w:t>ed to have been terminated by the original employer</w:t>
      </w:r>
      <w:r w:rsidR="00A1706B" w:rsidRPr="00221048">
        <w:rPr>
          <w:strike/>
        </w:rPr>
        <w:t>.</w:t>
      </w:r>
      <w:r w:rsidRPr="00221048">
        <w:rPr>
          <w:strike/>
        </w:rPr>
        <w:t xml:space="preserve"> </w:t>
      </w:r>
      <w:r w:rsidR="00F76352" w:rsidRPr="00221048">
        <w:rPr>
          <w:strike/>
        </w:rPr>
        <w:t>This is rare and occurs when an employee feels their employment will change significantly.</w:t>
      </w:r>
    </w:p>
    <w:p w14:paraId="1243A977" w14:textId="6D9AE741" w:rsidR="00A1706B" w:rsidRPr="00221048" w:rsidRDefault="00425640" w:rsidP="00425640">
      <w:pPr>
        <w:pStyle w:val="ListParagraph"/>
        <w:numPr>
          <w:ilvl w:val="0"/>
          <w:numId w:val="3"/>
        </w:numPr>
        <w:rPr>
          <w:strike/>
        </w:rPr>
      </w:pPr>
      <w:r w:rsidRPr="00221048">
        <w:rPr>
          <w:strike/>
        </w:rPr>
        <w:t>The</w:t>
      </w:r>
      <w:r w:rsidR="00E9171B" w:rsidRPr="00221048">
        <w:rPr>
          <w:strike/>
        </w:rPr>
        <w:t xml:space="preserve"> dismissal of </w:t>
      </w:r>
      <w:r w:rsidRPr="00221048">
        <w:rPr>
          <w:strike/>
        </w:rPr>
        <w:t xml:space="preserve">transferred </w:t>
      </w:r>
      <w:r w:rsidR="00E9171B" w:rsidRPr="00221048">
        <w:rPr>
          <w:strike/>
        </w:rPr>
        <w:t>employees cannot be purely related to the transfer and require valid reasons such as economic, technical or organisational changes.</w:t>
      </w:r>
      <w:r w:rsidR="00B728A0" w:rsidRPr="00221048">
        <w:rPr>
          <w:strike/>
        </w:rPr>
        <w:t xml:space="preserve"> This protection extends to preventing unfair dismissal claims</w:t>
      </w:r>
      <w:r w:rsidR="00CF3030" w:rsidRPr="00221048">
        <w:rPr>
          <w:strike/>
        </w:rPr>
        <w:t>.</w:t>
      </w:r>
    </w:p>
    <w:p w14:paraId="200367C2" w14:textId="57F2F5A5" w:rsidR="00C83429" w:rsidRPr="00221048" w:rsidRDefault="003C1B84" w:rsidP="001D590B">
      <w:pPr>
        <w:pStyle w:val="ListParagraph"/>
        <w:numPr>
          <w:ilvl w:val="0"/>
          <w:numId w:val="3"/>
        </w:numPr>
        <w:rPr>
          <w:strike/>
        </w:rPr>
      </w:pPr>
      <w:r w:rsidRPr="00221048">
        <w:rPr>
          <w:strike/>
        </w:rPr>
        <w:t>Both Trusts must</w:t>
      </w:r>
      <w:r w:rsidR="00B92425" w:rsidRPr="00221048">
        <w:rPr>
          <w:strike/>
        </w:rPr>
        <w:t xml:space="preserve"> consult wit</w:t>
      </w:r>
      <w:r w:rsidR="00B50CE6" w:rsidRPr="00221048">
        <w:rPr>
          <w:strike/>
        </w:rPr>
        <w:t>h</w:t>
      </w:r>
      <w:r w:rsidR="00B92425" w:rsidRPr="00221048">
        <w:rPr>
          <w:strike/>
        </w:rPr>
        <w:t xml:space="preserve"> employee </w:t>
      </w:r>
      <w:r w:rsidR="00B50CE6" w:rsidRPr="00221048">
        <w:rPr>
          <w:strike/>
        </w:rPr>
        <w:t>representatives or Trade Unions</w:t>
      </w:r>
      <w:r w:rsidR="00B92425" w:rsidRPr="00221048">
        <w:rPr>
          <w:strike/>
        </w:rPr>
        <w:t>. Failure to do this may results in legal claims</w:t>
      </w:r>
      <w:r w:rsidR="002E0D52" w:rsidRPr="00221048">
        <w:rPr>
          <w:strike/>
        </w:rPr>
        <w:t xml:space="preserve"> </w:t>
      </w:r>
      <w:r w:rsidR="00596161" w:rsidRPr="00221048">
        <w:rPr>
          <w:i/>
          <w:iCs/>
          <w:strike/>
        </w:rPr>
        <w:t>(I</w:t>
      </w:r>
      <w:r w:rsidR="004E416B" w:rsidRPr="00221048">
        <w:rPr>
          <w:i/>
          <w:iCs/>
          <w:strike/>
        </w:rPr>
        <w:t xml:space="preserve"> </w:t>
      </w:r>
      <w:r w:rsidR="00596161" w:rsidRPr="00221048">
        <w:rPr>
          <w:i/>
          <w:iCs/>
          <w:strike/>
        </w:rPr>
        <w:t>lab Facilities v. Metcalfe and other (2013)</w:t>
      </w:r>
      <w:r w:rsidR="005857BB" w:rsidRPr="00221048">
        <w:rPr>
          <w:strike/>
        </w:rPr>
        <w:t>)</w:t>
      </w:r>
      <w:r w:rsidR="00441D06" w:rsidRPr="00221048">
        <w:rPr>
          <w:strike/>
        </w:rPr>
        <w:t xml:space="preserve"> if the consultation </w:t>
      </w:r>
      <w:r w:rsidR="00E74F33" w:rsidRPr="00221048">
        <w:rPr>
          <w:strike/>
        </w:rPr>
        <w:t>does not take place or is insufficient. Following the 2014 Regulations</w:t>
      </w:r>
      <w:r w:rsidR="00FF1E19" w:rsidRPr="00221048">
        <w:rPr>
          <w:strike/>
        </w:rPr>
        <w:t xml:space="preserve">, employers can consult with employees directly if fewer than 10 employees are </w:t>
      </w:r>
      <w:r w:rsidR="00B50CE6" w:rsidRPr="00221048">
        <w:rPr>
          <w:strike/>
        </w:rPr>
        <w:t>affected.</w:t>
      </w:r>
      <w:r w:rsidR="000B25DB" w:rsidRPr="00221048">
        <w:rPr>
          <w:strike/>
        </w:rPr>
        <w:t xml:space="preserve"> During this period, information provided must include:</w:t>
      </w:r>
    </w:p>
    <w:p w14:paraId="30AACCB3" w14:textId="595B1D94" w:rsidR="000B25DB" w:rsidRPr="00221048" w:rsidRDefault="005064EA" w:rsidP="000B25DB">
      <w:pPr>
        <w:pStyle w:val="ListParagraph"/>
        <w:numPr>
          <w:ilvl w:val="2"/>
          <w:numId w:val="3"/>
        </w:numPr>
        <w:rPr>
          <w:strike/>
        </w:rPr>
      </w:pPr>
      <w:r w:rsidRPr="00221048">
        <w:rPr>
          <w:strike/>
        </w:rPr>
        <w:t>That a transfer is to take place</w:t>
      </w:r>
    </w:p>
    <w:p w14:paraId="3A9253B4" w14:textId="1078B10E" w:rsidR="005064EA" w:rsidRPr="00221048" w:rsidRDefault="005064EA" w:rsidP="000B25DB">
      <w:pPr>
        <w:pStyle w:val="ListParagraph"/>
        <w:numPr>
          <w:ilvl w:val="2"/>
          <w:numId w:val="3"/>
        </w:numPr>
        <w:rPr>
          <w:strike/>
        </w:rPr>
      </w:pPr>
      <w:r w:rsidRPr="00221048">
        <w:rPr>
          <w:strike/>
        </w:rPr>
        <w:t>The reason for the transfer and its expected date</w:t>
      </w:r>
    </w:p>
    <w:p w14:paraId="39E9FE9B" w14:textId="2EF89624" w:rsidR="005064EA" w:rsidRPr="00221048" w:rsidRDefault="005064EA" w:rsidP="000B25DB">
      <w:pPr>
        <w:pStyle w:val="ListParagraph"/>
        <w:numPr>
          <w:ilvl w:val="2"/>
          <w:numId w:val="3"/>
        </w:numPr>
        <w:rPr>
          <w:strike/>
        </w:rPr>
      </w:pPr>
      <w:r w:rsidRPr="00221048">
        <w:rPr>
          <w:strike/>
        </w:rPr>
        <w:t>The implications for the employee</w:t>
      </w:r>
    </w:p>
    <w:p w14:paraId="0AC0CEF0" w14:textId="181CB880" w:rsidR="00425640" w:rsidRPr="00221048" w:rsidRDefault="00425640" w:rsidP="000B25DB">
      <w:pPr>
        <w:pStyle w:val="ListParagraph"/>
        <w:numPr>
          <w:ilvl w:val="2"/>
          <w:numId w:val="3"/>
        </w:numPr>
        <w:rPr>
          <w:strike/>
        </w:rPr>
      </w:pPr>
      <w:r w:rsidRPr="00221048">
        <w:rPr>
          <w:strike/>
        </w:rPr>
        <w:t>The measures that the employer expects to take in relation to the employees</w:t>
      </w:r>
    </w:p>
    <w:p w14:paraId="1DD34380" w14:textId="1B3B9CA4" w:rsidR="00425640" w:rsidRPr="00221048" w:rsidRDefault="00425640" w:rsidP="000B25DB">
      <w:pPr>
        <w:pStyle w:val="ListParagraph"/>
        <w:numPr>
          <w:ilvl w:val="2"/>
          <w:numId w:val="3"/>
        </w:numPr>
        <w:rPr>
          <w:strike/>
        </w:rPr>
      </w:pPr>
      <w:r w:rsidRPr="00221048">
        <w:rPr>
          <w:strike/>
        </w:rPr>
        <w:t>The measures that the transferee expects to take in relation to the employees.</w:t>
      </w:r>
    </w:p>
    <w:p w14:paraId="70BCD2DF" w14:textId="7E11133E" w:rsidR="005B077B" w:rsidRPr="00221048" w:rsidRDefault="00492FE1" w:rsidP="001D590B">
      <w:pPr>
        <w:pStyle w:val="ListParagraph"/>
        <w:numPr>
          <w:ilvl w:val="0"/>
          <w:numId w:val="3"/>
        </w:numPr>
        <w:rPr>
          <w:strike/>
        </w:rPr>
      </w:pPr>
      <w:r w:rsidRPr="00221048">
        <w:rPr>
          <w:strike/>
        </w:rPr>
        <w:t>If a Collective Agreement with Trade Unions exist</w:t>
      </w:r>
      <w:r w:rsidR="00C90D02" w:rsidRPr="00221048">
        <w:rPr>
          <w:strike/>
        </w:rPr>
        <w:t>, these will</w:t>
      </w:r>
      <w:r w:rsidR="009B6F51" w:rsidRPr="00221048">
        <w:rPr>
          <w:strike/>
        </w:rPr>
        <w:t xml:space="preserve"> need to be honoured as they</w:t>
      </w:r>
      <w:r w:rsidR="008F6956" w:rsidRPr="00221048">
        <w:rPr>
          <w:strike/>
        </w:rPr>
        <w:t xml:space="preserve"> will</w:t>
      </w:r>
      <w:r w:rsidR="00C90D02" w:rsidRPr="00221048">
        <w:rPr>
          <w:strike/>
        </w:rPr>
        <w:t xml:space="preserve"> continue </w:t>
      </w:r>
      <w:r w:rsidR="009B6F51" w:rsidRPr="00221048">
        <w:rPr>
          <w:strike/>
        </w:rPr>
        <w:t>after the TUPE unless they are renegotiated</w:t>
      </w:r>
      <w:r w:rsidR="008F6956" w:rsidRPr="00221048">
        <w:rPr>
          <w:strike/>
        </w:rPr>
        <w:t>.</w:t>
      </w:r>
      <w:r w:rsidR="00AF49C7" w:rsidRPr="00221048">
        <w:rPr>
          <w:strike/>
        </w:rPr>
        <w:t xml:space="preserve"> This is to en</w:t>
      </w:r>
      <w:r w:rsidR="004B6C6A" w:rsidRPr="00221048">
        <w:rPr>
          <w:strike/>
        </w:rPr>
        <w:t>s</w:t>
      </w:r>
      <w:r w:rsidR="00AF49C7" w:rsidRPr="00221048">
        <w:rPr>
          <w:strike/>
        </w:rPr>
        <w:t>ure that the employee’s collective bargaining rights are protected.</w:t>
      </w:r>
    </w:p>
    <w:p w14:paraId="1E61610E" w14:textId="1EB4D951" w:rsidR="008F6956" w:rsidRPr="00221048" w:rsidRDefault="008F6956" w:rsidP="001D590B">
      <w:pPr>
        <w:pStyle w:val="ListParagraph"/>
        <w:numPr>
          <w:ilvl w:val="0"/>
          <w:numId w:val="3"/>
        </w:numPr>
        <w:rPr>
          <w:strike/>
        </w:rPr>
      </w:pPr>
      <w:r w:rsidRPr="00221048">
        <w:rPr>
          <w:strike/>
        </w:rPr>
        <w:lastRenderedPageBreak/>
        <w:t>Occupational Pension scheme</w:t>
      </w:r>
      <w:r w:rsidR="00B61629" w:rsidRPr="00221048">
        <w:rPr>
          <w:strike/>
        </w:rPr>
        <w:t>s</w:t>
      </w:r>
      <w:r w:rsidRPr="00221048">
        <w:rPr>
          <w:strike/>
        </w:rPr>
        <w:t xml:space="preserve"> do not </w:t>
      </w:r>
      <w:r w:rsidR="00B61629" w:rsidRPr="00221048">
        <w:rPr>
          <w:strike/>
        </w:rPr>
        <w:t>transfer</w:t>
      </w:r>
      <w:r w:rsidR="00C00F12" w:rsidRPr="00221048">
        <w:rPr>
          <w:strike/>
        </w:rPr>
        <w:t>. However, if an employee has a contractual obligation</w:t>
      </w:r>
      <w:r w:rsidR="0064772F" w:rsidRPr="00221048">
        <w:rPr>
          <w:strike/>
        </w:rPr>
        <w:t xml:space="preserve"> with an existing pension scheme of the employee’s choice, this will transfer. Employees may face a change</w:t>
      </w:r>
      <w:r w:rsidR="00653685" w:rsidRPr="00221048">
        <w:rPr>
          <w:strike/>
        </w:rPr>
        <w:t xml:space="preserve"> to their pension scheme unless protected.</w:t>
      </w:r>
      <w:r w:rsidR="00B61629" w:rsidRPr="00221048">
        <w:rPr>
          <w:strike/>
        </w:rPr>
        <w:t xml:space="preserve"> </w:t>
      </w:r>
    </w:p>
    <w:p w14:paraId="20EA44B7" w14:textId="6A3283E8" w:rsidR="00EB2CC7" w:rsidRPr="00221048" w:rsidRDefault="004B6C6A" w:rsidP="00EB2CC7">
      <w:pPr>
        <w:rPr>
          <w:strike/>
        </w:rPr>
      </w:pPr>
      <w:r w:rsidRPr="00221048">
        <w:rPr>
          <w:strike/>
        </w:rPr>
        <w:t>In conclusion</w:t>
      </w:r>
      <w:r w:rsidR="005068E4" w:rsidRPr="00221048">
        <w:rPr>
          <w:strike/>
        </w:rPr>
        <w:t xml:space="preserve">, TUPE legislation aims to protect all employees during a merger, preserving </w:t>
      </w:r>
      <w:r w:rsidR="00826610" w:rsidRPr="00221048">
        <w:rPr>
          <w:strike/>
        </w:rPr>
        <w:t>their rights under the same terms and conditions. I would urge that both Trusts engage in early discussion with the</w:t>
      </w:r>
      <w:r w:rsidR="00E13A0F" w:rsidRPr="00221048">
        <w:rPr>
          <w:strike/>
        </w:rPr>
        <w:t xml:space="preserve"> employees to provide a full consultation as this will ensure compliance with current legislation</w:t>
      </w:r>
      <w:r w:rsidR="0088009D" w:rsidRPr="00221048">
        <w:rPr>
          <w:strike/>
        </w:rPr>
        <w:t>.</w:t>
      </w:r>
    </w:p>
    <w:p w14:paraId="6148F382" w14:textId="43952A09" w:rsidR="0088009D" w:rsidRPr="00221048" w:rsidRDefault="0088009D" w:rsidP="00EB2CC7">
      <w:pPr>
        <w:rPr>
          <w:strike/>
        </w:rPr>
      </w:pPr>
      <w:r w:rsidRPr="00221048">
        <w:rPr>
          <w:strike/>
        </w:rPr>
        <w:t xml:space="preserve">Regards, </w:t>
      </w:r>
    </w:p>
    <w:p w14:paraId="1F459E1D" w14:textId="5BB0D0AF" w:rsidR="007061B4" w:rsidRDefault="007061B4" w:rsidP="00EB2CC7">
      <w:pPr>
        <w:rPr>
          <w:color w:val="FF0000"/>
        </w:rPr>
      </w:pPr>
      <w:r>
        <w:rPr>
          <w:color w:val="FF0000"/>
        </w:rPr>
        <w:t>Dear Colleague,</w:t>
      </w:r>
    </w:p>
    <w:p w14:paraId="7BD772F0" w14:textId="36270090" w:rsidR="007061B4" w:rsidRDefault="002A4BE8" w:rsidP="00EB2CC7">
      <w:pPr>
        <w:rPr>
          <w:color w:val="FF0000"/>
        </w:rPr>
      </w:pPr>
      <w:r>
        <w:rPr>
          <w:color w:val="FF0000"/>
        </w:rPr>
        <w:t>Than</w:t>
      </w:r>
      <w:r w:rsidR="00595B36">
        <w:rPr>
          <w:color w:val="FF0000"/>
        </w:rPr>
        <w:t>k</w:t>
      </w:r>
      <w:r>
        <w:rPr>
          <w:color w:val="FF0000"/>
        </w:rPr>
        <w:t xml:space="preserve"> you for your request for advice regarding employee rights under the Transfer of Undertakings (Protection of Employment) </w:t>
      </w:r>
      <w:r w:rsidR="000347EF">
        <w:rPr>
          <w:color w:val="FF0000"/>
        </w:rPr>
        <w:t>(amended) 2014. Given your proposed merger with the neighbouring trust to create a centralised pharmacy service, TUPE will likely be applicable, as it involve</w:t>
      </w:r>
      <w:r w:rsidR="009305AA">
        <w:rPr>
          <w:color w:val="FF0000"/>
        </w:rPr>
        <w:t>s</w:t>
      </w:r>
      <w:r w:rsidR="000347EF">
        <w:rPr>
          <w:color w:val="FF0000"/>
        </w:rPr>
        <w:t xml:space="preserve"> a transfer of services from one entity to another.</w:t>
      </w:r>
    </w:p>
    <w:p w14:paraId="755E187A" w14:textId="6F18D322" w:rsidR="000347EF" w:rsidRDefault="000347EF" w:rsidP="00EB2CC7">
      <w:pPr>
        <w:rPr>
          <w:color w:val="FF0000"/>
        </w:rPr>
      </w:pPr>
      <w:r>
        <w:rPr>
          <w:color w:val="FF0000"/>
        </w:rPr>
        <w:t>TUPE is inten</w:t>
      </w:r>
      <w:r w:rsidR="00595B36">
        <w:rPr>
          <w:color w:val="FF0000"/>
        </w:rPr>
        <w:t xml:space="preserve">ded to protect employees when the business </w:t>
      </w:r>
      <w:r w:rsidR="00140BD3">
        <w:rPr>
          <w:color w:val="FF0000"/>
        </w:rPr>
        <w:t>(</w:t>
      </w:r>
      <w:r w:rsidR="00595B36">
        <w:rPr>
          <w:color w:val="FF0000"/>
        </w:rPr>
        <w:t>or part of</w:t>
      </w:r>
      <w:r w:rsidR="00140BD3">
        <w:rPr>
          <w:color w:val="FF0000"/>
        </w:rPr>
        <w:t>)</w:t>
      </w:r>
      <w:r w:rsidR="00595B36">
        <w:rPr>
          <w:color w:val="FF0000"/>
        </w:rPr>
        <w:t xml:space="preserve"> in which they work transfers to a new </w:t>
      </w:r>
      <w:r w:rsidR="00F311C0">
        <w:rPr>
          <w:color w:val="FF0000"/>
        </w:rPr>
        <w:t>employer</w:t>
      </w:r>
      <w:r w:rsidR="00595B36">
        <w:rPr>
          <w:color w:val="FF0000"/>
        </w:rPr>
        <w:t xml:space="preserve">. This includes ensuring that </w:t>
      </w:r>
      <w:r w:rsidR="00F311C0">
        <w:rPr>
          <w:color w:val="FF0000"/>
        </w:rPr>
        <w:t>employees</w:t>
      </w:r>
      <w:r w:rsidR="00595B36">
        <w:rPr>
          <w:color w:val="FF0000"/>
        </w:rPr>
        <w:t xml:space="preserve"> are not dismissed or disadvantaged </w:t>
      </w:r>
      <w:r w:rsidR="007C4EFA">
        <w:rPr>
          <w:color w:val="FF0000"/>
        </w:rPr>
        <w:t>because of</w:t>
      </w:r>
      <w:r w:rsidR="00F311C0">
        <w:rPr>
          <w:color w:val="FF0000"/>
        </w:rPr>
        <w:t xml:space="preserve"> the transfer</w:t>
      </w:r>
      <w:r w:rsidR="006F6855">
        <w:rPr>
          <w:color w:val="FF0000"/>
        </w:rPr>
        <w:t xml:space="preserve"> (Taylor and Amir, 2019). In NHS settings, that can apply both to business transfers and service provision changes (SPC’s</w:t>
      </w:r>
      <w:r w:rsidR="007C4EFA">
        <w:rPr>
          <w:color w:val="FF0000"/>
        </w:rPr>
        <w:t>)</w:t>
      </w:r>
      <w:r w:rsidR="006F6855">
        <w:rPr>
          <w:color w:val="FF0000"/>
        </w:rPr>
        <w:t xml:space="preserve">, such as outsourcing or </w:t>
      </w:r>
      <w:r w:rsidR="007C4EFA">
        <w:rPr>
          <w:color w:val="FF0000"/>
        </w:rPr>
        <w:t>reorganisation</w:t>
      </w:r>
      <w:r w:rsidR="006F6855">
        <w:rPr>
          <w:color w:val="FF0000"/>
        </w:rPr>
        <w:t xml:space="preserve">, where a specific function or group of </w:t>
      </w:r>
      <w:r w:rsidR="007C4EFA">
        <w:rPr>
          <w:color w:val="FF0000"/>
        </w:rPr>
        <w:t>employees continue to perform the same work after the change</w:t>
      </w:r>
      <w:r w:rsidR="00E104E2">
        <w:rPr>
          <w:color w:val="FF0000"/>
        </w:rPr>
        <w:t xml:space="preserve"> (The Royal College of </w:t>
      </w:r>
      <w:r w:rsidR="004F48F0">
        <w:rPr>
          <w:color w:val="FF0000"/>
        </w:rPr>
        <w:t>N</w:t>
      </w:r>
      <w:r w:rsidR="00E104E2">
        <w:rPr>
          <w:color w:val="FF0000"/>
        </w:rPr>
        <w:t>ursing, 2015)</w:t>
      </w:r>
      <w:r w:rsidR="004F48F0">
        <w:rPr>
          <w:color w:val="FF0000"/>
        </w:rPr>
        <w:t>.</w:t>
      </w:r>
    </w:p>
    <w:p w14:paraId="1B15B3F2" w14:textId="1A127364" w:rsidR="004F48F0" w:rsidRDefault="00140BD3" w:rsidP="00EB2CC7">
      <w:pPr>
        <w:rPr>
          <w:color w:val="FF0000"/>
        </w:rPr>
      </w:pPr>
      <w:r>
        <w:rPr>
          <w:color w:val="FF0000"/>
        </w:rPr>
        <w:t>E</w:t>
      </w:r>
      <w:r w:rsidR="00182601">
        <w:rPr>
          <w:color w:val="FF0000"/>
        </w:rPr>
        <w:t xml:space="preserve">mployees assigned to the </w:t>
      </w:r>
      <w:r w:rsidR="00BC669A">
        <w:rPr>
          <w:color w:val="FF0000"/>
        </w:rPr>
        <w:t xml:space="preserve">process will automatically become employees of </w:t>
      </w:r>
      <w:r>
        <w:rPr>
          <w:color w:val="FF0000"/>
        </w:rPr>
        <w:t>o</w:t>
      </w:r>
      <w:r w:rsidR="00BC669A">
        <w:rPr>
          <w:color w:val="FF0000"/>
        </w:rPr>
        <w:t xml:space="preserve">ur Trust, on their existing terms and conditions, with continuity of employment </w:t>
      </w:r>
      <w:r w:rsidR="00E7179D">
        <w:rPr>
          <w:color w:val="FF0000"/>
        </w:rPr>
        <w:t>preserved (Regulation 4, TUPE 2026)</w:t>
      </w:r>
      <w:r w:rsidR="00E062B8">
        <w:rPr>
          <w:color w:val="FF0000"/>
        </w:rPr>
        <w:t xml:space="preserve">. This includes all contractual rights, such as pay, hours, holidays and notice periods. </w:t>
      </w:r>
      <w:r w:rsidR="00AF72AC" w:rsidRPr="00A7231C">
        <w:rPr>
          <w:i/>
          <w:iCs/>
          <w:color w:val="FF0000"/>
        </w:rPr>
        <w:t>Taylor v. Connex South Eastern Ltd (2000)</w:t>
      </w:r>
      <w:r w:rsidR="00AF72AC" w:rsidRPr="00A7231C">
        <w:rPr>
          <w:color w:val="FF0000"/>
        </w:rPr>
        <w:t xml:space="preserve"> highlighted that terms cannot be altered</w:t>
      </w:r>
      <w:r w:rsidR="00A7231C" w:rsidRPr="00A7231C">
        <w:rPr>
          <w:color w:val="FF0000"/>
        </w:rPr>
        <w:t xml:space="preserve"> without agreement without risk.</w:t>
      </w:r>
    </w:p>
    <w:p w14:paraId="7AB81ACC" w14:textId="714E8A3F" w:rsidR="0027484B" w:rsidRDefault="0027484B" w:rsidP="00EB2CC7">
      <w:pPr>
        <w:rPr>
          <w:color w:val="FF0000"/>
        </w:rPr>
      </w:pPr>
      <w:r>
        <w:rPr>
          <w:color w:val="FF0000"/>
        </w:rPr>
        <w:t>Dismissals arising directly from the transfer are considered automatically unfair unless there is an economic, technical or organisational (ETO) reason</w:t>
      </w:r>
      <w:r w:rsidR="00C8621B">
        <w:rPr>
          <w:color w:val="FF0000"/>
        </w:rPr>
        <w:t xml:space="preserve"> entailing changes in the workforce (Regulation 7). </w:t>
      </w:r>
      <w:r w:rsidR="00540DC2" w:rsidRPr="00CB365E">
        <w:rPr>
          <w:i/>
          <w:iCs/>
          <w:color w:val="FF0000"/>
        </w:rPr>
        <w:t>Li</w:t>
      </w:r>
      <w:r w:rsidR="00A73BBD" w:rsidRPr="00CB365E">
        <w:rPr>
          <w:i/>
          <w:iCs/>
          <w:color w:val="FF0000"/>
        </w:rPr>
        <w:t>tster v.</w:t>
      </w:r>
      <w:r w:rsidR="00CB365E" w:rsidRPr="00CB365E">
        <w:rPr>
          <w:i/>
          <w:iCs/>
          <w:color w:val="FF0000"/>
        </w:rPr>
        <w:t xml:space="preserve"> </w:t>
      </w:r>
      <w:r w:rsidR="00A73BBD" w:rsidRPr="00CB365E">
        <w:rPr>
          <w:i/>
          <w:iCs/>
          <w:color w:val="FF0000"/>
        </w:rPr>
        <w:t>Forth Dry Dock and Engineering Co Ltd [1989]</w:t>
      </w:r>
      <w:r w:rsidR="00CB365E" w:rsidRPr="00CB365E">
        <w:rPr>
          <w:i/>
          <w:iCs/>
          <w:color w:val="FF0000"/>
        </w:rPr>
        <w:t>,</w:t>
      </w:r>
      <w:r w:rsidR="00CB365E">
        <w:rPr>
          <w:color w:val="FF0000"/>
        </w:rPr>
        <w:t xml:space="preserve"> </w:t>
      </w:r>
      <w:r w:rsidR="00446DB0">
        <w:rPr>
          <w:color w:val="FF0000"/>
        </w:rPr>
        <w:t xml:space="preserve">highlighted that </w:t>
      </w:r>
      <w:r w:rsidR="00CB365E">
        <w:rPr>
          <w:color w:val="FF0000"/>
        </w:rPr>
        <w:t xml:space="preserve">dismissals made to avoid transferring liabilities were ruled invalid. NHS employers must ensure that any restructuring or redundancies following a TUPE transfer </w:t>
      </w:r>
      <w:r w:rsidR="000F3FAA">
        <w:rPr>
          <w:color w:val="FF0000"/>
        </w:rPr>
        <w:t>have a</w:t>
      </w:r>
      <w:r w:rsidR="00CB365E">
        <w:rPr>
          <w:color w:val="FF0000"/>
        </w:rPr>
        <w:t xml:space="preserve"> genuine operational need and carried out fairly.</w:t>
      </w:r>
    </w:p>
    <w:p w14:paraId="1E2FDD73" w14:textId="61F7F64D" w:rsidR="00CB365E" w:rsidRDefault="00E15199" w:rsidP="00EB2CC7">
      <w:pPr>
        <w:rPr>
          <w:color w:val="FF0000"/>
        </w:rPr>
      </w:pPr>
      <w:r>
        <w:rPr>
          <w:color w:val="FF0000"/>
        </w:rPr>
        <w:t>Employers are legally obliged to inform and consult with recognised trade unions or elected representatives about the transfer (Regulation 13). Information must be provided</w:t>
      </w:r>
      <w:r w:rsidR="00723753">
        <w:rPr>
          <w:color w:val="FF0000"/>
        </w:rPr>
        <w:t xml:space="preserve"> before the transfer to allow for consultation, including the date, reasons for transfer, </w:t>
      </w:r>
      <w:r w:rsidR="00F0612D">
        <w:rPr>
          <w:color w:val="FF0000"/>
        </w:rPr>
        <w:t xml:space="preserve">legal and social implications, and any envisaged measures. </w:t>
      </w:r>
      <w:r w:rsidR="003321C5">
        <w:rPr>
          <w:color w:val="FF0000"/>
        </w:rPr>
        <w:t>Failure</w:t>
      </w:r>
      <w:r w:rsidR="00F0612D">
        <w:rPr>
          <w:color w:val="FF0000"/>
        </w:rPr>
        <w:t xml:space="preserve"> to consult can leave to protective awards of up to 13 weeks’ gross pay per </w:t>
      </w:r>
      <w:r w:rsidR="00CC7E90">
        <w:rPr>
          <w:color w:val="FF0000"/>
        </w:rPr>
        <w:t xml:space="preserve">affected employee </w:t>
      </w:r>
      <w:r w:rsidR="00CC7E90" w:rsidRPr="00CC7E90">
        <w:rPr>
          <w:i/>
          <w:iCs/>
          <w:color w:val="FF0000"/>
        </w:rPr>
        <w:t>(I lab Facilities v. Metcalfe and other (2013)</w:t>
      </w:r>
      <w:r w:rsidR="00CC7E90" w:rsidRPr="00CC7E90">
        <w:rPr>
          <w:color w:val="FF0000"/>
        </w:rPr>
        <w:t>.</w:t>
      </w:r>
    </w:p>
    <w:p w14:paraId="6A758FB7" w14:textId="46BB1C64" w:rsidR="00CE09B8" w:rsidRDefault="00CE09B8" w:rsidP="00EB2CC7">
      <w:pPr>
        <w:rPr>
          <w:color w:val="FF0000"/>
        </w:rPr>
      </w:pPr>
      <w:r>
        <w:rPr>
          <w:color w:val="FF0000"/>
        </w:rPr>
        <w:t xml:space="preserve">It is worth </w:t>
      </w:r>
      <w:r w:rsidR="003321C5">
        <w:rPr>
          <w:color w:val="FF0000"/>
        </w:rPr>
        <w:t>noting</w:t>
      </w:r>
      <w:r>
        <w:rPr>
          <w:color w:val="FF0000"/>
        </w:rPr>
        <w:t xml:space="preserve"> that unilateral changes to employee contracts post-transfer are unlawful if the sole or principal reason is the transfer itself, even with employee consent </w:t>
      </w:r>
      <w:r w:rsidR="00D94573">
        <w:rPr>
          <w:color w:val="FF0000"/>
        </w:rPr>
        <w:t>(As</w:t>
      </w:r>
      <w:r w:rsidR="00CB0E1D">
        <w:rPr>
          <w:color w:val="FF0000"/>
        </w:rPr>
        <w:t>tra Emir, 2022)</w:t>
      </w:r>
      <w:r w:rsidR="003D2676">
        <w:rPr>
          <w:color w:val="FF0000"/>
        </w:rPr>
        <w:t>.</w:t>
      </w:r>
      <w:r w:rsidR="00DB7351">
        <w:rPr>
          <w:color w:val="FF0000"/>
        </w:rPr>
        <w:t xml:space="preserve"> The case of </w:t>
      </w:r>
      <w:r w:rsidR="00DD6690" w:rsidRPr="00FA75AA">
        <w:rPr>
          <w:i/>
          <w:iCs/>
          <w:color w:val="FF0000"/>
        </w:rPr>
        <w:t>The Manchester College v Hazel &amp; Anor [2013]</w:t>
      </w:r>
      <w:r w:rsidR="00DD6690">
        <w:rPr>
          <w:color w:val="FF0000"/>
        </w:rPr>
        <w:t xml:space="preserve"> </w:t>
      </w:r>
      <w:r w:rsidR="00476541">
        <w:rPr>
          <w:color w:val="FF0000"/>
        </w:rPr>
        <w:t>confirmed that harmonising terms to</w:t>
      </w:r>
      <w:r w:rsidR="00FA75AA">
        <w:rPr>
          <w:color w:val="FF0000"/>
        </w:rPr>
        <w:t xml:space="preserve"> </w:t>
      </w:r>
      <w:r w:rsidR="00476541">
        <w:rPr>
          <w:color w:val="FF0000"/>
        </w:rPr>
        <w:t>solely align with existing staff contracts</w:t>
      </w:r>
      <w:r w:rsidR="00FA75AA">
        <w:rPr>
          <w:color w:val="FF0000"/>
        </w:rPr>
        <w:t xml:space="preserve"> is not a valid reason under TUPE.</w:t>
      </w:r>
    </w:p>
    <w:p w14:paraId="1B6EA904" w14:textId="35EF8952" w:rsidR="00FA75AA" w:rsidRDefault="00FA75AA" w:rsidP="00EB2CC7">
      <w:pPr>
        <w:rPr>
          <w:color w:val="FF0000"/>
        </w:rPr>
      </w:pPr>
      <w:r>
        <w:rPr>
          <w:color w:val="FF0000"/>
        </w:rPr>
        <w:t xml:space="preserve">I recommend early engagement with stakeholders, including HR, legal advisors, and union </w:t>
      </w:r>
      <w:r w:rsidR="00021175">
        <w:rPr>
          <w:color w:val="FF0000"/>
        </w:rPr>
        <w:t>representatives</w:t>
      </w:r>
      <w:r>
        <w:rPr>
          <w:color w:val="FF0000"/>
        </w:rPr>
        <w:t xml:space="preserve">, and conducting </w:t>
      </w:r>
      <w:r w:rsidR="00021175">
        <w:rPr>
          <w:color w:val="FF0000"/>
        </w:rPr>
        <w:t xml:space="preserve">details due diligence to identify all affected employees and </w:t>
      </w:r>
      <w:r w:rsidR="00021175">
        <w:rPr>
          <w:color w:val="FF0000"/>
        </w:rPr>
        <w:lastRenderedPageBreak/>
        <w:t>contractual obligations (Armstrong</w:t>
      </w:r>
      <w:r w:rsidR="00234C3D">
        <w:rPr>
          <w:color w:val="FF0000"/>
        </w:rPr>
        <w:t xml:space="preserve"> &amp; Taylor, 2020), to support a smooth transition and minimise risk.</w:t>
      </w:r>
    </w:p>
    <w:p w14:paraId="17095627" w14:textId="216B963B" w:rsidR="00234C3D" w:rsidRDefault="00234C3D" w:rsidP="00EB2CC7">
      <w:pPr>
        <w:rPr>
          <w:color w:val="FF0000"/>
        </w:rPr>
      </w:pPr>
      <w:r>
        <w:rPr>
          <w:color w:val="FF0000"/>
        </w:rPr>
        <w:t>Regards,</w:t>
      </w:r>
    </w:p>
    <w:p w14:paraId="4CD05BE5" w14:textId="77777777" w:rsidR="007C4EFA" w:rsidRPr="007061B4" w:rsidRDefault="007C4EFA" w:rsidP="00EB2CC7">
      <w:pPr>
        <w:rPr>
          <w:color w:val="FF0000"/>
        </w:rPr>
      </w:pPr>
    </w:p>
    <w:p w14:paraId="565ADB00" w14:textId="77777777" w:rsidR="00EB2CC7" w:rsidRPr="00EB2CC7" w:rsidRDefault="00EB2CC7" w:rsidP="00EB2CC7">
      <w:pPr>
        <w:rPr>
          <w:b/>
          <w:bCs/>
        </w:rPr>
      </w:pPr>
      <w:r w:rsidRPr="00EB2CC7">
        <w:rPr>
          <w:b/>
          <w:bCs/>
        </w:rPr>
        <w:t>Email 8 (AC 4.1)</w:t>
      </w:r>
    </w:p>
    <w:p w14:paraId="02A27599" w14:textId="2ABAA531" w:rsidR="009B1E7F" w:rsidRPr="00221048" w:rsidRDefault="009B1E7F" w:rsidP="00EB2CC7">
      <w:pPr>
        <w:rPr>
          <w:strike/>
        </w:rPr>
      </w:pPr>
      <w:r w:rsidRPr="00221048">
        <w:rPr>
          <w:strike/>
        </w:rPr>
        <w:t>Dear Colleague,</w:t>
      </w:r>
    </w:p>
    <w:p w14:paraId="62465475" w14:textId="6E3F3A2D" w:rsidR="009B1E7F" w:rsidRPr="00221048" w:rsidRDefault="009B1E7F" w:rsidP="00EB2CC7">
      <w:pPr>
        <w:rPr>
          <w:strike/>
        </w:rPr>
      </w:pPr>
      <w:r w:rsidRPr="00221048">
        <w:rPr>
          <w:strike/>
        </w:rPr>
        <w:t>Following your recent request</w:t>
      </w:r>
      <w:r w:rsidR="000E6764" w:rsidRPr="00221048">
        <w:rPr>
          <w:strike/>
        </w:rPr>
        <w:t xml:space="preserve"> for guidance on the regulatory requirements for calculating holiday pay</w:t>
      </w:r>
      <w:r w:rsidR="001E3E15" w:rsidRPr="00221048">
        <w:rPr>
          <w:strike/>
        </w:rPr>
        <w:t xml:space="preserve"> for </w:t>
      </w:r>
      <w:r w:rsidR="00F1480C" w:rsidRPr="00221048">
        <w:rPr>
          <w:strike/>
        </w:rPr>
        <w:t>the casual nursing bank staff I wanted to provide you with</w:t>
      </w:r>
      <w:r w:rsidR="003D481B" w:rsidRPr="00221048">
        <w:rPr>
          <w:strike/>
        </w:rPr>
        <w:t xml:space="preserve"> a detailed response to ensure fair treatment that was in accordance with UK legislation.</w:t>
      </w:r>
    </w:p>
    <w:p w14:paraId="5E49D8F9" w14:textId="07371E43" w:rsidR="003D481B" w:rsidRPr="00221048" w:rsidRDefault="00D435C5" w:rsidP="00EB2CC7">
      <w:pPr>
        <w:rPr>
          <w:strike/>
        </w:rPr>
      </w:pPr>
      <w:r w:rsidRPr="00221048">
        <w:rPr>
          <w:strike/>
        </w:rPr>
        <w:t>The</w:t>
      </w:r>
      <w:r w:rsidR="003D481B" w:rsidRPr="00221048">
        <w:rPr>
          <w:strike/>
        </w:rPr>
        <w:t xml:space="preserve"> Working Time Regulations</w:t>
      </w:r>
      <w:r w:rsidR="00070BE8" w:rsidRPr="00221048">
        <w:rPr>
          <w:strike/>
        </w:rPr>
        <w:t xml:space="preserve"> 1998 (WTR)</w:t>
      </w:r>
      <w:r w:rsidR="00FD6976" w:rsidRPr="00221048">
        <w:rPr>
          <w:strike/>
        </w:rPr>
        <w:t xml:space="preserve"> is a statutory law covering aspects of employment including the maximum weekly working hours</w:t>
      </w:r>
      <w:r w:rsidR="006B22FB" w:rsidRPr="00221048">
        <w:rPr>
          <w:strike/>
        </w:rPr>
        <w:t>, rest during the working day, special arrangements</w:t>
      </w:r>
      <w:r w:rsidR="00F82394" w:rsidRPr="00221048">
        <w:rPr>
          <w:strike/>
        </w:rPr>
        <w:t xml:space="preserve"> regarding emergencies, specific young worker rights and holiday entitlement.</w:t>
      </w:r>
    </w:p>
    <w:p w14:paraId="112B4C1E" w14:textId="16010ACB" w:rsidR="00F82394" w:rsidRPr="00221048" w:rsidRDefault="00F82394" w:rsidP="00EB2CC7">
      <w:pPr>
        <w:rPr>
          <w:strike/>
        </w:rPr>
      </w:pPr>
      <w:r w:rsidRPr="00221048">
        <w:rPr>
          <w:strike/>
        </w:rPr>
        <w:t>All workers have the right to ‘statutory annual leave’</w:t>
      </w:r>
      <w:r w:rsidR="009470B6" w:rsidRPr="00221048">
        <w:rPr>
          <w:strike/>
        </w:rPr>
        <w:t xml:space="preserve"> regardless of them being full time, part time, or under a zero-hour contract. The number of days they accrue vary on the number of days or hours they work and any </w:t>
      </w:r>
      <w:r w:rsidR="00D74083" w:rsidRPr="00221048">
        <w:rPr>
          <w:strike/>
        </w:rPr>
        <w:t>additional agreements in place with their employer.</w:t>
      </w:r>
    </w:p>
    <w:p w14:paraId="0BF4E147" w14:textId="25624A2B" w:rsidR="00EB2CC7" w:rsidRPr="00221048" w:rsidRDefault="00132B17" w:rsidP="00EB2CC7">
      <w:pPr>
        <w:rPr>
          <w:strike/>
        </w:rPr>
      </w:pPr>
      <w:r w:rsidRPr="00221048">
        <w:rPr>
          <w:strike/>
        </w:rPr>
        <w:t xml:space="preserve">All </w:t>
      </w:r>
      <w:r w:rsidR="009949F9" w:rsidRPr="00221048">
        <w:rPr>
          <w:strike/>
        </w:rPr>
        <w:t xml:space="preserve">workers are entitled to a minimum of 5.6 weeks of paid annual leave </w:t>
      </w:r>
      <w:r w:rsidR="00B27B69" w:rsidRPr="00221048">
        <w:rPr>
          <w:strike/>
        </w:rPr>
        <w:t>and is extended to casual employees providing they meet the definition of a “worker”</w:t>
      </w:r>
      <w:r w:rsidR="001D277B" w:rsidRPr="00221048">
        <w:rPr>
          <w:strike/>
        </w:rPr>
        <w:t xml:space="preserve"> under employment law </w:t>
      </w:r>
      <w:r w:rsidR="001D277B" w:rsidRPr="00221048">
        <w:rPr>
          <w:i/>
          <w:iCs/>
          <w:strike/>
        </w:rPr>
        <w:t>(</w:t>
      </w:r>
      <w:proofErr w:type="spellStart"/>
      <w:r w:rsidR="001F6E4C" w:rsidRPr="00221048">
        <w:rPr>
          <w:i/>
          <w:iCs/>
          <w:strike/>
        </w:rPr>
        <w:t>Torith</w:t>
      </w:r>
      <w:proofErr w:type="spellEnd"/>
      <w:r w:rsidR="001F6E4C" w:rsidRPr="00221048">
        <w:rPr>
          <w:i/>
          <w:iCs/>
          <w:strike/>
        </w:rPr>
        <w:t xml:space="preserve"> Ltd v. Flynn (2002</w:t>
      </w:r>
      <w:r w:rsidR="00B13C10" w:rsidRPr="00221048">
        <w:rPr>
          <w:i/>
          <w:iCs/>
          <w:strike/>
        </w:rPr>
        <w:t>))</w:t>
      </w:r>
    </w:p>
    <w:p w14:paraId="73947F4C" w14:textId="6A4E6501" w:rsidR="00CF7026" w:rsidRPr="00221048" w:rsidRDefault="00CF7026" w:rsidP="00EB2CC7">
      <w:pPr>
        <w:rPr>
          <w:strike/>
        </w:rPr>
      </w:pPr>
      <w:r w:rsidRPr="00221048">
        <w:rPr>
          <w:strike/>
        </w:rPr>
        <w:t>Workers with irregular hours we must review their average earnings over a specific period</w:t>
      </w:r>
      <w:r w:rsidR="00E26DF3" w:rsidRPr="00221048">
        <w:rPr>
          <w:strike/>
        </w:rPr>
        <w:t xml:space="preserve"> (either 52 weeks</w:t>
      </w:r>
      <w:r w:rsidR="009C0DBA" w:rsidRPr="00221048">
        <w:rPr>
          <w:strike/>
        </w:rPr>
        <w:t>, or full employment period if under 1 year)</w:t>
      </w:r>
      <w:r w:rsidR="00CA551A" w:rsidRPr="00221048">
        <w:rPr>
          <w:strike/>
        </w:rPr>
        <w:t>.</w:t>
      </w:r>
      <w:r w:rsidR="0061501E" w:rsidRPr="00221048">
        <w:rPr>
          <w:strike/>
        </w:rPr>
        <w:t xml:space="preserve"> Payments that vary according to the workers schedule </w:t>
      </w:r>
      <w:r w:rsidR="0030070C" w:rsidRPr="00221048">
        <w:rPr>
          <w:strike/>
        </w:rPr>
        <w:t>(</w:t>
      </w:r>
      <w:r w:rsidR="00365619" w:rsidRPr="00221048">
        <w:rPr>
          <w:strike/>
        </w:rPr>
        <w:t>shift premiums</w:t>
      </w:r>
      <w:r w:rsidR="0030070C" w:rsidRPr="00221048">
        <w:rPr>
          <w:strike/>
        </w:rPr>
        <w:t xml:space="preserve">) </w:t>
      </w:r>
      <w:r w:rsidR="0061501E" w:rsidRPr="00221048">
        <w:rPr>
          <w:strike/>
        </w:rPr>
        <w:t>should be included in the cal</w:t>
      </w:r>
      <w:r w:rsidR="0030070C" w:rsidRPr="00221048">
        <w:rPr>
          <w:strike/>
        </w:rPr>
        <w:t>culation of holiday pay as determined in</w:t>
      </w:r>
      <w:r w:rsidR="00B21890" w:rsidRPr="00221048">
        <w:rPr>
          <w:strike/>
        </w:rPr>
        <w:t xml:space="preserve"> </w:t>
      </w:r>
      <w:r w:rsidR="00CE1B06" w:rsidRPr="00221048">
        <w:rPr>
          <w:i/>
          <w:iCs/>
          <w:strike/>
        </w:rPr>
        <w:t>Lock v. Brit</w:t>
      </w:r>
      <w:r w:rsidR="00937399" w:rsidRPr="00221048">
        <w:rPr>
          <w:i/>
          <w:iCs/>
          <w:strike/>
        </w:rPr>
        <w:t>ish Gas Trading Ltd (2014)</w:t>
      </w:r>
      <w:r w:rsidR="00937399" w:rsidRPr="00221048">
        <w:rPr>
          <w:strike/>
        </w:rPr>
        <w:t>.</w:t>
      </w:r>
      <w:r w:rsidR="00684C92" w:rsidRPr="00221048">
        <w:rPr>
          <w:strike/>
        </w:rPr>
        <w:t xml:space="preserve"> Therefore, we must</w:t>
      </w:r>
      <w:r w:rsidR="00365619" w:rsidRPr="00221048">
        <w:rPr>
          <w:strike/>
        </w:rPr>
        <w:t xml:space="preserve"> </w:t>
      </w:r>
      <w:r w:rsidR="00B83733" w:rsidRPr="00221048">
        <w:rPr>
          <w:strike/>
        </w:rPr>
        <w:t>consider</w:t>
      </w:r>
      <w:r w:rsidR="00365619" w:rsidRPr="00221048">
        <w:rPr>
          <w:strike/>
        </w:rPr>
        <w:t xml:space="preserve"> all worked </w:t>
      </w:r>
      <w:r w:rsidR="00B83733" w:rsidRPr="00221048">
        <w:rPr>
          <w:strike/>
        </w:rPr>
        <w:t>shifts,</w:t>
      </w:r>
      <w:r w:rsidR="00365619" w:rsidRPr="00221048">
        <w:rPr>
          <w:strike/>
        </w:rPr>
        <w:t xml:space="preserve"> and any additional pay received</w:t>
      </w:r>
      <w:r w:rsidR="00B83733" w:rsidRPr="00221048">
        <w:rPr>
          <w:strike/>
        </w:rPr>
        <w:t xml:space="preserve"> when making the calculation.</w:t>
      </w:r>
    </w:p>
    <w:p w14:paraId="3190C848" w14:textId="1B6D04F4" w:rsidR="00CF7026" w:rsidRPr="00221048" w:rsidRDefault="005C16B0" w:rsidP="005C16B0">
      <w:pPr>
        <w:rPr>
          <w:strike/>
        </w:rPr>
      </w:pPr>
      <w:r w:rsidRPr="00221048">
        <w:rPr>
          <w:strike/>
        </w:rPr>
        <w:t xml:space="preserve">Starting 1 April 2024, employees will accrue holidays at 12.07% </w:t>
      </w:r>
      <w:r w:rsidR="001234B0" w:rsidRPr="00221048">
        <w:rPr>
          <w:strike/>
        </w:rPr>
        <w:t xml:space="preserve">(based on the statutory minimum holiday entitlement of 5.6 weeks) </w:t>
      </w:r>
      <w:r w:rsidRPr="00221048">
        <w:rPr>
          <w:strike/>
        </w:rPr>
        <w:t xml:space="preserve">of their hours worked per pay period, rounded to the nearest 30 minutes. Ensure discussions with employees whose leave year started before this date </w:t>
      </w:r>
      <w:r w:rsidR="00C744DF" w:rsidRPr="00221048">
        <w:rPr>
          <w:strike/>
        </w:rPr>
        <w:t>takes place</w:t>
      </w:r>
      <w:r w:rsidRPr="00221048">
        <w:rPr>
          <w:strike/>
        </w:rPr>
        <w:t>.</w:t>
      </w:r>
    </w:p>
    <w:p w14:paraId="782DCD5E" w14:textId="060AB45D" w:rsidR="0004151F" w:rsidRPr="00221048" w:rsidRDefault="00021F02" w:rsidP="005C16B0">
      <w:pPr>
        <w:rPr>
          <w:strike/>
        </w:rPr>
      </w:pPr>
      <w:r w:rsidRPr="00221048">
        <w:rPr>
          <w:strike/>
        </w:rPr>
        <w:t>To ensure fair and lawful calculations you should maintain accurate records of each worker</w:t>
      </w:r>
      <w:r w:rsidR="00287F65" w:rsidRPr="00221048">
        <w:rPr>
          <w:strike/>
        </w:rPr>
        <w:t>’s shifts</w:t>
      </w:r>
      <w:r w:rsidR="008A7B10" w:rsidRPr="00221048">
        <w:rPr>
          <w:strike/>
        </w:rPr>
        <w:t>, including the hourly or daily rates as well as any shift premiums or overtime. W</w:t>
      </w:r>
      <w:r w:rsidR="0083793A" w:rsidRPr="00221048">
        <w:rPr>
          <w:strike/>
        </w:rPr>
        <w:t>e must ensure that all calculations are based on factual, historical data</w:t>
      </w:r>
      <w:r w:rsidR="00B57B16" w:rsidRPr="00221048">
        <w:rPr>
          <w:strike/>
        </w:rPr>
        <w:t xml:space="preserve">. </w:t>
      </w:r>
    </w:p>
    <w:p w14:paraId="66BF56FF" w14:textId="6E450FBD" w:rsidR="00997B00" w:rsidRPr="00221048" w:rsidRDefault="00A40C68" w:rsidP="005C16B0">
      <w:pPr>
        <w:rPr>
          <w:strike/>
        </w:rPr>
      </w:pPr>
      <w:r w:rsidRPr="00221048">
        <w:rPr>
          <w:i/>
          <w:iCs/>
          <w:strike/>
        </w:rPr>
        <w:t>King v. Sash Windows Ltd (2017)</w:t>
      </w:r>
      <w:r w:rsidR="00997B00" w:rsidRPr="00221048">
        <w:rPr>
          <w:strike/>
        </w:rPr>
        <w:t xml:space="preserve"> </w:t>
      </w:r>
      <w:r w:rsidR="0005359E" w:rsidRPr="00221048">
        <w:rPr>
          <w:strike/>
        </w:rPr>
        <w:t>strengthened the case that hol</w:t>
      </w:r>
      <w:r w:rsidR="00A1669E" w:rsidRPr="00221048">
        <w:rPr>
          <w:strike/>
        </w:rPr>
        <w:t>i</w:t>
      </w:r>
      <w:r w:rsidR="0005359E" w:rsidRPr="00221048">
        <w:rPr>
          <w:strike/>
        </w:rPr>
        <w:t>day pay should include all renume</w:t>
      </w:r>
      <w:r w:rsidR="00A1669E" w:rsidRPr="00221048">
        <w:rPr>
          <w:strike/>
        </w:rPr>
        <w:t xml:space="preserve">ration that forms part of a worker’s regular pay unless deemed as a </w:t>
      </w:r>
      <w:r w:rsidR="00312874" w:rsidRPr="00221048">
        <w:rPr>
          <w:strike/>
        </w:rPr>
        <w:t>“one-off” or “exceptional circumstance”, therefore reflecting a worker’s usual earnings, and not just their basic hourly rate.</w:t>
      </w:r>
    </w:p>
    <w:p w14:paraId="034D3315" w14:textId="6E3CAD56" w:rsidR="00312874" w:rsidRPr="00221048" w:rsidRDefault="00312874" w:rsidP="005C16B0">
      <w:pPr>
        <w:rPr>
          <w:strike/>
        </w:rPr>
      </w:pPr>
      <w:r w:rsidRPr="00221048">
        <w:rPr>
          <w:strike/>
        </w:rPr>
        <w:t>Should you have any further questions, please contact me,</w:t>
      </w:r>
    </w:p>
    <w:p w14:paraId="34CB533C" w14:textId="184FB0DB" w:rsidR="00312874" w:rsidRPr="00221048" w:rsidRDefault="00312874" w:rsidP="005C16B0">
      <w:pPr>
        <w:rPr>
          <w:strike/>
        </w:rPr>
      </w:pPr>
      <w:r w:rsidRPr="00221048">
        <w:rPr>
          <w:strike/>
        </w:rPr>
        <w:t>Regards</w:t>
      </w:r>
    </w:p>
    <w:p w14:paraId="76E69A21" w14:textId="732C8887" w:rsidR="00CF7026" w:rsidRDefault="00666179" w:rsidP="00EB2CC7">
      <w:pPr>
        <w:rPr>
          <w:color w:val="FF0000"/>
        </w:rPr>
      </w:pPr>
      <w:r>
        <w:rPr>
          <w:color w:val="FF0000"/>
        </w:rPr>
        <w:t>Dear Colleague</w:t>
      </w:r>
      <w:r w:rsidR="004E6A12">
        <w:rPr>
          <w:color w:val="FF0000"/>
        </w:rPr>
        <w:t>,</w:t>
      </w:r>
    </w:p>
    <w:p w14:paraId="29E229E0" w14:textId="3F3F8A85" w:rsidR="004E6A12" w:rsidRDefault="00453D6C" w:rsidP="00EB2CC7">
      <w:pPr>
        <w:rPr>
          <w:color w:val="FF0000"/>
        </w:rPr>
      </w:pPr>
      <w:r>
        <w:rPr>
          <w:color w:val="FF0000"/>
        </w:rPr>
        <w:t>Thank you for your query regarding the calculation of holiday pay for nurse bank staff employed on a casual basis within your department. Ensuring holiday pay</w:t>
      </w:r>
      <w:r w:rsidR="005075EA">
        <w:rPr>
          <w:color w:val="FF0000"/>
        </w:rPr>
        <w:t xml:space="preserve"> is fair and legally compliant is </w:t>
      </w:r>
      <w:r w:rsidR="005075EA">
        <w:rPr>
          <w:color w:val="FF0000"/>
        </w:rPr>
        <w:lastRenderedPageBreak/>
        <w:t>crucial, particularly following recent developments in UK case law and updated regulatory guidance.</w:t>
      </w:r>
    </w:p>
    <w:p w14:paraId="3B7FD6EF" w14:textId="407B8B37" w:rsidR="007161CF" w:rsidRDefault="007161CF" w:rsidP="00EB2CC7">
      <w:pPr>
        <w:rPr>
          <w:color w:val="FF0000"/>
        </w:rPr>
      </w:pPr>
      <w:r>
        <w:rPr>
          <w:color w:val="FF0000"/>
        </w:rPr>
        <w:t>Under the Working Time Regulations 1998</w:t>
      </w:r>
      <w:r w:rsidR="009A2E9B">
        <w:rPr>
          <w:color w:val="FF0000"/>
        </w:rPr>
        <w:t xml:space="preserve"> (WTR 1998), all workers – including casual and bank staff </w:t>
      </w:r>
      <w:r w:rsidR="008E79CA">
        <w:rPr>
          <w:color w:val="FF0000"/>
        </w:rPr>
        <w:t>–</w:t>
      </w:r>
      <w:r w:rsidR="009A2E9B">
        <w:rPr>
          <w:color w:val="FF0000"/>
        </w:rPr>
        <w:t xml:space="preserve"> </w:t>
      </w:r>
      <w:r w:rsidR="008E79CA">
        <w:rPr>
          <w:color w:val="FF0000"/>
        </w:rPr>
        <w:t xml:space="preserve">are entitled to a minimum of 5.6 </w:t>
      </w:r>
      <w:r w:rsidR="00571A05">
        <w:rPr>
          <w:color w:val="FF0000"/>
        </w:rPr>
        <w:t>weeks</w:t>
      </w:r>
      <w:r w:rsidR="008E79CA">
        <w:rPr>
          <w:color w:val="FF0000"/>
        </w:rPr>
        <w:t xml:space="preserve"> paid annual leave each year</w:t>
      </w:r>
      <w:r w:rsidR="00A664EE">
        <w:rPr>
          <w:color w:val="FF0000"/>
        </w:rPr>
        <w:t xml:space="preserve"> 9Tayor and Amir, 2019)</w:t>
      </w:r>
      <w:r w:rsidR="008E79CA">
        <w:rPr>
          <w:color w:val="FF0000"/>
        </w:rPr>
        <w:t xml:space="preserve">. This </w:t>
      </w:r>
      <w:r w:rsidR="00571A05">
        <w:rPr>
          <w:color w:val="FF0000"/>
        </w:rPr>
        <w:t>includes</w:t>
      </w:r>
      <w:r w:rsidR="008E79CA">
        <w:rPr>
          <w:color w:val="FF0000"/>
        </w:rPr>
        <w:t xml:space="preserve"> those without fixed hours, provided they qualify as “workers” under Section 230(3)</w:t>
      </w:r>
      <w:r w:rsidR="00C025F8">
        <w:rPr>
          <w:color w:val="FF0000"/>
        </w:rPr>
        <w:t xml:space="preserve"> of the Employment Rights Act </w:t>
      </w:r>
      <w:r w:rsidR="00C025F8" w:rsidRPr="00346007">
        <w:rPr>
          <w:color w:val="FF0000"/>
        </w:rPr>
        <w:t>1996</w:t>
      </w:r>
      <w:r w:rsidR="00346007" w:rsidRPr="00346007">
        <w:rPr>
          <w:color w:val="FF0000"/>
        </w:rPr>
        <w:t xml:space="preserve"> </w:t>
      </w:r>
      <w:r w:rsidR="00346007" w:rsidRPr="00346007">
        <w:rPr>
          <w:i/>
          <w:iCs/>
          <w:color w:val="FF0000"/>
        </w:rPr>
        <w:t>(</w:t>
      </w:r>
      <w:proofErr w:type="spellStart"/>
      <w:r w:rsidR="00346007" w:rsidRPr="00346007">
        <w:rPr>
          <w:i/>
          <w:iCs/>
          <w:color w:val="FF0000"/>
        </w:rPr>
        <w:t>Torith</w:t>
      </w:r>
      <w:proofErr w:type="spellEnd"/>
      <w:r w:rsidR="00346007" w:rsidRPr="00346007">
        <w:rPr>
          <w:i/>
          <w:iCs/>
          <w:color w:val="FF0000"/>
        </w:rPr>
        <w:t xml:space="preserve"> Ltd v. Flynn (2002))</w:t>
      </w:r>
      <w:r w:rsidR="00C025F8" w:rsidRPr="00346007">
        <w:rPr>
          <w:color w:val="FF0000"/>
        </w:rPr>
        <w:t xml:space="preserve">. </w:t>
      </w:r>
      <w:r w:rsidR="00C025F8">
        <w:rPr>
          <w:color w:val="FF0000"/>
        </w:rPr>
        <w:t xml:space="preserve">The NHS </w:t>
      </w:r>
      <w:r w:rsidR="00A61B14">
        <w:rPr>
          <w:color w:val="FF0000"/>
        </w:rPr>
        <w:t>engages</w:t>
      </w:r>
      <w:r w:rsidR="00AF1ED7">
        <w:rPr>
          <w:color w:val="FF0000"/>
        </w:rPr>
        <w:t xml:space="preserve"> bank workers under “worker” contracts rather than full employment contracts, </w:t>
      </w:r>
      <w:r w:rsidR="00571A05">
        <w:rPr>
          <w:color w:val="FF0000"/>
        </w:rPr>
        <w:t>therefore falling within the scope of WTR.</w:t>
      </w:r>
    </w:p>
    <w:p w14:paraId="7633FCDB" w14:textId="5630955B" w:rsidR="00346007" w:rsidRDefault="004B3EF8" w:rsidP="00C37E8E">
      <w:pPr>
        <w:rPr>
          <w:color w:val="FF0000"/>
        </w:rPr>
      </w:pPr>
      <w:r>
        <w:rPr>
          <w:color w:val="FF0000"/>
        </w:rPr>
        <w:t>For th</w:t>
      </w:r>
      <w:r w:rsidR="00D4231F">
        <w:rPr>
          <w:color w:val="FF0000"/>
        </w:rPr>
        <w:t xml:space="preserve">ose working irregular hours or on a zero-hours basis, Regulation 16 of the WTR 1998 provides </w:t>
      </w:r>
      <w:r w:rsidR="00346007">
        <w:rPr>
          <w:color w:val="FF0000"/>
        </w:rPr>
        <w:t xml:space="preserve">that </w:t>
      </w:r>
      <w:r w:rsidR="00D4231F">
        <w:rPr>
          <w:color w:val="FF0000"/>
        </w:rPr>
        <w:t>holiday pay</w:t>
      </w:r>
      <w:r w:rsidR="00346007">
        <w:rPr>
          <w:color w:val="FF0000"/>
        </w:rPr>
        <w:t xml:space="preserve"> should reflect what the individual would have earned had they been working</w:t>
      </w:r>
      <w:r w:rsidR="00C37E8E">
        <w:rPr>
          <w:color w:val="FF0000"/>
        </w:rPr>
        <w:t xml:space="preserve">. </w:t>
      </w:r>
      <w:r w:rsidR="00D5266D" w:rsidRPr="00F72111">
        <w:rPr>
          <w:i/>
          <w:iCs/>
          <w:color w:val="FF0000"/>
        </w:rPr>
        <w:t>Harpur Trust v Brazel [2022]</w:t>
      </w:r>
      <w:r w:rsidR="00136FCE">
        <w:rPr>
          <w:color w:val="FF0000"/>
        </w:rPr>
        <w:t xml:space="preserve"> held that part-year workers must receive holiday pay based on their average </w:t>
      </w:r>
      <w:r w:rsidR="001D3BEF">
        <w:rPr>
          <w:color w:val="FF0000"/>
        </w:rPr>
        <w:t xml:space="preserve">weekly earnings, without pro-rating based on the number of weeks worked. </w:t>
      </w:r>
    </w:p>
    <w:p w14:paraId="68685924" w14:textId="77777777" w:rsidR="00656DB5" w:rsidRPr="00082A6F" w:rsidRDefault="00656DB5" w:rsidP="00656DB5">
      <w:pPr>
        <w:rPr>
          <w:color w:val="FF0000"/>
        </w:rPr>
      </w:pPr>
      <w:r w:rsidRPr="00082A6F">
        <w:rPr>
          <w:color w:val="FF0000"/>
        </w:rPr>
        <w:t>Starting 1 April 2024, employees will accrue holidays at 12.07% (based on the statutory minimum holiday entitlement of 5.6 weeks) of their hours worked per pay period, rounded to the nearest 30 minutes. Ensure discussions with employees whose leave year started before this date takes place.</w:t>
      </w:r>
    </w:p>
    <w:p w14:paraId="135B4F91" w14:textId="4EA6AF2D" w:rsidR="00633818" w:rsidRPr="00082A6F" w:rsidRDefault="00633818" w:rsidP="00656DB5">
      <w:pPr>
        <w:rPr>
          <w:color w:val="FF0000"/>
        </w:rPr>
      </w:pPr>
      <w:r w:rsidRPr="00082A6F">
        <w:rPr>
          <w:color w:val="FF0000"/>
        </w:rPr>
        <w:t xml:space="preserve">To comply with the legal standard of “normal renumeration”, </w:t>
      </w:r>
      <w:r w:rsidR="00B566B3" w:rsidRPr="00082A6F">
        <w:rPr>
          <w:color w:val="FF0000"/>
        </w:rPr>
        <w:t xml:space="preserve">case law such as </w:t>
      </w:r>
      <w:r w:rsidR="00B566B3" w:rsidRPr="00082A6F">
        <w:rPr>
          <w:i/>
          <w:iCs/>
          <w:color w:val="FF0000"/>
        </w:rPr>
        <w:t>Lock v. British Gas Trading Ltd (2014</w:t>
      </w:r>
      <w:r w:rsidR="00B566B3" w:rsidRPr="00082A6F">
        <w:rPr>
          <w:i/>
          <w:iCs/>
          <w:color w:val="FF0000"/>
        </w:rPr>
        <w:t xml:space="preserve">) </w:t>
      </w:r>
      <w:r w:rsidR="00B566B3" w:rsidRPr="00082A6F">
        <w:rPr>
          <w:color w:val="FF0000"/>
        </w:rPr>
        <w:t>established</w:t>
      </w:r>
      <w:r w:rsidR="00B379C6" w:rsidRPr="00082A6F">
        <w:rPr>
          <w:color w:val="FF0000"/>
        </w:rPr>
        <w:t xml:space="preserve"> that holiday pay must include not only base pay but also regular additional payments, such as overtime, shift premiums, and bonuses if these form part of the </w:t>
      </w:r>
      <w:r w:rsidR="009F63F8" w:rsidRPr="00082A6F">
        <w:rPr>
          <w:color w:val="FF0000"/>
        </w:rPr>
        <w:t>worker’s normal pay patterns. This has direct implications for NHS bank staff, who often receive enhancements for night shifts or weekend work</w:t>
      </w:r>
      <w:r w:rsidR="00960829" w:rsidRPr="00082A6F">
        <w:rPr>
          <w:color w:val="FF0000"/>
        </w:rPr>
        <w:t xml:space="preserve"> (NHS </w:t>
      </w:r>
      <w:proofErr w:type="spellStart"/>
      <w:r w:rsidR="00960829" w:rsidRPr="00082A6F">
        <w:rPr>
          <w:color w:val="FF0000"/>
        </w:rPr>
        <w:t>Employers,org</w:t>
      </w:r>
      <w:proofErr w:type="spellEnd"/>
      <w:r w:rsidR="00960829" w:rsidRPr="00082A6F">
        <w:rPr>
          <w:color w:val="FF0000"/>
        </w:rPr>
        <w:t>, 2023)</w:t>
      </w:r>
      <w:r w:rsidR="00551A37" w:rsidRPr="00082A6F">
        <w:rPr>
          <w:color w:val="FF0000"/>
        </w:rPr>
        <w:t>.</w:t>
      </w:r>
    </w:p>
    <w:p w14:paraId="3C3BF1F2" w14:textId="6FBF0FE1" w:rsidR="00551A37" w:rsidRDefault="00551A37" w:rsidP="00656DB5">
      <w:pPr>
        <w:rPr>
          <w:color w:val="FF0000"/>
        </w:rPr>
      </w:pPr>
      <w:r w:rsidRPr="00082A6F">
        <w:rPr>
          <w:color w:val="FF0000"/>
        </w:rPr>
        <w:t xml:space="preserve">To ensure lawful </w:t>
      </w:r>
      <w:r w:rsidR="006369D1" w:rsidRPr="00082A6F">
        <w:rPr>
          <w:color w:val="FF0000"/>
        </w:rPr>
        <w:t>holiday</w:t>
      </w:r>
      <w:r w:rsidRPr="00082A6F">
        <w:rPr>
          <w:color w:val="FF0000"/>
        </w:rPr>
        <w:t xml:space="preserve"> pay, the Trust should calculate an individual’s average earnings over the preceding 52 weeks, excluding weeks in which no work has been completed. This av</w:t>
      </w:r>
      <w:r w:rsidR="001B300B" w:rsidRPr="00082A6F">
        <w:rPr>
          <w:color w:val="FF0000"/>
        </w:rPr>
        <w:t xml:space="preserve">erage should then be </w:t>
      </w:r>
      <w:r w:rsidR="006369D1" w:rsidRPr="00082A6F">
        <w:rPr>
          <w:color w:val="FF0000"/>
        </w:rPr>
        <w:t>used to</w:t>
      </w:r>
      <w:r w:rsidR="001B300B" w:rsidRPr="00082A6F">
        <w:rPr>
          <w:color w:val="FF0000"/>
        </w:rPr>
        <w:t xml:space="preserve"> determine </w:t>
      </w:r>
      <w:r w:rsidR="006369D1" w:rsidRPr="00082A6F">
        <w:rPr>
          <w:color w:val="FF0000"/>
        </w:rPr>
        <w:t>holiday</w:t>
      </w:r>
      <w:r w:rsidR="001B300B" w:rsidRPr="00082A6F">
        <w:rPr>
          <w:color w:val="FF0000"/>
        </w:rPr>
        <w:t xml:space="preserve"> pay for each week of leave taken. Given the Harper Trust ruling, it is also advisable to </w:t>
      </w:r>
      <w:r w:rsidR="006369D1" w:rsidRPr="00082A6F">
        <w:rPr>
          <w:color w:val="FF0000"/>
        </w:rPr>
        <w:t>avoid</w:t>
      </w:r>
      <w:r w:rsidR="001B300B" w:rsidRPr="00082A6F">
        <w:rPr>
          <w:color w:val="FF0000"/>
        </w:rPr>
        <w:t xml:space="preserve"> paying rolled-up </w:t>
      </w:r>
      <w:r w:rsidR="006369D1" w:rsidRPr="00082A6F">
        <w:rPr>
          <w:color w:val="FF0000"/>
        </w:rPr>
        <w:t>holiday</w:t>
      </w:r>
      <w:r w:rsidR="00733CA6" w:rsidRPr="00082A6F">
        <w:rPr>
          <w:color w:val="FF0000"/>
        </w:rPr>
        <w:t xml:space="preserve"> pay (i.e., including holiday pay in hourly rates), which is generally considered unlawful unless clearly separated and calculated correctly</w:t>
      </w:r>
      <w:r w:rsidR="00992687" w:rsidRPr="00082A6F">
        <w:rPr>
          <w:color w:val="FF0000"/>
        </w:rPr>
        <w:t xml:space="preserve"> (ACAS, 2024)</w:t>
      </w:r>
      <w:r w:rsidR="00082A6F">
        <w:rPr>
          <w:color w:val="FF0000"/>
        </w:rPr>
        <w:t>.</w:t>
      </w:r>
    </w:p>
    <w:p w14:paraId="0F747504" w14:textId="45D59B65" w:rsidR="00945FF6" w:rsidRDefault="00A60192" w:rsidP="00656DB5">
      <w:pPr>
        <w:rPr>
          <w:color w:val="FF0000"/>
        </w:rPr>
      </w:pPr>
      <w:r>
        <w:rPr>
          <w:color w:val="FF0000"/>
        </w:rPr>
        <w:t>It is recommended that current practices are audited to ensure that bank staff receive holiday pay that reflects their actual earnings and working patterns</w:t>
      </w:r>
      <w:r w:rsidR="002A36F0">
        <w:rPr>
          <w:color w:val="FF0000"/>
        </w:rPr>
        <w:t xml:space="preserve"> (including </w:t>
      </w:r>
      <w:r w:rsidR="002A36F0" w:rsidRPr="002A36F0">
        <w:rPr>
          <w:color w:val="FF0000"/>
        </w:rPr>
        <w:t>hourly or daily rates as well as any shift premiums or overtime</w:t>
      </w:r>
      <w:r w:rsidR="002A36F0" w:rsidRPr="002A36F0">
        <w:rPr>
          <w:color w:val="FF0000"/>
        </w:rPr>
        <w:t>)</w:t>
      </w:r>
      <w:r w:rsidRPr="002A36F0">
        <w:rPr>
          <w:color w:val="FF0000"/>
        </w:rPr>
        <w:t xml:space="preserve">. </w:t>
      </w:r>
      <w:r>
        <w:rPr>
          <w:color w:val="FF0000"/>
        </w:rPr>
        <w:t>Transparent</w:t>
      </w:r>
      <w:r w:rsidR="002A36F0">
        <w:rPr>
          <w:color w:val="FF0000"/>
        </w:rPr>
        <w:t xml:space="preserve"> communications and accurate record-keeping will also help mitigate the risk of legal claims for underpayment.</w:t>
      </w:r>
    </w:p>
    <w:p w14:paraId="40370D43" w14:textId="363D7012" w:rsidR="002A36F0" w:rsidRDefault="002A36F0" w:rsidP="00656DB5">
      <w:r>
        <w:rPr>
          <w:color w:val="FF0000"/>
        </w:rPr>
        <w:t>Regards,</w:t>
      </w:r>
    </w:p>
    <w:p w14:paraId="3C2BC511" w14:textId="77777777" w:rsidR="00346007" w:rsidRPr="00346007" w:rsidRDefault="00346007" w:rsidP="00EB2CC7"/>
    <w:p w14:paraId="33086D38" w14:textId="1F452F14" w:rsidR="00393BF8" w:rsidRPr="005B6D93" w:rsidRDefault="00EB2CC7" w:rsidP="00EB2CC7">
      <w:pPr>
        <w:rPr>
          <w:b/>
          <w:bCs/>
        </w:rPr>
      </w:pPr>
      <w:r w:rsidRPr="00EB2CC7">
        <w:rPr>
          <w:b/>
          <w:bCs/>
        </w:rPr>
        <w:t>Email 9 (AC 4.2)</w:t>
      </w:r>
    </w:p>
    <w:p w14:paraId="75B06D7B" w14:textId="6D91B705" w:rsidR="00EB2CC7" w:rsidRDefault="00393BF8" w:rsidP="00EB2CC7">
      <w:r>
        <w:t>Dear Colleague</w:t>
      </w:r>
      <w:r w:rsidR="00830536">
        <w:t xml:space="preserve">, </w:t>
      </w:r>
    </w:p>
    <w:p w14:paraId="1CD0EED9" w14:textId="6EDA6FC2" w:rsidR="003C0914" w:rsidRDefault="00795AE1" w:rsidP="00795AE1">
      <w:r w:rsidRPr="00795AE1">
        <w:t>In response to your inquiry regarding the difference between maternity leave and shared parental leave (SPL), here is an overview of these two types of leave and a summary of four key differences in eligibility, duration, flexibility, and pay entitlements.</w:t>
      </w:r>
    </w:p>
    <w:p w14:paraId="139726EE" w14:textId="627E82BE" w:rsidR="00753016" w:rsidRDefault="00753016" w:rsidP="00EB2CC7">
      <w:r>
        <w:t xml:space="preserve">There are two qualifying </w:t>
      </w:r>
      <w:r w:rsidR="00D612F2">
        <w:t xml:space="preserve">criteria for statutory maternity pay and you will be classed as an employee providing you meet </w:t>
      </w:r>
      <w:r w:rsidR="007A44FF">
        <w:t>both</w:t>
      </w:r>
      <w:r w:rsidR="00D612F2">
        <w:t>:</w:t>
      </w:r>
    </w:p>
    <w:p w14:paraId="6A411A15" w14:textId="2EA22175" w:rsidR="00D612F2" w:rsidRDefault="00D612F2" w:rsidP="00D612F2">
      <w:pPr>
        <w:pStyle w:val="ListParagraph"/>
        <w:numPr>
          <w:ilvl w:val="0"/>
          <w:numId w:val="5"/>
        </w:numPr>
      </w:pPr>
      <w:r>
        <w:lastRenderedPageBreak/>
        <w:t>You have been working continuously</w:t>
      </w:r>
      <w:r w:rsidR="00B25A36">
        <w:t xml:space="preserve"> for 26 weeks for the same employer before your ‘qualifying</w:t>
      </w:r>
      <w:r w:rsidR="00C9259A">
        <w:t xml:space="preserve"> </w:t>
      </w:r>
      <w:r w:rsidR="00B25A36">
        <w:t>week</w:t>
      </w:r>
      <w:r w:rsidR="00C9259A">
        <w:t>’</w:t>
      </w:r>
    </w:p>
    <w:p w14:paraId="7D73BB0B" w14:textId="28F8AE9D" w:rsidR="00C9259A" w:rsidRDefault="00C9259A" w:rsidP="00D612F2">
      <w:pPr>
        <w:pStyle w:val="ListParagraph"/>
        <w:numPr>
          <w:ilvl w:val="0"/>
          <w:numId w:val="5"/>
        </w:numPr>
      </w:pPr>
      <w:r>
        <w:t>You earned at least £123 a week on average for 8 weeks before your 'qualifying week’ (£125 from 6 April 2025).</w:t>
      </w:r>
    </w:p>
    <w:p w14:paraId="72702BA6" w14:textId="77777777" w:rsidR="00C9259A" w:rsidRDefault="00C9259A" w:rsidP="00C9259A">
      <w:pPr>
        <w:pStyle w:val="ListParagraph"/>
        <w:ind w:left="1440"/>
      </w:pPr>
    </w:p>
    <w:p w14:paraId="5880E4CD" w14:textId="53C906F4" w:rsidR="00D05777" w:rsidRDefault="009E3E0D" w:rsidP="00D05777">
      <w:pPr>
        <w:pStyle w:val="ListParagraph"/>
        <w:numPr>
          <w:ilvl w:val="0"/>
          <w:numId w:val="4"/>
        </w:numPr>
      </w:pPr>
      <w:r>
        <w:t>Eligibility and Entitlement</w:t>
      </w:r>
    </w:p>
    <w:p w14:paraId="32353A64" w14:textId="77777777" w:rsidR="00795AE1" w:rsidRDefault="00795AE1" w:rsidP="00795AE1">
      <w:pPr>
        <w:pStyle w:val="ListParagraph"/>
        <w:numPr>
          <w:ilvl w:val="1"/>
          <w:numId w:val="4"/>
        </w:numPr>
      </w:pPr>
      <w:r w:rsidRPr="00795AE1">
        <w:t>Women are entitled to up to 52 weeks of maternity leave under the Employment Rights Act 1996, divided into 26 weeks of Ordinary Maternity Leave and 26 weeks of Additional Maternity Leave. The first 39 weeks may be paid based on eligibility.</w:t>
      </w:r>
    </w:p>
    <w:p w14:paraId="4EBA2BDF" w14:textId="54C4AF73" w:rsidR="00795AE1" w:rsidRDefault="00795AE1" w:rsidP="00795AE1">
      <w:pPr>
        <w:pStyle w:val="ListParagraph"/>
        <w:numPr>
          <w:ilvl w:val="1"/>
          <w:numId w:val="4"/>
        </w:numPr>
      </w:pPr>
      <w:r w:rsidRPr="00795AE1">
        <w:t>Shared Parental Leave allows both parents to share up to 50 weeks of leave and 37 weeks of pay after childbirth or adoption, with the option to take it concurrently or separately for greater flexibility. (ACAS, 2022)</w:t>
      </w:r>
    </w:p>
    <w:p w14:paraId="13D26A02" w14:textId="77777777" w:rsidR="005E20E8" w:rsidRDefault="005E20E8" w:rsidP="005E20E8">
      <w:pPr>
        <w:pStyle w:val="ListParagraph"/>
        <w:numPr>
          <w:ilvl w:val="0"/>
          <w:numId w:val="4"/>
        </w:numPr>
      </w:pPr>
      <w:r>
        <w:t>Duration and Flexibility</w:t>
      </w:r>
    </w:p>
    <w:p w14:paraId="57BAA644" w14:textId="77777777" w:rsidR="005C1E37" w:rsidRDefault="005E20E8" w:rsidP="005E20E8">
      <w:pPr>
        <w:pStyle w:val="ListParagraph"/>
        <w:numPr>
          <w:ilvl w:val="1"/>
          <w:numId w:val="4"/>
        </w:numPr>
      </w:pPr>
      <w:r>
        <w:t>Maternity leave is non-transferable</w:t>
      </w:r>
      <w:r w:rsidR="00920415">
        <w:t xml:space="preserve"> and is purely for the mother for the purpose of childbirth and beyond. The aim is to support the recovery from childbirth and provide bonding time</w:t>
      </w:r>
      <w:r w:rsidR="005C1E37">
        <w:t>.</w:t>
      </w:r>
    </w:p>
    <w:p w14:paraId="41A82C40" w14:textId="58EAFF0A" w:rsidR="009352BF" w:rsidRDefault="005C1E37" w:rsidP="009352BF">
      <w:pPr>
        <w:pStyle w:val="ListParagraph"/>
        <w:numPr>
          <w:ilvl w:val="1"/>
          <w:numId w:val="4"/>
        </w:numPr>
      </w:pPr>
      <w:r>
        <w:t>SPL has increased flexibility</w:t>
      </w:r>
      <w:r w:rsidR="000604CF">
        <w:t xml:space="preserve"> allowing both parents to take leave as stated above</w:t>
      </w:r>
      <w:r w:rsidR="00546D45">
        <w:t>. The leave must be taken within one year of the child’s birth or adoption</w:t>
      </w:r>
      <w:r w:rsidR="008F050B">
        <w:t>.</w:t>
      </w:r>
    </w:p>
    <w:p w14:paraId="2213CB54" w14:textId="5A8FA342" w:rsidR="009352BF" w:rsidRDefault="007E2700" w:rsidP="009352BF">
      <w:pPr>
        <w:pStyle w:val="ListParagraph"/>
        <w:numPr>
          <w:ilvl w:val="0"/>
          <w:numId w:val="4"/>
        </w:numPr>
      </w:pPr>
      <w:r>
        <w:t>Pay During Leave</w:t>
      </w:r>
    </w:p>
    <w:p w14:paraId="1A383273" w14:textId="4B398224" w:rsidR="007E2700" w:rsidRDefault="00770F63" w:rsidP="007E2700">
      <w:pPr>
        <w:pStyle w:val="ListParagraph"/>
        <w:numPr>
          <w:ilvl w:val="1"/>
          <w:numId w:val="4"/>
        </w:numPr>
      </w:pPr>
      <w:r>
        <w:t>Statutory</w:t>
      </w:r>
      <w:r w:rsidR="005360B3">
        <w:t xml:space="preserve"> maternity pay is available for up to 39 weeks, with the first 6 weeks paid at 90% of the average weekly earnings, and the remaining 33 weeks paid at </w:t>
      </w:r>
      <w:r w:rsidR="005F0A7D">
        <w:t>£184.03 per week (£187.18 from 6 April 2025)</w:t>
      </w:r>
      <w:r w:rsidR="00421CB2">
        <w:t xml:space="preserve"> or 90% of your weekly earnings (whichever is lower).</w:t>
      </w:r>
    </w:p>
    <w:p w14:paraId="58C67124" w14:textId="112021C7" w:rsidR="005360B3" w:rsidRDefault="005360B3" w:rsidP="007E2700">
      <w:pPr>
        <w:pStyle w:val="ListParagraph"/>
        <w:numPr>
          <w:ilvl w:val="1"/>
          <w:numId w:val="4"/>
        </w:numPr>
      </w:pPr>
      <w:r>
        <w:t>The pay for SPL</w:t>
      </w:r>
      <w:r w:rsidR="00A8383F">
        <w:t xml:space="preserve"> is Statutory Shared Parental Pay (</w:t>
      </w:r>
      <w:proofErr w:type="spellStart"/>
      <w:r w:rsidR="00A8383F">
        <w:t>ShPP</w:t>
      </w:r>
      <w:proofErr w:type="spellEnd"/>
      <w:r w:rsidR="00A8383F">
        <w:t xml:space="preserve">). This is capped for up to 37 weeks. The first 6 weeks </w:t>
      </w:r>
      <w:r w:rsidR="000B305C">
        <w:t>are paid at £156.66 per week, or 90% of the parents average weekly earnings, whichever is lower</w:t>
      </w:r>
      <w:r w:rsidR="00230091">
        <w:t xml:space="preserve"> (</w:t>
      </w:r>
      <w:r w:rsidR="00230091" w:rsidRPr="00230091">
        <w:t>Gov.UK, 2024</w:t>
      </w:r>
      <w:r w:rsidR="00230091">
        <w:t>).</w:t>
      </w:r>
    </w:p>
    <w:p w14:paraId="282024D3" w14:textId="37D0193E" w:rsidR="00E64AB5" w:rsidRDefault="00E64AB5" w:rsidP="00E64AB5">
      <w:pPr>
        <w:pStyle w:val="ListParagraph"/>
        <w:numPr>
          <w:ilvl w:val="0"/>
          <w:numId w:val="4"/>
        </w:numPr>
      </w:pPr>
      <w:r>
        <w:t>Recent developments</w:t>
      </w:r>
      <w:r>
        <w:tab/>
      </w:r>
    </w:p>
    <w:p w14:paraId="400FE4E5" w14:textId="722E1F68" w:rsidR="007D70FA" w:rsidRDefault="007D70FA" w:rsidP="007D70FA">
      <w:pPr>
        <w:pStyle w:val="ListParagraph"/>
        <w:numPr>
          <w:ilvl w:val="1"/>
          <w:numId w:val="4"/>
        </w:numPr>
      </w:pPr>
      <w:r>
        <w:t xml:space="preserve">The case of </w:t>
      </w:r>
      <w:r w:rsidRPr="00795AE1">
        <w:rPr>
          <w:i/>
          <w:iCs/>
        </w:rPr>
        <w:t xml:space="preserve">Ali v Capita Customer Management Ltd </w:t>
      </w:r>
      <w:r w:rsidR="00621364" w:rsidRPr="00795AE1">
        <w:rPr>
          <w:i/>
          <w:iCs/>
        </w:rPr>
        <w:t>(2019)</w:t>
      </w:r>
      <w:r w:rsidR="00621364">
        <w:t xml:space="preserve"> found that </w:t>
      </w:r>
      <w:r w:rsidR="000E75CC">
        <w:t xml:space="preserve">it was not unlawful to </w:t>
      </w:r>
      <w:r w:rsidR="00DC79BC">
        <w:t>for men to be paid less on shared parental leave than women on maternity leave</w:t>
      </w:r>
      <w:r w:rsidR="00A7679E">
        <w:t xml:space="preserve"> and is not unlawful direct sex discrimination.</w:t>
      </w:r>
      <w:r w:rsidR="00B80BF3">
        <w:t xml:space="preserve"> </w:t>
      </w:r>
    </w:p>
    <w:p w14:paraId="3F42998F" w14:textId="3023BAF4" w:rsidR="00F37CC8" w:rsidRDefault="007A44FF" w:rsidP="00F37CC8">
      <w:r w:rsidRPr="007A44FF">
        <w:t>This information may assist with decisions about maternity or shared parental leave. Note that a minimum of 2 weeks leave is required following the birth of a child, and maternity pay remains unchanged regardless of multiple births, such as twins.</w:t>
      </w:r>
    </w:p>
    <w:p w14:paraId="00FFBC70" w14:textId="75AB0999" w:rsidR="00F37CC8" w:rsidRDefault="00F37CC8" w:rsidP="00F37CC8">
      <w:r>
        <w:t xml:space="preserve">Regards, </w:t>
      </w:r>
    </w:p>
    <w:p w14:paraId="6AA616A1" w14:textId="77777777" w:rsidR="009873F1" w:rsidRDefault="009873F1" w:rsidP="009873F1"/>
    <w:p w14:paraId="0B35E854" w14:textId="57F68D27" w:rsidR="00962D33" w:rsidRPr="005B6D93" w:rsidRDefault="00EB2CC7" w:rsidP="00EB2CC7">
      <w:pPr>
        <w:rPr>
          <w:b/>
          <w:bCs/>
        </w:rPr>
      </w:pPr>
      <w:r w:rsidRPr="00EB2CC7">
        <w:rPr>
          <w:b/>
          <w:bCs/>
        </w:rPr>
        <w:t>Email 10 (AC 4.3)</w:t>
      </w:r>
    </w:p>
    <w:p w14:paraId="66A285A2" w14:textId="085AAAC4" w:rsidR="00962D33" w:rsidRDefault="00962D33" w:rsidP="00EB2CC7">
      <w:r>
        <w:t xml:space="preserve">Dear Colleague, </w:t>
      </w:r>
    </w:p>
    <w:p w14:paraId="0ABC00AF" w14:textId="45342E53" w:rsidR="00962D33" w:rsidRDefault="00BC7191" w:rsidP="00EB2CC7">
      <w:r>
        <w:t>Thank you for bringing the</w:t>
      </w:r>
      <w:r w:rsidR="00BF6629">
        <w:t xml:space="preserve"> letter</w:t>
      </w:r>
      <w:r>
        <w:t xml:space="preserve"> f</w:t>
      </w:r>
      <w:r w:rsidR="00E0638A">
        <w:t xml:space="preserve">rom the new </w:t>
      </w:r>
      <w:r w:rsidR="00BF6629">
        <w:t>administrative officer</w:t>
      </w:r>
      <w:r w:rsidR="008E66F0">
        <w:t xml:space="preserve"> requesting </w:t>
      </w:r>
      <w:r>
        <w:t xml:space="preserve">flexible working </w:t>
      </w:r>
      <w:r w:rsidR="008E66F0">
        <w:t xml:space="preserve">to my attention. I understand your concerns </w:t>
      </w:r>
      <w:r w:rsidR="0022590D">
        <w:t>regarding this request</w:t>
      </w:r>
      <w:r w:rsidR="00BE0FAD">
        <w:t>, particularly in relation to additional requests from other members of the team and how this may impact on the effectiveness in the quality of the service the team provide.</w:t>
      </w:r>
    </w:p>
    <w:p w14:paraId="79653CD1" w14:textId="0AF1CD6A" w:rsidR="00EB1D54" w:rsidRDefault="001E4B3A" w:rsidP="00EB2CC7">
      <w:r>
        <w:t xml:space="preserve">Under the Employment Rights Act 1996 and </w:t>
      </w:r>
      <w:r w:rsidR="00F31B1C">
        <w:t>t</w:t>
      </w:r>
      <w:r>
        <w:t>he Flexible Working Regulations 2014</w:t>
      </w:r>
      <w:r w:rsidR="00843D60">
        <w:t>, all employees have the legal right to make a flexible working request</w:t>
      </w:r>
      <w:r w:rsidR="00F41FED">
        <w:t xml:space="preserve"> </w:t>
      </w:r>
      <w:r w:rsidR="00AE3F6A">
        <w:t xml:space="preserve">from day one of employment, </w:t>
      </w:r>
      <w:r w:rsidR="00F41FED">
        <w:lastRenderedPageBreak/>
        <w:t>providing that they are an employee and have not</w:t>
      </w:r>
      <w:r w:rsidR="00AE3F6A">
        <w:t xml:space="preserve"> </w:t>
      </w:r>
      <w:r w:rsidR="00F41FED">
        <w:t>made two flexible working requests during the last 12 months.</w:t>
      </w:r>
      <w:r w:rsidR="00DF3938">
        <w:t xml:space="preserve"> Previously, employees must have completed at least 26 week</w:t>
      </w:r>
      <w:r w:rsidR="003B510D">
        <w:t>s employment before making a request for flexible working, which was limited to one request per 12 months period</w:t>
      </w:r>
      <w:r w:rsidR="00D3782C">
        <w:t xml:space="preserve"> (</w:t>
      </w:r>
      <w:r w:rsidR="000E5400">
        <w:t>ACAS</w:t>
      </w:r>
      <w:r w:rsidR="00D3782C">
        <w:t>, 2024)</w:t>
      </w:r>
      <w:r w:rsidR="00167042">
        <w:t>.</w:t>
      </w:r>
    </w:p>
    <w:p w14:paraId="167060E1" w14:textId="14A9FEEC" w:rsidR="00B165CE" w:rsidRDefault="00B165CE" w:rsidP="00EB2CC7">
      <w:r>
        <w:t xml:space="preserve">Although the right to request exists, it does not </w:t>
      </w:r>
      <w:r w:rsidR="00011715">
        <w:t>guarantee that the request will be permitted</w:t>
      </w:r>
      <w:r w:rsidR="00B72D38">
        <w:t>, however, we must give the request consideration and provide a response within 2 months</w:t>
      </w:r>
      <w:r w:rsidR="0012544A">
        <w:t xml:space="preserve">. A refusal to allow the arrangement must be based on specific, valid </w:t>
      </w:r>
      <w:r w:rsidR="006712A9">
        <w:t>reasons such as the needs of the business, cost implications, or the inability to reorganise work</w:t>
      </w:r>
      <w:r w:rsidR="008F6332">
        <w:t>, inability to recruit</w:t>
      </w:r>
      <w:r w:rsidR="00C2302B">
        <w:t>, detrimental impacts on quality or performance or planned changes</w:t>
      </w:r>
      <w:r w:rsidR="001D6AAD">
        <w:t xml:space="preserve"> (Employment Rights Act 1996).</w:t>
      </w:r>
    </w:p>
    <w:p w14:paraId="2583128A" w14:textId="13C3ECC2" w:rsidR="001D6AAD" w:rsidRDefault="00A47E82" w:rsidP="00EB2CC7">
      <w:r>
        <w:t>Rejecting the request</w:t>
      </w:r>
      <w:r w:rsidR="00E656B0">
        <w:t xml:space="preserve"> based on your current assumptions would not be sufficient reason and the Equality</w:t>
      </w:r>
      <w:r w:rsidR="00CF42E8">
        <w:t xml:space="preserve"> Act 2010 also supports the importance of considering flexible working requests if they are linked to the employee’s personal circumstances</w:t>
      </w:r>
      <w:r w:rsidR="00A05D76">
        <w:t xml:space="preserve"> and could lead to indirect discrimination if not managed properly</w:t>
      </w:r>
      <w:r w:rsidR="0018213F">
        <w:t xml:space="preserve"> such as </w:t>
      </w:r>
      <w:r w:rsidR="0018213F" w:rsidRPr="00D25A2B">
        <w:rPr>
          <w:i/>
          <w:iCs/>
        </w:rPr>
        <w:t>Thompson v</w:t>
      </w:r>
      <w:r w:rsidR="00AD28E7" w:rsidRPr="00D25A2B">
        <w:rPr>
          <w:i/>
          <w:iCs/>
        </w:rPr>
        <w:t xml:space="preserve">. </w:t>
      </w:r>
      <w:proofErr w:type="spellStart"/>
      <w:r w:rsidR="00AD28E7" w:rsidRPr="00D25A2B">
        <w:rPr>
          <w:i/>
          <w:iCs/>
        </w:rPr>
        <w:t>Scancrown</w:t>
      </w:r>
      <w:proofErr w:type="spellEnd"/>
      <w:r w:rsidR="00AD28E7" w:rsidRPr="00D25A2B">
        <w:rPr>
          <w:i/>
          <w:iCs/>
        </w:rPr>
        <w:t xml:space="preserve"> [2019]</w:t>
      </w:r>
      <w:r w:rsidR="00A05D76" w:rsidRPr="00D25A2B">
        <w:rPr>
          <w:i/>
          <w:iCs/>
        </w:rPr>
        <w:t>.</w:t>
      </w:r>
    </w:p>
    <w:p w14:paraId="2E20BBAE" w14:textId="76D7A2B6" w:rsidR="006677B1" w:rsidRDefault="00462934" w:rsidP="00462934">
      <w:r w:rsidRPr="00462934">
        <w:t xml:space="preserve">In </w:t>
      </w:r>
      <w:r w:rsidRPr="00D25A2B">
        <w:rPr>
          <w:i/>
          <w:iCs/>
        </w:rPr>
        <w:t>Morsing v. Howden Joinery Group plc [2024],</w:t>
      </w:r>
      <w:r w:rsidRPr="00462934">
        <w:t xml:space="preserve"> the tribunal backed the manager's concerns about increased remote work affecting quality and customer demand. The manager argued that more office presence would enhance response times and collaboration. This case highlights the need to balance employee preferences with organizational requirements, justifying the rejection of the request.</w:t>
      </w:r>
    </w:p>
    <w:p w14:paraId="7D5896E3" w14:textId="4EC61D10" w:rsidR="00A66C60" w:rsidRDefault="00F05DE9" w:rsidP="00F05DE9">
      <w:r w:rsidRPr="00F05DE9">
        <w:t>If the role requires office presence, you may refuse but must give valid reasons and time for consideration. In Webster v. Princes Soft Drinks [2005], the tribunal noted that employers should bear some costs and inefficiencies to improve family-friendly policies.</w:t>
      </w:r>
    </w:p>
    <w:p w14:paraId="44228D77" w14:textId="74E45FCD" w:rsidR="00967245" w:rsidRDefault="00967245" w:rsidP="00462934">
      <w:r>
        <w:t xml:space="preserve">Given the range of legal cases, I would suggest additional </w:t>
      </w:r>
      <w:r w:rsidR="00596A6E">
        <w:t>investigation and discussion around the administrative officer’s role and any potential impact on the team</w:t>
      </w:r>
      <w:r w:rsidR="00C3543D">
        <w:t>. A compromise around a hybrid working model for a trial period may be explored further.</w:t>
      </w:r>
    </w:p>
    <w:p w14:paraId="5CA4A68B" w14:textId="6D90DF85" w:rsidR="00C2302B" w:rsidRDefault="00C2302B" w:rsidP="00462934">
      <w:r>
        <w:t xml:space="preserve">I look forward to hearing from you, </w:t>
      </w:r>
    </w:p>
    <w:p w14:paraId="634933B8" w14:textId="225E8094" w:rsidR="00EB2CC7" w:rsidRPr="00EB2CC7" w:rsidRDefault="00C2302B" w:rsidP="00EB2CC7">
      <w:r>
        <w:t xml:space="preserve">Regards, </w:t>
      </w:r>
    </w:p>
    <w:p w14:paraId="0A51F303" w14:textId="77777777" w:rsidR="00EB2CC7" w:rsidRDefault="00EB2CC7" w:rsidP="00EB2CC7"/>
    <w:p w14:paraId="24230C5D" w14:textId="77777777" w:rsidR="003067B5" w:rsidRDefault="003067B5" w:rsidP="00EB2CC7"/>
    <w:p w14:paraId="1FDA0B06" w14:textId="77777777" w:rsidR="003067B5" w:rsidRDefault="003067B5" w:rsidP="00EB2CC7"/>
    <w:p w14:paraId="7D99630B" w14:textId="77777777" w:rsidR="005E61AA" w:rsidRDefault="005E61AA" w:rsidP="00EB2CC7"/>
    <w:p w14:paraId="5570B530" w14:textId="77777777" w:rsidR="005E61AA" w:rsidRDefault="005E61AA" w:rsidP="00EB2CC7"/>
    <w:p w14:paraId="3FED0AC4" w14:textId="77777777" w:rsidR="005E61AA" w:rsidRDefault="005E61AA" w:rsidP="00EB2CC7"/>
    <w:p w14:paraId="66EC748F" w14:textId="77777777" w:rsidR="005E61AA" w:rsidRDefault="005E61AA" w:rsidP="00EB2CC7"/>
    <w:p w14:paraId="7FE8F733" w14:textId="77777777" w:rsidR="005E61AA" w:rsidRDefault="005E61AA" w:rsidP="00EB2CC7"/>
    <w:p w14:paraId="3603692A" w14:textId="77777777" w:rsidR="005E61AA" w:rsidRDefault="005E61AA" w:rsidP="00EB2CC7"/>
    <w:p w14:paraId="29BE816C" w14:textId="27605757" w:rsidR="003067B5" w:rsidRPr="005E61AA" w:rsidRDefault="003067B5" w:rsidP="005E61AA">
      <w:pPr>
        <w:jc w:val="center"/>
        <w:rPr>
          <w:b/>
          <w:bCs/>
          <w:u w:val="single"/>
        </w:rPr>
      </w:pPr>
      <w:r w:rsidRPr="005E61AA">
        <w:rPr>
          <w:b/>
          <w:bCs/>
          <w:u w:val="single"/>
        </w:rPr>
        <w:t>References</w:t>
      </w:r>
    </w:p>
    <w:p w14:paraId="3ECD5D6C" w14:textId="77777777" w:rsidR="003067B5" w:rsidRDefault="003067B5" w:rsidP="00EB2CC7"/>
    <w:p w14:paraId="00029734" w14:textId="77777777" w:rsidR="00D0775B" w:rsidRPr="00601E34" w:rsidRDefault="00D0775B" w:rsidP="00D0775B">
      <w:pPr>
        <w:rPr>
          <w:color w:val="FF0000"/>
        </w:rPr>
      </w:pPr>
      <w:r w:rsidRPr="00601E34">
        <w:rPr>
          <w:color w:val="FF0000"/>
        </w:rPr>
        <w:lastRenderedPageBreak/>
        <w:t>ACAS (2020). </w:t>
      </w:r>
      <w:r w:rsidRPr="00601E34">
        <w:rPr>
          <w:i/>
          <w:iCs/>
          <w:color w:val="FF0000"/>
        </w:rPr>
        <w:t>Redundancy</w:t>
      </w:r>
      <w:r w:rsidRPr="00601E34">
        <w:rPr>
          <w:color w:val="FF0000"/>
        </w:rPr>
        <w:t>. [online] Acas.org.uk. Available at: https://www.acas.org.uk/redundancy.</w:t>
      </w:r>
    </w:p>
    <w:p w14:paraId="7E6F5B63" w14:textId="77777777" w:rsidR="00D0775B" w:rsidRPr="0081087F" w:rsidRDefault="00D0775B" w:rsidP="00D0775B">
      <w:r w:rsidRPr="0081087F">
        <w:t xml:space="preserve">ACAS (2022). Shared Parental Leave and Pay | </w:t>
      </w:r>
      <w:proofErr w:type="spellStart"/>
      <w:r w:rsidRPr="0081087F">
        <w:t>Acas</w:t>
      </w:r>
      <w:proofErr w:type="spellEnd"/>
      <w:r w:rsidRPr="0081087F">
        <w:t>. [online] www.acas.org.uk. Available at: https://www.acas.org.uk/shared-parental-leave-and-pay.</w:t>
      </w:r>
    </w:p>
    <w:p w14:paraId="1111D955" w14:textId="77777777" w:rsidR="00D0775B" w:rsidRPr="00E54E2A" w:rsidRDefault="00D0775B" w:rsidP="00D0775B">
      <w:r w:rsidRPr="00892EDE">
        <w:t>‌</w:t>
      </w:r>
      <w:r w:rsidRPr="00E54E2A">
        <w:t xml:space="preserve">ACAS (2023). Working out maternity pay | </w:t>
      </w:r>
      <w:proofErr w:type="spellStart"/>
      <w:r w:rsidRPr="00E54E2A">
        <w:t>Acas</w:t>
      </w:r>
      <w:proofErr w:type="spellEnd"/>
      <w:r w:rsidRPr="00E54E2A">
        <w:t>. [online] www.acas.org.uk. Available at: https://www.acas.org.uk/your-maternity-leave-pay-and-other-rights/working-out-maternity-pay.</w:t>
      </w:r>
    </w:p>
    <w:p w14:paraId="74CB5696" w14:textId="77777777" w:rsidR="00D0775B" w:rsidRPr="00E54E2A" w:rsidRDefault="00D0775B" w:rsidP="00D0775B">
      <w:r w:rsidRPr="00E54E2A">
        <w:t xml:space="preserve">ACAS (2024). Building up holiday - Irregular hours and part-year workers. [online] </w:t>
      </w:r>
      <w:proofErr w:type="spellStart"/>
      <w:r w:rsidRPr="00E54E2A">
        <w:t>Acas</w:t>
      </w:r>
      <w:proofErr w:type="spellEnd"/>
      <w:r w:rsidRPr="00E54E2A">
        <w:t>. Available at: https://www.acas.org.uk/irregular-hours-and-part-year-workers.</w:t>
      </w:r>
    </w:p>
    <w:p w14:paraId="37C5A7FC" w14:textId="77777777" w:rsidR="00D0775B" w:rsidRPr="00DC2EA8" w:rsidRDefault="00D0775B" w:rsidP="00D0775B">
      <w:r w:rsidRPr="00DC2EA8">
        <w:t xml:space="preserve">ACAS (2024). Flexible working | </w:t>
      </w:r>
      <w:proofErr w:type="spellStart"/>
      <w:r w:rsidRPr="00DC2EA8">
        <w:t>Acas</w:t>
      </w:r>
      <w:proofErr w:type="spellEnd"/>
      <w:r w:rsidRPr="00DC2EA8">
        <w:t>. [online] www.acas.org.uk. Available at: https://www.acas.org.uk/flexible-working.</w:t>
      </w:r>
    </w:p>
    <w:p w14:paraId="34CA532D" w14:textId="77777777" w:rsidR="00D0775B" w:rsidRPr="00E54E2A" w:rsidRDefault="00D0775B" w:rsidP="00D0775B">
      <w:r w:rsidRPr="00E54E2A">
        <w:t xml:space="preserve">‌ACAS (2024). What a TUPE Transfer Is - TUPE - </w:t>
      </w:r>
      <w:proofErr w:type="spellStart"/>
      <w:r w:rsidRPr="00E54E2A">
        <w:t>Acas</w:t>
      </w:r>
      <w:proofErr w:type="spellEnd"/>
      <w:r w:rsidRPr="00E54E2A">
        <w:t xml:space="preserve">. [online] </w:t>
      </w:r>
      <w:proofErr w:type="spellStart"/>
      <w:r w:rsidRPr="00E54E2A">
        <w:t>Acas</w:t>
      </w:r>
      <w:proofErr w:type="spellEnd"/>
      <w:r w:rsidRPr="00E54E2A">
        <w:t>. Available at: https://www.acas.org.uk/tupe/advice-for-employers-and-employees.</w:t>
      </w:r>
    </w:p>
    <w:p w14:paraId="50E5BD03" w14:textId="77777777" w:rsidR="00D0775B" w:rsidRPr="00892EDE" w:rsidRDefault="00D0775B" w:rsidP="00D0775B">
      <w:r w:rsidRPr="00892EDE">
        <w:t xml:space="preserve">ACAS (2024). Your maternity leave, pay and other rights | </w:t>
      </w:r>
      <w:proofErr w:type="spellStart"/>
      <w:r w:rsidRPr="00892EDE">
        <w:t>Acas</w:t>
      </w:r>
      <w:proofErr w:type="spellEnd"/>
      <w:r w:rsidRPr="00892EDE">
        <w:t>. [online] Acas.org.uk. Available at: https://www.acas.org.uk/your-maternity-leave-pay-and-other-rights.</w:t>
      </w:r>
    </w:p>
    <w:p w14:paraId="189109DD" w14:textId="77777777" w:rsidR="00D0775B" w:rsidRPr="00E54E2A" w:rsidRDefault="00D0775B" w:rsidP="00D0775B">
      <w:r w:rsidRPr="00E54E2A">
        <w:t>ACAS, 2021. TUPE – the basics. Available at: https://www.acas.org.uk/tupe [Accessed 10 March 2025].</w:t>
      </w:r>
    </w:p>
    <w:p w14:paraId="0F341ABC" w14:textId="77777777" w:rsidR="00D0775B" w:rsidRPr="001E367F" w:rsidRDefault="00D0775B" w:rsidP="00D0775B">
      <w:r w:rsidRPr="001E367F">
        <w:t>‌</w:t>
      </w:r>
      <w:r w:rsidRPr="00E54E2A">
        <w:t xml:space="preserve">Ali v Capita Customer Management Ltd [2019] EWCA </w:t>
      </w:r>
      <w:proofErr w:type="spellStart"/>
      <w:r w:rsidRPr="00E54E2A">
        <w:t>Civ</w:t>
      </w:r>
      <w:proofErr w:type="spellEnd"/>
      <w:r w:rsidRPr="00E54E2A">
        <w:t xml:space="preserve"> 900</w:t>
      </w:r>
    </w:p>
    <w:p w14:paraId="5CF261A8" w14:textId="77777777" w:rsidR="00D0775B" w:rsidRPr="00F03805" w:rsidRDefault="00D0775B" w:rsidP="00D0775B">
      <w:pPr>
        <w:rPr>
          <w:color w:val="FF0000"/>
        </w:rPr>
      </w:pPr>
      <w:r w:rsidRPr="00601E34">
        <w:rPr>
          <w:color w:val="FF0000"/>
        </w:rPr>
        <w:t>‌</w:t>
      </w:r>
      <w:r w:rsidRPr="00F03805">
        <w:rPr>
          <w:color w:val="FF0000"/>
        </w:rPr>
        <w:t>Armstrong, M. and Taylor, S. (2020). </w:t>
      </w:r>
      <w:r w:rsidRPr="00F03805">
        <w:rPr>
          <w:i/>
          <w:iCs/>
          <w:color w:val="FF0000"/>
        </w:rPr>
        <w:t>Armstrong’s Handbook of Human Resource Management Practice.</w:t>
      </w:r>
      <w:r w:rsidRPr="00F03805">
        <w:rPr>
          <w:color w:val="FF0000"/>
        </w:rPr>
        <w:t> 15th ed. London: Kogan Page.</w:t>
      </w:r>
    </w:p>
    <w:p w14:paraId="59994F2F" w14:textId="77777777" w:rsidR="00D0775B" w:rsidRPr="006801A4" w:rsidRDefault="00D0775B" w:rsidP="00D0775B">
      <w:pPr>
        <w:rPr>
          <w:color w:val="FF0000"/>
        </w:rPr>
      </w:pPr>
      <w:r w:rsidRPr="006801A4">
        <w:rPr>
          <w:color w:val="FF0000"/>
        </w:rPr>
        <w:t>Astra Emir (2022). </w:t>
      </w:r>
      <w:r w:rsidRPr="006801A4">
        <w:rPr>
          <w:i/>
          <w:iCs/>
          <w:color w:val="FF0000"/>
        </w:rPr>
        <w:t>Selwyn’s Law Of Employment.</w:t>
      </w:r>
      <w:r w:rsidRPr="006801A4">
        <w:rPr>
          <w:color w:val="FF0000"/>
        </w:rPr>
        <w:t xml:space="preserve"> 22nd ed. S.L.: Oxford </w:t>
      </w:r>
      <w:proofErr w:type="spellStart"/>
      <w:r w:rsidRPr="006801A4">
        <w:rPr>
          <w:color w:val="FF0000"/>
        </w:rPr>
        <w:t>Univ</w:t>
      </w:r>
      <w:proofErr w:type="spellEnd"/>
      <w:r w:rsidRPr="006801A4">
        <w:rPr>
          <w:color w:val="FF0000"/>
        </w:rPr>
        <w:t xml:space="preserve"> Press.</w:t>
      </w:r>
    </w:p>
    <w:p w14:paraId="697FA027" w14:textId="77777777" w:rsidR="00D0775B" w:rsidRPr="00300208" w:rsidRDefault="00D0775B" w:rsidP="00D0775B">
      <w:pPr>
        <w:rPr>
          <w:color w:val="FF0000"/>
        </w:rPr>
      </w:pPr>
      <w:r w:rsidRPr="00300208">
        <w:rPr>
          <w:color w:val="FF0000"/>
        </w:rPr>
        <w:t>Barnard, C. (2013). </w:t>
      </w:r>
      <w:r w:rsidRPr="00300208">
        <w:rPr>
          <w:i/>
          <w:iCs/>
          <w:color w:val="FF0000"/>
        </w:rPr>
        <w:t>EU employment law</w:t>
      </w:r>
      <w:r w:rsidRPr="00300208">
        <w:rPr>
          <w:color w:val="FF0000"/>
        </w:rPr>
        <w:t>. Oxford, U.K.: Oxford University Press.</w:t>
      </w:r>
    </w:p>
    <w:p w14:paraId="602FEF74" w14:textId="77777777" w:rsidR="00D0775B" w:rsidRPr="00E54E2A" w:rsidRDefault="00D0775B" w:rsidP="00D0775B">
      <w:r w:rsidRPr="00E54E2A">
        <w:t>Barrett v Enfield Borough Council [2001] 2 AC 550. Available at: https://www.bailii.org/uk/cases/UKHL/2001/43.html [Accessed 4 March 2025].</w:t>
      </w:r>
    </w:p>
    <w:p w14:paraId="2A021593" w14:textId="77777777" w:rsidR="00D0775B" w:rsidRPr="00E54E2A" w:rsidRDefault="00D0775B" w:rsidP="00D0775B">
      <w:r w:rsidRPr="00E54E2A">
        <w:t>Barton, C. (2020) Employment Law: A Practical Guide. 2nd ed. London: Routledge.</w:t>
      </w:r>
    </w:p>
    <w:p w14:paraId="2D02797A" w14:textId="77777777" w:rsidR="00D0775B" w:rsidRPr="00E54E2A" w:rsidRDefault="00D0775B" w:rsidP="00D0775B">
      <w:r w:rsidRPr="00E54E2A">
        <w:t>BEIS, 2020. Transfer of Undertakings (TUPE) – Employee Rights. Available at: https://www.gov.uk/government/collections/transfer-of-undertakings-tupe [Accessed 10 March 2025].</w:t>
      </w:r>
    </w:p>
    <w:p w14:paraId="52FB0553" w14:textId="77777777" w:rsidR="00D0775B" w:rsidRPr="00E54E2A" w:rsidRDefault="00D0775B" w:rsidP="00D0775B">
      <w:r w:rsidRPr="00E54E2A">
        <w:t>Cable &amp; Wireless plc v. Muscat [2006] ICR 975</w:t>
      </w:r>
    </w:p>
    <w:p w14:paraId="0308305A" w14:textId="77777777" w:rsidR="00D0775B" w:rsidRDefault="00D0775B" w:rsidP="00D0775B">
      <w:pPr>
        <w:rPr>
          <w:color w:val="FF0000"/>
        </w:rPr>
      </w:pPr>
      <w:r w:rsidRPr="007712AE">
        <w:rPr>
          <w:color w:val="FF0000"/>
        </w:rPr>
        <w:t>Calculating holiday entitlement for part- year and irregular hours workers Response to government consultation. (2023). Available at: https://www.nhsemployers.org/system/files/2023-03/Calculating%20holiday%20entitlement%20consultation%20response.pdf [Accessed 25 May 2025].</w:t>
      </w:r>
    </w:p>
    <w:p w14:paraId="6C338F16" w14:textId="77777777" w:rsidR="00D0775B" w:rsidRPr="00E54E2A" w:rsidRDefault="00D0775B" w:rsidP="00D0775B">
      <w:r w:rsidRPr="00E54E2A">
        <w:t>Carmichael v National Power plc [2000] IRLR 43, HL</w:t>
      </w:r>
    </w:p>
    <w:p w14:paraId="11052726" w14:textId="77777777" w:rsidR="00D0775B" w:rsidRPr="00FE0300" w:rsidRDefault="00D0775B" w:rsidP="00D0775B">
      <w:r w:rsidRPr="00FE0300">
        <w:t>Children and Families Act (2014). Children and Families Act 2014. [online] legislation.gov.uk. Available at: https://www.legislation.gov.uk/ukpga/2014/6/contents.</w:t>
      </w:r>
    </w:p>
    <w:p w14:paraId="0DBB936E" w14:textId="77777777" w:rsidR="00D0775B" w:rsidRPr="00E54E2A" w:rsidRDefault="00D0775B" w:rsidP="00D0775B">
      <w:r w:rsidRPr="00E54E2A">
        <w:lastRenderedPageBreak/>
        <w:t xml:space="preserve">Coleman v. Attridge Law [2008] EWCA </w:t>
      </w:r>
      <w:proofErr w:type="spellStart"/>
      <w:r w:rsidRPr="00E54E2A">
        <w:t>Civ</w:t>
      </w:r>
      <w:proofErr w:type="spellEnd"/>
      <w:r w:rsidRPr="00E54E2A">
        <w:t xml:space="preserve"> 1421. Available at: https://www.bailii.org/ew/cases/EWCA/Civ/2008/1421.html [Accessed 4 March 2025].</w:t>
      </w:r>
    </w:p>
    <w:p w14:paraId="7013A665" w14:textId="77777777" w:rsidR="00D0775B" w:rsidRPr="00300208" w:rsidRDefault="00D0775B" w:rsidP="00D0775B">
      <w:pPr>
        <w:rPr>
          <w:color w:val="FF0000"/>
        </w:rPr>
      </w:pPr>
      <w:r w:rsidRPr="00300208">
        <w:rPr>
          <w:color w:val="FF0000"/>
        </w:rPr>
        <w:t>‌Daniels, K. (2022). </w:t>
      </w:r>
      <w:r w:rsidRPr="00300208">
        <w:rPr>
          <w:i/>
          <w:iCs/>
          <w:color w:val="FF0000"/>
        </w:rPr>
        <w:t>Introduction to Employment Law : Fundamentals for HR and Business Students</w:t>
      </w:r>
      <w:r w:rsidRPr="00300208">
        <w:rPr>
          <w:color w:val="FF0000"/>
        </w:rPr>
        <w:t>. 6th ed. London, United Kingdom ; New York, Ny, Usa: Kogan Page Limited.</w:t>
      </w:r>
    </w:p>
    <w:p w14:paraId="3CE35CD0" w14:textId="77777777" w:rsidR="00D0775B" w:rsidRPr="00E54E2A" w:rsidRDefault="00D0775B" w:rsidP="00D0775B">
      <w:r w:rsidRPr="00E54E2A">
        <w:t>Davis, E. (2020). The European Union (Withdrawal) Act 2018: An Analysis. Oxford University Press.</w:t>
      </w:r>
    </w:p>
    <w:p w14:paraId="796C7598" w14:textId="77777777" w:rsidR="00D0775B" w:rsidRPr="00E54E2A" w:rsidRDefault="00D0775B" w:rsidP="00D0775B">
      <w:r w:rsidRPr="00E54E2A">
        <w:t>Donnelly v PQ [2023] UKET 2402650/2022</w:t>
      </w:r>
    </w:p>
    <w:p w14:paraId="50E846D9" w14:textId="77777777" w:rsidR="00D0775B" w:rsidRPr="00E54E2A" w:rsidRDefault="00D0775B" w:rsidP="00D0775B">
      <w:r w:rsidRPr="00E54E2A">
        <w:t>Employment Relations (Flexible Working) Act 2023. Available at: https://www.legislation.gov.uk/ukpga/2023/15/contents/enacted [Accessed 4 March 2025].</w:t>
      </w:r>
    </w:p>
    <w:p w14:paraId="79F2CBC5" w14:textId="77777777" w:rsidR="00D0775B" w:rsidRPr="00E54E2A" w:rsidRDefault="00D0775B" w:rsidP="00D0775B">
      <w:r w:rsidRPr="00E54E2A">
        <w:t>Employment Rights Act 1996. Available at: https://www.legislation.gov.uk/ukpga/1996/18/contents/enacted [Accessed 4 March 2025].</w:t>
      </w:r>
    </w:p>
    <w:p w14:paraId="728035B5" w14:textId="77777777" w:rsidR="00D0775B" w:rsidRPr="00E54E2A" w:rsidRDefault="00D0775B" w:rsidP="00D0775B">
      <w:r w:rsidRPr="00E54E2A">
        <w:t>Equality Act 2010. (2010). Equality Act 2010: Chapter 15. London: The Stationery Office. Available at: https://www.legislation.gov.uk/ukpga/2010/15/contents/enacted [Accessed 8 Mar. 2025].</w:t>
      </w:r>
    </w:p>
    <w:p w14:paraId="3B994562" w14:textId="77777777" w:rsidR="00D0775B" w:rsidRPr="00300208" w:rsidRDefault="00D0775B" w:rsidP="00D0775B">
      <w:pPr>
        <w:rPr>
          <w:color w:val="FF0000"/>
        </w:rPr>
      </w:pPr>
      <w:r w:rsidRPr="00300208">
        <w:rPr>
          <w:color w:val="FF0000"/>
        </w:rPr>
        <w:t>‌Ewing, K.D. (2021). The EU-UK Trade and Cooperation Agreement: Implications for ILO Standards and the European Social Charter in the United Kingdom. </w:t>
      </w:r>
      <w:r w:rsidRPr="00300208">
        <w:rPr>
          <w:i/>
          <w:iCs/>
          <w:color w:val="FF0000"/>
        </w:rPr>
        <w:t>King’s Law Journal</w:t>
      </w:r>
      <w:r w:rsidRPr="00300208">
        <w:rPr>
          <w:color w:val="FF0000"/>
        </w:rPr>
        <w:t xml:space="preserve">, pp.1–38. </w:t>
      </w:r>
      <w:proofErr w:type="spellStart"/>
      <w:r w:rsidRPr="00300208">
        <w:rPr>
          <w:color w:val="FF0000"/>
        </w:rPr>
        <w:t>doi:https</w:t>
      </w:r>
      <w:proofErr w:type="spellEnd"/>
      <w:r w:rsidRPr="00300208">
        <w:rPr>
          <w:color w:val="FF0000"/>
        </w:rPr>
        <w:t>://doi.org/10.1080/09615768.2021.1969757.</w:t>
      </w:r>
    </w:p>
    <w:p w14:paraId="02079859" w14:textId="77777777" w:rsidR="00D0775B" w:rsidRPr="00300208" w:rsidRDefault="00D0775B" w:rsidP="00D0775B">
      <w:pPr>
        <w:rPr>
          <w:color w:val="FF0000"/>
        </w:rPr>
      </w:pPr>
      <w:proofErr w:type="spellStart"/>
      <w:r w:rsidRPr="00300208">
        <w:rPr>
          <w:color w:val="FF0000"/>
        </w:rPr>
        <w:t>Fhima</w:t>
      </w:r>
      <w:proofErr w:type="spellEnd"/>
      <w:r w:rsidRPr="00300208">
        <w:rPr>
          <w:color w:val="FF0000"/>
        </w:rPr>
        <w:t xml:space="preserve"> v Travel Jigsaw Ltd [2013] </w:t>
      </w:r>
      <w:proofErr w:type="spellStart"/>
      <w:r w:rsidRPr="00300208">
        <w:rPr>
          <w:color w:val="FF0000"/>
        </w:rPr>
        <w:t>EqLR</w:t>
      </w:r>
      <w:proofErr w:type="spellEnd"/>
      <w:r w:rsidRPr="00300208">
        <w:rPr>
          <w:color w:val="FF0000"/>
        </w:rPr>
        <w:t xml:space="preserve"> 588</w:t>
      </w:r>
    </w:p>
    <w:p w14:paraId="786C3657" w14:textId="77777777" w:rsidR="00D0775B" w:rsidRPr="00300208" w:rsidRDefault="00D0775B" w:rsidP="00D0775B">
      <w:pPr>
        <w:rPr>
          <w:color w:val="FF0000"/>
        </w:rPr>
      </w:pPr>
      <w:r w:rsidRPr="00300208">
        <w:rPr>
          <w:color w:val="FF0000"/>
        </w:rPr>
        <w:t>‌First, U. (2024). </w:t>
      </w:r>
      <w:r w:rsidRPr="00300208">
        <w:rPr>
          <w:i/>
          <w:iCs/>
          <w:color w:val="FF0000"/>
        </w:rPr>
        <w:t>Practice Statement 1966</w:t>
      </w:r>
      <w:r w:rsidRPr="00300208">
        <w:rPr>
          <w:color w:val="FF0000"/>
        </w:rPr>
        <w:t>. [online] UOLLB First Class Law Notes®. Available at: https://uollb.com/blogs/uol/practice-statement-1966.</w:t>
      </w:r>
    </w:p>
    <w:p w14:paraId="6A6DA7A8" w14:textId="77777777" w:rsidR="00D0775B" w:rsidRPr="00E54E2A" w:rsidRDefault="00D0775B" w:rsidP="00D0775B">
      <w:r w:rsidRPr="00E54E2A">
        <w:t>Gibbons, M. (2017) Redundancy and Employment Law. 3rd ed. Oxford: Oxford University Press.</w:t>
      </w:r>
    </w:p>
    <w:p w14:paraId="0BC5D923" w14:textId="77777777" w:rsidR="00D0775B" w:rsidRPr="00E54E2A" w:rsidRDefault="00D0775B" w:rsidP="00D0775B">
      <w:r w:rsidRPr="0081087F">
        <w:t>‌</w:t>
      </w:r>
      <w:r w:rsidRPr="00E54E2A">
        <w:t>Gov.UK (2024). Shared Parental Leave and Pay. [online] GOV.UK. Available at: https://www.gov.uk/shared-parental-leave-and-pay/what-youll-get.</w:t>
      </w:r>
    </w:p>
    <w:p w14:paraId="4027C5EB" w14:textId="77777777" w:rsidR="00D0775B" w:rsidRPr="00E54E2A" w:rsidRDefault="00D0775B" w:rsidP="00D0775B">
      <w:r w:rsidRPr="00E54E2A">
        <w:t xml:space="preserve">GOV.UK. (2014). TUPE: guide to 2006 regulations. [online] Available at: </w:t>
      </w:r>
      <w:hyperlink r:id="rId5" w:history="1">
        <w:r w:rsidRPr="00E54E2A">
          <w:rPr>
            <w:rStyle w:val="Hyperlink"/>
          </w:rPr>
          <w:t>https://www.gov.uk/government/publications/tupe-a-guide-to-the-2006-regulations</w:t>
        </w:r>
      </w:hyperlink>
      <w:r w:rsidRPr="00E54E2A">
        <w:t>.</w:t>
      </w:r>
    </w:p>
    <w:p w14:paraId="50E096AC" w14:textId="77777777" w:rsidR="00D0775B" w:rsidRPr="00E54E2A" w:rsidRDefault="00D0775B" w:rsidP="00D0775B">
      <w:r w:rsidRPr="00E54E2A">
        <w:t>Green and Son (Castings Ltd and others v. ASTMS and AUEW (1983).</w:t>
      </w:r>
    </w:p>
    <w:p w14:paraId="53011734" w14:textId="77777777" w:rsidR="00D0775B" w:rsidRPr="006801A4" w:rsidRDefault="00D0775B" w:rsidP="00D0775B">
      <w:pPr>
        <w:rPr>
          <w:color w:val="FF0000"/>
        </w:rPr>
      </w:pPr>
      <w:r w:rsidRPr="00E205D5">
        <w:rPr>
          <w:color w:val="FF0000"/>
        </w:rPr>
        <w:t>Harpur Trust v Brazel [2022] UKSC 21</w:t>
      </w:r>
    </w:p>
    <w:p w14:paraId="6BE4141C" w14:textId="77777777" w:rsidR="00D0775B" w:rsidRPr="00300208" w:rsidRDefault="00D0775B" w:rsidP="00D0775B">
      <w:pPr>
        <w:rPr>
          <w:color w:val="FF0000"/>
        </w:rPr>
      </w:pPr>
      <w:r w:rsidRPr="00300208">
        <w:rPr>
          <w:color w:val="FF0000"/>
        </w:rPr>
        <w:t>Health and Safety at Work etc. Act 1974‌</w:t>
      </w:r>
    </w:p>
    <w:p w14:paraId="27E4576E" w14:textId="77777777" w:rsidR="00D0775B" w:rsidRPr="00300208" w:rsidRDefault="00D0775B" w:rsidP="00D0775B">
      <w:pPr>
        <w:rPr>
          <w:color w:val="FF0000"/>
        </w:rPr>
      </w:pPr>
      <w:r w:rsidRPr="00300208">
        <w:rPr>
          <w:color w:val="FF0000"/>
        </w:rPr>
        <w:t>‌Herbert Smith Freehills | Global law firm. (2024). </w:t>
      </w:r>
      <w:r w:rsidRPr="00300208">
        <w:rPr>
          <w:i/>
          <w:iCs/>
          <w:color w:val="FF0000"/>
        </w:rPr>
        <w:t>UK: Tribunal ruling limits use of market forces as defence to equal pay claims | Herbert Smith Freehills | Global law firm</w:t>
      </w:r>
      <w:r w:rsidRPr="00300208">
        <w:rPr>
          <w:color w:val="FF0000"/>
        </w:rPr>
        <w:t>. [online] Available at: https://www.herbertsmithfreehills.com/notes/employment/2024-posts/UK-market-forces-equal-pay-claims [Accessed 22 May 2025].</w:t>
      </w:r>
    </w:p>
    <w:p w14:paraId="7DFAE81B" w14:textId="77777777" w:rsidR="00D0775B" w:rsidRPr="00300208" w:rsidRDefault="00D0775B" w:rsidP="00D0775B">
      <w:pPr>
        <w:rPr>
          <w:color w:val="FF0000"/>
        </w:rPr>
      </w:pPr>
      <w:r w:rsidRPr="00300208">
        <w:rPr>
          <w:color w:val="FF0000"/>
        </w:rPr>
        <w:t>‌Higgs V Farmor’s School [2023] EAT 89</w:t>
      </w:r>
    </w:p>
    <w:p w14:paraId="1DA74926" w14:textId="77777777" w:rsidR="00D0775B" w:rsidRPr="00300208" w:rsidRDefault="00D0775B" w:rsidP="00D0775B">
      <w:pPr>
        <w:rPr>
          <w:color w:val="FF0000"/>
        </w:rPr>
      </w:pPr>
      <w:r w:rsidRPr="00300208">
        <w:rPr>
          <w:color w:val="FF0000"/>
        </w:rPr>
        <w:t>Hinks, J. (n.d.). </w:t>
      </w:r>
      <w:r w:rsidRPr="00300208">
        <w:rPr>
          <w:i/>
          <w:iCs/>
          <w:color w:val="FF0000"/>
        </w:rPr>
        <w:t>Constitutional implications of The Retained EU Law (Revocation and Reform) Bill</w:t>
      </w:r>
      <w:r w:rsidRPr="00300208">
        <w:rPr>
          <w:color w:val="FF0000"/>
        </w:rPr>
        <w:t>. [online] Available at: https://www.wlv.ac.uk/media/departments/faculty-of-arts-business-and-social-science/images/WLJ_Hinks_Recent-Development.pdf [Accessed 20 May 2025].</w:t>
      </w:r>
    </w:p>
    <w:p w14:paraId="35ADFBAA" w14:textId="77777777" w:rsidR="00D0775B" w:rsidRPr="00E54E2A" w:rsidRDefault="00D0775B" w:rsidP="00D0775B">
      <w:r w:rsidRPr="00E54E2A">
        <w:t>I Lab Facilities Ltd v Metcalfe &amp; Ors UKEAT/0441/10/JOJ</w:t>
      </w:r>
    </w:p>
    <w:p w14:paraId="6E9C7FD2" w14:textId="77777777" w:rsidR="00D0775B" w:rsidRPr="00E54E2A" w:rsidRDefault="00D0775B" w:rsidP="00D0775B">
      <w:r w:rsidRPr="00E54E2A">
        <w:lastRenderedPageBreak/>
        <w:t>Judicial Review and Courts Bill (2021). Available at: https://www.gov.uk/government/publications/judicial-review-and-courts-bill</w:t>
      </w:r>
    </w:p>
    <w:p w14:paraId="04E09E0B" w14:textId="77777777" w:rsidR="00D0775B" w:rsidRPr="00E54E2A" w:rsidRDefault="00D0775B" w:rsidP="00D0775B">
      <w:r w:rsidRPr="00E54E2A">
        <w:t>Kershaw, J., 2018. The TUPE Regulations: A Guide for Employers. London: Routledge.</w:t>
      </w:r>
    </w:p>
    <w:p w14:paraId="381BBE20" w14:textId="77777777" w:rsidR="00D0775B" w:rsidRPr="00E54E2A" w:rsidRDefault="00D0775B" w:rsidP="00D0775B">
      <w:r w:rsidRPr="00E54E2A">
        <w:t>King v. Sash Windows Ltd (2017) C214/16</w:t>
      </w:r>
    </w:p>
    <w:p w14:paraId="1B5998F6" w14:textId="77777777" w:rsidR="00D0775B" w:rsidRPr="00E54E2A" w:rsidRDefault="00D0775B" w:rsidP="00D0775B">
      <w:r w:rsidRPr="00E54E2A">
        <w:t>Leaney v Loughborough University [2023] EAT 155</w:t>
      </w:r>
    </w:p>
    <w:p w14:paraId="574DC5D8" w14:textId="77777777" w:rsidR="00D0775B" w:rsidRPr="006513E3" w:rsidRDefault="00D0775B" w:rsidP="00D0775B">
      <w:r w:rsidRPr="006513E3">
        <w:t>Legislation.gov.uk. (2020). Social Security Contributions and Benefits Act 1992. [online] Available at: https://www.legislation.gov.uk/ukpga/1992/4/contents.</w:t>
      </w:r>
    </w:p>
    <w:p w14:paraId="5DABDD50" w14:textId="77777777" w:rsidR="00D0775B" w:rsidRPr="00E54E2A" w:rsidRDefault="00D0775B" w:rsidP="00D0775B">
      <w:r w:rsidRPr="009E59F0">
        <w:t>Lewissilkin.com. (2025). Balancing return to office plans and requests to work from home. [online] Available at: https://www.lewissilkin.com/insights/2024/03/07/remote-working-requests-frequently-asked-questions.</w:t>
      </w:r>
      <w:r w:rsidRPr="00E54E2A">
        <w:t> </w:t>
      </w:r>
    </w:p>
    <w:p w14:paraId="25562AD8" w14:textId="77777777" w:rsidR="00D0775B" w:rsidRPr="00E54E2A" w:rsidRDefault="00D0775B" w:rsidP="00D0775B">
      <w:r w:rsidRPr="00E54E2A">
        <w:t xml:space="preserve">Lipton v BA City Flyer Ltd [2021] EWCA </w:t>
      </w:r>
      <w:proofErr w:type="spellStart"/>
      <w:r w:rsidRPr="00E54E2A">
        <w:t>Civ</w:t>
      </w:r>
      <w:proofErr w:type="spellEnd"/>
      <w:r w:rsidRPr="00E54E2A">
        <w:t xml:space="preserve"> 454</w:t>
      </w:r>
    </w:p>
    <w:p w14:paraId="75B65FB5" w14:textId="77777777" w:rsidR="00D0775B" w:rsidRPr="00E54E2A" w:rsidRDefault="00D0775B" w:rsidP="00D0775B">
      <w:r w:rsidRPr="00E54E2A">
        <w:t>Lock v. British Gas Trading Ltd (2014) IRLR648 ECJ</w:t>
      </w:r>
    </w:p>
    <w:p w14:paraId="70828847" w14:textId="77777777" w:rsidR="00D0775B" w:rsidRPr="00E54E2A" w:rsidRDefault="00D0775B" w:rsidP="00D0775B">
      <w:r w:rsidRPr="00E54E2A">
        <w:t>Lockwood v Department of Work &amp; Pensions &amp; Anor UKEAT/0094/12/RN</w:t>
      </w:r>
    </w:p>
    <w:p w14:paraId="5AB310CA" w14:textId="77777777" w:rsidR="00D0775B" w:rsidRPr="00E54E2A" w:rsidRDefault="00D0775B" w:rsidP="00D0775B">
      <w:r w:rsidRPr="00E54E2A">
        <w:t>Lydden v. Smith [2004] IRLR 572</w:t>
      </w:r>
    </w:p>
    <w:p w14:paraId="2297FF1C" w14:textId="77777777" w:rsidR="00D0775B" w:rsidRPr="00300208" w:rsidRDefault="00D0775B" w:rsidP="00D0775B">
      <w:pPr>
        <w:rPr>
          <w:color w:val="FF0000"/>
        </w:rPr>
      </w:pPr>
      <w:r w:rsidRPr="00300208">
        <w:rPr>
          <w:color w:val="FF0000"/>
        </w:rPr>
        <w:t>McElroy v Cambridge Community Services NHS Trust ET/3400622/2014</w:t>
      </w:r>
    </w:p>
    <w:p w14:paraId="3C2293F6" w14:textId="77777777" w:rsidR="00D0775B" w:rsidRPr="00E54E2A" w:rsidRDefault="00D0775B" w:rsidP="00D0775B">
      <w:hyperlink w:history="1">
        <w:r w:rsidRPr="00E54E2A">
          <w:rPr>
            <w:rStyle w:val="Hyperlink"/>
            <w:color w:val="auto"/>
            <w:u w:val="none"/>
          </w:rPr>
          <w:t>Miss Wilson v Financial Conduct Authority (ET 2302739/2023)</w:t>
        </w:r>
      </w:hyperlink>
    </w:p>
    <w:p w14:paraId="15932674" w14:textId="77777777" w:rsidR="00D0775B" w:rsidRPr="00E54E2A" w:rsidRDefault="00D0775B" w:rsidP="00D0775B">
      <w:r w:rsidRPr="00E54E2A">
        <w:t>Mr. H. Morsing v. Howden Joinery Group plc [2024] UKET 3304544/2024</w:t>
      </w:r>
      <w:r w:rsidRPr="004E2A4C">
        <w:t>‌</w:t>
      </w:r>
    </w:p>
    <w:p w14:paraId="4936DAB3" w14:textId="77777777" w:rsidR="00D0775B" w:rsidRPr="00E54E2A" w:rsidRDefault="00D0775B" w:rsidP="00D0775B">
      <w:r w:rsidRPr="00E54E2A">
        <w:t xml:space="preserve">Mrs Alice Thompson v </w:t>
      </w:r>
      <w:proofErr w:type="spellStart"/>
      <w:r w:rsidRPr="00E54E2A">
        <w:t>Scancrown</w:t>
      </w:r>
      <w:proofErr w:type="spellEnd"/>
      <w:r w:rsidRPr="00E54E2A">
        <w:t xml:space="preserve"> Ltd T/a Manors [2019] UKET 2205199/2019</w:t>
      </w:r>
    </w:p>
    <w:p w14:paraId="5870E575" w14:textId="77777777" w:rsidR="00D0775B" w:rsidRPr="00E54E2A" w:rsidRDefault="00D0775B" w:rsidP="00D0775B">
      <w:r w:rsidRPr="00E54E2A">
        <w:t>Ms N Hinds v Mitie Ltd [2024] UKET3322885/021</w:t>
      </w:r>
    </w:p>
    <w:p w14:paraId="7E1FB0F0" w14:textId="77777777" w:rsidR="00D0775B" w:rsidRPr="00300208" w:rsidRDefault="00D0775B" w:rsidP="00D0775B">
      <w:pPr>
        <w:rPr>
          <w:color w:val="FF0000"/>
        </w:rPr>
      </w:pPr>
      <w:r w:rsidRPr="00300208">
        <w:rPr>
          <w:color w:val="FF0000"/>
        </w:rPr>
        <w:t>NHS Employers (2024). </w:t>
      </w:r>
      <w:r w:rsidRPr="00300208">
        <w:rPr>
          <w:i/>
          <w:iCs/>
          <w:color w:val="FF0000"/>
        </w:rPr>
        <w:t>Supporting the wellbeing needs of NHS staff | NHS Employers</w:t>
      </w:r>
      <w:r w:rsidRPr="00300208">
        <w:rPr>
          <w:color w:val="FF0000"/>
        </w:rPr>
        <w:t>. [online] www.nhsemployers.org. Available at: https://www.nhsemployers.org/articles/supporting-wellbeing-needs-nhs-staff.</w:t>
      </w:r>
    </w:p>
    <w:p w14:paraId="20D3D58F" w14:textId="77777777" w:rsidR="00D0775B" w:rsidRPr="00300208" w:rsidRDefault="00D0775B" w:rsidP="00D0775B">
      <w:pPr>
        <w:rPr>
          <w:color w:val="FF0000"/>
        </w:rPr>
      </w:pPr>
      <w:r w:rsidRPr="00300208">
        <w:rPr>
          <w:color w:val="FF0000"/>
        </w:rPr>
        <w:t>Nolan, P. (2017). Good Work: The Taylor Review of Modern Working Practices. </w:t>
      </w:r>
      <w:r w:rsidRPr="00300208">
        <w:rPr>
          <w:i/>
          <w:iCs/>
          <w:color w:val="FF0000"/>
        </w:rPr>
        <w:t>Industrial Relations Journal</w:t>
      </w:r>
      <w:r w:rsidRPr="00300208">
        <w:rPr>
          <w:color w:val="FF0000"/>
        </w:rPr>
        <w:t xml:space="preserve">, 49(5-6), pp.400–402. </w:t>
      </w:r>
      <w:proofErr w:type="spellStart"/>
      <w:r w:rsidRPr="00300208">
        <w:rPr>
          <w:color w:val="FF0000"/>
        </w:rPr>
        <w:t>doi:https</w:t>
      </w:r>
      <w:proofErr w:type="spellEnd"/>
      <w:r w:rsidRPr="00300208">
        <w:rPr>
          <w:color w:val="FF0000"/>
        </w:rPr>
        <w:t>://doi.org/10.1111/irj.12239.</w:t>
      </w:r>
    </w:p>
    <w:p w14:paraId="79B497DA" w14:textId="77777777" w:rsidR="00D0775B" w:rsidRPr="00E54E2A" w:rsidRDefault="00D0775B" w:rsidP="00D0775B">
      <w:r w:rsidRPr="00E54E2A">
        <w:t>R (Friends of the Earth limited) v. Secretary of State for International Trade [2022] EWHC 568 (Admin)</w:t>
      </w:r>
    </w:p>
    <w:p w14:paraId="20327C49" w14:textId="77777777" w:rsidR="00D0775B" w:rsidRPr="00E54E2A" w:rsidRDefault="00D0775B" w:rsidP="00D0775B">
      <w:r w:rsidRPr="00E54E2A">
        <w:t>R (Miller) v. The Prime Minister [2019] UKSC 41.</w:t>
      </w:r>
    </w:p>
    <w:p w14:paraId="4BD6BA2F" w14:textId="77777777" w:rsidR="00D0775B" w:rsidRPr="00300208" w:rsidRDefault="00D0775B" w:rsidP="00D0775B">
      <w:pPr>
        <w:rPr>
          <w:color w:val="FF0000"/>
        </w:rPr>
      </w:pPr>
      <w:r w:rsidRPr="00300208">
        <w:rPr>
          <w:color w:val="FF0000"/>
        </w:rPr>
        <w:t xml:space="preserve">Robinson v </w:t>
      </w:r>
      <w:proofErr w:type="spellStart"/>
      <w:r w:rsidRPr="00300208">
        <w:rPr>
          <w:color w:val="FF0000"/>
        </w:rPr>
        <w:t>Tescom</w:t>
      </w:r>
      <w:proofErr w:type="spellEnd"/>
      <w:r w:rsidRPr="00300208">
        <w:rPr>
          <w:color w:val="FF0000"/>
        </w:rPr>
        <w:t xml:space="preserve"> Corporation [2008] IRLR 408, EAT</w:t>
      </w:r>
    </w:p>
    <w:p w14:paraId="07B189B9" w14:textId="77777777" w:rsidR="00D0775B" w:rsidRPr="00E54E2A" w:rsidRDefault="00D0775B" w:rsidP="00D0775B">
      <w:r w:rsidRPr="00FE0300">
        <w:t>‌</w:t>
      </w:r>
      <w:r w:rsidRPr="00122A76">
        <w:t>Service, G.D. (2013). Maternity pay and leave. [online] GOV.UK. Available at: https://www.gov.uk/maternity-leave [Accessed 15 Mar. 2025].</w:t>
      </w:r>
    </w:p>
    <w:p w14:paraId="40FD4038" w14:textId="77777777" w:rsidR="00D0775B" w:rsidRPr="00300208" w:rsidRDefault="00D0775B" w:rsidP="00D0775B">
      <w:pPr>
        <w:rPr>
          <w:color w:val="FF0000"/>
        </w:rPr>
      </w:pPr>
      <w:r w:rsidRPr="00300208">
        <w:rPr>
          <w:color w:val="FF0000"/>
        </w:rPr>
        <w:t>‌</w:t>
      </w:r>
      <w:proofErr w:type="spellStart"/>
      <w:r w:rsidRPr="00300208">
        <w:rPr>
          <w:color w:val="FF0000"/>
        </w:rPr>
        <w:t>Syrpis</w:t>
      </w:r>
      <w:proofErr w:type="spellEnd"/>
      <w:r w:rsidRPr="00300208">
        <w:rPr>
          <w:color w:val="FF0000"/>
        </w:rPr>
        <w:t>, P. (2022). The Influence of the EU on UK Labour Law—Before and After Brexit. </w:t>
      </w:r>
      <w:r w:rsidRPr="00300208">
        <w:rPr>
          <w:i/>
          <w:iCs/>
          <w:color w:val="FF0000"/>
        </w:rPr>
        <w:t>Industrial Law Journal</w:t>
      </w:r>
      <w:r w:rsidRPr="00300208">
        <w:rPr>
          <w:color w:val="FF0000"/>
        </w:rPr>
        <w:t xml:space="preserve">, [online] 51(4). </w:t>
      </w:r>
      <w:proofErr w:type="spellStart"/>
      <w:r w:rsidRPr="00300208">
        <w:rPr>
          <w:color w:val="FF0000"/>
        </w:rPr>
        <w:t>doi:https</w:t>
      </w:r>
      <w:proofErr w:type="spellEnd"/>
      <w:r w:rsidRPr="00300208">
        <w:rPr>
          <w:color w:val="FF0000"/>
        </w:rPr>
        <w:t>://doi.org/10.1093/</w:t>
      </w:r>
      <w:proofErr w:type="spellStart"/>
      <w:r w:rsidRPr="00300208">
        <w:rPr>
          <w:color w:val="FF0000"/>
        </w:rPr>
        <w:t>indlaw</w:t>
      </w:r>
      <w:proofErr w:type="spellEnd"/>
      <w:r w:rsidRPr="00300208">
        <w:rPr>
          <w:color w:val="FF0000"/>
        </w:rPr>
        <w:t>/dwac016.</w:t>
      </w:r>
    </w:p>
    <w:p w14:paraId="4E957F28" w14:textId="77777777" w:rsidR="00D0775B" w:rsidRPr="00E54E2A" w:rsidRDefault="00D0775B" w:rsidP="00D0775B">
      <w:r w:rsidRPr="00E54E2A">
        <w:t>Taylor v Connex South Eastern Ltd (2000) Appeal No: EAT/1243/99</w:t>
      </w:r>
    </w:p>
    <w:p w14:paraId="583C0110" w14:textId="77777777" w:rsidR="00D0775B" w:rsidRPr="00300208" w:rsidRDefault="00D0775B" w:rsidP="00D0775B">
      <w:pPr>
        <w:rPr>
          <w:color w:val="FF0000"/>
        </w:rPr>
      </w:pPr>
      <w:r w:rsidRPr="00300208">
        <w:rPr>
          <w:color w:val="FF0000"/>
        </w:rPr>
        <w:t>‌Taylor, S. and Emir, A. (2019). </w:t>
      </w:r>
      <w:r w:rsidRPr="00300208">
        <w:rPr>
          <w:i/>
          <w:iCs/>
          <w:color w:val="FF0000"/>
        </w:rPr>
        <w:t>Employment Law: an Introduction</w:t>
      </w:r>
      <w:r w:rsidRPr="00300208">
        <w:rPr>
          <w:color w:val="FF0000"/>
        </w:rPr>
        <w:t>. 5th ed. Oxford, United Kingdom: Oxford University Press.</w:t>
      </w:r>
    </w:p>
    <w:p w14:paraId="1101B35C" w14:textId="77777777" w:rsidR="00D0775B" w:rsidRPr="00E54E2A" w:rsidRDefault="00D0775B" w:rsidP="00D0775B">
      <w:r w:rsidRPr="00E54E2A">
        <w:lastRenderedPageBreak/>
        <w:t>Thandi and others v Next Retail Ltd and another (ET/1302019/18)</w:t>
      </w:r>
    </w:p>
    <w:p w14:paraId="094A7D28" w14:textId="77777777" w:rsidR="00D0775B" w:rsidRPr="006E675A" w:rsidRDefault="00D0775B" w:rsidP="00D0775B">
      <w:pPr>
        <w:rPr>
          <w:color w:val="FF0000"/>
        </w:rPr>
      </w:pPr>
      <w:r w:rsidRPr="006801A4">
        <w:rPr>
          <w:b/>
          <w:bCs/>
          <w:color w:val="FF0000"/>
        </w:rPr>
        <w:t>‌</w:t>
      </w:r>
      <w:r w:rsidRPr="006E675A">
        <w:rPr>
          <w:color w:val="FF0000"/>
        </w:rPr>
        <w:t xml:space="preserve">The Manchester College v Hazel &amp; Anor [2013] EWCA </w:t>
      </w:r>
      <w:proofErr w:type="spellStart"/>
      <w:r w:rsidRPr="006E675A">
        <w:rPr>
          <w:color w:val="FF0000"/>
        </w:rPr>
        <w:t>Civ</w:t>
      </w:r>
      <w:proofErr w:type="spellEnd"/>
      <w:r w:rsidRPr="006E675A">
        <w:rPr>
          <w:color w:val="FF0000"/>
        </w:rPr>
        <w:t xml:space="preserve"> 281</w:t>
      </w:r>
    </w:p>
    <w:p w14:paraId="09B02BDF" w14:textId="77777777" w:rsidR="00D0775B" w:rsidRDefault="00D0775B" w:rsidP="00D0775B">
      <w:pPr>
        <w:rPr>
          <w:color w:val="FF0000"/>
        </w:rPr>
      </w:pPr>
      <w:r w:rsidRPr="00F03805">
        <w:rPr>
          <w:color w:val="FF0000"/>
        </w:rPr>
        <w:t>‌</w:t>
      </w:r>
      <w:r w:rsidRPr="00E80301">
        <w:rPr>
          <w:color w:val="FF0000"/>
        </w:rPr>
        <w:t>The Royal College of Nursing. (2015). </w:t>
      </w:r>
      <w:r w:rsidRPr="00E80301">
        <w:rPr>
          <w:i/>
          <w:iCs/>
          <w:color w:val="FF0000"/>
        </w:rPr>
        <w:t>Transferring to another employer (TUPE) | Advice guides | Royal College of Nursing</w:t>
      </w:r>
      <w:r w:rsidRPr="00E80301">
        <w:rPr>
          <w:color w:val="FF0000"/>
        </w:rPr>
        <w:t>. [online] Available at: https://www.rcn.org.uk/get-help/rcn-advice/transferring-to-another-employer-tupe.</w:t>
      </w:r>
    </w:p>
    <w:p w14:paraId="468FB04D" w14:textId="77777777" w:rsidR="00D0775B" w:rsidRPr="00E54E2A" w:rsidRDefault="00D0775B" w:rsidP="00D0775B">
      <w:r w:rsidRPr="00E54E2A">
        <w:t>Tingle, L. (2021). ‘The Future of ECJ Case Law in the UK Post-Brexit,’ The Cambridge Law Journal, 80(3), pp. 12-28.</w:t>
      </w:r>
    </w:p>
    <w:p w14:paraId="116B4CD9" w14:textId="77777777" w:rsidR="00D0775B" w:rsidRPr="004E2A4C" w:rsidRDefault="00D0775B" w:rsidP="00D0775B">
      <w:proofErr w:type="spellStart"/>
      <w:r w:rsidRPr="00E54E2A">
        <w:t>Torith</w:t>
      </w:r>
      <w:proofErr w:type="spellEnd"/>
      <w:r w:rsidRPr="00E54E2A">
        <w:t xml:space="preserve"> Ltd v. Flynn (2002) EAT 0017/02</w:t>
      </w:r>
    </w:p>
    <w:p w14:paraId="5C6FD043" w14:textId="77777777" w:rsidR="00D0775B" w:rsidRPr="00E54E2A" w:rsidRDefault="00D0775B" w:rsidP="00D0775B">
      <w:r w:rsidRPr="00E54E2A">
        <w:t>Trade Unions and Labour Relations (Consolidation) Act 1992</w:t>
      </w:r>
    </w:p>
    <w:p w14:paraId="4895735B" w14:textId="77777777" w:rsidR="00D0775B" w:rsidRPr="00E54E2A" w:rsidRDefault="00D0775B" w:rsidP="00D0775B">
      <w:r w:rsidRPr="00E54E2A">
        <w:t>TUC, 2021. TUPE: Transfer of Undertakings (Protection of Employment) Regulations. Available at: https://www.tuc.org.uk/research-analysis/reports/tupe [Accessed 10 March 2025].</w:t>
      </w:r>
    </w:p>
    <w:p w14:paraId="28773BCF" w14:textId="77777777" w:rsidR="00D0775B" w:rsidRDefault="00D0775B" w:rsidP="00D0775B">
      <w:pPr>
        <w:rPr>
          <w:color w:val="FF0000"/>
        </w:rPr>
      </w:pPr>
      <w:r w:rsidRPr="00300208">
        <w:rPr>
          <w:color w:val="FF0000"/>
        </w:rPr>
        <w:t>UK Coal Mining Ltd v NUM [2008] IRLR 4.</w:t>
      </w:r>
    </w:p>
    <w:p w14:paraId="013E2E33" w14:textId="77777777" w:rsidR="00D0775B" w:rsidRPr="00E54E2A" w:rsidRDefault="00D0775B" w:rsidP="00D0775B">
      <w:r w:rsidRPr="00E54E2A">
        <w:t>Union of Shop, Distributive and Allied Workers v Tesco Stores Ltd [2024] UKSC 1. Available at: https://www.supremecourt.uk/cases/uksc-2022-0133.html [Accessed 4 March 2025].</w:t>
      </w:r>
    </w:p>
    <w:p w14:paraId="497EFE45" w14:textId="77777777" w:rsidR="00D0775B" w:rsidRPr="00300208" w:rsidRDefault="00D0775B" w:rsidP="00D0775B">
      <w:pPr>
        <w:rPr>
          <w:color w:val="FF0000"/>
        </w:rPr>
      </w:pPr>
      <w:r w:rsidRPr="00300208">
        <w:rPr>
          <w:color w:val="FF0000"/>
        </w:rPr>
        <w:t>Vajda, C. (2021). The UK courts and EU law post-Brexit. </w:t>
      </w:r>
      <w:r w:rsidRPr="00300208">
        <w:rPr>
          <w:i/>
          <w:iCs/>
          <w:color w:val="FF0000"/>
        </w:rPr>
        <w:t>Competition Law Journal</w:t>
      </w:r>
      <w:r w:rsidRPr="00300208">
        <w:rPr>
          <w:color w:val="FF0000"/>
        </w:rPr>
        <w:t xml:space="preserve">, 20(3), </w:t>
      </w:r>
      <w:proofErr w:type="spellStart"/>
      <w:r w:rsidRPr="00300208">
        <w:rPr>
          <w:color w:val="FF0000"/>
        </w:rPr>
        <w:t>p.Christopher</w:t>
      </w:r>
      <w:proofErr w:type="spellEnd"/>
      <w:r w:rsidRPr="00300208">
        <w:rPr>
          <w:color w:val="FF0000"/>
        </w:rPr>
        <w:t xml:space="preserve">-Vajda. </w:t>
      </w:r>
      <w:proofErr w:type="spellStart"/>
      <w:r w:rsidRPr="00300208">
        <w:rPr>
          <w:color w:val="FF0000"/>
        </w:rPr>
        <w:t>doi:https</w:t>
      </w:r>
      <w:proofErr w:type="spellEnd"/>
      <w:r w:rsidRPr="00300208">
        <w:rPr>
          <w:color w:val="FF0000"/>
        </w:rPr>
        <w:t>://doi.org/10.4337/clj.2021.03.01.</w:t>
      </w:r>
    </w:p>
    <w:p w14:paraId="27ED6932" w14:textId="77777777" w:rsidR="00D0775B" w:rsidRPr="00300208" w:rsidRDefault="00D0775B" w:rsidP="00D0775B">
      <w:pPr>
        <w:rPr>
          <w:color w:val="FF0000"/>
        </w:rPr>
      </w:pPr>
      <w:r w:rsidRPr="00300208">
        <w:rPr>
          <w:color w:val="FF0000"/>
        </w:rPr>
        <w:t>Walsh, D.J. (2024). </w:t>
      </w:r>
      <w:r w:rsidRPr="00300208">
        <w:rPr>
          <w:i/>
          <w:iCs/>
          <w:color w:val="FF0000"/>
        </w:rPr>
        <w:t>Employment Law for Human Resource Practice</w:t>
      </w:r>
      <w:r w:rsidRPr="00300208">
        <w:rPr>
          <w:color w:val="FF0000"/>
        </w:rPr>
        <w:t>. 7th ed. Boston, Ma: Cengage.</w:t>
      </w:r>
    </w:p>
    <w:p w14:paraId="59E97715" w14:textId="77777777" w:rsidR="00D0775B" w:rsidRDefault="00D0775B" w:rsidP="00D0775B">
      <w:r w:rsidRPr="00E54E2A">
        <w:t>Webster v Princes Soft Drinks [2005] UKET 1803942/2004</w:t>
      </w:r>
    </w:p>
    <w:p w14:paraId="6C8A4B40" w14:textId="77777777" w:rsidR="00D0775B" w:rsidRPr="00300208" w:rsidRDefault="00D0775B" w:rsidP="00D0775B">
      <w:pPr>
        <w:rPr>
          <w:color w:val="FF0000"/>
        </w:rPr>
      </w:pPr>
      <w:r w:rsidRPr="00300208">
        <w:rPr>
          <w:color w:val="FF0000"/>
        </w:rPr>
        <w:t xml:space="preserve">Williams v </w:t>
      </w:r>
      <w:proofErr w:type="spellStart"/>
      <w:r w:rsidRPr="00300208">
        <w:rPr>
          <w:color w:val="FF0000"/>
        </w:rPr>
        <w:t>Compair</w:t>
      </w:r>
      <w:proofErr w:type="spellEnd"/>
      <w:r w:rsidRPr="00300208">
        <w:rPr>
          <w:color w:val="FF0000"/>
        </w:rPr>
        <w:t xml:space="preserve"> Maxam Ltd [1982] ICR 156</w:t>
      </w:r>
    </w:p>
    <w:p w14:paraId="11CAEC3E" w14:textId="77777777" w:rsidR="003067B5" w:rsidRPr="00EB2CC7" w:rsidRDefault="003067B5" w:rsidP="00EB2CC7"/>
    <w:p w14:paraId="04E4736A" w14:textId="77777777" w:rsidR="00EB2CC7" w:rsidRPr="00EB2CC7" w:rsidRDefault="00EB2CC7" w:rsidP="00EB2CC7"/>
    <w:p w14:paraId="4B2C5B43" w14:textId="77777777" w:rsidR="00EB2CC7" w:rsidRPr="00EB2CC7" w:rsidRDefault="00EB2CC7" w:rsidP="00EB2CC7"/>
    <w:p w14:paraId="7FB5E431" w14:textId="77777777" w:rsidR="00EB2CC7" w:rsidRPr="00EB2CC7" w:rsidRDefault="00EB2CC7" w:rsidP="00EB2CC7"/>
    <w:p w14:paraId="15452E37" w14:textId="77777777" w:rsidR="002622B8" w:rsidRDefault="002622B8"/>
    <w:sectPr w:rsidR="002622B8" w:rsidSect="00F02C90">
      <w:pgSz w:w="11906" w:h="16838" w:code="9"/>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E90790"/>
    <w:multiLevelType w:val="hybridMultilevel"/>
    <w:tmpl w:val="D1C626E0"/>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45E0606"/>
    <w:multiLevelType w:val="hybridMultilevel"/>
    <w:tmpl w:val="9B161EBE"/>
    <w:lvl w:ilvl="0" w:tplc="08090001">
      <w:start w:val="1"/>
      <w:numFmt w:val="bullet"/>
      <w:lvlText w:val=""/>
      <w:lvlJc w:val="left"/>
      <w:pPr>
        <w:ind w:left="1560" w:hanging="360"/>
      </w:pPr>
      <w:rPr>
        <w:rFonts w:ascii="Symbol" w:hAnsi="Symbol" w:hint="default"/>
      </w:rPr>
    </w:lvl>
    <w:lvl w:ilvl="1" w:tplc="08090003">
      <w:start w:val="1"/>
      <w:numFmt w:val="bullet"/>
      <w:lvlText w:val="o"/>
      <w:lvlJc w:val="left"/>
      <w:pPr>
        <w:ind w:left="2280" w:hanging="360"/>
      </w:pPr>
      <w:rPr>
        <w:rFonts w:ascii="Courier New" w:hAnsi="Courier New" w:cs="Courier New" w:hint="default"/>
      </w:rPr>
    </w:lvl>
    <w:lvl w:ilvl="2" w:tplc="08090005" w:tentative="1">
      <w:start w:val="1"/>
      <w:numFmt w:val="bullet"/>
      <w:lvlText w:val=""/>
      <w:lvlJc w:val="left"/>
      <w:pPr>
        <w:ind w:left="3000" w:hanging="360"/>
      </w:pPr>
      <w:rPr>
        <w:rFonts w:ascii="Wingdings" w:hAnsi="Wingdings" w:hint="default"/>
      </w:rPr>
    </w:lvl>
    <w:lvl w:ilvl="3" w:tplc="08090001" w:tentative="1">
      <w:start w:val="1"/>
      <w:numFmt w:val="bullet"/>
      <w:lvlText w:val=""/>
      <w:lvlJc w:val="left"/>
      <w:pPr>
        <w:ind w:left="3720" w:hanging="360"/>
      </w:pPr>
      <w:rPr>
        <w:rFonts w:ascii="Symbol" w:hAnsi="Symbol" w:hint="default"/>
      </w:rPr>
    </w:lvl>
    <w:lvl w:ilvl="4" w:tplc="08090003" w:tentative="1">
      <w:start w:val="1"/>
      <w:numFmt w:val="bullet"/>
      <w:lvlText w:val="o"/>
      <w:lvlJc w:val="left"/>
      <w:pPr>
        <w:ind w:left="4440" w:hanging="360"/>
      </w:pPr>
      <w:rPr>
        <w:rFonts w:ascii="Courier New" w:hAnsi="Courier New" w:cs="Courier New" w:hint="default"/>
      </w:rPr>
    </w:lvl>
    <w:lvl w:ilvl="5" w:tplc="08090005" w:tentative="1">
      <w:start w:val="1"/>
      <w:numFmt w:val="bullet"/>
      <w:lvlText w:val=""/>
      <w:lvlJc w:val="left"/>
      <w:pPr>
        <w:ind w:left="5160" w:hanging="360"/>
      </w:pPr>
      <w:rPr>
        <w:rFonts w:ascii="Wingdings" w:hAnsi="Wingdings" w:hint="default"/>
      </w:rPr>
    </w:lvl>
    <w:lvl w:ilvl="6" w:tplc="08090001" w:tentative="1">
      <w:start w:val="1"/>
      <w:numFmt w:val="bullet"/>
      <w:lvlText w:val=""/>
      <w:lvlJc w:val="left"/>
      <w:pPr>
        <w:ind w:left="5880" w:hanging="360"/>
      </w:pPr>
      <w:rPr>
        <w:rFonts w:ascii="Symbol" w:hAnsi="Symbol" w:hint="default"/>
      </w:rPr>
    </w:lvl>
    <w:lvl w:ilvl="7" w:tplc="08090003" w:tentative="1">
      <w:start w:val="1"/>
      <w:numFmt w:val="bullet"/>
      <w:lvlText w:val="o"/>
      <w:lvlJc w:val="left"/>
      <w:pPr>
        <w:ind w:left="6600" w:hanging="360"/>
      </w:pPr>
      <w:rPr>
        <w:rFonts w:ascii="Courier New" w:hAnsi="Courier New" w:cs="Courier New" w:hint="default"/>
      </w:rPr>
    </w:lvl>
    <w:lvl w:ilvl="8" w:tplc="08090005" w:tentative="1">
      <w:start w:val="1"/>
      <w:numFmt w:val="bullet"/>
      <w:lvlText w:val=""/>
      <w:lvlJc w:val="left"/>
      <w:pPr>
        <w:ind w:left="7320" w:hanging="360"/>
      </w:pPr>
      <w:rPr>
        <w:rFonts w:ascii="Wingdings" w:hAnsi="Wingdings" w:hint="default"/>
      </w:rPr>
    </w:lvl>
  </w:abstractNum>
  <w:abstractNum w:abstractNumId="2" w15:restartNumberingAfterBreak="0">
    <w:nsid w:val="34112F58"/>
    <w:multiLevelType w:val="hybridMultilevel"/>
    <w:tmpl w:val="F72267D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BF4E14" w:themeColor="accent2" w:themeShade="BF"/>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4" w15:restartNumberingAfterBreak="0">
    <w:nsid w:val="463D6580"/>
    <w:multiLevelType w:val="hybridMultilevel"/>
    <w:tmpl w:val="8946C388"/>
    <w:lvl w:ilvl="0" w:tplc="0809000F">
      <w:start w:val="1"/>
      <w:numFmt w:val="decimal"/>
      <w:lvlText w:val="%1."/>
      <w:lvlJc w:val="left"/>
      <w:pPr>
        <w:ind w:left="720" w:hanging="360"/>
      </w:pPr>
      <w:rPr>
        <w:rFonts w:hint="default"/>
      </w:rPr>
    </w:lvl>
    <w:lvl w:ilvl="1" w:tplc="08090001">
      <w:start w:val="1"/>
      <w:numFmt w:val="bullet"/>
      <w:lvlText w:val=""/>
      <w:lvlJc w:val="left"/>
      <w:pPr>
        <w:ind w:left="1440" w:hanging="360"/>
      </w:pPr>
      <w:rPr>
        <w:rFonts w:ascii="Symbol" w:hAnsi="Symbol"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AA724AF"/>
    <w:multiLevelType w:val="hybridMultilevel"/>
    <w:tmpl w:val="0C28C9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C7F365F"/>
    <w:multiLevelType w:val="hybridMultilevel"/>
    <w:tmpl w:val="2D22E4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DA56B33"/>
    <w:multiLevelType w:val="hybridMultilevel"/>
    <w:tmpl w:val="BD1A31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01547965">
    <w:abstractNumId w:val="3"/>
  </w:num>
  <w:num w:numId="2" w16cid:durableId="331101265">
    <w:abstractNumId w:val="5"/>
  </w:num>
  <w:num w:numId="3" w16cid:durableId="1608192703">
    <w:abstractNumId w:val="0"/>
  </w:num>
  <w:num w:numId="4" w16cid:durableId="1698309825">
    <w:abstractNumId w:val="4"/>
  </w:num>
  <w:num w:numId="5" w16cid:durableId="1014266242">
    <w:abstractNumId w:val="2"/>
  </w:num>
  <w:num w:numId="6" w16cid:durableId="1336885969">
    <w:abstractNumId w:val="1"/>
  </w:num>
  <w:num w:numId="7" w16cid:durableId="1855149381">
    <w:abstractNumId w:val="7"/>
  </w:num>
  <w:num w:numId="8" w16cid:durableId="144179576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drawingGridHorizontalSpacing w:val="11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2CC7"/>
    <w:rsid w:val="00001C03"/>
    <w:rsid w:val="00011715"/>
    <w:rsid w:val="000148C1"/>
    <w:rsid w:val="00015339"/>
    <w:rsid w:val="000160B2"/>
    <w:rsid w:val="000167AC"/>
    <w:rsid w:val="0001774F"/>
    <w:rsid w:val="00021175"/>
    <w:rsid w:val="00021DBA"/>
    <w:rsid w:val="00021F02"/>
    <w:rsid w:val="00024501"/>
    <w:rsid w:val="00024C1D"/>
    <w:rsid w:val="00024E5B"/>
    <w:rsid w:val="00027D53"/>
    <w:rsid w:val="000330D5"/>
    <w:rsid w:val="00033BE1"/>
    <w:rsid w:val="000347EF"/>
    <w:rsid w:val="00035146"/>
    <w:rsid w:val="0003772D"/>
    <w:rsid w:val="0004151F"/>
    <w:rsid w:val="00043003"/>
    <w:rsid w:val="00046811"/>
    <w:rsid w:val="00047A80"/>
    <w:rsid w:val="0005016F"/>
    <w:rsid w:val="000512A8"/>
    <w:rsid w:val="00051F10"/>
    <w:rsid w:val="00052296"/>
    <w:rsid w:val="0005359E"/>
    <w:rsid w:val="00056837"/>
    <w:rsid w:val="00056C05"/>
    <w:rsid w:val="00057316"/>
    <w:rsid w:val="000604CF"/>
    <w:rsid w:val="0006099E"/>
    <w:rsid w:val="00063589"/>
    <w:rsid w:val="0006367A"/>
    <w:rsid w:val="00067E96"/>
    <w:rsid w:val="00070BE8"/>
    <w:rsid w:val="000755D2"/>
    <w:rsid w:val="00082A6F"/>
    <w:rsid w:val="00084ACA"/>
    <w:rsid w:val="00093238"/>
    <w:rsid w:val="0009365B"/>
    <w:rsid w:val="00094DD0"/>
    <w:rsid w:val="00095152"/>
    <w:rsid w:val="000A5029"/>
    <w:rsid w:val="000B25DB"/>
    <w:rsid w:val="000B305C"/>
    <w:rsid w:val="000B3655"/>
    <w:rsid w:val="000B4490"/>
    <w:rsid w:val="000B4695"/>
    <w:rsid w:val="000D2DA0"/>
    <w:rsid w:val="000D3A67"/>
    <w:rsid w:val="000D3F1C"/>
    <w:rsid w:val="000E4015"/>
    <w:rsid w:val="000E5400"/>
    <w:rsid w:val="000E5C5F"/>
    <w:rsid w:val="000E6764"/>
    <w:rsid w:val="000E6FB5"/>
    <w:rsid w:val="000E75CC"/>
    <w:rsid w:val="000F3FAA"/>
    <w:rsid w:val="000F715A"/>
    <w:rsid w:val="00100C93"/>
    <w:rsid w:val="00101EFF"/>
    <w:rsid w:val="001045E3"/>
    <w:rsid w:val="001068D8"/>
    <w:rsid w:val="00106EAD"/>
    <w:rsid w:val="00107FC4"/>
    <w:rsid w:val="001127C7"/>
    <w:rsid w:val="00113666"/>
    <w:rsid w:val="00115048"/>
    <w:rsid w:val="001152D5"/>
    <w:rsid w:val="001234B0"/>
    <w:rsid w:val="0012544A"/>
    <w:rsid w:val="001255C1"/>
    <w:rsid w:val="00131963"/>
    <w:rsid w:val="00131E4B"/>
    <w:rsid w:val="00132B17"/>
    <w:rsid w:val="00132D51"/>
    <w:rsid w:val="001331A3"/>
    <w:rsid w:val="00134AC5"/>
    <w:rsid w:val="00134BAD"/>
    <w:rsid w:val="001350C6"/>
    <w:rsid w:val="00136443"/>
    <w:rsid w:val="001366F0"/>
    <w:rsid w:val="00136FCE"/>
    <w:rsid w:val="00137C99"/>
    <w:rsid w:val="00137D9E"/>
    <w:rsid w:val="00140BD3"/>
    <w:rsid w:val="00142316"/>
    <w:rsid w:val="0015121E"/>
    <w:rsid w:val="00154942"/>
    <w:rsid w:val="00167042"/>
    <w:rsid w:val="00172F26"/>
    <w:rsid w:val="001737DB"/>
    <w:rsid w:val="00180FFB"/>
    <w:rsid w:val="0018213F"/>
    <w:rsid w:val="00182601"/>
    <w:rsid w:val="00192695"/>
    <w:rsid w:val="0019337D"/>
    <w:rsid w:val="00193E1F"/>
    <w:rsid w:val="001965C0"/>
    <w:rsid w:val="00196EDE"/>
    <w:rsid w:val="001A1032"/>
    <w:rsid w:val="001A3316"/>
    <w:rsid w:val="001A6461"/>
    <w:rsid w:val="001A6B5D"/>
    <w:rsid w:val="001A7182"/>
    <w:rsid w:val="001B0282"/>
    <w:rsid w:val="001B300B"/>
    <w:rsid w:val="001B51BB"/>
    <w:rsid w:val="001C6F22"/>
    <w:rsid w:val="001D277B"/>
    <w:rsid w:val="001D2E93"/>
    <w:rsid w:val="001D3BEF"/>
    <w:rsid w:val="001D590B"/>
    <w:rsid w:val="001D6AAD"/>
    <w:rsid w:val="001D6CB7"/>
    <w:rsid w:val="001E3AD4"/>
    <w:rsid w:val="001E3E15"/>
    <w:rsid w:val="001E4358"/>
    <w:rsid w:val="001E4B3A"/>
    <w:rsid w:val="001E58DC"/>
    <w:rsid w:val="001E609D"/>
    <w:rsid w:val="001E6D48"/>
    <w:rsid w:val="001F4427"/>
    <w:rsid w:val="001F6E4C"/>
    <w:rsid w:val="001F7330"/>
    <w:rsid w:val="001F7EC9"/>
    <w:rsid w:val="0020784C"/>
    <w:rsid w:val="002114D8"/>
    <w:rsid w:val="00213A7B"/>
    <w:rsid w:val="002149A1"/>
    <w:rsid w:val="00221048"/>
    <w:rsid w:val="0022590D"/>
    <w:rsid w:val="00230091"/>
    <w:rsid w:val="0023024D"/>
    <w:rsid w:val="00234C3D"/>
    <w:rsid w:val="0023637F"/>
    <w:rsid w:val="002405B9"/>
    <w:rsid w:val="002434D5"/>
    <w:rsid w:val="00243EE3"/>
    <w:rsid w:val="002441C3"/>
    <w:rsid w:val="00244641"/>
    <w:rsid w:val="00255082"/>
    <w:rsid w:val="00255592"/>
    <w:rsid w:val="00255A2C"/>
    <w:rsid w:val="00255AAC"/>
    <w:rsid w:val="00256EDB"/>
    <w:rsid w:val="002578FB"/>
    <w:rsid w:val="00257B30"/>
    <w:rsid w:val="002622B8"/>
    <w:rsid w:val="002624AE"/>
    <w:rsid w:val="00271869"/>
    <w:rsid w:val="002729BA"/>
    <w:rsid w:val="0027484B"/>
    <w:rsid w:val="002809D0"/>
    <w:rsid w:val="00280A0D"/>
    <w:rsid w:val="00281160"/>
    <w:rsid w:val="00285CBD"/>
    <w:rsid w:val="00287F65"/>
    <w:rsid w:val="002916AF"/>
    <w:rsid w:val="002968AC"/>
    <w:rsid w:val="002A01A3"/>
    <w:rsid w:val="002A10FB"/>
    <w:rsid w:val="002A2779"/>
    <w:rsid w:val="002A2BB1"/>
    <w:rsid w:val="002A36F0"/>
    <w:rsid w:val="002A4BE8"/>
    <w:rsid w:val="002A4F01"/>
    <w:rsid w:val="002A7AC0"/>
    <w:rsid w:val="002B006E"/>
    <w:rsid w:val="002B0542"/>
    <w:rsid w:val="002B259C"/>
    <w:rsid w:val="002B2C1D"/>
    <w:rsid w:val="002B2CAE"/>
    <w:rsid w:val="002B46DA"/>
    <w:rsid w:val="002B530B"/>
    <w:rsid w:val="002B7413"/>
    <w:rsid w:val="002C05C8"/>
    <w:rsid w:val="002C520D"/>
    <w:rsid w:val="002C789D"/>
    <w:rsid w:val="002C7941"/>
    <w:rsid w:val="002D0AFC"/>
    <w:rsid w:val="002D2A4A"/>
    <w:rsid w:val="002D5A05"/>
    <w:rsid w:val="002D5FD1"/>
    <w:rsid w:val="002D7836"/>
    <w:rsid w:val="002E0D52"/>
    <w:rsid w:val="002E0EAD"/>
    <w:rsid w:val="002E37DF"/>
    <w:rsid w:val="002F14FB"/>
    <w:rsid w:val="002F270B"/>
    <w:rsid w:val="002F449D"/>
    <w:rsid w:val="002F50BF"/>
    <w:rsid w:val="0030070C"/>
    <w:rsid w:val="0030196A"/>
    <w:rsid w:val="003038C8"/>
    <w:rsid w:val="00304034"/>
    <w:rsid w:val="00304C2F"/>
    <w:rsid w:val="00305AA4"/>
    <w:rsid w:val="003067B5"/>
    <w:rsid w:val="00306BFC"/>
    <w:rsid w:val="003108EB"/>
    <w:rsid w:val="0031129D"/>
    <w:rsid w:val="00311AF3"/>
    <w:rsid w:val="00312874"/>
    <w:rsid w:val="003137DC"/>
    <w:rsid w:val="003236F9"/>
    <w:rsid w:val="00324801"/>
    <w:rsid w:val="003250B3"/>
    <w:rsid w:val="0032693B"/>
    <w:rsid w:val="003309D7"/>
    <w:rsid w:val="003321C5"/>
    <w:rsid w:val="003331DC"/>
    <w:rsid w:val="00333C65"/>
    <w:rsid w:val="00336306"/>
    <w:rsid w:val="00336AAE"/>
    <w:rsid w:val="00336F65"/>
    <w:rsid w:val="00337444"/>
    <w:rsid w:val="00343527"/>
    <w:rsid w:val="00344460"/>
    <w:rsid w:val="00344885"/>
    <w:rsid w:val="00346007"/>
    <w:rsid w:val="0035295B"/>
    <w:rsid w:val="00354E45"/>
    <w:rsid w:val="00360ADB"/>
    <w:rsid w:val="0036199B"/>
    <w:rsid w:val="00364EAA"/>
    <w:rsid w:val="00365619"/>
    <w:rsid w:val="003671FD"/>
    <w:rsid w:val="00370782"/>
    <w:rsid w:val="003768FF"/>
    <w:rsid w:val="00377EAE"/>
    <w:rsid w:val="0039013A"/>
    <w:rsid w:val="00390FDC"/>
    <w:rsid w:val="00393BF8"/>
    <w:rsid w:val="0039400A"/>
    <w:rsid w:val="00394199"/>
    <w:rsid w:val="0039426E"/>
    <w:rsid w:val="00396193"/>
    <w:rsid w:val="003A1D69"/>
    <w:rsid w:val="003A3645"/>
    <w:rsid w:val="003A4C5F"/>
    <w:rsid w:val="003A5A60"/>
    <w:rsid w:val="003A6713"/>
    <w:rsid w:val="003B1D5A"/>
    <w:rsid w:val="003B3629"/>
    <w:rsid w:val="003B510D"/>
    <w:rsid w:val="003B7592"/>
    <w:rsid w:val="003C0025"/>
    <w:rsid w:val="003C0914"/>
    <w:rsid w:val="003C1B84"/>
    <w:rsid w:val="003C2628"/>
    <w:rsid w:val="003D06AD"/>
    <w:rsid w:val="003D16F2"/>
    <w:rsid w:val="003D2676"/>
    <w:rsid w:val="003D451B"/>
    <w:rsid w:val="003D481B"/>
    <w:rsid w:val="003E012F"/>
    <w:rsid w:val="003E4501"/>
    <w:rsid w:val="003E775F"/>
    <w:rsid w:val="003E7999"/>
    <w:rsid w:val="003F1041"/>
    <w:rsid w:val="003F31A3"/>
    <w:rsid w:val="003F32F5"/>
    <w:rsid w:val="003F5FB8"/>
    <w:rsid w:val="00406130"/>
    <w:rsid w:val="004110D9"/>
    <w:rsid w:val="00421CB2"/>
    <w:rsid w:val="0042467E"/>
    <w:rsid w:val="00425640"/>
    <w:rsid w:val="00436B05"/>
    <w:rsid w:val="00441414"/>
    <w:rsid w:val="00441D06"/>
    <w:rsid w:val="004457BD"/>
    <w:rsid w:val="0044583D"/>
    <w:rsid w:val="00445EE0"/>
    <w:rsid w:val="00446DB0"/>
    <w:rsid w:val="00453D6C"/>
    <w:rsid w:val="00462934"/>
    <w:rsid w:val="00472F4E"/>
    <w:rsid w:val="004735B5"/>
    <w:rsid w:val="00473BFB"/>
    <w:rsid w:val="0047457D"/>
    <w:rsid w:val="004745E0"/>
    <w:rsid w:val="0047474E"/>
    <w:rsid w:val="00476541"/>
    <w:rsid w:val="00483C3C"/>
    <w:rsid w:val="00484415"/>
    <w:rsid w:val="00492FE1"/>
    <w:rsid w:val="0049556A"/>
    <w:rsid w:val="0049615A"/>
    <w:rsid w:val="004976BE"/>
    <w:rsid w:val="00497937"/>
    <w:rsid w:val="004A02D2"/>
    <w:rsid w:val="004A1D5D"/>
    <w:rsid w:val="004A3E46"/>
    <w:rsid w:val="004A4E3B"/>
    <w:rsid w:val="004B016D"/>
    <w:rsid w:val="004B3EF8"/>
    <w:rsid w:val="004B6787"/>
    <w:rsid w:val="004B6C6A"/>
    <w:rsid w:val="004C52A6"/>
    <w:rsid w:val="004E416B"/>
    <w:rsid w:val="004E551A"/>
    <w:rsid w:val="004E6A12"/>
    <w:rsid w:val="004E706E"/>
    <w:rsid w:val="004E7962"/>
    <w:rsid w:val="004F12C4"/>
    <w:rsid w:val="004F1B9E"/>
    <w:rsid w:val="004F2A27"/>
    <w:rsid w:val="004F48F0"/>
    <w:rsid w:val="004F50BF"/>
    <w:rsid w:val="004F696D"/>
    <w:rsid w:val="004F7B7E"/>
    <w:rsid w:val="005031AC"/>
    <w:rsid w:val="00504077"/>
    <w:rsid w:val="0050543D"/>
    <w:rsid w:val="005064EA"/>
    <w:rsid w:val="005068E4"/>
    <w:rsid w:val="005075EA"/>
    <w:rsid w:val="00507820"/>
    <w:rsid w:val="00513AD3"/>
    <w:rsid w:val="00515A8D"/>
    <w:rsid w:val="00515DE9"/>
    <w:rsid w:val="005207B8"/>
    <w:rsid w:val="00521074"/>
    <w:rsid w:val="005256DD"/>
    <w:rsid w:val="00531280"/>
    <w:rsid w:val="005360B3"/>
    <w:rsid w:val="00540DC2"/>
    <w:rsid w:val="00540E4C"/>
    <w:rsid w:val="005433DC"/>
    <w:rsid w:val="00546D45"/>
    <w:rsid w:val="00551A37"/>
    <w:rsid w:val="00555499"/>
    <w:rsid w:val="0056328D"/>
    <w:rsid w:val="00563F69"/>
    <w:rsid w:val="0056581C"/>
    <w:rsid w:val="00571A05"/>
    <w:rsid w:val="00576AFA"/>
    <w:rsid w:val="00577838"/>
    <w:rsid w:val="00584BCC"/>
    <w:rsid w:val="005857BB"/>
    <w:rsid w:val="00586DC1"/>
    <w:rsid w:val="005875C2"/>
    <w:rsid w:val="0058764F"/>
    <w:rsid w:val="00593CC5"/>
    <w:rsid w:val="00595B36"/>
    <w:rsid w:val="00596161"/>
    <w:rsid w:val="0059639C"/>
    <w:rsid w:val="00596A6E"/>
    <w:rsid w:val="00596F76"/>
    <w:rsid w:val="00597ECE"/>
    <w:rsid w:val="005A174F"/>
    <w:rsid w:val="005A1752"/>
    <w:rsid w:val="005A41A9"/>
    <w:rsid w:val="005A4DD5"/>
    <w:rsid w:val="005A6380"/>
    <w:rsid w:val="005A6D76"/>
    <w:rsid w:val="005B077B"/>
    <w:rsid w:val="005B27BD"/>
    <w:rsid w:val="005B3C2B"/>
    <w:rsid w:val="005B56EC"/>
    <w:rsid w:val="005B6D93"/>
    <w:rsid w:val="005C16B0"/>
    <w:rsid w:val="005C1E37"/>
    <w:rsid w:val="005C3F0F"/>
    <w:rsid w:val="005C4761"/>
    <w:rsid w:val="005C6A56"/>
    <w:rsid w:val="005D0DFD"/>
    <w:rsid w:val="005D26D8"/>
    <w:rsid w:val="005D5B83"/>
    <w:rsid w:val="005D6D25"/>
    <w:rsid w:val="005E047A"/>
    <w:rsid w:val="005E109D"/>
    <w:rsid w:val="005E20E8"/>
    <w:rsid w:val="005E3370"/>
    <w:rsid w:val="005E500C"/>
    <w:rsid w:val="005E61AA"/>
    <w:rsid w:val="005E63B3"/>
    <w:rsid w:val="005E7DBB"/>
    <w:rsid w:val="005F0A7D"/>
    <w:rsid w:val="005F1475"/>
    <w:rsid w:val="005F17DF"/>
    <w:rsid w:val="005F3CCF"/>
    <w:rsid w:val="005F68A3"/>
    <w:rsid w:val="005F6A27"/>
    <w:rsid w:val="005F7EE5"/>
    <w:rsid w:val="00602544"/>
    <w:rsid w:val="00602FAE"/>
    <w:rsid w:val="006031B7"/>
    <w:rsid w:val="00605458"/>
    <w:rsid w:val="006104C6"/>
    <w:rsid w:val="00610E38"/>
    <w:rsid w:val="00611AE4"/>
    <w:rsid w:val="00612B53"/>
    <w:rsid w:val="00613223"/>
    <w:rsid w:val="0061501E"/>
    <w:rsid w:val="00617E52"/>
    <w:rsid w:val="00621364"/>
    <w:rsid w:val="00623CD7"/>
    <w:rsid w:val="00623F8A"/>
    <w:rsid w:val="00625333"/>
    <w:rsid w:val="0062641F"/>
    <w:rsid w:val="00626984"/>
    <w:rsid w:val="006269A1"/>
    <w:rsid w:val="00630C83"/>
    <w:rsid w:val="00633818"/>
    <w:rsid w:val="006369D1"/>
    <w:rsid w:val="00643532"/>
    <w:rsid w:val="00643EAA"/>
    <w:rsid w:val="0064772F"/>
    <w:rsid w:val="00650302"/>
    <w:rsid w:val="0065264C"/>
    <w:rsid w:val="00652A58"/>
    <w:rsid w:val="00653685"/>
    <w:rsid w:val="00653D2D"/>
    <w:rsid w:val="00655830"/>
    <w:rsid w:val="00656DB5"/>
    <w:rsid w:val="006623DF"/>
    <w:rsid w:val="00664423"/>
    <w:rsid w:val="0066521C"/>
    <w:rsid w:val="0066602F"/>
    <w:rsid w:val="00666179"/>
    <w:rsid w:val="006677B1"/>
    <w:rsid w:val="00667827"/>
    <w:rsid w:val="00667BA6"/>
    <w:rsid w:val="006712A9"/>
    <w:rsid w:val="0067202C"/>
    <w:rsid w:val="00672C3A"/>
    <w:rsid w:val="00675C9F"/>
    <w:rsid w:val="00677C9A"/>
    <w:rsid w:val="00681462"/>
    <w:rsid w:val="006839C2"/>
    <w:rsid w:val="00684C92"/>
    <w:rsid w:val="006856FC"/>
    <w:rsid w:val="00686E8A"/>
    <w:rsid w:val="00693DB2"/>
    <w:rsid w:val="006972DD"/>
    <w:rsid w:val="006A0807"/>
    <w:rsid w:val="006A2542"/>
    <w:rsid w:val="006A3CF9"/>
    <w:rsid w:val="006A415C"/>
    <w:rsid w:val="006A6CA6"/>
    <w:rsid w:val="006B22FB"/>
    <w:rsid w:val="006C08B1"/>
    <w:rsid w:val="006C280D"/>
    <w:rsid w:val="006D0960"/>
    <w:rsid w:val="006D25D1"/>
    <w:rsid w:val="006D40A6"/>
    <w:rsid w:val="006E05D0"/>
    <w:rsid w:val="006E1640"/>
    <w:rsid w:val="006E1B55"/>
    <w:rsid w:val="006E547B"/>
    <w:rsid w:val="006E5974"/>
    <w:rsid w:val="006E660D"/>
    <w:rsid w:val="006F07EF"/>
    <w:rsid w:val="006F0AF8"/>
    <w:rsid w:val="006F1916"/>
    <w:rsid w:val="006F2CF8"/>
    <w:rsid w:val="006F4144"/>
    <w:rsid w:val="006F5987"/>
    <w:rsid w:val="006F6855"/>
    <w:rsid w:val="00701F37"/>
    <w:rsid w:val="007046FC"/>
    <w:rsid w:val="00704B5E"/>
    <w:rsid w:val="00704CC7"/>
    <w:rsid w:val="007061B4"/>
    <w:rsid w:val="00710305"/>
    <w:rsid w:val="00710E41"/>
    <w:rsid w:val="00714518"/>
    <w:rsid w:val="007161CF"/>
    <w:rsid w:val="00720545"/>
    <w:rsid w:val="007220D3"/>
    <w:rsid w:val="00722A4F"/>
    <w:rsid w:val="00722E0A"/>
    <w:rsid w:val="00723753"/>
    <w:rsid w:val="00724489"/>
    <w:rsid w:val="0072646D"/>
    <w:rsid w:val="00733B36"/>
    <w:rsid w:val="00733CA6"/>
    <w:rsid w:val="00742241"/>
    <w:rsid w:val="007440EF"/>
    <w:rsid w:val="00747DE5"/>
    <w:rsid w:val="00753016"/>
    <w:rsid w:val="007577BA"/>
    <w:rsid w:val="0076061B"/>
    <w:rsid w:val="00770054"/>
    <w:rsid w:val="00770F63"/>
    <w:rsid w:val="00773ED6"/>
    <w:rsid w:val="00780CC9"/>
    <w:rsid w:val="007816BB"/>
    <w:rsid w:val="00783FE0"/>
    <w:rsid w:val="00786686"/>
    <w:rsid w:val="00791CD7"/>
    <w:rsid w:val="007934BE"/>
    <w:rsid w:val="00795AE1"/>
    <w:rsid w:val="00796258"/>
    <w:rsid w:val="00796CF4"/>
    <w:rsid w:val="007A2134"/>
    <w:rsid w:val="007A44FF"/>
    <w:rsid w:val="007A5DE0"/>
    <w:rsid w:val="007B3AF9"/>
    <w:rsid w:val="007B40FD"/>
    <w:rsid w:val="007C4EFA"/>
    <w:rsid w:val="007D270F"/>
    <w:rsid w:val="007D333C"/>
    <w:rsid w:val="007D3492"/>
    <w:rsid w:val="007D4A32"/>
    <w:rsid w:val="007D51AF"/>
    <w:rsid w:val="007D70FA"/>
    <w:rsid w:val="007E2700"/>
    <w:rsid w:val="007E5300"/>
    <w:rsid w:val="007E6039"/>
    <w:rsid w:val="007E6CB9"/>
    <w:rsid w:val="007E7EFB"/>
    <w:rsid w:val="007F520C"/>
    <w:rsid w:val="007F65D7"/>
    <w:rsid w:val="008018E8"/>
    <w:rsid w:val="00802D3B"/>
    <w:rsid w:val="0080761B"/>
    <w:rsid w:val="00807637"/>
    <w:rsid w:val="008133E3"/>
    <w:rsid w:val="00817131"/>
    <w:rsid w:val="00820471"/>
    <w:rsid w:val="00822256"/>
    <w:rsid w:val="00823318"/>
    <w:rsid w:val="00824D3C"/>
    <w:rsid w:val="00825385"/>
    <w:rsid w:val="00826610"/>
    <w:rsid w:val="008266D7"/>
    <w:rsid w:val="00830536"/>
    <w:rsid w:val="00831E3E"/>
    <w:rsid w:val="008325F1"/>
    <w:rsid w:val="0083333E"/>
    <w:rsid w:val="0083793A"/>
    <w:rsid w:val="008419A1"/>
    <w:rsid w:val="00842C02"/>
    <w:rsid w:val="00843D60"/>
    <w:rsid w:val="00847650"/>
    <w:rsid w:val="008557C8"/>
    <w:rsid w:val="008615A8"/>
    <w:rsid w:val="00861A00"/>
    <w:rsid w:val="00864466"/>
    <w:rsid w:val="00864ECD"/>
    <w:rsid w:val="00871CEB"/>
    <w:rsid w:val="0087336D"/>
    <w:rsid w:val="008733CC"/>
    <w:rsid w:val="008775D3"/>
    <w:rsid w:val="0088009D"/>
    <w:rsid w:val="0088033C"/>
    <w:rsid w:val="00881D43"/>
    <w:rsid w:val="00881DB4"/>
    <w:rsid w:val="0088282C"/>
    <w:rsid w:val="00891C3E"/>
    <w:rsid w:val="00895400"/>
    <w:rsid w:val="00895920"/>
    <w:rsid w:val="008A0A17"/>
    <w:rsid w:val="008A17CE"/>
    <w:rsid w:val="008A2BE8"/>
    <w:rsid w:val="008A362B"/>
    <w:rsid w:val="008A3867"/>
    <w:rsid w:val="008A4525"/>
    <w:rsid w:val="008A520F"/>
    <w:rsid w:val="008A667E"/>
    <w:rsid w:val="008A69F3"/>
    <w:rsid w:val="008A7B10"/>
    <w:rsid w:val="008B1166"/>
    <w:rsid w:val="008B14BB"/>
    <w:rsid w:val="008B1DF7"/>
    <w:rsid w:val="008B22B6"/>
    <w:rsid w:val="008B3EEC"/>
    <w:rsid w:val="008B4649"/>
    <w:rsid w:val="008B629B"/>
    <w:rsid w:val="008B7205"/>
    <w:rsid w:val="008C0EB9"/>
    <w:rsid w:val="008C3B0C"/>
    <w:rsid w:val="008C3BAF"/>
    <w:rsid w:val="008C5F87"/>
    <w:rsid w:val="008C760E"/>
    <w:rsid w:val="008C78A5"/>
    <w:rsid w:val="008D11B7"/>
    <w:rsid w:val="008D5204"/>
    <w:rsid w:val="008E048B"/>
    <w:rsid w:val="008E0899"/>
    <w:rsid w:val="008E32BA"/>
    <w:rsid w:val="008E397B"/>
    <w:rsid w:val="008E66F0"/>
    <w:rsid w:val="008E7580"/>
    <w:rsid w:val="008E79CA"/>
    <w:rsid w:val="008F0147"/>
    <w:rsid w:val="008F027F"/>
    <w:rsid w:val="008F050B"/>
    <w:rsid w:val="008F6332"/>
    <w:rsid w:val="008F6956"/>
    <w:rsid w:val="008F758A"/>
    <w:rsid w:val="00901524"/>
    <w:rsid w:val="009023E4"/>
    <w:rsid w:val="009031D3"/>
    <w:rsid w:val="00914B69"/>
    <w:rsid w:val="00920415"/>
    <w:rsid w:val="0092072F"/>
    <w:rsid w:val="009210FA"/>
    <w:rsid w:val="00923159"/>
    <w:rsid w:val="0092684A"/>
    <w:rsid w:val="009305AA"/>
    <w:rsid w:val="009352BF"/>
    <w:rsid w:val="00937399"/>
    <w:rsid w:val="009404B5"/>
    <w:rsid w:val="009417C5"/>
    <w:rsid w:val="00941EAD"/>
    <w:rsid w:val="009444B5"/>
    <w:rsid w:val="00945FF6"/>
    <w:rsid w:val="009470B6"/>
    <w:rsid w:val="00947726"/>
    <w:rsid w:val="00957DBD"/>
    <w:rsid w:val="009601A6"/>
    <w:rsid w:val="00960829"/>
    <w:rsid w:val="00960A63"/>
    <w:rsid w:val="00960B97"/>
    <w:rsid w:val="00962016"/>
    <w:rsid w:val="00962D33"/>
    <w:rsid w:val="00967245"/>
    <w:rsid w:val="00971AC4"/>
    <w:rsid w:val="0097406E"/>
    <w:rsid w:val="00974B02"/>
    <w:rsid w:val="0097576D"/>
    <w:rsid w:val="00975E6C"/>
    <w:rsid w:val="00982B94"/>
    <w:rsid w:val="00983037"/>
    <w:rsid w:val="00983734"/>
    <w:rsid w:val="009857FE"/>
    <w:rsid w:val="009873F1"/>
    <w:rsid w:val="00990A80"/>
    <w:rsid w:val="00992687"/>
    <w:rsid w:val="00994143"/>
    <w:rsid w:val="009949F9"/>
    <w:rsid w:val="00997923"/>
    <w:rsid w:val="00997A09"/>
    <w:rsid w:val="00997AFC"/>
    <w:rsid w:val="00997B00"/>
    <w:rsid w:val="009A25FF"/>
    <w:rsid w:val="009A2A71"/>
    <w:rsid w:val="009A2E9B"/>
    <w:rsid w:val="009B1E7F"/>
    <w:rsid w:val="009B4930"/>
    <w:rsid w:val="009B5EB1"/>
    <w:rsid w:val="009B6F51"/>
    <w:rsid w:val="009B7955"/>
    <w:rsid w:val="009C0DBA"/>
    <w:rsid w:val="009C0E40"/>
    <w:rsid w:val="009C265E"/>
    <w:rsid w:val="009C3681"/>
    <w:rsid w:val="009D29F4"/>
    <w:rsid w:val="009D345F"/>
    <w:rsid w:val="009D3F01"/>
    <w:rsid w:val="009D5841"/>
    <w:rsid w:val="009E3E0D"/>
    <w:rsid w:val="009E43D2"/>
    <w:rsid w:val="009E6091"/>
    <w:rsid w:val="009F1C4D"/>
    <w:rsid w:val="009F333B"/>
    <w:rsid w:val="009F3F47"/>
    <w:rsid w:val="009F58E8"/>
    <w:rsid w:val="009F5B4D"/>
    <w:rsid w:val="009F63F8"/>
    <w:rsid w:val="009F776B"/>
    <w:rsid w:val="00A02240"/>
    <w:rsid w:val="00A05D76"/>
    <w:rsid w:val="00A07FA2"/>
    <w:rsid w:val="00A11AF1"/>
    <w:rsid w:val="00A1669E"/>
    <w:rsid w:val="00A1706B"/>
    <w:rsid w:val="00A2406F"/>
    <w:rsid w:val="00A24858"/>
    <w:rsid w:val="00A252DE"/>
    <w:rsid w:val="00A2535E"/>
    <w:rsid w:val="00A25448"/>
    <w:rsid w:val="00A34CE1"/>
    <w:rsid w:val="00A35224"/>
    <w:rsid w:val="00A352B6"/>
    <w:rsid w:val="00A36011"/>
    <w:rsid w:val="00A40C68"/>
    <w:rsid w:val="00A43073"/>
    <w:rsid w:val="00A47E82"/>
    <w:rsid w:val="00A50E66"/>
    <w:rsid w:val="00A60192"/>
    <w:rsid w:val="00A61B14"/>
    <w:rsid w:val="00A6497F"/>
    <w:rsid w:val="00A65614"/>
    <w:rsid w:val="00A65E1F"/>
    <w:rsid w:val="00A664EE"/>
    <w:rsid w:val="00A66C60"/>
    <w:rsid w:val="00A672E1"/>
    <w:rsid w:val="00A71240"/>
    <w:rsid w:val="00A7231C"/>
    <w:rsid w:val="00A73BBD"/>
    <w:rsid w:val="00A75ED2"/>
    <w:rsid w:val="00A7679E"/>
    <w:rsid w:val="00A76EC3"/>
    <w:rsid w:val="00A81CEC"/>
    <w:rsid w:val="00A8383F"/>
    <w:rsid w:val="00A8394E"/>
    <w:rsid w:val="00A84C26"/>
    <w:rsid w:val="00A8512D"/>
    <w:rsid w:val="00A93A85"/>
    <w:rsid w:val="00A94917"/>
    <w:rsid w:val="00AA2662"/>
    <w:rsid w:val="00AA4650"/>
    <w:rsid w:val="00AA4838"/>
    <w:rsid w:val="00AA6184"/>
    <w:rsid w:val="00AA6FAE"/>
    <w:rsid w:val="00AB0D91"/>
    <w:rsid w:val="00AB36FE"/>
    <w:rsid w:val="00AB4412"/>
    <w:rsid w:val="00AB572E"/>
    <w:rsid w:val="00AB5923"/>
    <w:rsid w:val="00AB5FB2"/>
    <w:rsid w:val="00AB719B"/>
    <w:rsid w:val="00AC3AAD"/>
    <w:rsid w:val="00AD0FCB"/>
    <w:rsid w:val="00AD26F6"/>
    <w:rsid w:val="00AD28E7"/>
    <w:rsid w:val="00AD339B"/>
    <w:rsid w:val="00AD383C"/>
    <w:rsid w:val="00AD413B"/>
    <w:rsid w:val="00AD4BBB"/>
    <w:rsid w:val="00AD534F"/>
    <w:rsid w:val="00AD71AF"/>
    <w:rsid w:val="00AD7DDE"/>
    <w:rsid w:val="00AE06AB"/>
    <w:rsid w:val="00AE209B"/>
    <w:rsid w:val="00AE3F6A"/>
    <w:rsid w:val="00AE4874"/>
    <w:rsid w:val="00AE7101"/>
    <w:rsid w:val="00AF1ED7"/>
    <w:rsid w:val="00AF2C66"/>
    <w:rsid w:val="00AF3272"/>
    <w:rsid w:val="00AF49C7"/>
    <w:rsid w:val="00AF69F3"/>
    <w:rsid w:val="00AF72AC"/>
    <w:rsid w:val="00AF7475"/>
    <w:rsid w:val="00AF783F"/>
    <w:rsid w:val="00B00343"/>
    <w:rsid w:val="00B030C3"/>
    <w:rsid w:val="00B03B88"/>
    <w:rsid w:val="00B06CE3"/>
    <w:rsid w:val="00B101D6"/>
    <w:rsid w:val="00B12B80"/>
    <w:rsid w:val="00B13C10"/>
    <w:rsid w:val="00B13F01"/>
    <w:rsid w:val="00B1566D"/>
    <w:rsid w:val="00B165CE"/>
    <w:rsid w:val="00B166AE"/>
    <w:rsid w:val="00B21890"/>
    <w:rsid w:val="00B25409"/>
    <w:rsid w:val="00B25A36"/>
    <w:rsid w:val="00B25F75"/>
    <w:rsid w:val="00B27B69"/>
    <w:rsid w:val="00B31031"/>
    <w:rsid w:val="00B31215"/>
    <w:rsid w:val="00B34683"/>
    <w:rsid w:val="00B34FC2"/>
    <w:rsid w:val="00B379C6"/>
    <w:rsid w:val="00B429E6"/>
    <w:rsid w:val="00B50CE6"/>
    <w:rsid w:val="00B52851"/>
    <w:rsid w:val="00B5296C"/>
    <w:rsid w:val="00B566B3"/>
    <w:rsid w:val="00B57B16"/>
    <w:rsid w:val="00B57D38"/>
    <w:rsid w:val="00B61629"/>
    <w:rsid w:val="00B6398E"/>
    <w:rsid w:val="00B6438D"/>
    <w:rsid w:val="00B728A0"/>
    <w:rsid w:val="00B72D38"/>
    <w:rsid w:val="00B73AC3"/>
    <w:rsid w:val="00B74536"/>
    <w:rsid w:val="00B80BF3"/>
    <w:rsid w:val="00B82FDB"/>
    <w:rsid w:val="00B83394"/>
    <w:rsid w:val="00B83733"/>
    <w:rsid w:val="00B85ED9"/>
    <w:rsid w:val="00B92425"/>
    <w:rsid w:val="00B93088"/>
    <w:rsid w:val="00B94D1C"/>
    <w:rsid w:val="00B959DE"/>
    <w:rsid w:val="00BA2903"/>
    <w:rsid w:val="00BA536A"/>
    <w:rsid w:val="00BA5EA1"/>
    <w:rsid w:val="00BA6F17"/>
    <w:rsid w:val="00BB017F"/>
    <w:rsid w:val="00BB031B"/>
    <w:rsid w:val="00BB10F8"/>
    <w:rsid w:val="00BB7A58"/>
    <w:rsid w:val="00BB7B5F"/>
    <w:rsid w:val="00BB7EEC"/>
    <w:rsid w:val="00BC2C18"/>
    <w:rsid w:val="00BC669A"/>
    <w:rsid w:val="00BC7191"/>
    <w:rsid w:val="00BD39C4"/>
    <w:rsid w:val="00BD3B96"/>
    <w:rsid w:val="00BD45D2"/>
    <w:rsid w:val="00BD610B"/>
    <w:rsid w:val="00BD7B97"/>
    <w:rsid w:val="00BE0FAD"/>
    <w:rsid w:val="00BE1136"/>
    <w:rsid w:val="00BE48BB"/>
    <w:rsid w:val="00BF0F17"/>
    <w:rsid w:val="00BF2249"/>
    <w:rsid w:val="00BF52E7"/>
    <w:rsid w:val="00BF6629"/>
    <w:rsid w:val="00BF6EDF"/>
    <w:rsid w:val="00C00F12"/>
    <w:rsid w:val="00C018C4"/>
    <w:rsid w:val="00C025F8"/>
    <w:rsid w:val="00C038C1"/>
    <w:rsid w:val="00C0763A"/>
    <w:rsid w:val="00C16DC3"/>
    <w:rsid w:val="00C2302B"/>
    <w:rsid w:val="00C25406"/>
    <w:rsid w:val="00C3074D"/>
    <w:rsid w:val="00C30B90"/>
    <w:rsid w:val="00C317A9"/>
    <w:rsid w:val="00C3543D"/>
    <w:rsid w:val="00C36850"/>
    <w:rsid w:val="00C37E8E"/>
    <w:rsid w:val="00C37F01"/>
    <w:rsid w:val="00C45C96"/>
    <w:rsid w:val="00C5066A"/>
    <w:rsid w:val="00C56562"/>
    <w:rsid w:val="00C61ED2"/>
    <w:rsid w:val="00C62197"/>
    <w:rsid w:val="00C6766E"/>
    <w:rsid w:val="00C701EE"/>
    <w:rsid w:val="00C705B6"/>
    <w:rsid w:val="00C73A45"/>
    <w:rsid w:val="00C73D6E"/>
    <w:rsid w:val="00C744DF"/>
    <w:rsid w:val="00C75FE2"/>
    <w:rsid w:val="00C76F8C"/>
    <w:rsid w:val="00C81218"/>
    <w:rsid w:val="00C8330D"/>
    <w:rsid w:val="00C83429"/>
    <w:rsid w:val="00C8382E"/>
    <w:rsid w:val="00C83D40"/>
    <w:rsid w:val="00C8621B"/>
    <w:rsid w:val="00C86B23"/>
    <w:rsid w:val="00C87441"/>
    <w:rsid w:val="00C8798B"/>
    <w:rsid w:val="00C90D02"/>
    <w:rsid w:val="00C917AE"/>
    <w:rsid w:val="00C9259A"/>
    <w:rsid w:val="00CA36DD"/>
    <w:rsid w:val="00CA551A"/>
    <w:rsid w:val="00CA6242"/>
    <w:rsid w:val="00CA7F49"/>
    <w:rsid w:val="00CB0E1D"/>
    <w:rsid w:val="00CB365E"/>
    <w:rsid w:val="00CB662D"/>
    <w:rsid w:val="00CC299B"/>
    <w:rsid w:val="00CC3F6E"/>
    <w:rsid w:val="00CC7E90"/>
    <w:rsid w:val="00CD6E74"/>
    <w:rsid w:val="00CE09B8"/>
    <w:rsid w:val="00CE1B06"/>
    <w:rsid w:val="00CE1C0A"/>
    <w:rsid w:val="00CF0B1E"/>
    <w:rsid w:val="00CF3030"/>
    <w:rsid w:val="00CF42E8"/>
    <w:rsid w:val="00CF5790"/>
    <w:rsid w:val="00CF7026"/>
    <w:rsid w:val="00D05777"/>
    <w:rsid w:val="00D0775B"/>
    <w:rsid w:val="00D1365E"/>
    <w:rsid w:val="00D1516D"/>
    <w:rsid w:val="00D179CF"/>
    <w:rsid w:val="00D2017C"/>
    <w:rsid w:val="00D2272E"/>
    <w:rsid w:val="00D25A2B"/>
    <w:rsid w:val="00D270F9"/>
    <w:rsid w:val="00D32409"/>
    <w:rsid w:val="00D3404D"/>
    <w:rsid w:val="00D34316"/>
    <w:rsid w:val="00D35941"/>
    <w:rsid w:val="00D35A64"/>
    <w:rsid w:val="00D3782C"/>
    <w:rsid w:val="00D41611"/>
    <w:rsid w:val="00D4231F"/>
    <w:rsid w:val="00D435C5"/>
    <w:rsid w:val="00D46159"/>
    <w:rsid w:val="00D466BE"/>
    <w:rsid w:val="00D470E7"/>
    <w:rsid w:val="00D5266D"/>
    <w:rsid w:val="00D53C72"/>
    <w:rsid w:val="00D56AB1"/>
    <w:rsid w:val="00D612F2"/>
    <w:rsid w:val="00D62ACE"/>
    <w:rsid w:val="00D63EAA"/>
    <w:rsid w:val="00D7001B"/>
    <w:rsid w:val="00D70C33"/>
    <w:rsid w:val="00D71CDF"/>
    <w:rsid w:val="00D73723"/>
    <w:rsid w:val="00D74083"/>
    <w:rsid w:val="00D7445C"/>
    <w:rsid w:val="00D74B3C"/>
    <w:rsid w:val="00D75AC4"/>
    <w:rsid w:val="00D8126D"/>
    <w:rsid w:val="00D83000"/>
    <w:rsid w:val="00D83B8F"/>
    <w:rsid w:val="00D8496D"/>
    <w:rsid w:val="00D86157"/>
    <w:rsid w:val="00D902A3"/>
    <w:rsid w:val="00D94573"/>
    <w:rsid w:val="00D9634D"/>
    <w:rsid w:val="00DA1AA9"/>
    <w:rsid w:val="00DA4980"/>
    <w:rsid w:val="00DB0A94"/>
    <w:rsid w:val="00DB24D5"/>
    <w:rsid w:val="00DB2B02"/>
    <w:rsid w:val="00DB482E"/>
    <w:rsid w:val="00DB573C"/>
    <w:rsid w:val="00DB5DCA"/>
    <w:rsid w:val="00DB60C8"/>
    <w:rsid w:val="00DB6C62"/>
    <w:rsid w:val="00DB7155"/>
    <w:rsid w:val="00DB71D4"/>
    <w:rsid w:val="00DB7351"/>
    <w:rsid w:val="00DC31E4"/>
    <w:rsid w:val="00DC4493"/>
    <w:rsid w:val="00DC4BF8"/>
    <w:rsid w:val="00DC54F6"/>
    <w:rsid w:val="00DC5CCD"/>
    <w:rsid w:val="00DC79BC"/>
    <w:rsid w:val="00DD0B0A"/>
    <w:rsid w:val="00DD20ED"/>
    <w:rsid w:val="00DD624F"/>
    <w:rsid w:val="00DD6690"/>
    <w:rsid w:val="00DE018A"/>
    <w:rsid w:val="00DF3938"/>
    <w:rsid w:val="00DF39D7"/>
    <w:rsid w:val="00E00A07"/>
    <w:rsid w:val="00E02535"/>
    <w:rsid w:val="00E02B5E"/>
    <w:rsid w:val="00E0429B"/>
    <w:rsid w:val="00E062B8"/>
    <w:rsid w:val="00E0638A"/>
    <w:rsid w:val="00E104E2"/>
    <w:rsid w:val="00E1075E"/>
    <w:rsid w:val="00E13A0F"/>
    <w:rsid w:val="00E15199"/>
    <w:rsid w:val="00E201A5"/>
    <w:rsid w:val="00E20810"/>
    <w:rsid w:val="00E211E2"/>
    <w:rsid w:val="00E2128C"/>
    <w:rsid w:val="00E213FA"/>
    <w:rsid w:val="00E231AB"/>
    <w:rsid w:val="00E2505D"/>
    <w:rsid w:val="00E26DF3"/>
    <w:rsid w:val="00E3271F"/>
    <w:rsid w:val="00E4015A"/>
    <w:rsid w:val="00E54462"/>
    <w:rsid w:val="00E5551C"/>
    <w:rsid w:val="00E565A4"/>
    <w:rsid w:val="00E619EC"/>
    <w:rsid w:val="00E625C4"/>
    <w:rsid w:val="00E6355B"/>
    <w:rsid w:val="00E64AB5"/>
    <w:rsid w:val="00E656B0"/>
    <w:rsid w:val="00E7179D"/>
    <w:rsid w:val="00E74778"/>
    <w:rsid w:val="00E747DF"/>
    <w:rsid w:val="00E74F33"/>
    <w:rsid w:val="00E7532A"/>
    <w:rsid w:val="00E75CD5"/>
    <w:rsid w:val="00E75F4B"/>
    <w:rsid w:val="00E80699"/>
    <w:rsid w:val="00E904D5"/>
    <w:rsid w:val="00E914CD"/>
    <w:rsid w:val="00E9171B"/>
    <w:rsid w:val="00E91A9F"/>
    <w:rsid w:val="00E91EA1"/>
    <w:rsid w:val="00E931B3"/>
    <w:rsid w:val="00E93A0B"/>
    <w:rsid w:val="00E958E7"/>
    <w:rsid w:val="00E96C3D"/>
    <w:rsid w:val="00EA3A5E"/>
    <w:rsid w:val="00EB1D54"/>
    <w:rsid w:val="00EB2CC7"/>
    <w:rsid w:val="00EB2D44"/>
    <w:rsid w:val="00ED091C"/>
    <w:rsid w:val="00ED74B3"/>
    <w:rsid w:val="00EE0F56"/>
    <w:rsid w:val="00EE240B"/>
    <w:rsid w:val="00EE5C8D"/>
    <w:rsid w:val="00EF0A35"/>
    <w:rsid w:val="00EF4777"/>
    <w:rsid w:val="00EF5DB8"/>
    <w:rsid w:val="00F02C90"/>
    <w:rsid w:val="00F05DE9"/>
    <w:rsid w:val="00F0612D"/>
    <w:rsid w:val="00F07091"/>
    <w:rsid w:val="00F1289D"/>
    <w:rsid w:val="00F134BB"/>
    <w:rsid w:val="00F1480C"/>
    <w:rsid w:val="00F208B4"/>
    <w:rsid w:val="00F21974"/>
    <w:rsid w:val="00F21FE8"/>
    <w:rsid w:val="00F2313F"/>
    <w:rsid w:val="00F311C0"/>
    <w:rsid w:val="00F31B1C"/>
    <w:rsid w:val="00F37A1D"/>
    <w:rsid w:val="00F37CC8"/>
    <w:rsid w:val="00F41568"/>
    <w:rsid w:val="00F41FED"/>
    <w:rsid w:val="00F42776"/>
    <w:rsid w:val="00F42B0E"/>
    <w:rsid w:val="00F45F69"/>
    <w:rsid w:val="00F46A8F"/>
    <w:rsid w:val="00F53121"/>
    <w:rsid w:val="00F571F6"/>
    <w:rsid w:val="00F61DB5"/>
    <w:rsid w:val="00F62E6A"/>
    <w:rsid w:val="00F71533"/>
    <w:rsid w:val="00F72111"/>
    <w:rsid w:val="00F75D16"/>
    <w:rsid w:val="00F76352"/>
    <w:rsid w:val="00F77DBB"/>
    <w:rsid w:val="00F82394"/>
    <w:rsid w:val="00F82557"/>
    <w:rsid w:val="00F83031"/>
    <w:rsid w:val="00F86A6F"/>
    <w:rsid w:val="00F86BBD"/>
    <w:rsid w:val="00F86D65"/>
    <w:rsid w:val="00F87401"/>
    <w:rsid w:val="00F91FB4"/>
    <w:rsid w:val="00F93AC6"/>
    <w:rsid w:val="00F968AB"/>
    <w:rsid w:val="00FA2D65"/>
    <w:rsid w:val="00FA646D"/>
    <w:rsid w:val="00FA75AA"/>
    <w:rsid w:val="00FB0905"/>
    <w:rsid w:val="00FB652C"/>
    <w:rsid w:val="00FC1583"/>
    <w:rsid w:val="00FD2429"/>
    <w:rsid w:val="00FD6976"/>
    <w:rsid w:val="00FE0609"/>
    <w:rsid w:val="00FE15C1"/>
    <w:rsid w:val="00FE354A"/>
    <w:rsid w:val="00FE6140"/>
    <w:rsid w:val="00FF0F31"/>
    <w:rsid w:val="00FF1E19"/>
    <w:rsid w:val="00FF1F3B"/>
    <w:rsid w:val="00FF3430"/>
    <w:rsid w:val="00FF5A23"/>
    <w:rsid w:val="00FF5EFE"/>
    <w:rsid w:val="00FF70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C45875"/>
  <w15:chartTrackingRefBased/>
  <w15:docId w15:val="{F81ED5E9-0B35-4D8B-9280-5407511615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B2CC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B2CC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B2CC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B2CC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B2CC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B2CC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B2CC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B2CC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B2CC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B2CC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B2CC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B2CC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B2CC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B2CC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B2CC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B2CC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B2CC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B2CC7"/>
    <w:rPr>
      <w:rFonts w:eastAsiaTheme="majorEastAsia" w:cstheme="majorBidi"/>
      <w:color w:val="272727" w:themeColor="text1" w:themeTint="D8"/>
    </w:rPr>
  </w:style>
  <w:style w:type="paragraph" w:styleId="Title">
    <w:name w:val="Title"/>
    <w:basedOn w:val="Normal"/>
    <w:next w:val="Normal"/>
    <w:link w:val="TitleChar"/>
    <w:uiPriority w:val="10"/>
    <w:qFormat/>
    <w:rsid w:val="00EB2CC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B2CC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B2CC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B2CC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B2CC7"/>
    <w:pPr>
      <w:spacing w:before="160"/>
      <w:jc w:val="center"/>
    </w:pPr>
    <w:rPr>
      <w:i/>
      <w:iCs/>
      <w:color w:val="404040" w:themeColor="text1" w:themeTint="BF"/>
    </w:rPr>
  </w:style>
  <w:style w:type="character" w:customStyle="1" w:styleId="QuoteChar">
    <w:name w:val="Quote Char"/>
    <w:basedOn w:val="DefaultParagraphFont"/>
    <w:link w:val="Quote"/>
    <w:uiPriority w:val="29"/>
    <w:rsid w:val="00EB2CC7"/>
    <w:rPr>
      <w:i/>
      <w:iCs/>
      <w:color w:val="404040" w:themeColor="text1" w:themeTint="BF"/>
    </w:rPr>
  </w:style>
  <w:style w:type="paragraph" w:styleId="ListParagraph">
    <w:name w:val="List Paragraph"/>
    <w:basedOn w:val="Normal"/>
    <w:uiPriority w:val="34"/>
    <w:qFormat/>
    <w:rsid w:val="00EB2CC7"/>
    <w:pPr>
      <w:ind w:left="720"/>
      <w:contextualSpacing/>
    </w:pPr>
  </w:style>
  <w:style w:type="character" w:styleId="IntenseEmphasis">
    <w:name w:val="Intense Emphasis"/>
    <w:basedOn w:val="DefaultParagraphFont"/>
    <w:uiPriority w:val="21"/>
    <w:qFormat/>
    <w:rsid w:val="00EB2CC7"/>
    <w:rPr>
      <w:i/>
      <w:iCs/>
      <w:color w:val="0F4761" w:themeColor="accent1" w:themeShade="BF"/>
    </w:rPr>
  </w:style>
  <w:style w:type="paragraph" w:styleId="IntenseQuote">
    <w:name w:val="Intense Quote"/>
    <w:basedOn w:val="Normal"/>
    <w:next w:val="Normal"/>
    <w:link w:val="IntenseQuoteChar"/>
    <w:uiPriority w:val="30"/>
    <w:qFormat/>
    <w:rsid w:val="00EB2CC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B2CC7"/>
    <w:rPr>
      <w:i/>
      <w:iCs/>
      <w:color w:val="0F4761" w:themeColor="accent1" w:themeShade="BF"/>
    </w:rPr>
  </w:style>
  <w:style w:type="character" w:styleId="IntenseReference">
    <w:name w:val="Intense Reference"/>
    <w:basedOn w:val="DefaultParagraphFont"/>
    <w:uiPriority w:val="32"/>
    <w:qFormat/>
    <w:rsid w:val="00EB2CC7"/>
    <w:rPr>
      <w:b/>
      <w:bCs/>
      <w:smallCaps/>
      <w:color w:val="0F4761" w:themeColor="accent1" w:themeShade="BF"/>
      <w:spacing w:val="5"/>
    </w:rPr>
  </w:style>
  <w:style w:type="character" w:styleId="Hyperlink">
    <w:name w:val="Hyperlink"/>
    <w:basedOn w:val="DefaultParagraphFont"/>
    <w:uiPriority w:val="99"/>
    <w:unhideWhenUsed/>
    <w:rsid w:val="003067B5"/>
    <w:rPr>
      <w:color w:val="467886" w:themeColor="hyperlink"/>
      <w:u w:val="single"/>
    </w:rPr>
  </w:style>
  <w:style w:type="table" w:customStyle="1" w:styleId="TableGrid">
    <w:name w:val="TableGrid"/>
    <w:rsid w:val="00871CEB"/>
    <w:pPr>
      <w:spacing w:after="0" w:line="240" w:lineRule="auto"/>
    </w:pPr>
    <w:rPr>
      <w:rFonts w:eastAsiaTheme="minorEastAsia"/>
      <w:kern w:val="0"/>
      <w:sz w:val="24"/>
      <w:szCs w:val="24"/>
      <w:lang w:eastAsia="en-GB"/>
      <w14:ligatures w14:val="none"/>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9523973">
      <w:bodyDiv w:val="1"/>
      <w:marLeft w:val="0"/>
      <w:marRight w:val="0"/>
      <w:marTop w:val="0"/>
      <w:marBottom w:val="0"/>
      <w:divBdr>
        <w:top w:val="none" w:sz="0" w:space="0" w:color="auto"/>
        <w:left w:val="none" w:sz="0" w:space="0" w:color="auto"/>
        <w:bottom w:val="none" w:sz="0" w:space="0" w:color="auto"/>
        <w:right w:val="none" w:sz="0" w:space="0" w:color="auto"/>
      </w:divBdr>
    </w:div>
    <w:div w:id="193619250">
      <w:bodyDiv w:val="1"/>
      <w:marLeft w:val="0"/>
      <w:marRight w:val="0"/>
      <w:marTop w:val="0"/>
      <w:marBottom w:val="0"/>
      <w:divBdr>
        <w:top w:val="none" w:sz="0" w:space="0" w:color="auto"/>
        <w:left w:val="none" w:sz="0" w:space="0" w:color="auto"/>
        <w:bottom w:val="none" w:sz="0" w:space="0" w:color="auto"/>
        <w:right w:val="none" w:sz="0" w:space="0" w:color="auto"/>
      </w:divBdr>
    </w:div>
    <w:div w:id="232130855">
      <w:bodyDiv w:val="1"/>
      <w:marLeft w:val="0"/>
      <w:marRight w:val="0"/>
      <w:marTop w:val="0"/>
      <w:marBottom w:val="0"/>
      <w:divBdr>
        <w:top w:val="none" w:sz="0" w:space="0" w:color="auto"/>
        <w:left w:val="none" w:sz="0" w:space="0" w:color="auto"/>
        <w:bottom w:val="none" w:sz="0" w:space="0" w:color="auto"/>
        <w:right w:val="none" w:sz="0" w:space="0" w:color="auto"/>
      </w:divBdr>
    </w:div>
    <w:div w:id="394472517">
      <w:bodyDiv w:val="1"/>
      <w:marLeft w:val="0"/>
      <w:marRight w:val="0"/>
      <w:marTop w:val="0"/>
      <w:marBottom w:val="0"/>
      <w:divBdr>
        <w:top w:val="none" w:sz="0" w:space="0" w:color="auto"/>
        <w:left w:val="none" w:sz="0" w:space="0" w:color="auto"/>
        <w:bottom w:val="none" w:sz="0" w:space="0" w:color="auto"/>
        <w:right w:val="none" w:sz="0" w:space="0" w:color="auto"/>
      </w:divBdr>
    </w:div>
    <w:div w:id="1021592840">
      <w:bodyDiv w:val="1"/>
      <w:marLeft w:val="0"/>
      <w:marRight w:val="0"/>
      <w:marTop w:val="0"/>
      <w:marBottom w:val="0"/>
      <w:divBdr>
        <w:top w:val="none" w:sz="0" w:space="0" w:color="auto"/>
        <w:left w:val="none" w:sz="0" w:space="0" w:color="auto"/>
        <w:bottom w:val="none" w:sz="0" w:space="0" w:color="auto"/>
        <w:right w:val="none" w:sz="0" w:space="0" w:color="auto"/>
      </w:divBdr>
    </w:div>
    <w:div w:id="1201166770">
      <w:bodyDiv w:val="1"/>
      <w:marLeft w:val="0"/>
      <w:marRight w:val="0"/>
      <w:marTop w:val="0"/>
      <w:marBottom w:val="0"/>
      <w:divBdr>
        <w:top w:val="none" w:sz="0" w:space="0" w:color="auto"/>
        <w:left w:val="none" w:sz="0" w:space="0" w:color="auto"/>
        <w:bottom w:val="none" w:sz="0" w:space="0" w:color="auto"/>
        <w:right w:val="none" w:sz="0" w:space="0" w:color="auto"/>
      </w:divBdr>
    </w:div>
    <w:div w:id="1246962536">
      <w:bodyDiv w:val="1"/>
      <w:marLeft w:val="0"/>
      <w:marRight w:val="0"/>
      <w:marTop w:val="0"/>
      <w:marBottom w:val="0"/>
      <w:divBdr>
        <w:top w:val="none" w:sz="0" w:space="0" w:color="auto"/>
        <w:left w:val="none" w:sz="0" w:space="0" w:color="auto"/>
        <w:bottom w:val="none" w:sz="0" w:space="0" w:color="auto"/>
        <w:right w:val="none" w:sz="0" w:space="0" w:color="auto"/>
      </w:divBdr>
    </w:div>
    <w:div w:id="1538197397">
      <w:bodyDiv w:val="1"/>
      <w:marLeft w:val="0"/>
      <w:marRight w:val="0"/>
      <w:marTop w:val="0"/>
      <w:marBottom w:val="0"/>
      <w:divBdr>
        <w:top w:val="none" w:sz="0" w:space="0" w:color="auto"/>
        <w:left w:val="none" w:sz="0" w:space="0" w:color="auto"/>
        <w:bottom w:val="none" w:sz="0" w:space="0" w:color="auto"/>
        <w:right w:val="none" w:sz="0" w:space="0" w:color="auto"/>
      </w:divBdr>
    </w:div>
    <w:div w:id="1884055994">
      <w:bodyDiv w:val="1"/>
      <w:marLeft w:val="0"/>
      <w:marRight w:val="0"/>
      <w:marTop w:val="0"/>
      <w:marBottom w:val="0"/>
      <w:divBdr>
        <w:top w:val="none" w:sz="0" w:space="0" w:color="auto"/>
        <w:left w:val="none" w:sz="0" w:space="0" w:color="auto"/>
        <w:bottom w:val="none" w:sz="0" w:space="0" w:color="auto"/>
        <w:right w:val="none" w:sz="0" w:space="0" w:color="auto"/>
      </w:divBdr>
    </w:div>
    <w:div w:id="20373909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gov.uk/government/publications/tupe-a-guide-to-the-2006-regulations"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15101</TotalTime>
  <Pages>21</Pages>
  <Words>8372</Words>
  <Characters>47722</Characters>
  <Application>Microsoft Office Word</Application>
  <DocSecurity>0</DocSecurity>
  <Lines>397</Lines>
  <Paragraphs>111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55983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Mike Gelder</dc:creator>
  <cp:keywords/>
  <dc:description/>
  <cp:lastModifiedBy>Mike Gelder</cp:lastModifiedBy>
  <cp:revision>1035</cp:revision>
  <dcterms:created xsi:type="dcterms:W3CDTF">2025-03-04T20:57:00Z</dcterms:created>
  <dcterms:modified xsi:type="dcterms:W3CDTF">2025-05-25T15:52:00Z</dcterms:modified>
</cp:coreProperties>
</file>