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B71EE" w14:textId="77777777" w:rsidR="001A0CE0" w:rsidRPr="007202BC" w:rsidRDefault="001A0CE0" w:rsidP="001A0CE0">
      <w:pPr>
        <w:rPr>
          <w:rFonts w:cs="Arial"/>
          <w:color w:val="58595B"/>
          <w:sz w:val="36"/>
          <w:szCs w:val="36"/>
        </w:rPr>
      </w:pPr>
      <w:r w:rsidRPr="007202BC">
        <w:rPr>
          <w:rFonts w:cs="Arial"/>
          <w:color w:val="58595B"/>
          <w:sz w:val="36"/>
          <w:szCs w:val="36"/>
        </w:rPr>
        <w:t>Qualification: CIPD Diploma in Applied Human Resources</w:t>
      </w:r>
    </w:p>
    <w:p w14:paraId="653EB81C" w14:textId="77777777" w:rsidR="001A0CE0" w:rsidRPr="007202BC" w:rsidRDefault="001A0CE0" w:rsidP="001A0CE0">
      <w:pPr>
        <w:rPr>
          <w:rFonts w:cs="Arial"/>
          <w:color w:val="58595B"/>
          <w:sz w:val="36"/>
          <w:szCs w:val="36"/>
        </w:rPr>
      </w:pPr>
    </w:p>
    <w:p w14:paraId="322A05BB" w14:textId="64F50B6D" w:rsidR="001A0CE0" w:rsidRPr="007202BC" w:rsidRDefault="001A0CE0" w:rsidP="001A0CE0">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Employment Law</w:t>
      </w:r>
    </w:p>
    <w:p w14:paraId="112A9E91" w14:textId="77777777" w:rsidR="001A0CE0" w:rsidRPr="007202BC" w:rsidRDefault="001A0CE0" w:rsidP="001A0CE0">
      <w:pPr>
        <w:rPr>
          <w:rFonts w:cs="Arial"/>
          <w:color w:val="58595B"/>
          <w:sz w:val="36"/>
          <w:szCs w:val="36"/>
        </w:rPr>
      </w:pPr>
    </w:p>
    <w:p w14:paraId="2B11ED08" w14:textId="77777777" w:rsidR="001A0CE0" w:rsidRDefault="001A0CE0" w:rsidP="001A0CE0">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69BF02E7" w14:textId="77777777" w:rsidR="001A0CE0" w:rsidRDefault="001A0CE0" w:rsidP="001A0CE0">
      <w:pPr>
        <w:rPr>
          <w:rFonts w:cs="Arial"/>
          <w:color w:val="58595B"/>
          <w:sz w:val="36"/>
          <w:szCs w:val="36"/>
        </w:rPr>
      </w:pPr>
    </w:p>
    <w:p w14:paraId="5FDF3E32" w14:textId="35EFF565" w:rsidR="001A0CE0" w:rsidRDefault="001A0CE0" w:rsidP="001A0CE0">
      <w:pPr>
        <w:rPr>
          <w:rFonts w:cs="Arial"/>
          <w:color w:val="58595B"/>
          <w:sz w:val="36"/>
          <w:szCs w:val="36"/>
        </w:rPr>
      </w:pPr>
      <w:r>
        <w:rPr>
          <w:rFonts w:cs="Arial"/>
          <w:color w:val="58595B"/>
          <w:sz w:val="36"/>
          <w:szCs w:val="36"/>
        </w:rPr>
        <w:t>Word Count:</w:t>
      </w:r>
      <w:r w:rsidR="00B426BA">
        <w:rPr>
          <w:rFonts w:cs="Arial"/>
          <w:color w:val="58595B"/>
          <w:sz w:val="36"/>
          <w:szCs w:val="36"/>
        </w:rPr>
        <w:t xml:space="preserve"> </w:t>
      </w:r>
      <w:r w:rsidR="00B426BA">
        <w:rPr>
          <w:rFonts w:cs="Arial"/>
          <w:color w:val="58595B"/>
          <w:sz w:val="36"/>
          <w:szCs w:val="36"/>
        </w:rPr>
        <w:t>4157</w:t>
      </w:r>
    </w:p>
    <w:p w14:paraId="4F35820B" w14:textId="27D0CAE2" w:rsidR="001A0CE0" w:rsidRPr="007202BC" w:rsidRDefault="001A0CE0" w:rsidP="001A0CE0">
      <w:pPr>
        <w:rPr>
          <w:rFonts w:cs="Arial"/>
          <w:color w:val="58595B"/>
          <w:sz w:val="36"/>
          <w:szCs w:val="36"/>
        </w:rPr>
      </w:pPr>
    </w:p>
    <w:p w14:paraId="52CAC60C" w14:textId="77777777" w:rsidR="001A0CE0" w:rsidRPr="007202BC" w:rsidRDefault="001A0CE0" w:rsidP="001A0CE0">
      <w:pPr>
        <w:rPr>
          <w:rFonts w:cs="Arial"/>
          <w:color w:val="58595B"/>
          <w:sz w:val="36"/>
          <w:szCs w:val="36"/>
        </w:rPr>
      </w:pPr>
    </w:p>
    <w:p w14:paraId="481CA355" w14:textId="77777777" w:rsidR="001A0CE0" w:rsidRDefault="001A0CE0" w:rsidP="001A0CE0">
      <w:pPr>
        <w:rPr>
          <w:rFonts w:cs="Arial"/>
          <w:color w:val="58595B"/>
          <w:sz w:val="36"/>
          <w:szCs w:val="36"/>
        </w:rPr>
      </w:pPr>
    </w:p>
    <w:p w14:paraId="0DB2E014" w14:textId="77777777" w:rsidR="001A0CE0" w:rsidRDefault="001A0CE0" w:rsidP="001A0CE0">
      <w:pPr>
        <w:rPr>
          <w:rFonts w:cs="Arial"/>
          <w:color w:val="58595B"/>
          <w:sz w:val="36"/>
          <w:szCs w:val="36"/>
        </w:rPr>
      </w:pPr>
    </w:p>
    <w:p w14:paraId="224B1DD5" w14:textId="77777777" w:rsidR="001A0CE0" w:rsidRDefault="001A0CE0" w:rsidP="001A0CE0">
      <w:pPr>
        <w:rPr>
          <w:rFonts w:cs="Arial"/>
          <w:color w:val="58595B"/>
          <w:sz w:val="36"/>
          <w:szCs w:val="36"/>
        </w:rPr>
      </w:pPr>
    </w:p>
    <w:p w14:paraId="36C4418E" w14:textId="77777777" w:rsidR="001A0CE0" w:rsidRDefault="001A0CE0" w:rsidP="001A0CE0">
      <w:pPr>
        <w:rPr>
          <w:rFonts w:cs="Arial"/>
          <w:color w:val="58595B"/>
          <w:sz w:val="36"/>
          <w:szCs w:val="36"/>
        </w:rPr>
      </w:pPr>
    </w:p>
    <w:p w14:paraId="2213C1E0" w14:textId="77777777" w:rsidR="001A0CE0" w:rsidRDefault="001A0CE0" w:rsidP="001A0CE0">
      <w:pPr>
        <w:rPr>
          <w:rFonts w:cs="Arial"/>
          <w:color w:val="58595B"/>
          <w:sz w:val="36"/>
          <w:szCs w:val="36"/>
        </w:rPr>
      </w:pPr>
    </w:p>
    <w:p w14:paraId="6B016751" w14:textId="77777777" w:rsidR="001A0CE0" w:rsidRDefault="001A0CE0" w:rsidP="001A0CE0">
      <w:pPr>
        <w:rPr>
          <w:rFonts w:cs="Arial"/>
          <w:color w:val="58595B"/>
          <w:sz w:val="36"/>
          <w:szCs w:val="36"/>
        </w:rPr>
      </w:pPr>
    </w:p>
    <w:p w14:paraId="2FE5906D" w14:textId="77777777" w:rsidR="001A0CE0" w:rsidRPr="007202BC" w:rsidRDefault="001A0CE0" w:rsidP="001A0CE0">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Kimberley Low </w:t>
      </w:r>
    </w:p>
    <w:p w14:paraId="14E28522" w14:textId="77777777" w:rsidR="001A0CE0" w:rsidRPr="007202BC" w:rsidRDefault="001A0CE0" w:rsidP="001A0CE0">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1400169</w:t>
      </w:r>
    </w:p>
    <w:p w14:paraId="511A3388" w14:textId="77777777" w:rsidR="001A0CE0" w:rsidRPr="007202BC" w:rsidRDefault="001A0CE0" w:rsidP="001A0CE0">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57493170</w:t>
      </w:r>
    </w:p>
    <w:p w14:paraId="7537BB80" w14:textId="77777777" w:rsidR="001A0CE0" w:rsidRPr="007202BC" w:rsidRDefault="001A0CE0" w:rsidP="001A0CE0">
      <w:pPr>
        <w:rPr>
          <w:rFonts w:cs="Arial"/>
          <w:color w:val="58595B"/>
          <w:sz w:val="36"/>
          <w:szCs w:val="36"/>
        </w:rPr>
      </w:pPr>
    </w:p>
    <w:p w14:paraId="76210832" w14:textId="77777777" w:rsidR="001A0CE0" w:rsidRPr="007202BC" w:rsidRDefault="001A0CE0" w:rsidP="001A0CE0">
      <w:pPr>
        <w:rPr>
          <w:rFonts w:cs="Arial"/>
          <w:color w:val="58595B"/>
          <w:sz w:val="36"/>
          <w:szCs w:val="36"/>
        </w:rPr>
      </w:pPr>
    </w:p>
    <w:p w14:paraId="6C44592D" w14:textId="77777777" w:rsidR="001A0CE0" w:rsidRPr="007202BC" w:rsidRDefault="001A0CE0" w:rsidP="001A0CE0">
      <w:pPr>
        <w:rPr>
          <w:rFonts w:cs="Arial"/>
          <w:color w:val="58595B"/>
          <w:sz w:val="36"/>
          <w:szCs w:val="36"/>
        </w:rPr>
      </w:pPr>
    </w:p>
    <w:p w14:paraId="151E0CA9" w14:textId="77777777" w:rsidR="001A0CE0" w:rsidRPr="007202BC" w:rsidRDefault="001A0CE0" w:rsidP="001A0CE0">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CD865DE" w14:textId="77777777" w:rsidR="001A0CE0" w:rsidRPr="007202BC" w:rsidRDefault="001A0CE0" w:rsidP="001A0CE0">
      <w:pPr>
        <w:rPr>
          <w:rFonts w:cs="Arial"/>
          <w:color w:val="58595B"/>
          <w:sz w:val="36"/>
          <w:szCs w:val="36"/>
        </w:rPr>
      </w:pPr>
    </w:p>
    <w:p w14:paraId="54C8D182" w14:textId="77777777" w:rsidR="001A0CE0" w:rsidRPr="007202BC" w:rsidRDefault="001A0CE0" w:rsidP="001A0CE0">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Kimberley A Low </w:t>
      </w:r>
    </w:p>
    <w:p w14:paraId="371A5C97" w14:textId="440AAD74" w:rsidR="001A0CE0" w:rsidRPr="007202BC" w:rsidRDefault="001A0CE0" w:rsidP="001A0CE0">
      <w:pPr>
        <w:rPr>
          <w:rFonts w:cs="Arial"/>
          <w:color w:val="58595B"/>
          <w:sz w:val="36"/>
          <w:szCs w:val="36"/>
        </w:rPr>
      </w:pPr>
      <w:r w:rsidRPr="007202BC">
        <w:rPr>
          <w:rFonts w:cs="Arial"/>
          <w:color w:val="58595B"/>
          <w:sz w:val="36"/>
          <w:szCs w:val="36"/>
        </w:rPr>
        <w:t xml:space="preserve">Date: </w:t>
      </w:r>
      <w:r w:rsidR="00B426BA">
        <w:rPr>
          <w:rFonts w:cs="Arial"/>
          <w:color w:val="58595B"/>
          <w:sz w:val="36"/>
          <w:szCs w:val="36"/>
        </w:rPr>
        <w:t>19/04/2021</w:t>
      </w:r>
    </w:p>
    <w:p w14:paraId="095EEA12" w14:textId="77777777" w:rsidR="001A0CE0" w:rsidRDefault="001A0CE0" w:rsidP="001A0CE0"/>
    <w:p w14:paraId="19466685" w14:textId="77777777" w:rsidR="001A0CE0" w:rsidRDefault="001A0CE0" w:rsidP="001A0CE0"/>
    <w:p w14:paraId="3CD7B5B6" w14:textId="77777777" w:rsidR="001A0CE0" w:rsidRDefault="001A0CE0" w:rsidP="001A0CE0"/>
    <w:p w14:paraId="3A62E634" w14:textId="77777777" w:rsidR="001A0CE0" w:rsidRDefault="001A0CE0" w:rsidP="001A0CE0"/>
    <w:p w14:paraId="28D8E46A" w14:textId="27C44BBC" w:rsidR="005B156E" w:rsidRDefault="005B156E"/>
    <w:p w14:paraId="309A3DCB" w14:textId="28416E10" w:rsidR="001A0CE0" w:rsidRDefault="001A0CE0"/>
    <w:p w14:paraId="54656342" w14:textId="509DCD51" w:rsidR="001A0CE0" w:rsidRDefault="001A0CE0"/>
    <w:p w14:paraId="50DA7D4F" w14:textId="3ABD5F82" w:rsidR="001A0CE0" w:rsidRDefault="001A0CE0">
      <w:pPr>
        <w:rPr>
          <w:rFonts w:cs="Arial"/>
          <w:color w:val="auto"/>
          <w:u w:val="single"/>
        </w:rPr>
      </w:pPr>
      <w:r w:rsidRPr="001A0CE0">
        <w:rPr>
          <w:rFonts w:cs="Arial"/>
          <w:color w:val="auto"/>
          <w:u w:val="single"/>
        </w:rPr>
        <w:lastRenderedPageBreak/>
        <w:t>Explain the purpose of employment law and outline the role played by the tribunal and courts system in enforcing employment law.</w:t>
      </w:r>
    </w:p>
    <w:p w14:paraId="0E05DE37" w14:textId="122A8B3F" w:rsidR="002D7409" w:rsidRDefault="002D7409">
      <w:pPr>
        <w:rPr>
          <w:rFonts w:cs="Arial"/>
          <w:color w:val="auto"/>
          <w:u w:val="single"/>
        </w:rPr>
      </w:pPr>
    </w:p>
    <w:p w14:paraId="052CAA43" w14:textId="1675CCCC" w:rsidR="002D7409" w:rsidRDefault="006D0AEC">
      <w:pPr>
        <w:rPr>
          <w:rFonts w:cs="Arial"/>
          <w:color w:val="auto"/>
        </w:rPr>
      </w:pPr>
      <w:r>
        <w:rPr>
          <w:rFonts w:cs="Arial"/>
          <w:color w:val="auto"/>
        </w:rPr>
        <w:t>According to Daniels (2019) the main purpose of employment law is to regulate the relationship between employers and employee</w:t>
      </w:r>
      <w:r w:rsidR="008000F2">
        <w:rPr>
          <w:rFonts w:cs="Arial"/>
          <w:color w:val="auto"/>
        </w:rPr>
        <w:t>s,</w:t>
      </w:r>
      <w:r w:rsidR="00927BE4">
        <w:rPr>
          <w:rFonts w:cs="Arial"/>
          <w:color w:val="auto"/>
        </w:rPr>
        <w:t xml:space="preserve"> ensuring a good balance and that laws do not lean in favor or give more power to any one side,</w:t>
      </w:r>
      <w:r w:rsidR="008000F2">
        <w:rPr>
          <w:rFonts w:cs="Arial"/>
          <w:color w:val="auto"/>
        </w:rPr>
        <w:t xml:space="preserve"> this is important to protect both parties and make sure that neither one exploits the other. </w:t>
      </w:r>
      <w:r w:rsidR="00927BE4">
        <w:rPr>
          <w:rFonts w:cs="Arial"/>
          <w:color w:val="auto"/>
        </w:rPr>
        <w:t xml:space="preserve">Employment law contributes to ensuring a fair environment when it comes to things such as recruitment or dismissal, it is also worth noting that without employment law, trade unions would be limited in how they can help employees.  </w:t>
      </w:r>
      <w:r w:rsidR="008000F2">
        <w:rPr>
          <w:rFonts w:cs="Arial"/>
          <w:color w:val="auto"/>
        </w:rPr>
        <w:t xml:space="preserve">Employment law is a vast area and something which is continuously being reviewed and updated as legislation changes to reflect tends, politics and </w:t>
      </w:r>
      <w:r w:rsidR="009F7D29">
        <w:rPr>
          <w:rFonts w:cs="Arial"/>
          <w:color w:val="auto"/>
        </w:rPr>
        <w:t xml:space="preserve">the working environment. </w:t>
      </w:r>
      <w:r w:rsidR="00EB3FA9">
        <w:rPr>
          <w:rFonts w:cs="Arial"/>
          <w:color w:val="auto"/>
        </w:rPr>
        <w:t xml:space="preserve"> Most UK employment law comes from statutes passed by parliament such as the ‘Employment Act 2002’ or </w:t>
      </w:r>
      <w:r w:rsidR="00111246">
        <w:rPr>
          <w:rFonts w:cs="Arial"/>
          <w:color w:val="auto"/>
        </w:rPr>
        <w:t xml:space="preserve">statutory </w:t>
      </w:r>
      <w:r w:rsidR="00EB3FA9">
        <w:rPr>
          <w:rFonts w:cs="Arial"/>
          <w:color w:val="auto"/>
        </w:rPr>
        <w:t>regulations issued under certain acts, some regulations come from common law and</w:t>
      </w:r>
      <w:r w:rsidR="003E78E6">
        <w:rPr>
          <w:rFonts w:cs="Arial"/>
          <w:color w:val="auto"/>
        </w:rPr>
        <w:t xml:space="preserve"> the doctrine of precedents whereby legal decisions made </w:t>
      </w:r>
      <w:r w:rsidR="00EB3FA9">
        <w:rPr>
          <w:rFonts w:cs="Arial"/>
          <w:color w:val="auto"/>
        </w:rPr>
        <w:t>by judges</w:t>
      </w:r>
      <w:r w:rsidR="003E78E6">
        <w:rPr>
          <w:rFonts w:cs="Arial"/>
          <w:color w:val="auto"/>
        </w:rPr>
        <w:t xml:space="preserve"> and courts are bound by decisions made previously,</w:t>
      </w:r>
      <w:r w:rsidR="00EB3FA9">
        <w:rPr>
          <w:rFonts w:cs="Arial"/>
          <w:color w:val="auto"/>
        </w:rPr>
        <w:t xml:space="preserve"> (Taylor and Wilkinson 2016).</w:t>
      </w:r>
    </w:p>
    <w:p w14:paraId="400AFBAC" w14:textId="0065CB82" w:rsidR="00137BDC" w:rsidRDefault="00137BDC">
      <w:pPr>
        <w:rPr>
          <w:rFonts w:cs="Arial"/>
          <w:color w:val="auto"/>
        </w:rPr>
      </w:pPr>
    </w:p>
    <w:p w14:paraId="2E89FDAD" w14:textId="3ABE9F41" w:rsidR="005656AD" w:rsidRDefault="00805A95">
      <w:pPr>
        <w:rPr>
          <w:rFonts w:cs="Arial"/>
          <w:color w:val="auto"/>
        </w:rPr>
      </w:pPr>
      <w:r>
        <w:rPr>
          <w:rFonts w:cs="Arial"/>
          <w:color w:val="auto"/>
        </w:rPr>
        <w:t xml:space="preserve">HR professionals need to have a good understanding of employment law and how the employment tribunal systems work. </w:t>
      </w:r>
      <w:r w:rsidR="00CB738B">
        <w:rPr>
          <w:rFonts w:cs="Arial"/>
          <w:color w:val="auto"/>
        </w:rPr>
        <w:t xml:space="preserve">The process can be very lengthy and costly to employers and by following and staying up to date with current legislation the likely hood of having claims brought against them can be reduced. </w:t>
      </w:r>
      <w:r w:rsidR="00137BDC">
        <w:rPr>
          <w:rFonts w:cs="Arial"/>
          <w:color w:val="auto"/>
        </w:rPr>
        <w:t xml:space="preserve">According to CIPD (2021) most cases relating to employment law go through the civil court, however certain cases will go through the criminal court which can occur with health and safety related issues for example. </w:t>
      </w:r>
      <w:r w:rsidR="005656AD">
        <w:rPr>
          <w:rFonts w:cs="Arial"/>
          <w:color w:val="auto"/>
        </w:rPr>
        <w:t>Employment tribunals were originally called industrial tribunals and originally dealt with industrial training but are now used for a vast variety or cases, these are different to civil courts as they are seen as slightly more informal with the claimant nearly always being the employee or ex-employee, (Law Commission 2018).</w:t>
      </w:r>
    </w:p>
    <w:p w14:paraId="64B3BC46" w14:textId="77777777" w:rsidR="005656AD" w:rsidRDefault="005656AD">
      <w:pPr>
        <w:rPr>
          <w:rFonts w:cs="Arial"/>
          <w:color w:val="auto"/>
        </w:rPr>
      </w:pPr>
    </w:p>
    <w:p w14:paraId="08951F30" w14:textId="7ED5A1F9" w:rsidR="005C0139" w:rsidRDefault="00111246">
      <w:pPr>
        <w:rPr>
          <w:rFonts w:cs="Arial"/>
          <w:color w:val="auto"/>
        </w:rPr>
      </w:pPr>
      <w:r>
        <w:rPr>
          <w:rFonts w:cs="Arial"/>
          <w:color w:val="auto"/>
        </w:rPr>
        <w:t xml:space="preserve">Before a claimant </w:t>
      </w:r>
      <w:r w:rsidR="001B432A">
        <w:rPr>
          <w:rFonts w:cs="Arial"/>
          <w:color w:val="auto"/>
        </w:rPr>
        <w:t xml:space="preserve">(employee, ex-employee or worker) </w:t>
      </w:r>
      <w:r>
        <w:rPr>
          <w:rFonts w:cs="Arial"/>
          <w:color w:val="auto"/>
        </w:rPr>
        <w:t>can take a claim to an employment tribunal, they must first go through ACAS early conciliation whereby ACAS contacts the employer and attempts to agree a settlement out of court</w:t>
      </w:r>
      <w:r w:rsidR="001B432A">
        <w:rPr>
          <w:rFonts w:cs="Arial"/>
          <w:color w:val="auto"/>
        </w:rPr>
        <w:t>, this is free</w:t>
      </w:r>
      <w:r>
        <w:rPr>
          <w:rFonts w:cs="Arial"/>
          <w:color w:val="auto"/>
        </w:rPr>
        <w:t xml:space="preserve">. </w:t>
      </w:r>
      <w:r w:rsidR="001B432A">
        <w:rPr>
          <w:rFonts w:cs="Arial"/>
          <w:color w:val="auto"/>
        </w:rPr>
        <w:t xml:space="preserve">If this is unsuccessful then the claimant can move on to the employment tribunal, (ACAS 2020). </w:t>
      </w:r>
      <w:r w:rsidR="001C6417">
        <w:rPr>
          <w:rFonts w:cs="Arial"/>
          <w:color w:val="auto"/>
        </w:rPr>
        <w:t>To make a claim to the employment tribunals, an ET1 form which includes the details of the claim must be completed within a set time period, usually this must be within three months however there are certain exceptions for example if the claim relates to redundancy pay, equal pay or dismissal the time frame is extended to six months.</w:t>
      </w:r>
      <w:r w:rsidR="005C0139">
        <w:rPr>
          <w:rFonts w:cs="Arial"/>
          <w:color w:val="auto"/>
        </w:rPr>
        <w:t xml:space="preserve"> </w:t>
      </w:r>
      <w:r w:rsidR="00A12A63">
        <w:rPr>
          <w:rFonts w:cs="Arial"/>
          <w:color w:val="auto"/>
        </w:rPr>
        <w:t xml:space="preserve">Once the ET1 form is received a copy is sent to the employer along with an ET3 form which is used to confirm information and outline the defense to the claim in question, the case is then listed after 28 days. </w:t>
      </w:r>
      <w:r w:rsidR="001D0229">
        <w:rPr>
          <w:rFonts w:cs="Arial"/>
          <w:color w:val="auto"/>
        </w:rPr>
        <w:t xml:space="preserve">Both parties then gather evidence and documents so that by the next stage of the process all information is received and no new information is brough in at the hearing stage. </w:t>
      </w:r>
    </w:p>
    <w:p w14:paraId="74ADC444" w14:textId="494F4F53" w:rsidR="00A12A63" w:rsidRDefault="00A12A63">
      <w:pPr>
        <w:rPr>
          <w:rFonts w:cs="Arial"/>
          <w:color w:val="auto"/>
        </w:rPr>
      </w:pPr>
    </w:p>
    <w:p w14:paraId="5C63904B" w14:textId="05E6CC56" w:rsidR="005C0139" w:rsidRDefault="00A12A63">
      <w:pPr>
        <w:rPr>
          <w:rFonts w:cs="Arial"/>
          <w:color w:val="auto"/>
        </w:rPr>
      </w:pPr>
      <w:r>
        <w:rPr>
          <w:rFonts w:cs="Arial"/>
          <w:color w:val="auto"/>
        </w:rPr>
        <w:t>The next stage of the tribunal process is the preliminary hearing</w:t>
      </w:r>
      <w:r w:rsidR="00B3368F">
        <w:rPr>
          <w:rFonts w:cs="Arial"/>
          <w:color w:val="auto"/>
        </w:rPr>
        <w:t>, whereby things can be addressed before the full hearing. This can be used to clarify information. Some claims are settled before the hearing either by ACAS conciliation, judicial mediation or the claimant can withdraw the claim at any stage. At the hearing stage all evidence is presented, and witness statements are heard by the employment tribunal and then</w:t>
      </w:r>
      <w:r w:rsidR="009316B1">
        <w:rPr>
          <w:rFonts w:cs="Arial"/>
          <w:color w:val="auto"/>
        </w:rPr>
        <w:t xml:space="preserve"> a </w:t>
      </w:r>
      <w:r w:rsidR="00B557B9">
        <w:rPr>
          <w:rFonts w:cs="Arial"/>
          <w:color w:val="auto"/>
        </w:rPr>
        <w:t xml:space="preserve">judgement made, the </w:t>
      </w:r>
      <w:r w:rsidR="009316B1">
        <w:rPr>
          <w:rFonts w:cs="Arial"/>
          <w:color w:val="auto"/>
        </w:rPr>
        <w:t>verdict is reached by the majority</w:t>
      </w:r>
      <w:r w:rsidR="003E78E6">
        <w:rPr>
          <w:rFonts w:cs="Arial"/>
          <w:color w:val="auto"/>
        </w:rPr>
        <w:t xml:space="preserve"> and does not need to be unanimous</w:t>
      </w:r>
      <w:r w:rsidR="009316B1">
        <w:rPr>
          <w:rFonts w:cs="Arial"/>
          <w:color w:val="auto"/>
        </w:rPr>
        <w:t xml:space="preserve">. </w:t>
      </w:r>
      <w:r w:rsidR="00B557B9">
        <w:rPr>
          <w:rFonts w:cs="Arial"/>
          <w:color w:val="auto"/>
        </w:rPr>
        <w:t>If either party is not satisfied with the outcome, they can ask for the tribunal to review which must be within 14 days and for legitimate reasons</w:t>
      </w:r>
      <w:r w:rsidR="001D0229">
        <w:rPr>
          <w:rFonts w:cs="Arial"/>
          <w:color w:val="auto"/>
        </w:rPr>
        <w:t xml:space="preserve">, this is always carried out by the same judge and therefor the decision </w:t>
      </w:r>
      <w:r w:rsidR="00E26C8E">
        <w:rPr>
          <w:rFonts w:cs="Arial"/>
          <w:color w:val="auto"/>
        </w:rPr>
        <w:t>is</w:t>
      </w:r>
      <w:r w:rsidR="001D0229">
        <w:rPr>
          <w:rFonts w:cs="Arial"/>
          <w:color w:val="auto"/>
        </w:rPr>
        <w:t xml:space="preserve"> unlikely to change. The alternative option is </w:t>
      </w:r>
      <w:r w:rsidR="00B557B9">
        <w:rPr>
          <w:rFonts w:cs="Arial"/>
          <w:color w:val="auto"/>
        </w:rPr>
        <w:t>an appeal can be made to the Employment Appeal Tribunal</w:t>
      </w:r>
      <w:r w:rsidR="001D0229">
        <w:rPr>
          <w:rFonts w:cs="Arial"/>
          <w:color w:val="auto"/>
        </w:rPr>
        <w:t xml:space="preserve"> and this is then listed for preliminary hearing where it is determined if there are grounds for appeal and if there are both parties then prepare for a full appeal hearing</w:t>
      </w:r>
      <w:r w:rsidR="00B557B9">
        <w:rPr>
          <w:rFonts w:cs="Arial"/>
          <w:color w:val="auto"/>
        </w:rPr>
        <w:t xml:space="preserve"> (Daniels 2019). </w:t>
      </w:r>
    </w:p>
    <w:p w14:paraId="1D23C6F7" w14:textId="0094BE77" w:rsidR="00D41D8E" w:rsidRDefault="00D41D8E">
      <w:pPr>
        <w:rPr>
          <w:rFonts w:cs="Arial"/>
          <w:color w:val="auto"/>
        </w:rPr>
      </w:pPr>
    </w:p>
    <w:p w14:paraId="655B7F58" w14:textId="77777777" w:rsidR="00D41D8E" w:rsidRDefault="00D41D8E">
      <w:pPr>
        <w:rPr>
          <w:rFonts w:cs="Arial"/>
          <w:color w:val="auto"/>
        </w:rPr>
      </w:pPr>
    </w:p>
    <w:p w14:paraId="7E257DCF" w14:textId="24736EC8" w:rsidR="00A50AC4" w:rsidRDefault="00A50AC4" w:rsidP="00A50AC4">
      <w:pPr>
        <w:rPr>
          <w:rFonts w:cs="Arial"/>
          <w:color w:val="auto"/>
        </w:rPr>
      </w:pPr>
      <w:r w:rsidRPr="00A50AC4">
        <w:rPr>
          <w:rFonts w:cs="Arial"/>
          <w:color w:val="auto"/>
          <w:u w:val="single"/>
        </w:rPr>
        <w:lastRenderedPageBreak/>
        <w:t>Summarise the main principles of discrimination law in relation to recruitment and selection and explain how contracts of employment are established.</w:t>
      </w:r>
      <w:r w:rsidRPr="00A50AC4">
        <w:rPr>
          <w:rFonts w:cs="Arial"/>
          <w:sz w:val="20"/>
          <w:szCs w:val="20"/>
          <w:u w:val="single"/>
        </w:rPr>
        <w:br/>
      </w:r>
    </w:p>
    <w:p w14:paraId="03E4B335" w14:textId="77777777" w:rsidR="008502E3" w:rsidRDefault="007E6C0A" w:rsidP="00A50AC4">
      <w:pPr>
        <w:rPr>
          <w:rFonts w:cs="Arial"/>
          <w:color w:val="auto"/>
        </w:rPr>
      </w:pPr>
      <w:r>
        <w:rPr>
          <w:rFonts w:cs="Arial"/>
          <w:color w:val="auto"/>
        </w:rPr>
        <w:t xml:space="preserve">The equality act 2010 outlines the 9 protected characteristics which are grounds on which discrimination can occur, these are age, disability, gender reassignment, marriage and civil partnership, pregnancy and maternity, race, religion or belief, sex, sexual orientation (GOV UK, 2010). </w:t>
      </w:r>
      <w:r w:rsidR="008F3867">
        <w:rPr>
          <w:rFonts w:cs="Arial"/>
          <w:color w:val="auto"/>
        </w:rPr>
        <w:t>Discrimination can be split into direct and indirect. Direct discrimination during the recruitment process happens when an employer does not hire an individual purely on the grounds of a protected characteristic</w:t>
      </w:r>
      <w:r w:rsidR="004657DD">
        <w:rPr>
          <w:rFonts w:cs="Arial"/>
          <w:color w:val="auto"/>
        </w:rPr>
        <w:t>, this is unlawful. There are some exceptions to this such as if a particular job requires a particular ethnicity for example actors cast for certain roles</w:t>
      </w:r>
      <w:r w:rsidR="000A4E31">
        <w:rPr>
          <w:rFonts w:cs="Arial"/>
          <w:color w:val="auto"/>
        </w:rPr>
        <w:t xml:space="preserve">, (Taylor and Wilkinson 2016). </w:t>
      </w:r>
      <w:r w:rsidR="007C6961">
        <w:rPr>
          <w:rFonts w:cs="Arial"/>
          <w:color w:val="auto"/>
        </w:rPr>
        <w:t xml:space="preserve">Indirect discrimination occurs when an employer has a rule that has an adverse effect on more people who have a protected characteristic than people who do not have said protected characteristic. This can occur commonly with age, whereby a job requires many years of experience before a candidate is considered for the role meaning that fewer young people will meet the criteria to apply. An employer can justify this if it has a legitimate business aim that requires these specific criteria. </w:t>
      </w:r>
      <w:r w:rsidR="00A41915">
        <w:rPr>
          <w:rFonts w:cs="Arial"/>
          <w:color w:val="auto"/>
        </w:rPr>
        <w:t xml:space="preserve"> </w:t>
      </w:r>
    </w:p>
    <w:p w14:paraId="75A0F7A3" w14:textId="77777777" w:rsidR="008502E3" w:rsidRDefault="008502E3" w:rsidP="00A50AC4">
      <w:pPr>
        <w:rPr>
          <w:rFonts w:cs="Arial"/>
          <w:color w:val="auto"/>
        </w:rPr>
      </w:pPr>
    </w:p>
    <w:p w14:paraId="5A98625D" w14:textId="17178259" w:rsidR="00A41915" w:rsidRDefault="00B45659" w:rsidP="00A50AC4">
      <w:pPr>
        <w:rPr>
          <w:rFonts w:cs="Arial"/>
          <w:color w:val="auto"/>
        </w:rPr>
      </w:pPr>
      <w:r>
        <w:rPr>
          <w:rFonts w:cs="Arial"/>
          <w:color w:val="auto"/>
        </w:rPr>
        <w:t>Associative discrimination happens when an individual is treated less favorably because of someone else’s protected characteristic, (Perry 2019). An example of this during the recruitment process could be where an employer does not hire a mother who has a disabled son/daughter.</w:t>
      </w:r>
      <w:r w:rsidR="00A41915">
        <w:rPr>
          <w:rFonts w:cs="Arial"/>
          <w:color w:val="auto"/>
        </w:rPr>
        <w:t xml:space="preserve"> </w:t>
      </w:r>
      <w:r w:rsidR="008502E3">
        <w:rPr>
          <w:rFonts w:cs="Arial"/>
          <w:color w:val="auto"/>
        </w:rPr>
        <w:t xml:space="preserve">Perceptive discrimination occurs when an individual is treated less favorable because they are wrongly perceived to have one of the protected characteristics when in fact they do not, (ACAS 2021). An example of this during the recruitment process could be not interviewing an applicant with an Arabic name because they are wrongly perceived as being a Muslim. </w:t>
      </w:r>
      <w:r w:rsidR="00C57959">
        <w:rPr>
          <w:rFonts w:cs="Arial"/>
          <w:color w:val="auto"/>
        </w:rPr>
        <w:t xml:space="preserve"> </w:t>
      </w:r>
      <w:r w:rsidR="00A41915">
        <w:rPr>
          <w:rFonts w:cs="Arial"/>
          <w:color w:val="auto"/>
        </w:rPr>
        <w:t xml:space="preserve">The equality act also allows employers to discriminate positively in favor of underrepresented groups during the recruitment process if all candidates are equally suitable for the role. For example, if a department has all male employees and no females, the employer could select a female interviewee over a male simply because she was female. </w:t>
      </w:r>
    </w:p>
    <w:p w14:paraId="67FE1B5D" w14:textId="77777777" w:rsidR="00830577" w:rsidRDefault="00830577" w:rsidP="00A50AC4">
      <w:pPr>
        <w:rPr>
          <w:rFonts w:cs="Arial"/>
          <w:color w:val="auto"/>
        </w:rPr>
      </w:pPr>
    </w:p>
    <w:p w14:paraId="1F7A4B24" w14:textId="77777777" w:rsidR="009B3B37" w:rsidRDefault="0069508A" w:rsidP="00A50AC4">
      <w:pPr>
        <w:rPr>
          <w:rFonts w:cs="Arial"/>
          <w:color w:val="auto"/>
        </w:rPr>
      </w:pPr>
      <w:r>
        <w:rPr>
          <w:rFonts w:cs="Arial"/>
          <w:color w:val="auto"/>
        </w:rPr>
        <w:t xml:space="preserve">Employment contracts are essential as they define the way in which an employee and employer have agreed to work together and outline what is expected in terms of behavior and conduct. A contract of employment does not necessarily have to be in writing and can be done verbally however this is not preferable, there are five conditions for an employment contract, an unconditional offer, an unconditional acceptance of the offer, an intention to form a legal relationship, consideration and certainty, (Taylor and Wilkinson 2016). </w:t>
      </w:r>
    </w:p>
    <w:p w14:paraId="18889327" w14:textId="77777777" w:rsidR="009B3B37" w:rsidRDefault="009B3B37" w:rsidP="00A50AC4">
      <w:pPr>
        <w:rPr>
          <w:rFonts w:cs="Arial"/>
          <w:color w:val="auto"/>
        </w:rPr>
      </w:pPr>
    </w:p>
    <w:p w14:paraId="79151547" w14:textId="225A3788" w:rsidR="009B3B37" w:rsidRDefault="00316E93" w:rsidP="00A50AC4">
      <w:pPr>
        <w:rPr>
          <w:rFonts w:cs="Arial"/>
          <w:color w:val="auto"/>
        </w:rPr>
      </w:pPr>
      <w:r>
        <w:rPr>
          <w:rFonts w:cs="Arial"/>
          <w:color w:val="auto"/>
        </w:rPr>
        <w:t>According to ACAS (2021) an employer must legally provide anyone who is classe</w:t>
      </w:r>
      <w:r w:rsidR="00FE5C22">
        <w:rPr>
          <w:rFonts w:cs="Arial"/>
          <w:color w:val="auto"/>
        </w:rPr>
        <w:t>d</w:t>
      </w:r>
      <w:r>
        <w:rPr>
          <w:rFonts w:cs="Arial"/>
          <w:color w:val="auto"/>
        </w:rPr>
        <w:t xml:space="preserve"> as an employee with a written statement of employment particulars which includes </w:t>
      </w:r>
      <w:r w:rsidR="009B3B37">
        <w:rPr>
          <w:rFonts w:cs="Arial"/>
          <w:color w:val="auto"/>
        </w:rPr>
        <w:t>Specific terms agreed in writing also known as express terms such as</w:t>
      </w:r>
      <w:r>
        <w:rPr>
          <w:rFonts w:cs="Arial"/>
          <w:color w:val="auto"/>
        </w:rPr>
        <w:t xml:space="preserve"> pay and working hours</w:t>
      </w:r>
      <w:r w:rsidR="009B3B37">
        <w:rPr>
          <w:rFonts w:cs="Arial"/>
          <w:color w:val="auto"/>
        </w:rPr>
        <w:t xml:space="preserve">, employment law, implied terms which covers the obvious and expected behavior and incorporated terms which may include information from other company documents such as policies or handbooks. </w:t>
      </w:r>
    </w:p>
    <w:p w14:paraId="42CD3397" w14:textId="77777777" w:rsidR="009B3B37" w:rsidRDefault="009B3B37" w:rsidP="00A50AC4">
      <w:pPr>
        <w:rPr>
          <w:rFonts w:cs="Arial"/>
          <w:color w:val="auto"/>
        </w:rPr>
      </w:pPr>
    </w:p>
    <w:p w14:paraId="77B88EF9" w14:textId="7F40D701" w:rsidR="00E26C8E" w:rsidRDefault="0069508A" w:rsidP="00A50AC4">
      <w:pPr>
        <w:rPr>
          <w:rFonts w:cs="Arial"/>
          <w:color w:val="auto"/>
        </w:rPr>
      </w:pPr>
      <w:r>
        <w:rPr>
          <w:rFonts w:cs="Arial"/>
          <w:color w:val="auto"/>
        </w:rPr>
        <w:t xml:space="preserve">When establishing a contract of </w:t>
      </w:r>
      <w:r w:rsidR="00D93548">
        <w:rPr>
          <w:rFonts w:cs="Arial"/>
          <w:color w:val="auto"/>
        </w:rPr>
        <w:t>employment,</w:t>
      </w:r>
      <w:r w:rsidR="007A1244">
        <w:rPr>
          <w:rFonts w:cs="Arial"/>
          <w:color w:val="auto"/>
        </w:rPr>
        <w:t xml:space="preserve"> it is important to </w:t>
      </w:r>
      <w:r w:rsidR="009854BC">
        <w:rPr>
          <w:rFonts w:cs="Arial"/>
          <w:color w:val="auto"/>
        </w:rPr>
        <w:t xml:space="preserve">establish employment status as this determines whether the contract is a ‘contract of service’ </w:t>
      </w:r>
      <w:r w:rsidR="00D93548">
        <w:rPr>
          <w:rFonts w:cs="Arial"/>
          <w:color w:val="auto"/>
        </w:rPr>
        <w:t xml:space="preserve">which is usually an employee </w:t>
      </w:r>
      <w:r w:rsidR="009854BC">
        <w:rPr>
          <w:rFonts w:cs="Arial"/>
          <w:color w:val="auto"/>
        </w:rPr>
        <w:t>or a ‘contract for service’</w:t>
      </w:r>
      <w:r w:rsidR="00D93548">
        <w:rPr>
          <w:rFonts w:cs="Arial"/>
          <w:color w:val="auto"/>
        </w:rPr>
        <w:t xml:space="preserve"> which usually applies to self-employed or contractors or ‘workers’ which </w:t>
      </w:r>
      <w:r w:rsidR="00830583">
        <w:rPr>
          <w:rFonts w:cs="Arial"/>
          <w:color w:val="auto"/>
        </w:rPr>
        <w:t>can be harder to define and often falls somewhere between the two.</w:t>
      </w:r>
      <w:r w:rsidR="009854BC">
        <w:rPr>
          <w:rFonts w:cs="Arial"/>
          <w:color w:val="auto"/>
        </w:rPr>
        <w:t xml:space="preserve"> </w:t>
      </w:r>
      <w:r w:rsidR="00BF56E5">
        <w:rPr>
          <w:rFonts w:cs="Arial"/>
          <w:color w:val="auto"/>
        </w:rPr>
        <w:t xml:space="preserve">The rights of individuals is affected by this for example workers are entitled to minimum wage. </w:t>
      </w:r>
      <w:r w:rsidR="00D93548">
        <w:rPr>
          <w:rFonts w:cs="Arial"/>
          <w:color w:val="auto"/>
        </w:rPr>
        <w:t xml:space="preserve">If this is not correct it can cause legal complications for example the recent uber case whereby it was found that uber drivers were classed as workers and not self employed and therefore entitled to minimum wage and holiday pay, (Russon 2021). </w:t>
      </w:r>
    </w:p>
    <w:p w14:paraId="26C2ED61" w14:textId="77777777" w:rsidR="00E26C8E" w:rsidRPr="00B9580A" w:rsidRDefault="00E26C8E" w:rsidP="00A50AC4">
      <w:pPr>
        <w:rPr>
          <w:rFonts w:cs="Arial"/>
          <w:color w:val="auto"/>
        </w:rPr>
      </w:pPr>
    </w:p>
    <w:p w14:paraId="61F10398" w14:textId="77777777" w:rsidR="00A50AC4" w:rsidRPr="00A50AC4" w:rsidRDefault="00A50AC4" w:rsidP="00A50AC4">
      <w:pPr>
        <w:rPr>
          <w:rFonts w:cs="Arial"/>
          <w:color w:val="auto"/>
          <w:sz w:val="20"/>
          <w:szCs w:val="20"/>
          <w:u w:val="single"/>
          <w:lang w:val="en-GB"/>
        </w:rPr>
      </w:pPr>
    </w:p>
    <w:p w14:paraId="6A194DF4" w14:textId="67D07742" w:rsidR="006D0AEC" w:rsidRDefault="006D0AEC">
      <w:pPr>
        <w:rPr>
          <w:rFonts w:cs="Arial"/>
          <w:color w:val="auto"/>
        </w:rPr>
      </w:pPr>
    </w:p>
    <w:p w14:paraId="437C1537" w14:textId="0A46AA96" w:rsidR="006D0AEC" w:rsidRDefault="006D0AEC">
      <w:pPr>
        <w:rPr>
          <w:rFonts w:cs="Arial"/>
          <w:color w:val="auto"/>
        </w:rPr>
      </w:pPr>
    </w:p>
    <w:p w14:paraId="540AFA88" w14:textId="1DE3EBE3" w:rsidR="006D0AEC" w:rsidRDefault="008058D1">
      <w:pPr>
        <w:rPr>
          <w:rFonts w:cs="Arial"/>
          <w:color w:val="auto"/>
        </w:rPr>
      </w:pPr>
      <w:r w:rsidRPr="008058D1">
        <w:rPr>
          <w:rFonts w:cs="Arial"/>
          <w:color w:val="auto"/>
          <w:u w:val="single"/>
        </w:rPr>
        <w:lastRenderedPageBreak/>
        <w:t>An organisation is planning a major reorganisation which will involve moving some staff to other sites and outsourcing a major function to a sub-contractor.</w:t>
      </w:r>
      <w:r w:rsidRPr="008058D1">
        <w:rPr>
          <w:rFonts w:cs="Arial"/>
          <w:color w:val="auto"/>
        </w:rPr>
        <w:t xml:space="preserve"> </w:t>
      </w:r>
      <w:r w:rsidRPr="008058D1">
        <w:rPr>
          <w:rFonts w:cs="Arial"/>
          <w:color w:val="auto"/>
        </w:rPr>
        <w:br/>
        <w:t xml:space="preserve">(a) Outline when and how contracts can be changed lawfully </w:t>
      </w:r>
      <w:r w:rsidRPr="008058D1">
        <w:rPr>
          <w:rFonts w:cs="Arial"/>
          <w:color w:val="auto"/>
        </w:rPr>
        <w:br/>
        <w:t>(b) Briefly explain the main requirements of redundancy law</w:t>
      </w:r>
      <w:r w:rsidRPr="008058D1">
        <w:rPr>
          <w:rFonts w:cs="Arial"/>
          <w:color w:val="auto"/>
        </w:rPr>
        <w:br/>
        <w:t>(c) Summarise the main requirements of the law on business transfers.</w:t>
      </w:r>
    </w:p>
    <w:p w14:paraId="4BDD3536" w14:textId="004F38FB" w:rsidR="008058D1" w:rsidRDefault="008058D1">
      <w:pPr>
        <w:rPr>
          <w:rFonts w:cs="Arial"/>
          <w:color w:val="auto"/>
        </w:rPr>
      </w:pPr>
    </w:p>
    <w:p w14:paraId="7A4998EC" w14:textId="2700BA53" w:rsidR="008058D1" w:rsidRDefault="008058D1">
      <w:pPr>
        <w:rPr>
          <w:rFonts w:cs="Arial"/>
          <w:color w:val="auto"/>
          <w:sz w:val="24"/>
          <w:szCs w:val="24"/>
        </w:rPr>
      </w:pPr>
    </w:p>
    <w:p w14:paraId="61F8CAE8" w14:textId="021FC8BF" w:rsidR="005E60D6" w:rsidRDefault="00615EC8">
      <w:pPr>
        <w:rPr>
          <w:rFonts w:cs="Arial"/>
          <w:color w:val="auto"/>
        </w:rPr>
      </w:pPr>
      <w:r w:rsidRPr="00846B2E">
        <w:rPr>
          <w:rFonts w:cs="Arial"/>
          <w:color w:val="auto"/>
        </w:rPr>
        <w:t xml:space="preserve">According to Taylor and Wilkinson (2016) an employer is not permitted to change contracts of employment without the agreement of the employee, it is </w:t>
      </w:r>
      <w:r w:rsidR="006B7312" w:rsidRPr="00846B2E">
        <w:rPr>
          <w:rFonts w:cs="Arial"/>
          <w:color w:val="auto"/>
        </w:rPr>
        <w:t>however, acknowledged</w:t>
      </w:r>
      <w:r w:rsidRPr="00846B2E">
        <w:rPr>
          <w:rFonts w:cs="Arial"/>
          <w:color w:val="auto"/>
        </w:rPr>
        <w:t xml:space="preserve"> that on occasion updates and changes may need to be made. </w:t>
      </w:r>
      <w:r w:rsidR="00E844A9" w:rsidRPr="00846B2E">
        <w:rPr>
          <w:rFonts w:cs="Arial"/>
          <w:color w:val="auto"/>
        </w:rPr>
        <w:t>A contract may only be changed if the employee agrees to the change, if the contract includes flexibility clauses for changes or if employee representatives such as unions agree to the change, (ACAS 202</w:t>
      </w:r>
      <w:r w:rsidR="00C27276" w:rsidRPr="00846B2E">
        <w:rPr>
          <w:rFonts w:cs="Arial"/>
          <w:color w:val="auto"/>
        </w:rPr>
        <w:t>1</w:t>
      </w:r>
      <w:r w:rsidR="00E844A9" w:rsidRPr="00846B2E">
        <w:rPr>
          <w:rFonts w:cs="Arial"/>
          <w:color w:val="auto"/>
        </w:rPr>
        <w:t xml:space="preserve">). </w:t>
      </w:r>
      <w:r w:rsidR="00C27276" w:rsidRPr="00846B2E">
        <w:rPr>
          <w:rFonts w:cs="Arial"/>
          <w:color w:val="auto"/>
        </w:rPr>
        <w:t>Often employers must hold consultations with employees on changes to be made, this can be beneficial for both parties as it gives an opportunity to outline why and how changes will be made and both sides can come to a mutual agreement.</w:t>
      </w:r>
      <w:r w:rsidR="00F7071F" w:rsidRPr="00846B2E">
        <w:rPr>
          <w:rFonts w:cs="Arial"/>
          <w:color w:val="auto"/>
        </w:rPr>
        <w:t xml:space="preserve"> Daniels (2019) notes that a representative is required if the proposed changes affect more than 20 employees but less than 99, and consultation must last 30 days, if there are more employees than this that are affected the period must be at least 45 days.  </w:t>
      </w:r>
      <w:r w:rsidR="003678D8" w:rsidRPr="00846B2E">
        <w:rPr>
          <w:rFonts w:cs="Arial"/>
          <w:color w:val="auto"/>
        </w:rPr>
        <w:t xml:space="preserve">If an employee does not agree to the changes either he/she carries on working in line with said changes and after a certain period it would be deemed that the employee had accepted the change or if this is not the case, the employer may terminate the contract, but this can sometimes lead to challenging claims of unfair dismissal and the employer would have to have strong business reasons for needing to make the proposed changes. </w:t>
      </w:r>
    </w:p>
    <w:p w14:paraId="1864FCBD" w14:textId="25A661DF" w:rsidR="00204356" w:rsidRDefault="00204356">
      <w:pPr>
        <w:rPr>
          <w:rFonts w:cs="Arial"/>
          <w:color w:val="auto"/>
        </w:rPr>
      </w:pPr>
    </w:p>
    <w:p w14:paraId="7B056706" w14:textId="7D6CB530" w:rsidR="007D229A" w:rsidRDefault="00B01A64">
      <w:pPr>
        <w:rPr>
          <w:rFonts w:cs="Arial"/>
          <w:color w:val="auto"/>
        </w:rPr>
      </w:pPr>
      <w:r>
        <w:rPr>
          <w:rFonts w:cs="Arial"/>
          <w:color w:val="auto"/>
        </w:rPr>
        <w:t xml:space="preserve">Employers should always look to redundancy as a final resort due to the impacts of employee’s wellbeing and the wellbeing of the remaining workforce.  An employee is dismissed for redundancy if the employer has ceased or is going to cease continuing the busines or the need for employees to perform specific work or perform work at a certain place has ceased or diminished, (CIPD 2020). </w:t>
      </w:r>
      <w:r w:rsidR="00A8350B">
        <w:rPr>
          <w:rFonts w:cs="Arial"/>
          <w:color w:val="auto"/>
        </w:rPr>
        <w:t>If correct redundancy procedures are not followed, employers could face unfair dismissal claims. Employers must follow consultation procedures</w:t>
      </w:r>
      <w:r w:rsidR="00092899">
        <w:rPr>
          <w:rFonts w:cs="Arial"/>
          <w:color w:val="auto"/>
        </w:rPr>
        <w:t xml:space="preserve"> with either trade union representatives or elected representatives</w:t>
      </w:r>
      <w:r w:rsidR="00A8350B">
        <w:rPr>
          <w:rFonts w:cs="Arial"/>
          <w:color w:val="auto"/>
        </w:rPr>
        <w:t>, if more than 100 employees are involved this but be at least 45 days, if more than 20 but less than 100 it must be 30 days, if less than 20 then the period must be ‘Reasonable’ (GOV UK 2021)</w:t>
      </w:r>
      <w:r w:rsidR="00092899">
        <w:rPr>
          <w:rFonts w:cs="Arial"/>
          <w:color w:val="auto"/>
        </w:rPr>
        <w:t xml:space="preserve">. </w:t>
      </w:r>
      <w:r w:rsidR="00E33E91">
        <w:rPr>
          <w:rFonts w:cs="Arial"/>
          <w:color w:val="auto"/>
        </w:rPr>
        <w:t>During the consultation information must be given to the employee in writing including the reason for redundancies, total number of employees affected</w:t>
      </w:r>
      <w:r w:rsidR="005352F6">
        <w:rPr>
          <w:rFonts w:cs="Arial"/>
          <w:color w:val="auto"/>
        </w:rPr>
        <w:t>, procedure</w:t>
      </w:r>
      <w:r w:rsidR="00E33E91">
        <w:rPr>
          <w:rFonts w:cs="Arial"/>
          <w:color w:val="auto"/>
        </w:rPr>
        <w:t xml:space="preserve"> and the selection metho</w:t>
      </w:r>
      <w:r w:rsidR="006F4109">
        <w:rPr>
          <w:rFonts w:cs="Arial"/>
          <w:color w:val="auto"/>
        </w:rPr>
        <w:t xml:space="preserve">ds. When making redundancies businesses will often ask for volunteers or have selection criteria. To ensure a fair selection and redundancy employers will often have a pool of potential staff especially if multiple people do similar jobs. Daniels (2019) notes that selection criteria must be </w:t>
      </w:r>
      <w:r w:rsidR="00734249">
        <w:rPr>
          <w:rFonts w:cs="Arial"/>
          <w:color w:val="auto"/>
        </w:rPr>
        <w:t>fair,</w:t>
      </w:r>
      <w:r w:rsidR="006F4109">
        <w:rPr>
          <w:rFonts w:cs="Arial"/>
          <w:color w:val="auto"/>
        </w:rPr>
        <w:t xml:space="preserve"> and a common choice is Last in First Out (LIFO) but this must be used with caution as can lead to indirect age discrimination as younger employees often fewer years of service. </w:t>
      </w:r>
      <w:r w:rsidR="00734249">
        <w:rPr>
          <w:rFonts w:cs="Arial"/>
          <w:color w:val="auto"/>
        </w:rPr>
        <w:t xml:space="preserve"> If an employee has more than 2 years’ service, they are entitled to redundancy compensation</w:t>
      </w:r>
      <w:r w:rsidR="000D0D92">
        <w:rPr>
          <w:rFonts w:cs="Arial"/>
          <w:color w:val="auto"/>
        </w:rPr>
        <w:t xml:space="preserve"> plus pay for their notice period</w:t>
      </w:r>
      <w:r w:rsidR="00734249">
        <w:rPr>
          <w:rFonts w:cs="Arial"/>
          <w:color w:val="auto"/>
        </w:rPr>
        <w:t xml:space="preserve"> but loose the right to this is they are offered suitable alternative employment with the business and decline the offer. </w:t>
      </w:r>
    </w:p>
    <w:p w14:paraId="3BED132A" w14:textId="11050941" w:rsidR="00734249" w:rsidRDefault="00734249">
      <w:pPr>
        <w:rPr>
          <w:rFonts w:cs="Arial"/>
          <w:color w:val="auto"/>
        </w:rPr>
      </w:pPr>
    </w:p>
    <w:p w14:paraId="0940B1AC" w14:textId="6B62F715" w:rsidR="00734249" w:rsidRDefault="000D0D92">
      <w:pPr>
        <w:rPr>
          <w:rFonts w:cs="Arial"/>
          <w:color w:val="auto"/>
        </w:rPr>
      </w:pPr>
      <w:r>
        <w:rPr>
          <w:rFonts w:cs="Arial"/>
          <w:color w:val="auto"/>
        </w:rPr>
        <w:t xml:space="preserve">Employees working in an organisation which is transferred to another owner are protected by the Transfer of Undertakings (Protection of Employment) Regulations 2006 (TUPE), all contractual rights are transferred to the new owner, there are two kinds of transfer; an economic entity that keeps its identity e.g a restaurant sold to a new owner but still carrying on as a restaurant and a change of service provision e.g contractual work brough in-house (Daniels 2019). </w:t>
      </w:r>
      <w:r w:rsidR="00A564C1">
        <w:rPr>
          <w:rFonts w:cs="Arial"/>
          <w:color w:val="auto"/>
        </w:rPr>
        <w:t>According</w:t>
      </w:r>
      <w:r>
        <w:rPr>
          <w:rFonts w:cs="Arial"/>
          <w:color w:val="auto"/>
        </w:rPr>
        <w:t xml:space="preserve"> to CIPD </w:t>
      </w:r>
      <w:r w:rsidR="00A564C1">
        <w:rPr>
          <w:rFonts w:cs="Arial"/>
          <w:color w:val="auto"/>
        </w:rPr>
        <w:t>(</w:t>
      </w:r>
      <w:r>
        <w:rPr>
          <w:rFonts w:cs="Arial"/>
          <w:color w:val="auto"/>
        </w:rPr>
        <w:t>2018</w:t>
      </w:r>
      <w:r w:rsidR="00A564C1">
        <w:rPr>
          <w:rFonts w:cs="Arial"/>
          <w:color w:val="auto"/>
        </w:rPr>
        <w:t>)</w:t>
      </w:r>
      <w:r>
        <w:rPr>
          <w:rFonts w:cs="Arial"/>
          <w:color w:val="auto"/>
        </w:rPr>
        <w:t xml:space="preserve"> TUPE does not apply if </w:t>
      </w:r>
      <w:r w:rsidR="00A564C1">
        <w:rPr>
          <w:rFonts w:cs="Arial"/>
          <w:color w:val="auto"/>
        </w:rPr>
        <w:t xml:space="preserve">it is only a transfer of shares, changes in customer or if it is a one-off short-term event. </w:t>
      </w:r>
      <w:r w:rsidR="00A564C1" w:rsidRPr="00A564C1">
        <w:rPr>
          <w:rFonts w:cs="Arial"/>
          <w:color w:val="auto"/>
        </w:rPr>
        <w:t>Employees subject to the transfer have their employment contracts automatically transferred to the buyer/new owner</w:t>
      </w:r>
      <w:r w:rsidR="00A564C1">
        <w:rPr>
          <w:rFonts w:cs="Arial"/>
          <w:color w:val="auto"/>
        </w:rPr>
        <w:t xml:space="preserve"> with all of the transferor’s rights, liabilities and agreements passing over to the </w:t>
      </w:r>
      <w:r w:rsidR="00F15276">
        <w:rPr>
          <w:rFonts w:cs="Arial"/>
          <w:color w:val="auto"/>
        </w:rPr>
        <w:t xml:space="preserve">transferee, but consultation must take place on this. </w:t>
      </w:r>
      <w:r w:rsidR="005474E5">
        <w:rPr>
          <w:rFonts w:cs="Arial"/>
          <w:color w:val="auto"/>
        </w:rPr>
        <w:t xml:space="preserve">During consultation employees must be told a transfer is taking place, the reason for this and measures intended to take place, if this does </w:t>
      </w:r>
      <w:r w:rsidR="005474E5">
        <w:rPr>
          <w:rFonts w:cs="Arial"/>
          <w:color w:val="auto"/>
        </w:rPr>
        <w:lastRenderedPageBreak/>
        <w:t xml:space="preserve">not take place both the transferor and transferee are jointly responsible for compensation costs. </w:t>
      </w:r>
      <w:r w:rsidR="00F15276">
        <w:rPr>
          <w:rFonts w:cs="Arial"/>
          <w:color w:val="auto"/>
        </w:rPr>
        <w:t>Taylor and Wilkinson (2016) acknowledge the legislation relating to the fact employees to do not have to accept the transfer, but this will lead to the end of the contract on the transfer date, unless TUPE regulations are not fully complied with there is no grounds for unfair dismissal.</w:t>
      </w:r>
      <w:r w:rsidR="00A564C1">
        <w:rPr>
          <w:rFonts w:cs="Arial"/>
          <w:color w:val="auto"/>
        </w:rPr>
        <w:t xml:space="preserve">  </w:t>
      </w:r>
      <w:r w:rsidR="00A564C1" w:rsidRPr="00A564C1">
        <w:rPr>
          <w:rFonts w:cs="Arial"/>
          <w:color w:val="auto"/>
        </w:rPr>
        <w:t xml:space="preserve">  </w:t>
      </w:r>
    </w:p>
    <w:p w14:paraId="4EADCFC0" w14:textId="7D07D189" w:rsidR="00883974" w:rsidRDefault="00883974">
      <w:pPr>
        <w:rPr>
          <w:rFonts w:cs="Arial"/>
          <w:color w:val="auto"/>
        </w:rPr>
      </w:pPr>
    </w:p>
    <w:p w14:paraId="2FFE7E57" w14:textId="77777777" w:rsidR="00883974" w:rsidRDefault="00883974">
      <w:pPr>
        <w:rPr>
          <w:rFonts w:cs="Arial"/>
          <w:color w:val="auto"/>
        </w:rPr>
      </w:pPr>
    </w:p>
    <w:p w14:paraId="4B161BAA" w14:textId="77777777" w:rsidR="00204356" w:rsidRPr="00846B2E" w:rsidRDefault="00204356">
      <w:pPr>
        <w:rPr>
          <w:rFonts w:cs="Arial"/>
          <w:color w:val="auto"/>
        </w:rPr>
      </w:pPr>
    </w:p>
    <w:p w14:paraId="2C2974BA" w14:textId="4D6FDDB5" w:rsidR="006E3BD6" w:rsidRDefault="006E3BD6">
      <w:pPr>
        <w:rPr>
          <w:rFonts w:cs="Arial"/>
          <w:color w:val="auto"/>
          <w:sz w:val="24"/>
          <w:szCs w:val="24"/>
        </w:rPr>
      </w:pPr>
    </w:p>
    <w:p w14:paraId="5799564C" w14:textId="77777777" w:rsidR="006E3BD6" w:rsidRDefault="006E3BD6">
      <w:pPr>
        <w:rPr>
          <w:rFonts w:cs="Arial"/>
          <w:color w:val="auto"/>
          <w:sz w:val="24"/>
          <w:szCs w:val="24"/>
        </w:rPr>
      </w:pPr>
    </w:p>
    <w:p w14:paraId="045CA0B5" w14:textId="708E02AA" w:rsidR="005E60D6" w:rsidRDefault="005E60D6">
      <w:pPr>
        <w:rPr>
          <w:rFonts w:cs="Arial"/>
          <w:color w:val="auto"/>
          <w:sz w:val="24"/>
          <w:szCs w:val="24"/>
        </w:rPr>
      </w:pPr>
    </w:p>
    <w:p w14:paraId="13091578" w14:textId="77777777" w:rsidR="005E60D6" w:rsidRDefault="005E60D6">
      <w:pPr>
        <w:rPr>
          <w:rFonts w:cs="Arial"/>
          <w:color w:val="auto"/>
          <w:sz w:val="24"/>
          <w:szCs w:val="24"/>
        </w:rPr>
      </w:pPr>
    </w:p>
    <w:p w14:paraId="5E6F7E3B" w14:textId="764A8954" w:rsidR="005E60D6" w:rsidRDefault="005E60D6">
      <w:pPr>
        <w:rPr>
          <w:rFonts w:cs="Arial"/>
          <w:color w:val="auto"/>
          <w:sz w:val="24"/>
          <w:szCs w:val="24"/>
        </w:rPr>
      </w:pPr>
    </w:p>
    <w:p w14:paraId="24834AF0" w14:textId="77777777" w:rsidR="005E60D6" w:rsidRPr="008058D1" w:rsidRDefault="005E60D6">
      <w:pPr>
        <w:rPr>
          <w:rFonts w:cs="Arial"/>
          <w:color w:val="auto"/>
          <w:sz w:val="24"/>
          <w:szCs w:val="24"/>
        </w:rPr>
      </w:pPr>
    </w:p>
    <w:p w14:paraId="0465612E" w14:textId="2FA8796B" w:rsidR="006D0AEC" w:rsidRDefault="006D0AEC">
      <w:pPr>
        <w:rPr>
          <w:rFonts w:cs="Arial"/>
          <w:color w:val="auto"/>
        </w:rPr>
      </w:pPr>
    </w:p>
    <w:p w14:paraId="6D46DBC1" w14:textId="52696BCE" w:rsidR="009E327A" w:rsidRDefault="009E327A">
      <w:pPr>
        <w:rPr>
          <w:rFonts w:cs="Arial"/>
          <w:color w:val="auto"/>
        </w:rPr>
      </w:pPr>
    </w:p>
    <w:p w14:paraId="31599EDF" w14:textId="56308D1A" w:rsidR="009E327A" w:rsidRDefault="009E327A">
      <w:pPr>
        <w:rPr>
          <w:rFonts w:cs="Arial"/>
          <w:color w:val="auto"/>
        </w:rPr>
      </w:pPr>
    </w:p>
    <w:p w14:paraId="1FA21236" w14:textId="27A16D72" w:rsidR="009E327A" w:rsidRDefault="009E327A">
      <w:pPr>
        <w:rPr>
          <w:rFonts w:cs="Arial"/>
          <w:color w:val="auto"/>
        </w:rPr>
      </w:pPr>
    </w:p>
    <w:p w14:paraId="76F0815B" w14:textId="039F8330" w:rsidR="009E327A" w:rsidRDefault="009E327A">
      <w:pPr>
        <w:rPr>
          <w:rFonts w:cs="Arial"/>
          <w:color w:val="auto"/>
        </w:rPr>
      </w:pPr>
    </w:p>
    <w:p w14:paraId="1978771F" w14:textId="3D7E99F5" w:rsidR="009E327A" w:rsidRDefault="009E327A">
      <w:pPr>
        <w:rPr>
          <w:rFonts w:cs="Arial"/>
          <w:color w:val="auto"/>
        </w:rPr>
      </w:pPr>
    </w:p>
    <w:p w14:paraId="3CE52099" w14:textId="3D206A32" w:rsidR="009E327A" w:rsidRDefault="009E327A">
      <w:pPr>
        <w:rPr>
          <w:rFonts w:cs="Arial"/>
          <w:color w:val="auto"/>
        </w:rPr>
      </w:pPr>
    </w:p>
    <w:p w14:paraId="1F96C720" w14:textId="7661CA9F" w:rsidR="009E327A" w:rsidRDefault="009E327A">
      <w:pPr>
        <w:rPr>
          <w:rFonts w:cs="Arial"/>
          <w:color w:val="auto"/>
        </w:rPr>
      </w:pPr>
    </w:p>
    <w:p w14:paraId="20A73837" w14:textId="4A245299" w:rsidR="009E327A" w:rsidRDefault="009E327A">
      <w:pPr>
        <w:rPr>
          <w:rFonts w:cs="Arial"/>
          <w:color w:val="auto"/>
        </w:rPr>
      </w:pPr>
    </w:p>
    <w:p w14:paraId="6E818F65" w14:textId="7B671165" w:rsidR="009E327A" w:rsidRDefault="009E327A">
      <w:pPr>
        <w:rPr>
          <w:rFonts w:cs="Arial"/>
          <w:color w:val="auto"/>
        </w:rPr>
      </w:pPr>
    </w:p>
    <w:p w14:paraId="3C134BB3" w14:textId="4B4BDD2E" w:rsidR="009E327A" w:rsidRDefault="009E327A">
      <w:pPr>
        <w:rPr>
          <w:rFonts w:cs="Arial"/>
          <w:color w:val="auto"/>
        </w:rPr>
      </w:pPr>
    </w:p>
    <w:p w14:paraId="38710EAB" w14:textId="644C919B" w:rsidR="009E327A" w:rsidRDefault="009E327A">
      <w:pPr>
        <w:rPr>
          <w:rFonts w:cs="Arial"/>
          <w:color w:val="auto"/>
        </w:rPr>
      </w:pPr>
    </w:p>
    <w:p w14:paraId="687ADF31" w14:textId="4CD14C9E" w:rsidR="009E327A" w:rsidRDefault="009E327A">
      <w:pPr>
        <w:rPr>
          <w:rFonts w:cs="Arial"/>
          <w:color w:val="auto"/>
        </w:rPr>
      </w:pPr>
    </w:p>
    <w:p w14:paraId="14751FDE" w14:textId="6C5452A6" w:rsidR="009E327A" w:rsidRDefault="009E327A">
      <w:pPr>
        <w:rPr>
          <w:rFonts w:cs="Arial"/>
          <w:color w:val="auto"/>
        </w:rPr>
      </w:pPr>
    </w:p>
    <w:p w14:paraId="79F3A3AF" w14:textId="12DB7AAC" w:rsidR="009E327A" w:rsidRDefault="009E327A">
      <w:pPr>
        <w:rPr>
          <w:rFonts w:cs="Arial"/>
          <w:color w:val="auto"/>
        </w:rPr>
      </w:pPr>
    </w:p>
    <w:p w14:paraId="08FDC2F9" w14:textId="0A2D7D90" w:rsidR="009E327A" w:rsidRDefault="009E327A">
      <w:pPr>
        <w:rPr>
          <w:rFonts w:cs="Arial"/>
          <w:color w:val="auto"/>
        </w:rPr>
      </w:pPr>
    </w:p>
    <w:p w14:paraId="0E36AC25" w14:textId="6276CF12" w:rsidR="009E327A" w:rsidRDefault="009E327A">
      <w:pPr>
        <w:rPr>
          <w:rFonts w:cs="Arial"/>
          <w:color w:val="auto"/>
        </w:rPr>
      </w:pPr>
    </w:p>
    <w:p w14:paraId="02F2D842" w14:textId="395F12FA" w:rsidR="009E327A" w:rsidRDefault="009E327A">
      <w:pPr>
        <w:rPr>
          <w:rFonts w:cs="Arial"/>
          <w:color w:val="auto"/>
        </w:rPr>
      </w:pPr>
    </w:p>
    <w:p w14:paraId="0F67C0BD" w14:textId="1A59DAD2" w:rsidR="009E327A" w:rsidRDefault="009E327A">
      <w:pPr>
        <w:rPr>
          <w:rFonts w:cs="Arial"/>
          <w:color w:val="auto"/>
        </w:rPr>
      </w:pPr>
    </w:p>
    <w:p w14:paraId="042C5AB2" w14:textId="34A01F2E" w:rsidR="009E327A" w:rsidRDefault="009E327A">
      <w:pPr>
        <w:rPr>
          <w:rFonts w:cs="Arial"/>
          <w:color w:val="auto"/>
        </w:rPr>
      </w:pPr>
    </w:p>
    <w:p w14:paraId="7DD8EA3E" w14:textId="059F581E" w:rsidR="009E327A" w:rsidRDefault="009E327A">
      <w:pPr>
        <w:rPr>
          <w:rFonts w:cs="Arial"/>
          <w:color w:val="auto"/>
        </w:rPr>
      </w:pPr>
    </w:p>
    <w:p w14:paraId="4D0439A9" w14:textId="3624DC2A" w:rsidR="009E327A" w:rsidRDefault="009E327A">
      <w:pPr>
        <w:rPr>
          <w:rFonts w:cs="Arial"/>
          <w:color w:val="auto"/>
        </w:rPr>
      </w:pPr>
    </w:p>
    <w:p w14:paraId="3F1F13F2" w14:textId="264CF8D7" w:rsidR="009E327A" w:rsidRDefault="009E327A">
      <w:pPr>
        <w:rPr>
          <w:rFonts w:cs="Arial"/>
          <w:color w:val="auto"/>
        </w:rPr>
      </w:pPr>
    </w:p>
    <w:p w14:paraId="71F32658" w14:textId="181300CC" w:rsidR="009E327A" w:rsidRDefault="009E327A">
      <w:pPr>
        <w:rPr>
          <w:rFonts w:cs="Arial"/>
          <w:color w:val="auto"/>
        </w:rPr>
      </w:pPr>
    </w:p>
    <w:p w14:paraId="2C124B48" w14:textId="54DED356" w:rsidR="009E327A" w:rsidRDefault="009E327A">
      <w:pPr>
        <w:rPr>
          <w:rFonts w:cs="Arial"/>
          <w:color w:val="auto"/>
        </w:rPr>
      </w:pPr>
    </w:p>
    <w:p w14:paraId="035E5D57" w14:textId="562F96F0" w:rsidR="009E327A" w:rsidRDefault="009E327A">
      <w:pPr>
        <w:rPr>
          <w:rFonts w:cs="Arial"/>
          <w:color w:val="auto"/>
        </w:rPr>
      </w:pPr>
    </w:p>
    <w:p w14:paraId="7ABE6833" w14:textId="75B065C2" w:rsidR="009E327A" w:rsidRDefault="009E327A">
      <w:pPr>
        <w:rPr>
          <w:rFonts w:cs="Arial"/>
          <w:color w:val="auto"/>
        </w:rPr>
      </w:pPr>
    </w:p>
    <w:p w14:paraId="0B3CBFC9" w14:textId="349642AF" w:rsidR="009E327A" w:rsidRDefault="009E327A">
      <w:pPr>
        <w:rPr>
          <w:rFonts w:cs="Arial"/>
          <w:color w:val="auto"/>
        </w:rPr>
      </w:pPr>
    </w:p>
    <w:p w14:paraId="0389040D" w14:textId="3A6D1D59" w:rsidR="009E327A" w:rsidRDefault="009E327A">
      <w:pPr>
        <w:rPr>
          <w:rFonts w:cs="Arial"/>
          <w:color w:val="auto"/>
        </w:rPr>
      </w:pPr>
    </w:p>
    <w:p w14:paraId="070BA2C5" w14:textId="64702553" w:rsidR="009E327A" w:rsidRDefault="009E327A">
      <w:pPr>
        <w:rPr>
          <w:rFonts w:cs="Arial"/>
          <w:color w:val="auto"/>
        </w:rPr>
      </w:pPr>
    </w:p>
    <w:p w14:paraId="3D54BF1D" w14:textId="77348CD4" w:rsidR="009E327A" w:rsidRDefault="009E327A">
      <w:pPr>
        <w:rPr>
          <w:rFonts w:cs="Arial"/>
          <w:color w:val="auto"/>
        </w:rPr>
      </w:pPr>
    </w:p>
    <w:p w14:paraId="360BA44A" w14:textId="77AA8DB6" w:rsidR="009E327A" w:rsidRDefault="009E327A">
      <w:pPr>
        <w:rPr>
          <w:rFonts w:cs="Arial"/>
          <w:color w:val="auto"/>
        </w:rPr>
      </w:pPr>
    </w:p>
    <w:p w14:paraId="650B6F5C" w14:textId="02BBFA29" w:rsidR="009E327A" w:rsidRDefault="009E327A">
      <w:pPr>
        <w:rPr>
          <w:rFonts w:cs="Arial"/>
          <w:color w:val="auto"/>
        </w:rPr>
      </w:pPr>
    </w:p>
    <w:p w14:paraId="0078B34A" w14:textId="3182E0CC" w:rsidR="009E327A" w:rsidRDefault="009E327A">
      <w:pPr>
        <w:rPr>
          <w:rFonts w:cs="Arial"/>
          <w:color w:val="auto"/>
        </w:rPr>
      </w:pPr>
    </w:p>
    <w:p w14:paraId="04F6C474" w14:textId="09DB4E61" w:rsidR="009E327A" w:rsidRDefault="009E327A">
      <w:pPr>
        <w:rPr>
          <w:rFonts w:cs="Arial"/>
          <w:color w:val="auto"/>
        </w:rPr>
      </w:pPr>
    </w:p>
    <w:p w14:paraId="3D5A8BDC" w14:textId="55B443FC" w:rsidR="009E327A" w:rsidRDefault="009E327A">
      <w:pPr>
        <w:rPr>
          <w:rFonts w:cs="Arial"/>
          <w:color w:val="auto"/>
        </w:rPr>
      </w:pPr>
    </w:p>
    <w:p w14:paraId="7FA10098" w14:textId="5EA0D68E" w:rsidR="009E327A" w:rsidRDefault="009E327A">
      <w:pPr>
        <w:rPr>
          <w:rFonts w:cs="Arial"/>
          <w:color w:val="auto"/>
        </w:rPr>
      </w:pPr>
    </w:p>
    <w:p w14:paraId="5B53F1DB" w14:textId="3E724A75" w:rsidR="009E327A" w:rsidRDefault="009E327A">
      <w:pPr>
        <w:rPr>
          <w:rFonts w:cs="Arial"/>
          <w:color w:val="auto"/>
        </w:rPr>
      </w:pPr>
    </w:p>
    <w:p w14:paraId="419F338F" w14:textId="1389D29D" w:rsidR="009E327A" w:rsidRDefault="009E327A">
      <w:pPr>
        <w:rPr>
          <w:rFonts w:cs="Arial"/>
          <w:color w:val="auto"/>
        </w:rPr>
      </w:pPr>
    </w:p>
    <w:p w14:paraId="29618676" w14:textId="1D7023E7" w:rsidR="009E327A" w:rsidRDefault="009E327A">
      <w:pPr>
        <w:rPr>
          <w:rFonts w:cs="Arial"/>
          <w:color w:val="auto"/>
        </w:rPr>
      </w:pPr>
    </w:p>
    <w:p w14:paraId="721E0FE2" w14:textId="06544F6F" w:rsidR="009E327A" w:rsidRDefault="009E327A">
      <w:pPr>
        <w:rPr>
          <w:rFonts w:cs="Arial"/>
          <w:color w:val="auto"/>
        </w:rPr>
      </w:pPr>
    </w:p>
    <w:p w14:paraId="6B781263" w14:textId="78666196" w:rsidR="009E327A" w:rsidRDefault="009E327A">
      <w:pPr>
        <w:rPr>
          <w:rFonts w:cs="Arial"/>
          <w:color w:val="auto"/>
        </w:rPr>
      </w:pPr>
    </w:p>
    <w:p w14:paraId="0ABAC0FD" w14:textId="5C22EDB6" w:rsidR="009E327A" w:rsidRDefault="009E327A">
      <w:pPr>
        <w:rPr>
          <w:rFonts w:cs="Arial"/>
          <w:color w:val="auto"/>
        </w:rPr>
      </w:pPr>
      <w:r w:rsidRPr="009E327A">
        <w:rPr>
          <w:rFonts w:cs="Arial"/>
          <w:color w:val="auto"/>
          <w:u w:val="single"/>
        </w:rPr>
        <w:t>Summarise:</w:t>
      </w:r>
      <w:r w:rsidRPr="009E327A">
        <w:rPr>
          <w:rFonts w:cs="Arial"/>
          <w:color w:val="auto"/>
        </w:rPr>
        <w:t xml:space="preserve"> </w:t>
      </w:r>
      <w:r w:rsidRPr="009E327A">
        <w:rPr>
          <w:rFonts w:cs="Arial"/>
          <w:color w:val="auto"/>
        </w:rPr>
        <w:br/>
        <w:t xml:space="preserve">(a) the major statutory rights employees have in relation to pay, holidays and </w:t>
      </w:r>
      <w:r w:rsidRPr="009E327A">
        <w:rPr>
          <w:rFonts w:cs="Arial"/>
          <w:color w:val="auto"/>
        </w:rPr>
        <w:br/>
        <w:t xml:space="preserve">     working time and, </w:t>
      </w:r>
      <w:r w:rsidRPr="009E327A">
        <w:rPr>
          <w:rFonts w:cs="Arial"/>
          <w:color w:val="auto"/>
        </w:rPr>
        <w:br/>
        <w:t>(b) the major maternity, paternity and other family-friendly employment rights.</w:t>
      </w:r>
      <w:r w:rsidR="00883974">
        <w:rPr>
          <w:rFonts w:cs="Arial"/>
          <w:color w:val="auto"/>
        </w:rPr>
        <w:t xml:space="preserve"> </w:t>
      </w:r>
    </w:p>
    <w:p w14:paraId="430635CF" w14:textId="604B261B" w:rsidR="00883974" w:rsidRDefault="00883974">
      <w:pPr>
        <w:rPr>
          <w:rFonts w:cs="Arial"/>
          <w:color w:val="auto"/>
        </w:rPr>
      </w:pPr>
    </w:p>
    <w:p w14:paraId="3E01C6D4" w14:textId="06B1A1C1" w:rsidR="00883974" w:rsidRDefault="00883974">
      <w:pPr>
        <w:rPr>
          <w:rFonts w:cs="Arial"/>
          <w:color w:val="auto"/>
        </w:rPr>
      </w:pPr>
    </w:p>
    <w:p w14:paraId="6F7F59A8" w14:textId="18B64DE0" w:rsidR="009D20F5" w:rsidRDefault="00883974">
      <w:pPr>
        <w:rPr>
          <w:rFonts w:cs="Arial"/>
          <w:color w:val="auto"/>
        </w:rPr>
      </w:pPr>
      <w:r>
        <w:rPr>
          <w:rFonts w:cs="Arial"/>
          <w:color w:val="auto"/>
        </w:rPr>
        <w:t xml:space="preserve">The working time regulations 1998, outlines the minimum rest periods in a seven-day period and annual leave entitlements for employees </w:t>
      </w:r>
      <w:r w:rsidR="00EE348A">
        <w:rPr>
          <w:rFonts w:cs="Arial"/>
          <w:color w:val="auto"/>
        </w:rPr>
        <w:t>which is to</w:t>
      </w:r>
      <w:r>
        <w:rPr>
          <w:rFonts w:cs="Arial"/>
          <w:color w:val="auto"/>
        </w:rPr>
        <w:t xml:space="preserve"> protect </w:t>
      </w:r>
      <w:r w:rsidR="00EE348A">
        <w:rPr>
          <w:rFonts w:cs="Arial"/>
          <w:color w:val="auto"/>
        </w:rPr>
        <w:t>their</w:t>
      </w:r>
      <w:r>
        <w:rPr>
          <w:rFonts w:cs="Arial"/>
          <w:color w:val="auto"/>
        </w:rPr>
        <w:t xml:space="preserve"> health and safety. According to CIPD (202</w:t>
      </w:r>
      <w:r w:rsidR="004C263E">
        <w:rPr>
          <w:rFonts w:cs="Arial"/>
          <w:color w:val="auto"/>
        </w:rPr>
        <w:t>1</w:t>
      </w:r>
      <w:r>
        <w:rPr>
          <w:rFonts w:cs="Arial"/>
          <w:color w:val="auto"/>
        </w:rPr>
        <w:t xml:space="preserve">) Employees have the right to a limit of an average of 48 hours per week, 11 hours rest each day, a right to </w:t>
      </w:r>
      <w:r w:rsidR="00EE348A">
        <w:rPr>
          <w:rFonts w:cs="Arial"/>
          <w:color w:val="auto"/>
        </w:rPr>
        <w:t>a day off each week, a limit of an average of 8 hours work in 24 hours for night workers</w:t>
      </w:r>
      <w:r w:rsidR="00E017F7">
        <w:rPr>
          <w:rFonts w:cs="Arial"/>
          <w:color w:val="auto"/>
        </w:rPr>
        <w:t xml:space="preserve"> and a rest break if the working day is longer than 6 hours</w:t>
      </w:r>
      <w:r w:rsidR="00EE348A">
        <w:rPr>
          <w:rFonts w:cs="Arial"/>
          <w:color w:val="auto"/>
        </w:rPr>
        <w:t xml:space="preserve">. </w:t>
      </w:r>
      <w:r w:rsidR="004C263E">
        <w:rPr>
          <w:rFonts w:cs="Arial"/>
          <w:color w:val="auto"/>
        </w:rPr>
        <w:t>Employees must not exceed 48 hours on average for their total work time which includes if they have a second job, they can however choose to opt out of the 48-hour average and employers must keep this is writing, (ACAS 2021).</w:t>
      </w:r>
      <w:r w:rsidR="00A14D03">
        <w:rPr>
          <w:rFonts w:cs="Arial"/>
          <w:color w:val="auto"/>
        </w:rPr>
        <w:t xml:space="preserve"> Employees are entitled to 5.6 weeks or 28 days paid holiday each year.</w:t>
      </w:r>
      <w:r w:rsidR="004C263E">
        <w:rPr>
          <w:rFonts w:cs="Arial"/>
          <w:color w:val="auto"/>
        </w:rPr>
        <w:t xml:space="preserve"> </w:t>
      </w:r>
      <w:r w:rsidR="009D20F5">
        <w:rPr>
          <w:rFonts w:cs="Arial"/>
          <w:color w:val="auto"/>
        </w:rPr>
        <w:t xml:space="preserve">There are also strict regulations on young workers, for example those under age 13 are not permitted to work, the table below outlines the working time regulations relating to young workers. </w:t>
      </w:r>
    </w:p>
    <w:p w14:paraId="180C584A" w14:textId="47CBA421" w:rsidR="009D20F5" w:rsidRDefault="009D20F5">
      <w:pPr>
        <w:rPr>
          <w:rFonts w:cs="Arial"/>
          <w:color w:val="auto"/>
        </w:rPr>
      </w:pPr>
    </w:p>
    <w:tbl>
      <w:tblPr>
        <w:tblStyle w:val="TableGrid"/>
        <w:tblW w:w="0" w:type="auto"/>
        <w:tblLook w:val="04A0" w:firstRow="1" w:lastRow="0" w:firstColumn="1" w:lastColumn="0" w:noHBand="0" w:noVBand="1"/>
      </w:tblPr>
      <w:tblGrid>
        <w:gridCol w:w="3005"/>
        <w:gridCol w:w="3005"/>
        <w:gridCol w:w="3006"/>
      </w:tblGrid>
      <w:tr w:rsidR="009D20F5" w14:paraId="2F69C26F" w14:textId="77777777" w:rsidTr="009D20F5">
        <w:tc>
          <w:tcPr>
            <w:tcW w:w="3005" w:type="dxa"/>
          </w:tcPr>
          <w:p w14:paraId="5CB05A08" w14:textId="79531043" w:rsidR="009D20F5" w:rsidRDefault="009D20F5">
            <w:pPr>
              <w:rPr>
                <w:rFonts w:cs="Arial"/>
                <w:color w:val="auto"/>
              </w:rPr>
            </w:pPr>
            <w:r>
              <w:rPr>
                <w:rFonts w:cs="Arial"/>
                <w:color w:val="auto"/>
              </w:rPr>
              <w:t xml:space="preserve">13-14 years of age </w:t>
            </w:r>
          </w:p>
        </w:tc>
        <w:tc>
          <w:tcPr>
            <w:tcW w:w="3005" w:type="dxa"/>
          </w:tcPr>
          <w:p w14:paraId="747AC69C" w14:textId="7C58C964" w:rsidR="009D20F5" w:rsidRDefault="009D20F5">
            <w:pPr>
              <w:rPr>
                <w:rFonts w:cs="Arial"/>
                <w:color w:val="auto"/>
              </w:rPr>
            </w:pPr>
            <w:r>
              <w:rPr>
                <w:rFonts w:cs="Arial"/>
                <w:color w:val="auto"/>
              </w:rPr>
              <w:t xml:space="preserve">15-16 years of age </w:t>
            </w:r>
          </w:p>
        </w:tc>
        <w:tc>
          <w:tcPr>
            <w:tcW w:w="3006" w:type="dxa"/>
          </w:tcPr>
          <w:p w14:paraId="2522497B" w14:textId="0036D520" w:rsidR="009D20F5" w:rsidRDefault="009D20F5">
            <w:pPr>
              <w:rPr>
                <w:rFonts w:cs="Arial"/>
                <w:color w:val="auto"/>
              </w:rPr>
            </w:pPr>
            <w:r>
              <w:rPr>
                <w:rFonts w:cs="Arial"/>
                <w:color w:val="auto"/>
              </w:rPr>
              <w:t>16-18</w:t>
            </w:r>
          </w:p>
        </w:tc>
      </w:tr>
      <w:tr w:rsidR="009D20F5" w14:paraId="1629807D" w14:textId="77777777" w:rsidTr="009D20F5">
        <w:tc>
          <w:tcPr>
            <w:tcW w:w="3005" w:type="dxa"/>
          </w:tcPr>
          <w:p w14:paraId="7ED56ABA" w14:textId="77777777" w:rsidR="009D20F5" w:rsidRDefault="009D20F5" w:rsidP="009D20F5">
            <w:pPr>
              <w:pStyle w:val="ListParagraph"/>
              <w:numPr>
                <w:ilvl w:val="0"/>
                <w:numId w:val="3"/>
              </w:numPr>
              <w:rPr>
                <w:rFonts w:cs="Arial"/>
              </w:rPr>
            </w:pPr>
            <w:r w:rsidRPr="009D20F5">
              <w:rPr>
                <w:rFonts w:cs="Arial"/>
              </w:rPr>
              <w:t xml:space="preserve">Maximum of 25 hours </w:t>
            </w:r>
            <w:r>
              <w:rPr>
                <w:rFonts w:cs="Arial"/>
              </w:rPr>
              <w:t xml:space="preserve">work </w:t>
            </w:r>
            <w:r w:rsidRPr="009D20F5">
              <w:rPr>
                <w:rFonts w:cs="Arial"/>
              </w:rPr>
              <w:t>per week</w:t>
            </w:r>
            <w:r>
              <w:rPr>
                <w:rFonts w:cs="Arial"/>
              </w:rPr>
              <w:t>.</w:t>
            </w:r>
          </w:p>
          <w:p w14:paraId="6A448193" w14:textId="4CFE355B" w:rsidR="009D20F5" w:rsidRDefault="009D20F5" w:rsidP="009D20F5">
            <w:pPr>
              <w:pStyle w:val="ListParagraph"/>
              <w:numPr>
                <w:ilvl w:val="0"/>
                <w:numId w:val="3"/>
              </w:numPr>
              <w:rPr>
                <w:rFonts w:cs="Arial"/>
              </w:rPr>
            </w:pPr>
            <w:r>
              <w:rPr>
                <w:rFonts w:cs="Arial"/>
              </w:rPr>
              <w:t xml:space="preserve">Maximum of 5 hours work on weekdays and Saturdays. </w:t>
            </w:r>
            <w:r w:rsidRPr="009D20F5">
              <w:rPr>
                <w:rFonts w:cs="Arial"/>
              </w:rPr>
              <w:t xml:space="preserve"> </w:t>
            </w:r>
          </w:p>
          <w:p w14:paraId="0754F27F" w14:textId="12E8EA76" w:rsidR="009D20F5" w:rsidRPr="009D20F5" w:rsidRDefault="009D20F5" w:rsidP="009D20F5">
            <w:pPr>
              <w:pStyle w:val="ListParagraph"/>
              <w:numPr>
                <w:ilvl w:val="0"/>
                <w:numId w:val="3"/>
              </w:numPr>
              <w:rPr>
                <w:rFonts w:cs="Arial"/>
              </w:rPr>
            </w:pPr>
            <w:r>
              <w:rPr>
                <w:rFonts w:cs="Arial"/>
              </w:rPr>
              <w:t xml:space="preserve">Maximum of 2 hours work on Sundays. </w:t>
            </w:r>
          </w:p>
        </w:tc>
        <w:tc>
          <w:tcPr>
            <w:tcW w:w="3005" w:type="dxa"/>
          </w:tcPr>
          <w:p w14:paraId="7D4ED837" w14:textId="17578999" w:rsidR="009D20F5" w:rsidRDefault="009D20F5" w:rsidP="009D20F5">
            <w:pPr>
              <w:pStyle w:val="ListParagraph"/>
              <w:numPr>
                <w:ilvl w:val="0"/>
                <w:numId w:val="3"/>
              </w:numPr>
              <w:rPr>
                <w:rFonts w:cs="Arial"/>
              </w:rPr>
            </w:pPr>
            <w:r>
              <w:rPr>
                <w:rFonts w:cs="Arial"/>
              </w:rPr>
              <w:t>Maximum of 35 hours work per week.</w:t>
            </w:r>
          </w:p>
          <w:p w14:paraId="5A3DBE1E" w14:textId="77777777" w:rsidR="009D20F5" w:rsidRDefault="009D20F5" w:rsidP="009D20F5">
            <w:pPr>
              <w:pStyle w:val="ListParagraph"/>
              <w:numPr>
                <w:ilvl w:val="0"/>
                <w:numId w:val="3"/>
              </w:numPr>
              <w:rPr>
                <w:rFonts w:cs="Arial"/>
              </w:rPr>
            </w:pPr>
            <w:r>
              <w:rPr>
                <w:rFonts w:cs="Arial"/>
              </w:rPr>
              <w:t xml:space="preserve">Maximum of 8 hours on weekdays and Saturdays. </w:t>
            </w:r>
          </w:p>
          <w:p w14:paraId="60E7A144" w14:textId="36795457" w:rsidR="009D20F5" w:rsidRPr="009D20F5" w:rsidRDefault="009D20F5" w:rsidP="009D20F5">
            <w:pPr>
              <w:pStyle w:val="ListParagraph"/>
              <w:numPr>
                <w:ilvl w:val="0"/>
                <w:numId w:val="3"/>
              </w:numPr>
              <w:rPr>
                <w:rFonts w:cs="Arial"/>
              </w:rPr>
            </w:pPr>
            <w:r>
              <w:rPr>
                <w:rFonts w:cs="Arial"/>
              </w:rPr>
              <w:t xml:space="preserve">Maximum of 2 hours on Sundays. </w:t>
            </w:r>
          </w:p>
        </w:tc>
        <w:tc>
          <w:tcPr>
            <w:tcW w:w="3006" w:type="dxa"/>
          </w:tcPr>
          <w:p w14:paraId="72C3CE3B" w14:textId="5E9EE9FB" w:rsidR="009D20F5" w:rsidRDefault="00046F39" w:rsidP="00046F39">
            <w:pPr>
              <w:pStyle w:val="ListParagraph"/>
              <w:numPr>
                <w:ilvl w:val="0"/>
                <w:numId w:val="3"/>
              </w:numPr>
              <w:rPr>
                <w:rFonts w:cs="Arial"/>
              </w:rPr>
            </w:pPr>
            <w:r>
              <w:rPr>
                <w:rFonts w:cs="Arial"/>
              </w:rPr>
              <w:t xml:space="preserve">12 hours rest in every </w:t>
            </w:r>
            <w:r w:rsidR="00E82FCE">
              <w:rPr>
                <w:rFonts w:cs="Arial"/>
              </w:rPr>
              <w:t>24-hour</w:t>
            </w:r>
            <w:r>
              <w:rPr>
                <w:rFonts w:cs="Arial"/>
              </w:rPr>
              <w:t xml:space="preserve"> period.</w:t>
            </w:r>
          </w:p>
          <w:p w14:paraId="10F0D9E7" w14:textId="77777777" w:rsidR="00046F39" w:rsidRDefault="00046F39" w:rsidP="00046F39">
            <w:pPr>
              <w:pStyle w:val="ListParagraph"/>
              <w:numPr>
                <w:ilvl w:val="0"/>
                <w:numId w:val="3"/>
              </w:numPr>
              <w:rPr>
                <w:rFonts w:cs="Arial"/>
              </w:rPr>
            </w:pPr>
            <w:r>
              <w:rPr>
                <w:rFonts w:cs="Arial"/>
              </w:rPr>
              <w:t xml:space="preserve">30min rest break after 4.5 hours work. </w:t>
            </w:r>
          </w:p>
          <w:p w14:paraId="31229136" w14:textId="620CBE27" w:rsidR="00046F39" w:rsidRPr="00046F39" w:rsidRDefault="00046F39" w:rsidP="00046F39">
            <w:pPr>
              <w:pStyle w:val="ListParagraph"/>
              <w:numPr>
                <w:ilvl w:val="0"/>
                <w:numId w:val="3"/>
              </w:numPr>
              <w:rPr>
                <w:rFonts w:cs="Arial"/>
              </w:rPr>
            </w:pPr>
            <w:r>
              <w:rPr>
                <w:rFonts w:cs="Arial"/>
              </w:rPr>
              <w:t xml:space="preserve">48 hours rest in every </w:t>
            </w:r>
            <w:r w:rsidR="00E82FCE">
              <w:rPr>
                <w:rFonts w:cs="Arial"/>
              </w:rPr>
              <w:t>7-day</w:t>
            </w:r>
            <w:r>
              <w:rPr>
                <w:rFonts w:cs="Arial"/>
              </w:rPr>
              <w:t xml:space="preserve"> period. </w:t>
            </w:r>
          </w:p>
        </w:tc>
      </w:tr>
    </w:tbl>
    <w:p w14:paraId="23C8598D" w14:textId="5B6EB47D" w:rsidR="009D20F5" w:rsidRDefault="00FF3D75">
      <w:pPr>
        <w:rPr>
          <w:rFonts w:cs="Arial"/>
          <w:color w:val="auto"/>
        </w:rPr>
      </w:pPr>
      <w:r>
        <w:rPr>
          <w:rFonts w:cs="Arial"/>
          <w:color w:val="auto"/>
        </w:rPr>
        <w:t xml:space="preserve">                                                                                                                          Daniels (2019).</w:t>
      </w:r>
    </w:p>
    <w:p w14:paraId="658AA296" w14:textId="77777777" w:rsidR="009D20F5" w:rsidRDefault="009D20F5">
      <w:pPr>
        <w:rPr>
          <w:rFonts w:cs="Arial"/>
          <w:color w:val="auto"/>
        </w:rPr>
      </w:pPr>
    </w:p>
    <w:p w14:paraId="6CA77286" w14:textId="7AE9C6D0" w:rsidR="009D20F5" w:rsidRDefault="001A71B6">
      <w:pPr>
        <w:rPr>
          <w:rFonts w:cs="Arial"/>
          <w:color w:val="auto"/>
        </w:rPr>
      </w:pPr>
      <w:r>
        <w:rPr>
          <w:rFonts w:cs="Arial"/>
          <w:color w:val="auto"/>
        </w:rPr>
        <w:t>By law</w:t>
      </w:r>
      <w:r w:rsidR="00D93664">
        <w:rPr>
          <w:rFonts w:cs="Arial"/>
          <w:color w:val="auto"/>
        </w:rPr>
        <w:t>,</w:t>
      </w:r>
      <w:r>
        <w:rPr>
          <w:rFonts w:cs="Arial"/>
          <w:color w:val="auto"/>
        </w:rPr>
        <w:t xml:space="preserve"> an employer must pay</w:t>
      </w:r>
      <w:r w:rsidR="00D93664">
        <w:rPr>
          <w:rFonts w:cs="Arial"/>
          <w:color w:val="auto"/>
        </w:rPr>
        <w:t xml:space="preserve"> anyone classed as employee or worker</w:t>
      </w:r>
      <w:r>
        <w:rPr>
          <w:rFonts w:cs="Arial"/>
          <w:color w:val="auto"/>
        </w:rPr>
        <w:t xml:space="preserve"> the National Living Wage (NLW) for those aged 23+ and the National Minimum Wage (NMW) for those under 23, (See table below).</w:t>
      </w:r>
      <w:r w:rsidR="00D93664">
        <w:rPr>
          <w:rFonts w:cs="Arial"/>
          <w:color w:val="auto"/>
        </w:rPr>
        <w:t xml:space="preserve"> An employer must provide workers with an itemized pay statement containing the net amount, gross amount and any deductions. There are limited reasons that an employer can make deductions from wages including, if required by law such as national insurance contributions, there has been a court order</w:t>
      </w:r>
      <w:r w:rsidR="006D09FC">
        <w:rPr>
          <w:rFonts w:cs="Arial"/>
          <w:color w:val="auto"/>
        </w:rPr>
        <w:t xml:space="preserve"> or if an employee’s contract permits this, (GOV 2021). </w:t>
      </w:r>
    </w:p>
    <w:tbl>
      <w:tblPr>
        <w:tblStyle w:val="TableGrid"/>
        <w:tblpPr w:leftFromText="180" w:rightFromText="180" w:vertAnchor="text" w:horzAnchor="margin" w:tblpXSpec="center" w:tblpY="157"/>
        <w:tblW w:w="0" w:type="auto"/>
        <w:tblLook w:val="04A0" w:firstRow="1" w:lastRow="0" w:firstColumn="1" w:lastColumn="0" w:noHBand="0" w:noVBand="1"/>
      </w:tblPr>
      <w:tblGrid>
        <w:gridCol w:w="2830"/>
        <w:gridCol w:w="2830"/>
      </w:tblGrid>
      <w:tr w:rsidR="001A71B6" w14:paraId="51EF18F8" w14:textId="77777777" w:rsidTr="001A71B6">
        <w:trPr>
          <w:trHeight w:val="251"/>
        </w:trPr>
        <w:tc>
          <w:tcPr>
            <w:tcW w:w="2830" w:type="dxa"/>
          </w:tcPr>
          <w:p w14:paraId="682F9DAD" w14:textId="77777777" w:rsidR="001A71B6" w:rsidRDefault="001A71B6" w:rsidP="001A71B6">
            <w:pPr>
              <w:rPr>
                <w:rFonts w:cs="Arial"/>
                <w:color w:val="auto"/>
              </w:rPr>
            </w:pPr>
            <w:r>
              <w:rPr>
                <w:rFonts w:cs="Arial"/>
                <w:color w:val="auto"/>
              </w:rPr>
              <w:t xml:space="preserve">23+ NLW </w:t>
            </w:r>
          </w:p>
        </w:tc>
        <w:tc>
          <w:tcPr>
            <w:tcW w:w="2830" w:type="dxa"/>
          </w:tcPr>
          <w:p w14:paraId="05C0D66F" w14:textId="77777777" w:rsidR="001A71B6" w:rsidRDefault="001A71B6" w:rsidP="001A71B6">
            <w:pPr>
              <w:rPr>
                <w:rFonts w:cs="Arial"/>
                <w:color w:val="auto"/>
              </w:rPr>
            </w:pPr>
            <w:r>
              <w:rPr>
                <w:rFonts w:cs="Arial"/>
                <w:color w:val="auto"/>
              </w:rPr>
              <w:t>£8.91</w:t>
            </w:r>
          </w:p>
        </w:tc>
      </w:tr>
      <w:tr w:rsidR="001A71B6" w14:paraId="08D96499" w14:textId="77777777" w:rsidTr="001A71B6">
        <w:trPr>
          <w:trHeight w:val="251"/>
        </w:trPr>
        <w:tc>
          <w:tcPr>
            <w:tcW w:w="2830" w:type="dxa"/>
          </w:tcPr>
          <w:p w14:paraId="5C9DC838" w14:textId="77777777" w:rsidR="001A71B6" w:rsidRDefault="001A71B6" w:rsidP="001A71B6">
            <w:pPr>
              <w:rPr>
                <w:rFonts w:cs="Arial"/>
                <w:color w:val="auto"/>
              </w:rPr>
            </w:pPr>
            <w:r>
              <w:rPr>
                <w:rFonts w:cs="Arial"/>
                <w:color w:val="auto"/>
              </w:rPr>
              <w:t xml:space="preserve">21+ </w:t>
            </w:r>
          </w:p>
        </w:tc>
        <w:tc>
          <w:tcPr>
            <w:tcW w:w="2830" w:type="dxa"/>
          </w:tcPr>
          <w:p w14:paraId="2C16FC4A" w14:textId="77777777" w:rsidR="001A71B6" w:rsidRDefault="001A71B6" w:rsidP="001A71B6">
            <w:pPr>
              <w:rPr>
                <w:rFonts w:cs="Arial"/>
                <w:color w:val="auto"/>
              </w:rPr>
            </w:pPr>
            <w:r>
              <w:rPr>
                <w:rFonts w:cs="Arial"/>
                <w:color w:val="auto"/>
              </w:rPr>
              <w:t>£8.36</w:t>
            </w:r>
          </w:p>
        </w:tc>
      </w:tr>
      <w:tr w:rsidR="001A71B6" w14:paraId="3E5B51EC" w14:textId="77777777" w:rsidTr="001A71B6">
        <w:trPr>
          <w:trHeight w:val="251"/>
        </w:trPr>
        <w:tc>
          <w:tcPr>
            <w:tcW w:w="2830" w:type="dxa"/>
          </w:tcPr>
          <w:p w14:paraId="16F50086" w14:textId="77777777" w:rsidR="001A71B6" w:rsidRDefault="001A71B6" w:rsidP="001A71B6">
            <w:pPr>
              <w:rPr>
                <w:rFonts w:cs="Arial"/>
                <w:color w:val="auto"/>
              </w:rPr>
            </w:pPr>
            <w:r>
              <w:rPr>
                <w:rFonts w:cs="Arial"/>
                <w:color w:val="auto"/>
              </w:rPr>
              <w:t xml:space="preserve">18+ </w:t>
            </w:r>
          </w:p>
        </w:tc>
        <w:tc>
          <w:tcPr>
            <w:tcW w:w="2830" w:type="dxa"/>
          </w:tcPr>
          <w:p w14:paraId="5021DE55" w14:textId="77777777" w:rsidR="001A71B6" w:rsidRDefault="001A71B6" w:rsidP="001A71B6">
            <w:pPr>
              <w:rPr>
                <w:rFonts w:cs="Arial"/>
                <w:color w:val="auto"/>
              </w:rPr>
            </w:pPr>
            <w:r>
              <w:rPr>
                <w:rFonts w:cs="Arial"/>
                <w:color w:val="auto"/>
              </w:rPr>
              <w:t>£6.56</w:t>
            </w:r>
          </w:p>
        </w:tc>
      </w:tr>
      <w:tr w:rsidR="001A71B6" w14:paraId="2669D494" w14:textId="77777777" w:rsidTr="001A71B6">
        <w:trPr>
          <w:trHeight w:val="251"/>
        </w:trPr>
        <w:tc>
          <w:tcPr>
            <w:tcW w:w="2830" w:type="dxa"/>
          </w:tcPr>
          <w:p w14:paraId="5062ABEA" w14:textId="77777777" w:rsidR="001A71B6" w:rsidRDefault="001A71B6" w:rsidP="001A71B6">
            <w:pPr>
              <w:rPr>
                <w:rFonts w:cs="Arial"/>
                <w:color w:val="auto"/>
              </w:rPr>
            </w:pPr>
            <w:r>
              <w:rPr>
                <w:rFonts w:cs="Arial"/>
                <w:color w:val="auto"/>
              </w:rPr>
              <w:t xml:space="preserve">16+ </w:t>
            </w:r>
          </w:p>
        </w:tc>
        <w:tc>
          <w:tcPr>
            <w:tcW w:w="2830" w:type="dxa"/>
          </w:tcPr>
          <w:p w14:paraId="746A2066" w14:textId="77777777" w:rsidR="001A71B6" w:rsidRDefault="001A71B6" w:rsidP="001A71B6">
            <w:pPr>
              <w:rPr>
                <w:rFonts w:cs="Arial"/>
                <w:color w:val="auto"/>
              </w:rPr>
            </w:pPr>
            <w:r>
              <w:rPr>
                <w:rFonts w:cs="Arial"/>
                <w:color w:val="auto"/>
              </w:rPr>
              <w:t>£4.62</w:t>
            </w:r>
          </w:p>
        </w:tc>
      </w:tr>
      <w:tr w:rsidR="001A71B6" w14:paraId="0DE04BD2" w14:textId="77777777" w:rsidTr="001A71B6">
        <w:trPr>
          <w:trHeight w:val="251"/>
        </w:trPr>
        <w:tc>
          <w:tcPr>
            <w:tcW w:w="2830" w:type="dxa"/>
          </w:tcPr>
          <w:p w14:paraId="450CFE6B" w14:textId="77777777" w:rsidR="001A71B6" w:rsidRDefault="001A71B6" w:rsidP="001A71B6">
            <w:pPr>
              <w:rPr>
                <w:rFonts w:cs="Arial"/>
                <w:color w:val="auto"/>
              </w:rPr>
            </w:pPr>
            <w:r>
              <w:rPr>
                <w:rFonts w:cs="Arial"/>
                <w:color w:val="auto"/>
              </w:rPr>
              <w:t>Apprentice (U19 or in first year)</w:t>
            </w:r>
          </w:p>
        </w:tc>
        <w:tc>
          <w:tcPr>
            <w:tcW w:w="2830" w:type="dxa"/>
          </w:tcPr>
          <w:p w14:paraId="1E8921BF" w14:textId="77777777" w:rsidR="001A71B6" w:rsidRDefault="001A71B6" w:rsidP="001A71B6">
            <w:pPr>
              <w:rPr>
                <w:rFonts w:cs="Arial"/>
                <w:color w:val="auto"/>
              </w:rPr>
            </w:pPr>
            <w:r>
              <w:rPr>
                <w:rFonts w:cs="Arial"/>
                <w:color w:val="auto"/>
              </w:rPr>
              <w:t>£4.15</w:t>
            </w:r>
          </w:p>
        </w:tc>
      </w:tr>
    </w:tbl>
    <w:p w14:paraId="1F561A68" w14:textId="453FBCFB" w:rsidR="001A71B6" w:rsidRDefault="001A71B6">
      <w:pPr>
        <w:rPr>
          <w:rFonts w:cs="Arial"/>
          <w:color w:val="auto"/>
        </w:rPr>
      </w:pPr>
    </w:p>
    <w:p w14:paraId="3941C1AD" w14:textId="77777777" w:rsidR="001A71B6" w:rsidRDefault="001A71B6">
      <w:pPr>
        <w:rPr>
          <w:rFonts w:cs="Arial"/>
          <w:color w:val="auto"/>
        </w:rPr>
      </w:pPr>
    </w:p>
    <w:p w14:paraId="5B93F86F" w14:textId="77777777" w:rsidR="009D20F5" w:rsidRDefault="009D20F5">
      <w:pPr>
        <w:rPr>
          <w:rFonts w:cs="Arial"/>
          <w:color w:val="auto"/>
        </w:rPr>
      </w:pPr>
    </w:p>
    <w:p w14:paraId="0EE15A12" w14:textId="77777777" w:rsidR="00E017F7" w:rsidRDefault="00E017F7">
      <w:pPr>
        <w:rPr>
          <w:rFonts w:cs="Arial"/>
          <w:color w:val="auto"/>
        </w:rPr>
      </w:pPr>
    </w:p>
    <w:p w14:paraId="679721AF" w14:textId="10365180" w:rsidR="00883974" w:rsidRDefault="004C263E">
      <w:pPr>
        <w:rPr>
          <w:rFonts w:cs="Arial"/>
          <w:color w:val="auto"/>
        </w:rPr>
      </w:pPr>
      <w:r>
        <w:rPr>
          <w:rFonts w:cs="Arial"/>
          <w:color w:val="auto"/>
        </w:rPr>
        <w:t xml:space="preserve"> </w:t>
      </w:r>
    </w:p>
    <w:p w14:paraId="54100C38" w14:textId="77777777" w:rsidR="00883974" w:rsidRPr="009E327A" w:rsidRDefault="00883974">
      <w:pPr>
        <w:rPr>
          <w:rFonts w:cs="Arial"/>
          <w:color w:val="auto"/>
          <w:sz w:val="24"/>
          <w:szCs w:val="24"/>
        </w:rPr>
      </w:pPr>
    </w:p>
    <w:p w14:paraId="05659F33" w14:textId="26991769" w:rsidR="006D0AEC" w:rsidRDefault="006D0AEC">
      <w:pPr>
        <w:rPr>
          <w:rFonts w:cs="Arial"/>
          <w:color w:val="auto"/>
        </w:rPr>
      </w:pPr>
    </w:p>
    <w:p w14:paraId="5A23CD3E" w14:textId="50F8FFF3" w:rsidR="006D0AEC" w:rsidRDefault="001A71B6">
      <w:pPr>
        <w:rPr>
          <w:rFonts w:cs="Arial"/>
          <w:color w:val="auto"/>
        </w:rPr>
      </w:pPr>
      <w:r>
        <w:rPr>
          <w:rFonts w:cs="Arial"/>
          <w:color w:val="auto"/>
        </w:rPr>
        <w:t xml:space="preserve">                                                                                                (ACAS 2021)</w:t>
      </w:r>
    </w:p>
    <w:p w14:paraId="09372341" w14:textId="5EF7921F" w:rsidR="000B503E" w:rsidRDefault="000B503E">
      <w:pPr>
        <w:rPr>
          <w:rFonts w:cs="Arial"/>
          <w:color w:val="auto"/>
        </w:rPr>
      </w:pPr>
    </w:p>
    <w:p w14:paraId="5AADA340" w14:textId="3945123C" w:rsidR="00C75908" w:rsidRDefault="00C75908">
      <w:pPr>
        <w:rPr>
          <w:rFonts w:cs="Arial"/>
          <w:color w:val="auto"/>
        </w:rPr>
      </w:pPr>
      <w:r>
        <w:rPr>
          <w:rFonts w:cs="Arial"/>
          <w:color w:val="auto"/>
        </w:rPr>
        <w:t xml:space="preserve">A pregnant woman is protected against dismissal and discrimination due to her pregnancy. </w:t>
      </w:r>
      <w:r w:rsidR="00566DA0">
        <w:rPr>
          <w:rFonts w:cs="Arial"/>
          <w:color w:val="auto"/>
        </w:rPr>
        <w:t xml:space="preserve">According to Daniels (2019) </w:t>
      </w:r>
      <w:r w:rsidR="00EF0846">
        <w:rPr>
          <w:rFonts w:cs="Arial"/>
          <w:color w:val="auto"/>
        </w:rPr>
        <w:t xml:space="preserve">under the </w:t>
      </w:r>
      <w:r w:rsidR="00152F6E">
        <w:rPr>
          <w:rFonts w:cs="Arial"/>
          <w:color w:val="auto"/>
        </w:rPr>
        <w:t>E</w:t>
      </w:r>
      <w:r w:rsidR="00EF0846">
        <w:rPr>
          <w:rFonts w:cs="Arial"/>
          <w:color w:val="auto"/>
        </w:rPr>
        <w:t xml:space="preserve">mployment </w:t>
      </w:r>
      <w:r w:rsidR="00152F6E">
        <w:rPr>
          <w:rFonts w:cs="Arial"/>
          <w:color w:val="auto"/>
        </w:rPr>
        <w:t>R</w:t>
      </w:r>
      <w:r w:rsidR="00EF0846">
        <w:rPr>
          <w:rFonts w:cs="Arial"/>
          <w:color w:val="auto"/>
        </w:rPr>
        <w:t xml:space="preserve">ights </w:t>
      </w:r>
      <w:r w:rsidR="00152F6E">
        <w:rPr>
          <w:rFonts w:cs="Arial"/>
          <w:color w:val="auto"/>
        </w:rPr>
        <w:t>A</w:t>
      </w:r>
      <w:r w:rsidR="00EF0846">
        <w:rPr>
          <w:rFonts w:cs="Arial"/>
          <w:color w:val="auto"/>
        </w:rPr>
        <w:t xml:space="preserve">ct </w:t>
      </w:r>
      <w:r w:rsidR="00566DA0">
        <w:rPr>
          <w:rFonts w:cs="Arial"/>
          <w:color w:val="auto"/>
        </w:rPr>
        <w:t xml:space="preserve">a pregnant woman can take time off during working hours for appointments of antenatal care, if this is refused by her employer a complaint can be made to an employment tribunal. </w:t>
      </w:r>
      <w:r w:rsidR="00B9212C">
        <w:rPr>
          <w:rFonts w:cs="Arial"/>
          <w:color w:val="auto"/>
        </w:rPr>
        <w:t xml:space="preserve">If an employer is informed by an employee that they are pregnant, they are required to assess if her job role is a danger, if this is found to be the case the employer must offer alternative work, or the employee must be suspended on full pay. </w:t>
      </w:r>
      <w:r w:rsidR="006F422B">
        <w:rPr>
          <w:rFonts w:cs="Arial"/>
          <w:color w:val="auto"/>
        </w:rPr>
        <w:t xml:space="preserve">All employees must have the 2 weeks after childbirth off work </w:t>
      </w:r>
      <w:r w:rsidR="006F422B">
        <w:rPr>
          <w:rFonts w:cs="Arial"/>
          <w:color w:val="auto"/>
        </w:rPr>
        <w:lastRenderedPageBreak/>
        <w:t>(compulsory maternity leave), all pregnant women are entitled to</w:t>
      </w:r>
      <w:r w:rsidR="00F44CFB">
        <w:rPr>
          <w:rFonts w:cs="Arial"/>
          <w:color w:val="auto"/>
        </w:rPr>
        <w:t xml:space="preserve"> 52 weeks off which is made up of,</w:t>
      </w:r>
      <w:r w:rsidR="006F422B">
        <w:rPr>
          <w:rFonts w:cs="Arial"/>
          <w:color w:val="auto"/>
        </w:rPr>
        <w:t xml:space="preserve"> Ordinary Maternity Leave (OML) for 26 weeks and Additional Maternity Leave (AML) for 26 weeks</w:t>
      </w:r>
      <w:r w:rsidR="00F44CFB">
        <w:rPr>
          <w:rFonts w:cs="Arial"/>
          <w:color w:val="auto"/>
        </w:rPr>
        <w:t xml:space="preserve">, (NHS 2018).  During maternity leave the employee is entitled to all the benefits of employment that would be present if she </w:t>
      </w:r>
      <w:r w:rsidR="00CB42AB">
        <w:rPr>
          <w:rFonts w:cs="Arial"/>
          <w:color w:val="auto"/>
        </w:rPr>
        <w:t>were</w:t>
      </w:r>
      <w:r w:rsidR="00F44CFB">
        <w:rPr>
          <w:rFonts w:cs="Arial"/>
          <w:color w:val="auto"/>
        </w:rPr>
        <w:t xml:space="preserve"> not absent and she will continue to earn holiday entitlement. </w:t>
      </w:r>
      <w:r w:rsidR="00CB42AB">
        <w:rPr>
          <w:rFonts w:cs="Arial"/>
          <w:color w:val="auto"/>
        </w:rPr>
        <w:t>Statutory Maternity Pay (SMP) is payable by employers for 39 weeks as lo</w:t>
      </w:r>
      <w:r w:rsidR="0022129A">
        <w:rPr>
          <w:rFonts w:cs="Arial"/>
          <w:color w:val="auto"/>
        </w:rPr>
        <w:t>ng</w:t>
      </w:r>
      <w:r w:rsidR="00CB42AB">
        <w:rPr>
          <w:rFonts w:cs="Arial"/>
          <w:color w:val="auto"/>
        </w:rPr>
        <w:t xml:space="preserve"> as the employee has worked for the employer for more than 26 weeks before the fifteenth week the bay is due, this is 90% for the first 6 weeks and then £151.97. </w:t>
      </w:r>
      <w:r w:rsidR="00F44CFB">
        <w:rPr>
          <w:rFonts w:cs="Arial"/>
          <w:color w:val="auto"/>
        </w:rPr>
        <w:t xml:space="preserve">An employee may also </w:t>
      </w:r>
      <w:r w:rsidR="00CB42AB">
        <w:rPr>
          <w:rFonts w:cs="Arial"/>
          <w:color w:val="auto"/>
        </w:rPr>
        <w:t>choose</w:t>
      </w:r>
      <w:r w:rsidR="00F44CFB">
        <w:rPr>
          <w:rFonts w:cs="Arial"/>
          <w:color w:val="auto"/>
        </w:rPr>
        <w:t xml:space="preserve"> to do up to 10 Keeping In Touch days (KIT) during maternity leave, </w:t>
      </w:r>
      <w:r w:rsidR="00CB42AB">
        <w:rPr>
          <w:rFonts w:cs="Arial"/>
          <w:color w:val="auto"/>
        </w:rPr>
        <w:t xml:space="preserve">this won’t affect maternity pay, (Daniels 2019). </w:t>
      </w:r>
    </w:p>
    <w:p w14:paraId="7AD27EFD" w14:textId="785EAA7D" w:rsidR="000B7C38" w:rsidRDefault="000B7C38">
      <w:pPr>
        <w:rPr>
          <w:rFonts w:cs="Arial"/>
          <w:color w:val="auto"/>
        </w:rPr>
      </w:pPr>
    </w:p>
    <w:p w14:paraId="62BF83E8" w14:textId="7DBDF943" w:rsidR="000B7C38" w:rsidRDefault="0022129A">
      <w:pPr>
        <w:rPr>
          <w:rFonts w:cs="Arial"/>
          <w:color w:val="auto"/>
        </w:rPr>
      </w:pPr>
      <w:r>
        <w:rPr>
          <w:rFonts w:cs="Arial"/>
          <w:color w:val="auto"/>
        </w:rPr>
        <w:t xml:space="preserve">Employees are entitled to Statutory Paternity Pay if they are the father of the child, the mother’s husband/partner and long as they have worked for their employer for at least 26 weeks at the fifteenth week before the baby is due. </w:t>
      </w:r>
      <w:r w:rsidR="00F41EFB">
        <w:rPr>
          <w:rFonts w:cs="Arial"/>
          <w:color w:val="auto"/>
        </w:rPr>
        <w:t xml:space="preserve">The contract of employment continues during this period. This leave must be taken within 56 days of the birth and lasts for up to two weeks, (ACAS 2021). </w:t>
      </w:r>
    </w:p>
    <w:p w14:paraId="37DB3A9C" w14:textId="77777777" w:rsidR="00CB42AB" w:rsidRDefault="00CB42AB">
      <w:pPr>
        <w:rPr>
          <w:rFonts w:cs="Arial"/>
          <w:color w:val="auto"/>
        </w:rPr>
      </w:pPr>
    </w:p>
    <w:p w14:paraId="592CAF1A" w14:textId="2C154AB7" w:rsidR="00724850" w:rsidRDefault="00D1295F">
      <w:pPr>
        <w:rPr>
          <w:rFonts w:cs="Arial"/>
          <w:color w:val="auto"/>
        </w:rPr>
      </w:pPr>
      <w:r>
        <w:rPr>
          <w:rFonts w:cs="Arial"/>
          <w:color w:val="auto"/>
        </w:rPr>
        <w:t xml:space="preserve">To qualify for Statutory Adoption Leave (SAL) an employee must of worked for their employer for at least 26 weeks before the week they are told they have been matched or the date the child arrives in the UK for international adoptions, (ACAS 2021). </w:t>
      </w:r>
      <w:r w:rsidR="00695D79">
        <w:rPr>
          <w:rFonts w:cs="Arial"/>
          <w:color w:val="auto"/>
        </w:rPr>
        <w:t>Adoption leave works in the same way as maternity leave with Ordinary Adoption Leave (OAL) and additional Adoption Leave (AAL) but either parent can take the leave or split it between them. Adoptive parents are also entitled to paid time off to attend up to 5 child related appointments.</w:t>
      </w:r>
      <w:r>
        <w:rPr>
          <w:rFonts w:cs="Arial"/>
          <w:color w:val="auto"/>
        </w:rPr>
        <w:t xml:space="preserve"> </w:t>
      </w:r>
    </w:p>
    <w:p w14:paraId="47E0264C" w14:textId="7D2A06F3" w:rsidR="000D2ED4" w:rsidRDefault="000D2ED4">
      <w:pPr>
        <w:rPr>
          <w:rFonts w:cs="Arial"/>
          <w:color w:val="auto"/>
        </w:rPr>
      </w:pPr>
    </w:p>
    <w:p w14:paraId="50599435" w14:textId="17979FE1" w:rsidR="000D2ED4" w:rsidRDefault="000D2ED4">
      <w:pPr>
        <w:rPr>
          <w:rFonts w:cs="Arial"/>
          <w:color w:val="auto"/>
        </w:rPr>
      </w:pPr>
    </w:p>
    <w:p w14:paraId="2EDD406C" w14:textId="78FD4639" w:rsidR="000D2ED4" w:rsidRDefault="000D2ED4">
      <w:pPr>
        <w:rPr>
          <w:rFonts w:cs="Arial"/>
          <w:color w:val="auto"/>
        </w:rPr>
      </w:pPr>
    </w:p>
    <w:p w14:paraId="277BF47E" w14:textId="595F3BF2" w:rsidR="000D2ED4" w:rsidRDefault="000D2ED4">
      <w:pPr>
        <w:rPr>
          <w:rFonts w:cs="Arial"/>
          <w:color w:val="auto"/>
        </w:rPr>
      </w:pPr>
    </w:p>
    <w:p w14:paraId="358B9944" w14:textId="4783A430" w:rsidR="000D2ED4" w:rsidRDefault="000D2ED4">
      <w:pPr>
        <w:rPr>
          <w:rFonts w:cs="Arial"/>
          <w:color w:val="auto"/>
        </w:rPr>
      </w:pPr>
    </w:p>
    <w:p w14:paraId="203EA127" w14:textId="1DB9153C" w:rsidR="000D2ED4" w:rsidRDefault="000D2ED4">
      <w:pPr>
        <w:rPr>
          <w:rFonts w:cs="Arial"/>
          <w:color w:val="auto"/>
        </w:rPr>
      </w:pPr>
    </w:p>
    <w:p w14:paraId="60705DE3" w14:textId="51CEA50E" w:rsidR="000D2ED4" w:rsidRDefault="000D2ED4">
      <w:pPr>
        <w:rPr>
          <w:rFonts w:cs="Arial"/>
          <w:color w:val="auto"/>
        </w:rPr>
      </w:pPr>
    </w:p>
    <w:p w14:paraId="7F9EF0E2" w14:textId="0F8C1666" w:rsidR="000D2ED4" w:rsidRDefault="000D2ED4">
      <w:pPr>
        <w:rPr>
          <w:rFonts w:cs="Arial"/>
          <w:color w:val="auto"/>
        </w:rPr>
      </w:pPr>
    </w:p>
    <w:p w14:paraId="0C440A1E" w14:textId="2944EA2E" w:rsidR="000D2ED4" w:rsidRDefault="000D2ED4">
      <w:pPr>
        <w:rPr>
          <w:rFonts w:cs="Arial"/>
          <w:color w:val="auto"/>
        </w:rPr>
      </w:pPr>
    </w:p>
    <w:p w14:paraId="53D8B2EA" w14:textId="3B548A6F" w:rsidR="000D2ED4" w:rsidRDefault="000D2ED4">
      <w:pPr>
        <w:rPr>
          <w:rFonts w:cs="Arial"/>
          <w:color w:val="auto"/>
        </w:rPr>
      </w:pPr>
    </w:p>
    <w:p w14:paraId="354F8C7B" w14:textId="47CD2173" w:rsidR="000D2ED4" w:rsidRDefault="000D2ED4">
      <w:pPr>
        <w:rPr>
          <w:rFonts w:cs="Arial"/>
          <w:color w:val="auto"/>
        </w:rPr>
      </w:pPr>
    </w:p>
    <w:p w14:paraId="23891FA8" w14:textId="5E903291" w:rsidR="000D2ED4" w:rsidRDefault="000D2ED4">
      <w:pPr>
        <w:rPr>
          <w:rFonts w:cs="Arial"/>
          <w:color w:val="auto"/>
        </w:rPr>
      </w:pPr>
    </w:p>
    <w:p w14:paraId="5CF0C9E7" w14:textId="1C7E8BF8" w:rsidR="000D2ED4" w:rsidRDefault="000D2ED4">
      <w:pPr>
        <w:rPr>
          <w:rFonts w:cs="Arial"/>
          <w:color w:val="auto"/>
        </w:rPr>
      </w:pPr>
    </w:p>
    <w:p w14:paraId="3DCC75E5" w14:textId="67D3B2FF" w:rsidR="000D2ED4" w:rsidRDefault="000D2ED4">
      <w:pPr>
        <w:rPr>
          <w:rFonts w:cs="Arial"/>
          <w:color w:val="auto"/>
        </w:rPr>
      </w:pPr>
    </w:p>
    <w:p w14:paraId="3F86D48D" w14:textId="3294FEFD" w:rsidR="000D2ED4" w:rsidRDefault="000D2ED4">
      <w:pPr>
        <w:rPr>
          <w:rFonts w:cs="Arial"/>
          <w:color w:val="auto"/>
        </w:rPr>
      </w:pPr>
    </w:p>
    <w:p w14:paraId="1906FA9E" w14:textId="3BC9368C" w:rsidR="000D2ED4" w:rsidRDefault="000D2ED4">
      <w:pPr>
        <w:rPr>
          <w:rFonts w:cs="Arial"/>
          <w:color w:val="auto"/>
        </w:rPr>
      </w:pPr>
    </w:p>
    <w:p w14:paraId="313E66B6" w14:textId="41F72364" w:rsidR="000D2ED4" w:rsidRDefault="000D2ED4">
      <w:pPr>
        <w:rPr>
          <w:rFonts w:cs="Arial"/>
          <w:color w:val="auto"/>
        </w:rPr>
      </w:pPr>
    </w:p>
    <w:p w14:paraId="411593E9" w14:textId="73D830A7" w:rsidR="000D2ED4" w:rsidRDefault="000D2ED4">
      <w:pPr>
        <w:rPr>
          <w:rFonts w:cs="Arial"/>
          <w:color w:val="auto"/>
        </w:rPr>
      </w:pPr>
    </w:p>
    <w:p w14:paraId="47CF5CCC" w14:textId="7927C7C3" w:rsidR="000D2ED4" w:rsidRDefault="000D2ED4">
      <w:pPr>
        <w:rPr>
          <w:rFonts w:cs="Arial"/>
          <w:color w:val="auto"/>
        </w:rPr>
      </w:pPr>
    </w:p>
    <w:p w14:paraId="062772E3" w14:textId="326F296F" w:rsidR="000D2ED4" w:rsidRDefault="000D2ED4">
      <w:pPr>
        <w:rPr>
          <w:rFonts w:cs="Arial"/>
          <w:color w:val="auto"/>
        </w:rPr>
      </w:pPr>
    </w:p>
    <w:p w14:paraId="6D955F4A" w14:textId="16757D2A" w:rsidR="000D2ED4" w:rsidRDefault="000D2ED4">
      <w:pPr>
        <w:rPr>
          <w:rFonts w:cs="Arial"/>
          <w:color w:val="auto"/>
        </w:rPr>
      </w:pPr>
    </w:p>
    <w:p w14:paraId="344F81A9" w14:textId="692DFC38" w:rsidR="000D2ED4" w:rsidRDefault="000D2ED4">
      <w:pPr>
        <w:rPr>
          <w:rFonts w:cs="Arial"/>
          <w:color w:val="auto"/>
        </w:rPr>
      </w:pPr>
    </w:p>
    <w:p w14:paraId="2431E9A8" w14:textId="29DD886E" w:rsidR="000D2ED4" w:rsidRDefault="000D2ED4">
      <w:pPr>
        <w:rPr>
          <w:rFonts w:cs="Arial"/>
          <w:color w:val="auto"/>
        </w:rPr>
      </w:pPr>
    </w:p>
    <w:p w14:paraId="32C7B8DB" w14:textId="330B7BAE" w:rsidR="000D2ED4" w:rsidRDefault="000D2ED4">
      <w:pPr>
        <w:rPr>
          <w:rFonts w:cs="Arial"/>
          <w:color w:val="auto"/>
        </w:rPr>
      </w:pPr>
    </w:p>
    <w:p w14:paraId="5A949F0C" w14:textId="12A66B39" w:rsidR="000D2ED4" w:rsidRDefault="000D2ED4">
      <w:pPr>
        <w:rPr>
          <w:rFonts w:cs="Arial"/>
          <w:color w:val="auto"/>
        </w:rPr>
      </w:pPr>
    </w:p>
    <w:p w14:paraId="156C37B6" w14:textId="73A1F7F6" w:rsidR="000D2ED4" w:rsidRDefault="000D2ED4">
      <w:pPr>
        <w:rPr>
          <w:rFonts w:cs="Arial"/>
          <w:color w:val="auto"/>
        </w:rPr>
      </w:pPr>
    </w:p>
    <w:p w14:paraId="27B29713" w14:textId="095A6D60" w:rsidR="000D2ED4" w:rsidRDefault="000D2ED4">
      <w:pPr>
        <w:rPr>
          <w:rFonts w:cs="Arial"/>
          <w:color w:val="auto"/>
        </w:rPr>
      </w:pPr>
    </w:p>
    <w:p w14:paraId="6D22BB90" w14:textId="68826C49" w:rsidR="000D2ED4" w:rsidRDefault="000D2ED4">
      <w:pPr>
        <w:rPr>
          <w:rFonts w:cs="Arial"/>
          <w:color w:val="auto"/>
        </w:rPr>
      </w:pPr>
    </w:p>
    <w:p w14:paraId="6E8118CA" w14:textId="69A0E947" w:rsidR="000D2ED4" w:rsidRDefault="000D2ED4">
      <w:pPr>
        <w:rPr>
          <w:rFonts w:cs="Arial"/>
          <w:color w:val="auto"/>
        </w:rPr>
      </w:pPr>
    </w:p>
    <w:p w14:paraId="5D223836" w14:textId="04D34D48" w:rsidR="000D2ED4" w:rsidRDefault="000D2ED4">
      <w:pPr>
        <w:rPr>
          <w:rFonts w:cs="Arial"/>
          <w:color w:val="auto"/>
        </w:rPr>
      </w:pPr>
    </w:p>
    <w:p w14:paraId="39487895" w14:textId="2C46B32A" w:rsidR="000D2ED4" w:rsidRDefault="000D2ED4">
      <w:pPr>
        <w:rPr>
          <w:rFonts w:cs="Arial"/>
          <w:color w:val="auto"/>
        </w:rPr>
      </w:pPr>
    </w:p>
    <w:p w14:paraId="2F540D3A" w14:textId="6F2A573C" w:rsidR="000D2ED4" w:rsidRPr="000D2ED4" w:rsidRDefault="000D2ED4">
      <w:pPr>
        <w:rPr>
          <w:rFonts w:cs="Arial"/>
          <w:color w:val="000000" w:themeColor="text1"/>
        </w:rPr>
      </w:pPr>
      <w:r w:rsidRPr="000D2ED4">
        <w:rPr>
          <w:rFonts w:cs="Arial"/>
          <w:color w:val="000000" w:themeColor="text1"/>
          <w:sz w:val="20"/>
          <w:szCs w:val="20"/>
          <w:u w:val="single"/>
        </w:rPr>
        <w:lastRenderedPageBreak/>
        <w:t>Summarise:</w:t>
      </w:r>
      <w:r w:rsidRPr="000D2ED4">
        <w:rPr>
          <w:rFonts w:cs="Arial"/>
          <w:color w:val="000000" w:themeColor="text1"/>
          <w:sz w:val="20"/>
          <w:szCs w:val="20"/>
        </w:rPr>
        <w:br/>
        <w:t>(a) the major requirements of health and safety law</w:t>
      </w:r>
      <w:r w:rsidRPr="000D2ED4">
        <w:rPr>
          <w:rFonts w:cs="Arial"/>
          <w:color w:val="000000" w:themeColor="text1"/>
          <w:sz w:val="20"/>
          <w:szCs w:val="20"/>
        </w:rPr>
        <w:br/>
        <w:t>(b) key legislation supporting equality and diversity in the workplace</w:t>
      </w:r>
      <w:r w:rsidRPr="000D2ED4">
        <w:rPr>
          <w:rFonts w:cs="Arial"/>
          <w:color w:val="000000" w:themeColor="text1"/>
          <w:sz w:val="20"/>
          <w:szCs w:val="20"/>
        </w:rPr>
        <w:br/>
        <w:t>(c) the concept of implied duties in relation to employee management at work</w:t>
      </w:r>
    </w:p>
    <w:p w14:paraId="56525E30" w14:textId="77777777" w:rsidR="000B503E" w:rsidRDefault="000B503E">
      <w:pPr>
        <w:rPr>
          <w:rFonts w:cs="Arial"/>
          <w:color w:val="auto"/>
        </w:rPr>
      </w:pPr>
    </w:p>
    <w:p w14:paraId="0B55A758" w14:textId="734A94B7" w:rsidR="009E327A" w:rsidRDefault="009E34D9">
      <w:pPr>
        <w:rPr>
          <w:rFonts w:cs="Arial"/>
          <w:color w:val="auto"/>
        </w:rPr>
      </w:pPr>
      <w:r>
        <w:rPr>
          <w:rFonts w:cs="Arial"/>
          <w:color w:val="auto"/>
        </w:rPr>
        <w:t xml:space="preserve">The main legal structure for health and safety laws within the workplace come from the Health and Safety at Work Act 1974, this states that employers have a reasonable duty to ensure the health, safety and wellbeing of employees. According to Daniels (2019) this includes safe and adequate plant and equipment, safe premises, competent and safe fellow employees and a safe system of work. Employees also have a duty to take reasonable care for their own health and safety and that of others, to co-operate with their employer to enable requirements to be met, further legislation also </w:t>
      </w:r>
      <w:r w:rsidR="001D5714">
        <w:rPr>
          <w:rFonts w:cs="Arial"/>
          <w:color w:val="auto"/>
        </w:rPr>
        <w:t>refers</w:t>
      </w:r>
      <w:r>
        <w:rPr>
          <w:rFonts w:cs="Arial"/>
          <w:color w:val="auto"/>
        </w:rPr>
        <w:t xml:space="preserve"> to the use of Personal Protective Equipment (PPE) where it is provided and necessary, the requirement to follow the safe systems of work that are in place</w:t>
      </w:r>
      <w:r w:rsidR="00C74252">
        <w:rPr>
          <w:rFonts w:cs="Arial"/>
          <w:color w:val="auto"/>
        </w:rPr>
        <w:t xml:space="preserve"> and to inform the employer of any serious or dangerous threats for example reporting broken equipment or accidents within the workplace</w:t>
      </w:r>
      <w:r>
        <w:rPr>
          <w:rFonts w:cs="Arial"/>
          <w:color w:val="auto"/>
        </w:rPr>
        <w:t xml:space="preserve">. </w:t>
      </w:r>
      <w:r w:rsidR="001D5714">
        <w:rPr>
          <w:rFonts w:cs="Arial"/>
          <w:color w:val="auto"/>
        </w:rPr>
        <w:t xml:space="preserve">An employer should highlight and communicate to employees what is expected of them in terms of health and safety </w:t>
      </w:r>
      <w:r w:rsidR="00C74252">
        <w:rPr>
          <w:rFonts w:cs="Arial"/>
          <w:color w:val="auto"/>
        </w:rPr>
        <w:t xml:space="preserve">via induction and training and the requirement to display certain notices giving the relevant information within the workplace. </w:t>
      </w:r>
    </w:p>
    <w:p w14:paraId="0F3815F0" w14:textId="75AE4990" w:rsidR="00125F86" w:rsidRDefault="00125F86">
      <w:pPr>
        <w:rPr>
          <w:rFonts w:cs="Arial"/>
          <w:color w:val="auto"/>
        </w:rPr>
      </w:pPr>
    </w:p>
    <w:p w14:paraId="3A490E0D" w14:textId="25566822" w:rsidR="00125F86" w:rsidRDefault="00097BAF">
      <w:pPr>
        <w:rPr>
          <w:rFonts w:cs="Arial"/>
          <w:color w:val="auto"/>
        </w:rPr>
      </w:pPr>
      <w:r>
        <w:rPr>
          <w:rFonts w:cs="Arial"/>
          <w:color w:val="auto"/>
        </w:rPr>
        <w:t>The Equality Act 2006/ 2010 protects employees from discrimination</w:t>
      </w:r>
      <w:r w:rsidR="008C2E91">
        <w:rPr>
          <w:rFonts w:cs="Arial"/>
          <w:color w:val="auto"/>
        </w:rPr>
        <w:t>, whether that is direct or indirect</w:t>
      </w:r>
      <w:r>
        <w:rPr>
          <w:rFonts w:cs="Arial"/>
          <w:color w:val="auto"/>
        </w:rPr>
        <w:t xml:space="preserve">. </w:t>
      </w:r>
      <w:r w:rsidR="008C2E91">
        <w:rPr>
          <w:rFonts w:cs="Arial"/>
          <w:color w:val="auto"/>
        </w:rPr>
        <w:t xml:space="preserve">The equality Act includes previous acts relating to the protected characteristics which have now been merged as one. </w:t>
      </w:r>
      <w:r>
        <w:rPr>
          <w:rFonts w:cs="Arial"/>
          <w:color w:val="auto"/>
        </w:rPr>
        <w:t>There are 9 protected characteristics and employees cannot be treated less favorably within the workplace based on any of these (age, disability, sex, sexual orientation, race, religion/belief, marriage/civil partnership, gender reassignment and pregnancy/maternity).  An example of this is the gender pay gap</w:t>
      </w:r>
      <w:r w:rsidR="00724B4E">
        <w:rPr>
          <w:rFonts w:cs="Arial"/>
          <w:color w:val="auto"/>
        </w:rPr>
        <w:t>, legislation relating to flexible working and shared parental leave helps to ensure women are not treated less favorably or discriminated against, (GOV UK 2016).</w:t>
      </w:r>
      <w:r w:rsidR="008C2E91">
        <w:rPr>
          <w:rFonts w:cs="Arial"/>
          <w:color w:val="auto"/>
        </w:rPr>
        <w:t xml:space="preserve"> </w:t>
      </w:r>
      <w:r w:rsidR="00FC2199">
        <w:rPr>
          <w:rFonts w:cs="Arial"/>
          <w:color w:val="auto"/>
        </w:rPr>
        <w:t xml:space="preserve">The Human Rights Act sets out the rights of all those within the UK and this can be translated to the workplace for example article 14 covers the right to protection from discrimination based on the rights. </w:t>
      </w:r>
    </w:p>
    <w:p w14:paraId="0B0975E9" w14:textId="04FD14DC" w:rsidR="003C06A5" w:rsidRDefault="003C06A5">
      <w:pPr>
        <w:rPr>
          <w:rFonts w:cs="Arial"/>
          <w:color w:val="auto"/>
        </w:rPr>
      </w:pPr>
    </w:p>
    <w:p w14:paraId="7C15EBA6" w14:textId="120F8498" w:rsidR="003C06A5" w:rsidRDefault="003C06A5">
      <w:pPr>
        <w:rPr>
          <w:rFonts w:cs="Arial"/>
          <w:color w:val="auto"/>
        </w:rPr>
      </w:pPr>
      <w:r>
        <w:rPr>
          <w:rFonts w:cs="Arial"/>
          <w:color w:val="auto"/>
        </w:rPr>
        <w:t xml:space="preserve">Implied terms are terms of a contract that are deemed as obvious and are not necessarily written down. </w:t>
      </w:r>
      <w:r w:rsidR="00DB6BF7">
        <w:rPr>
          <w:rFonts w:cs="Arial"/>
          <w:color w:val="auto"/>
        </w:rPr>
        <w:t xml:space="preserve">According to CIPD (2020) implied terms may occur due to collective agreements such as those </w:t>
      </w:r>
      <w:r w:rsidR="005C7F6D">
        <w:rPr>
          <w:rFonts w:cs="Arial"/>
          <w:color w:val="auto"/>
        </w:rPr>
        <w:t xml:space="preserve">made </w:t>
      </w:r>
      <w:r w:rsidR="00DB6BF7">
        <w:rPr>
          <w:rFonts w:cs="Arial"/>
          <w:color w:val="auto"/>
        </w:rPr>
        <w:t>with trade unions</w:t>
      </w:r>
      <w:r w:rsidR="005C7F6D">
        <w:rPr>
          <w:rFonts w:cs="Arial"/>
          <w:color w:val="auto"/>
        </w:rPr>
        <w:t>, this would apply to all employees belonging to the trade union in question. Implied terms also cover things incorporated by statue such as the fact minimum wage must be paid, and a contract of employment cannot override this. Terms can also be contractual if they are customary, this relates to things which have been done a certain way over time and means it can be argued that it could form part of an employment contract even if it is not written down.</w:t>
      </w:r>
      <w:r w:rsidR="007D00E8">
        <w:rPr>
          <w:rFonts w:cs="Arial"/>
          <w:color w:val="auto"/>
        </w:rPr>
        <w:t xml:space="preserve"> The more terms that are written within the employment contract, the better as it eliminates confusion, some examples of implied terms are a duty of mutual trust between the employer and the employee and the duty of the employer to provide a safe workplace. </w:t>
      </w:r>
      <w:r w:rsidR="00F907D9">
        <w:rPr>
          <w:rFonts w:cs="Arial"/>
          <w:color w:val="auto"/>
        </w:rPr>
        <w:t xml:space="preserve">Implied terms by law also include the right to privacy and the fact that grievances will be dealt with.  </w:t>
      </w:r>
      <w:r w:rsidR="007D00E8">
        <w:rPr>
          <w:rFonts w:cs="Arial"/>
          <w:color w:val="auto"/>
        </w:rPr>
        <w:t xml:space="preserve">Daniels (2019) discusses that businesses often have rules which outline how employees must conduct themselves on company premises for example no smoking rules or rules on uniform, although these could be implied and part of a set of rules, unless stated within the contract of employment it is not a contractual obligation for the employee and this can cause issues when managing staff and what is expected of them.  </w:t>
      </w:r>
    </w:p>
    <w:p w14:paraId="71305A30" w14:textId="6700CE82" w:rsidR="00D14780" w:rsidRDefault="00D14780">
      <w:pPr>
        <w:rPr>
          <w:rFonts w:cs="Arial"/>
          <w:color w:val="auto"/>
        </w:rPr>
      </w:pPr>
    </w:p>
    <w:p w14:paraId="24FF40CC" w14:textId="717EC8CA" w:rsidR="00D14780" w:rsidRDefault="00D14780">
      <w:pPr>
        <w:rPr>
          <w:rFonts w:cs="Arial"/>
          <w:color w:val="auto"/>
        </w:rPr>
      </w:pPr>
    </w:p>
    <w:p w14:paraId="27E9E4F8" w14:textId="5301D409" w:rsidR="00CA0981" w:rsidRDefault="00CA0981">
      <w:pPr>
        <w:rPr>
          <w:rFonts w:cs="Arial"/>
          <w:color w:val="auto"/>
        </w:rPr>
      </w:pPr>
    </w:p>
    <w:p w14:paraId="29023122" w14:textId="109AFB7C" w:rsidR="00CA0981" w:rsidRDefault="00CA0981">
      <w:pPr>
        <w:rPr>
          <w:rFonts w:cs="Arial"/>
          <w:color w:val="auto"/>
        </w:rPr>
      </w:pPr>
    </w:p>
    <w:p w14:paraId="24AE774D" w14:textId="77777777" w:rsidR="009A0092" w:rsidRDefault="009A0092">
      <w:pPr>
        <w:rPr>
          <w:rFonts w:cs="Arial"/>
          <w:color w:val="auto"/>
        </w:rPr>
      </w:pPr>
    </w:p>
    <w:p w14:paraId="59BD1070" w14:textId="77777777" w:rsidR="00CA0981" w:rsidRDefault="00CA0981">
      <w:pPr>
        <w:rPr>
          <w:rFonts w:cs="Arial"/>
          <w:color w:val="auto"/>
        </w:rPr>
      </w:pPr>
    </w:p>
    <w:p w14:paraId="1FAFEB25" w14:textId="3ADCAFD3" w:rsidR="00C74252" w:rsidRDefault="00C74252">
      <w:pPr>
        <w:rPr>
          <w:rFonts w:cs="Arial"/>
          <w:color w:val="auto"/>
        </w:rPr>
      </w:pPr>
    </w:p>
    <w:p w14:paraId="3F521322" w14:textId="2F571284" w:rsidR="00C74252" w:rsidRPr="00CA0981" w:rsidRDefault="00CA0981">
      <w:pPr>
        <w:rPr>
          <w:rFonts w:cs="Arial"/>
          <w:color w:val="auto"/>
        </w:rPr>
      </w:pPr>
      <w:r w:rsidRPr="00CA0981">
        <w:rPr>
          <w:rFonts w:cs="Arial"/>
          <w:color w:val="auto"/>
          <w:u w:val="single"/>
        </w:rPr>
        <w:lastRenderedPageBreak/>
        <w:t>Explain briefly the main requirements of unfair dismissal law in respect of:</w:t>
      </w:r>
      <w:r w:rsidRPr="00CA0981">
        <w:rPr>
          <w:rFonts w:cs="Arial"/>
          <w:color w:val="auto"/>
        </w:rPr>
        <w:br/>
        <w:t>(a) capability</w:t>
      </w:r>
      <w:r w:rsidRPr="00CA0981">
        <w:rPr>
          <w:rFonts w:cs="Arial"/>
          <w:color w:val="auto"/>
        </w:rPr>
        <w:br/>
        <w:t>(b) misconduct</w:t>
      </w:r>
      <w:r w:rsidRPr="00CA0981">
        <w:rPr>
          <w:rFonts w:cs="Arial"/>
          <w:color w:val="auto"/>
        </w:rPr>
        <w:br/>
        <w:t>(c) grievance</w:t>
      </w:r>
    </w:p>
    <w:p w14:paraId="3A6E165D" w14:textId="4A449483" w:rsidR="00CA0981" w:rsidRDefault="00CA0981">
      <w:pPr>
        <w:rPr>
          <w:rFonts w:cs="Arial"/>
          <w:color w:val="auto"/>
        </w:rPr>
      </w:pPr>
    </w:p>
    <w:p w14:paraId="4402468C" w14:textId="5978B1E6" w:rsidR="00992713" w:rsidRDefault="00BC32E7">
      <w:pPr>
        <w:rPr>
          <w:rFonts w:cs="Arial"/>
          <w:color w:val="auto"/>
        </w:rPr>
      </w:pPr>
      <w:r>
        <w:rPr>
          <w:rFonts w:cs="Arial"/>
          <w:color w:val="auto"/>
        </w:rPr>
        <w:t xml:space="preserve">According to ACAS (2021) the employment rights act 1996 states that employees have the right to not be unfairly dismissed and they can challenge their dismissal if they believe it to be unfair. </w:t>
      </w:r>
      <w:r w:rsidR="007A1FAF">
        <w:rPr>
          <w:rFonts w:cs="Arial"/>
          <w:color w:val="auto"/>
        </w:rPr>
        <w:t xml:space="preserve">A person cannot challenge their dismissal as unfair to a tribunal if they are not an employee for example those classed as workers, if they have less than two years’ service, if they are employed in the police and if they have an illegal contract, (Daniels 2019). </w:t>
      </w:r>
      <w:r w:rsidR="00360DBA">
        <w:rPr>
          <w:rFonts w:cs="Arial"/>
          <w:color w:val="auto"/>
        </w:rPr>
        <w:t>D</w:t>
      </w:r>
      <w:r w:rsidR="0007374B">
        <w:rPr>
          <w:rFonts w:cs="Arial"/>
          <w:color w:val="auto"/>
        </w:rPr>
        <w:t xml:space="preserve">ismissal can potentially be fair if it is on the grounds of capability, conduct, </w:t>
      </w:r>
      <w:r w:rsidR="00360DBA">
        <w:rPr>
          <w:rFonts w:cs="Arial"/>
          <w:color w:val="auto"/>
        </w:rPr>
        <w:t>redundancy,</w:t>
      </w:r>
      <w:r w:rsidR="0007374B">
        <w:rPr>
          <w:rFonts w:cs="Arial"/>
          <w:color w:val="auto"/>
        </w:rPr>
        <w:t xml:space="preserve"> or some other substantial reason. </w:t>
      </w:r>
      <w:r w:rsidR="00360DBA">
        <w:rPr>
          <w:rFonts w:cs="Arial"/>
          <w:color w:val="auto"/>
        </w:rPr>
        <w:t xml:space="preserve"> </w:t>
      </w:r>
    </w:p>
    <w:p w14:paraId="064DAF08" w14:textId="6D407DA7" w:rsidR="00360DBA" w:rsidRDefault="00360DBA">
      <w:pPr>
        <w:rPr>
          <w:rFonts w:cs="Arial"/>
          <w:color w:val="auto"/>
        </w:rPr>
      </w:pPr>
    </w:p>
    <w:p w14:paraId="5E214EE6" w14:textId="7F2ED70E" w:rsidR="00360DBA" w:rsidRDefault="00360DBA">
      <w:pPr>
        <w:rPr>
          <w:rFonts w:cs="Arial"/>
          <w:color w:val="auto"/>
        </w:rPr>
      </w:pPr>
      <w:r>
        <w:rPr>
          <w:rFonts w:cs="Arial"/>
          <w:color w:val="auto"/>
        </w:rPr>
        <w:t>The employment rights act 1966 defines capability as skill, aptitude, health, or other physical/mental quality, (GOV UK 2021). Before starting work the employer should make sure the employee knows what is required of them within the job role and the penalties of this not being followed/met, if this is the case then the employer is expected to provide further training to meet the requirements before taking disciplinary action.</w:t>
      </w:r>
      <w:r w:rsidR="00D25172">
        <w:rPr>
          <w:rFonts w:cs="Arial"/>
          <w:color w:val="auto"/>
        </w:rPr>
        <w:t xml:space="preserve"> </w:t>
      </w:r>
      <w:r w:rsidR="008708B1">
        <w:rPr>
          <w:rFonts w:cs="Arial"/>
          <w:color w:val="auto"/>
        </w:rPr>
        <w:t xml:space="preserve">CIPD (2020) </w:t>
      </w:r>
      <w:r w:rsidR="003C29BB">
        <w:rPr>
          <w:rFonts w:cs="Arial"/>
          <w:color w:val="auto"/>
        </w:rPr>
        <w:t xml:space="preserve">discusses the impact of ill health related </w:t>
      </w:r>
      <w:r w:rsidR="008708B1">
        <w:rPr>
          <w:rFonts w:cs="Arial"/>
          <w:color w:val="auto"/>
        </w:rPr>
        <w:t>capability;</w:t>
      </w:r>
      <w:r w:rsidR="00F43773">
        <w:rPr>
          <w:rFonts w:cs="Arial"/>
          <w:color w:val="auto"/>
        </w:rPr>
        <w:t xml:space="preserve"> employers should consider the nature of the illness and how long a potential absence could last</w:t>
      </w:r>
      <w:r w:rsidR="007066D0">
        <w:rPr>
          <w:rFonts w:cs="Arial"/>
          <w:color w:val="auto"/>
        </w:rPr>
        <w:t xml:space="preserve"> and should act in a reasonable manner for example </w:t>
      </w:r>
      <w:r w:rsidR="00DE3E4D">
        <w:rPr>
          <w:rFonts w:cs="Arial"/>
          <w:color w:val="auto"/>
        </w:rPr>
        <w:t>asking,</w:t>
      </w:r>
      <w:r w:rsidR="007066D0">
        <w:rPr>
          <w:rFonts w:cs="Arial"/>
          <w:color w:val="auto"/>
        </w:rPr>
        <w:t xml:space="preserve"> ‘Would a reasonable employer wait longer before dismissing the employee?’ and determining if they as an employer can wait longer for the employee to potentially return</w:t>
      </w:r>
      <w:r w:rsidR="008708B1">
        <w:rPr>
          <w:rFonts w:cs="Arial"/>
          <w:color w:val="auto"/>
        </w:rPr>
        <w:t xml:space="preserve">. The employer should also consult with the employee and attempt to understand the medical seeking advice from medical practitioners and occupational health where possible. </w:t>
      </w:r>
    </w:p>
    <w:p w14:paraId="2C01A92A" w14:textId="56C38AB2" w:rsidR="00DE3E4D" w:rsidRDefault="00DE3E4D">
      <w:pPr>
        <w:rPr>
          <w:rFonts w:cs="Arial"/>
          <w:color w:val="auto"/>
        </w:rPr>
      </w:pPr>
    </w:p>
    <w:p w14:paraId="26ACB1B9" w14:textId="19EE69BB" w:rsidR="00DE3E4D" w:rsidRDefault="00DE3E4D">
      <w:pPr>
        <w:rPr>
          <w:rFonts w:cs="Arial"/>
          <w:color w:val="auto"/>
        </w:rPr>
      </w:pPr>
      <w:r>
        <w:rPr>
          <w:rFonts w:cs="Arial"/>
          <w:color w:val="auto"/>
        </w:rPr>
        <w:t xml:space="preserve">Conduct is split into two areas ‘gross misconduct’ with can lead to dismissal with out notice for example theft or violence, and ‘misconduct’ which is usually dealt with the employers’ disciplinary procedures. For dismissals relating to conduct to be lawful and fair, an employer must have acted reasonably with its decision to dismiss, tribunals </w:t>
      </w:r>
      <w:r w:rsidR="004462D3">
        <w:rPr>
          <w:rFonts w:cs="Arial"/>
          <w:color w:val="auto"/>
        </w:rPr>
        <w:t>would</w:t>
      </w:r>
      <w:r>
        <w:rPr>
          <w:rFonts w:cs="Arial"/>
          <w:color w:val="auto"/>
        </w:rPr>
        <w:t xml:space="preserve"> establish if an employer acted reasonably and are not necessarily concerned with whether the employee committed the act in question, (Daniels 2019). </w:t>
      </w:r>
      <w:r w:rsidR="0058175A">
        <w:rPr>
          <w:rFonts w:cs="Arial"/>
          <w:color w:val="auto"/>
        </w:rPr>
        <w:t xml:space="preserve">The Burchell test highlights reasonableness and looks at whether the employer genuinely believes the employee is guilty of the misconduct, and whether this belief is still present after a reasonable investigation, (Street 2016).  If an investigation is carried out but is found by the tribunal not to of been reasonable within the circumstances, then it could be classed as unfair dismissal. </w:t>
      </w:r>
    </w:p>
    <w:p w14:paraId="6A5AECDE" w14:textId="3D3DFADB" w:rsidR="004A3212" w:rsidRDefault="004A3212">
      <w:pPr>
        <w:rPr>
          <w:rFonts w:cs="Arial"/>
          <w:color w:val="auto"/>
        </w:rPr>
      </w:pPr>
    </w:p>
    <w:p w14:paraId="0DCD8737" w14:textId="5DCDFB17" w:rsidR="004A3212" w:rsidRDefault="004A3212">
      <w:pPr>
        <w:rPr>
          <w:rFonts w:cs="Arial"/>
          <w:color w:val="auto"/>
        </w:rPr>
      </w:pPr>
      <w:r>
        <w:rPr>
          <w:rFonts w:cs="Arial"/>
          <w:color w:val="auto"/>
        </w:rPr>
        <w:t>The ACAS code of practice sets out standard that should be followed when dealing with a</w:t>
      </w:r>
      <w:r w:rsidR="000E05EB">
        <w:rPr>
          <w:rFonts w:cs="Arial"/>
          <w:color w:val="auto"/>
        </w:rPr>
        <w:t xml:space="preserve"> grievance or </w:t>
      </w:r>
      <w:r>
        <w:rPr>
          <w:rFonts w:cs="Arial"/>
          <w:color w:val="auto"/>
        </w:rPr>
        <w:t xml:space="preserve">disciplinary, employers are required to follow this and would have to display good reasons for not following it accordingly in a tribunal situation. The employer must write to the employee to inform them they are considering disciplinary action and invite them to a meeting discussing the situation any documents/evidence the employer wishes to use as evidence must be included at this stage. The meeting must be at a reasonable time and place and the allegations must be formally put to the employee with them being given the chance to explain the situation, they are also entitled to bring someone to accompany them. If disciplinary action is to be taken the employee has the right to appeal, (ACAS 2015). </w:t>
      </w:r>
      <w:r w:rsidR="000E05EB">
        <w:rPr>
          <w:rFonts w:cs="Arial"/>
          <w:color w:val="auto"/>
        </w:rPr>
        <w:t xml:space="preserve"> The ACAS code also stresses the importance of consistency when dealing with disciplinary</w:t>
      </w:r>
      <w:r w:rsidR="001A21A4">
        <w:rPr>
          <w:rFonts w:cs="Arial"/>
          <w:color w:val="auto"/>
        </w:rPr>
        <w:t xml:space="preserve"> and grievance matters,</w:t>
      </w:r>
      <w:r w:rsidR="000E05EB">
        <w:rPr>
          <w:rFonts w:cs="Arial"/>
          <w:color w:val="auto"/>
        </w:rPr>
        <w:t xml:space="preserve"> and meetings should be done without delays. Employers should follow the ACAS warnings (first written warning, final written warning, and dismissal).  If an employee writes to their employer with a grievance, the employer must arrange a meeting to discuss </w:t>
      </w:r>
      <w:r w:rsidR="001A21A4">
        <w:rPr>
          <w:rFonts w:cs="Arial"/>
          <w:color w:val="auto"/>
        </w:rPr>
        <w:t>this,</w:t>
      </w:r>
      <w:r w:rsidR="000E05EB">
        <w:rPr>
          <w:rFonts w:cs="Arial"/>
          <w:color w:val="auto"/>
        </w:rPr>
        <w:t xml:space="preserve"> and the process follows that of disciplinary whereby the meeting must be within a reasonable timeframe and the employer must investigate and then inform the employee of the outcome. The employee has the right to appeal the response</w:t>
      </w:r>
      <w:r w:rsidR="001A21A4">
        <w:rPr>
          <w:rFonts w:cs="Arial"/>
          <w:color w:val="auto"/>
        </w:rPr>
        <w:t xml:space="preserve"> and where possible a more senior manager must hear the appeal, an employee does not have to raise a grievance </w:t>
      </w:r>
      <w:r w:rsidR="001A21A4">
        <w:rPr>
          <w:rFonts w:cs="Arial"/>
          <w:color w:val="auto"/>
        </w:rPr>
        <w:lastRenderedPageBreak/>
        <w:t xml:space="preserve">before making a claim to a tribunal, (Daniels 2019). </w:t>
      </w:r>
      <w:r w:rsidR="000C3C8C">
        <w:rPr>
          <w:rFonts w:cs="Arial"/>
          <w:color w:val="auto"/>
        </w:rPr>
        <w:t xml:space="preserve">If procedures are not correctly followed it can lead to claims of unfair dismissal. </w:t>
      </w:r>
    </w:p>
    <w:p w14:paraId="033F2602" w14:textId="28A1CA62" w:rsidR="0058175A" w:rsidRDefault="0058175A">
      <w:pPr>
        <w:rPr>
          <w:rFonts w:cs="Arial"/>
          <w:color w:val="auto"/>
        </w:rPr>
      </w:pPr>
    </w:p>
    <w:p w14:paraId="61DDD929" w14:textId="77777777" w:rsidR="0058175A" w:rsidRDefault="0058175A">
      <w:pPr>
        <w:rPr>
          <w:rFonts w:cs="Arial"/>
          <w:color w:val="auto"/>
        </w:rPr>
      </w:pPr>
    </w:p>
    <w:p w14:paraId="5C40C22D" w14:textId="3B6629A4" w:rsidR="0058175A" w:rsidRDefault="0058175A">
      <w:pPr>
        <w:rPr>
          <w:rFonts w:cs="Arial"/>
          <w:color w:val="auto"/>
        </w:rPr>
      </w:pPr>
    </w:p>
    <w:p w14:paraId="595844A1" w14:textId="77777777" w:rsidR="0058175A" w:rsidRDefault="0058175A">
      <w:pPr>
        <w:rPr>
          <w:rFonts w:cs="Arial"/>
          <w:color w:val="auto"/>
        </w:rPr>
      </w:pPr>
    </w:p>
    <w:p w14:paraId="0FB9AD08" w14:textId="612FB501" w:rsidR="008708B1" w:rsidRDefault="008708B1">
      <w:pPr>
        <w:rPr>
          <w:rFonts w:cs="Arial"/>
          <w:color w:val="auto"/>
        </w:rPr>
      </w:pPr>
    </w:p>
    <w:p w14:paraId="7E3FC62E" w14:textId="77777777" w:rsidR="008708B1" w:rsidRDefault="008708B1">
      <w:pPr>
        <w:rPr>
          <w:rFonts w:cs="Arial"/>
          <w:color w:val="auto"/>
        </w:rPr>
      </w:pPr>
    </w:p>
    <w:p w14:paraId="3A007029" w14:textId="3DDBA1FF" w:rsidR="00360DBA" w:rsidRDefault="00360DBA">
      <w:pPr>
        <w:rPr>
          <w:rFonts w:cs="Arial"/>
          <w:color w:val="auto"/>
        </w:rPr>
      </w:pPr>
    </w:p>
    <w:p w14:paraId="2DE289F5" w14:textId="77777777" w:rsidR="00360DBA" w:rsidRPr="00CA0981" w:rsidRDefault="00360DBA">
      <w:pPr>
        <w:rPr>
          <w:rFonts w:cs="Arial"/>
          <w:color w:val="auto"/>
        </w:rPr>
      </w:pPr>
    </w:p>
    <w:p w14:paraId="41155787" w14:textId="6ACBA0E5" w:rsidR="000D2ED4" w:rsidRDefault="000D2ED4">
      <w:pPr>
        <w:rPr>
          <w:rFonts w:cs="Arial"/>
          <w:color w:val="auto"/>
        </w:rPr>
      </w:pPr>
    </w:p>
    <w:p w14:paraId="20E85CA4" w14:textId="0D36C557" w:rsidR="000D2ED4" w:rsidRDefault="000D2ED4">
      <w:pPr>
        <w:rPr>
          <w:rFonts w:cs="Arial"/>
          <w:color w:val="auto"/>
        </w:rPr>
      </w:pPr>
    </w:p>
    <w:p w14:paraId="093D5235" w14:textId="77777777" w:rsidR="000D2ED4" w:rsidRDefault="000D2ED4">
      <w:pPr>
        <w:rPr>
          <w:rFonts w:cs="Arial"/>
          <w:color w:val="auto"/>
        </w:rPr>
      </w:pPr>
    </w:p>
    <w:p w14:paraId="55CD701E" w14:textId="455321EA" w:rsidR="00D93664" w:rsidRDefault="00D93664">
      <w:pPr>
        <w:rPr>
          <w:rFonts w:cs="Arial"/>
          <w:color w:val="auto"/>
        </w:rPr>
      </w:pPr>
    </w:p>
    <w:p w14:paraId="2148E0E1" w14:textId="03E7ED89" w:rsidR="00D93664" w:rsidRDefault="00D93664">
      <w:pPr>
        <w:rPr>
          <w:rFonts w:cs="Arial"/>
          <w:color w:val="auto"/>
        </w:rPr>
      </w:pPr>
    </w:p>
    <w:p w14:paraId="7390536B" w14:textId="02DD27FC" w:rsidR="00D93664" w:rsidRDefault="00D93664">
      <w:pPr>
        <w:rPr>
          <w:rFonts w:cs="Arial"/>
          <w:color w:val="auto"/>
        </w:rPr>
      </w:pPr>
    </w:p>
    <w:p w14:paraId="7953A89D" w14:textId="1978867A" w:rsidR="00D93664" w:rsidRDefault="00D93664">
      <w:pPr>
        <w:rPr>
          <w:rFonts w:cs="Arial"/>
          <w:color w:val="auto"/>
        </w:rPr>
      </w:pPr>
    </w:p>
    <w:p w14:paraId="3FCBAF0B" w14:textId="77777777" w:rsidR="00D93664" w:rsidRDefault="00D93664">
      <w:pPr>
        <w:rPr>
          <w:rFonts w:cs="Arial"/>
          <w:color w:val="auto"/>
        </w:rPr>
      </w:pPr>
    </w:p>
    <w:p w14:paraId="04E8326E" w14:textId="77777777" w:rsidR="009E327A" w:rsidRDefault="009E327A">
      <w:pPr>
        <w:rPr>
          <w:rFonts w:cs="Arial"/>
          <w:color w:val="auto"/>
        </w:rPr>
      </w:pPr>
    </w:p>
    <w:p w14:paraId="63C780E3" w14:textId="7D732162" w:rsidR="006D0AEC" w:rsidRDefault="006D0AEC">
      <w:pPr>
        <w:rPr>
          <w:rFonts w:cs="Arial"/>
          <w:color w:val="auto"/>
        </w:rPr>
      </w:pPr>
    </w:p>
    <w:p w14:paraId="44D496C6" w14:textId="2AA9129B" w:rsidR="001C5462" w:rsidRDefault="001C5462">
      <w:pPr>
        <w:rPr>
          <w:rFonts w:cs="Arial"/>
          <w:color w:val="auto"/>
        </w:rPr>
      </w:pPr>
    </w:p>
    <w:p w14:paraId="333B94A2" w14:textId="0FC1D9E7" w:rsidR="001C5462" w:rsidRDefault="001C5462">
      <w:pPr>
        <w:rPr>
          <w:rFonts w:cs="Arial"/>
          <w:color w:val="auto"/>
        </w:rPr>
      </w:pPr>
    </w:p>
    <w:p w14:paraId="1AD13E99" w14:textId="685B3897" w:rsidR="001C5462" w:rsidRDefault="001C5462">
      <w:pPr>
        <w:rPr>
          <w:rFonts w:cs="Arial"/>
          <w:color w:val="auto"/>
        </w:rPr>
      </w:pPr>
    </w:p>
    <w:p w14:paraId="0E96DDDD" w14:textId="4CCA1511" w:rsidR="001C5462" w:rsidRDefault="001C5462">
      <w:pPr>
        <w:rPr>
          <w:rFonts w:cs="Arial"/>
          <w:color w:val="auto"/>
        </w:rPr>
      </w:pPr>
    </w:p>
    <w:p w14:paraId="7F970656" w14:textId="5FDB174A" w:rsidR="001C5462" w:rsidRDefault="001C5462">
      <w:pPr>
        <w:rPr>
          <w:rFonts w:cs="Arial"/>
          <w:color w:val="auto"/>
        </w:rPr>
      </w:pPr>
    </w:p>
    <w:p w14:paraId="73194A12" w14:textId="2C3B8CBA" w:rsidR="001C5462" w:rsidRDefault="001C5462">
      <w:pPr>
        <w:rPr>
          <w:rFonts w:cs="Arial"/>
          <w:color w:val="auto"/>
        </w:rPr>
      </w:pPr>
    </w:p>
    <w:p w14:paraId="03927C8A" w14:textId="25C059C1" w:rsidR="001C5462" w:rsidRDefault="001C5462">
      <w:pPr>
        <w:rPr>
          <w:rFonts w:cs="Arial"/>
          <w:color w:val="auto"/>
        </w:rPr>
      </w:pPr>
    </w:p>
    <w:p w14:paraId="5F400D9D" w14:textId="37572B55" w:rsidR="001C5462" w:rsidRDefault="001C5462">
      <w:pPr>
        <w:rPr>
          <w:rFonts w:cs="Arial"/>
          <w:color w:val="auto"/>
        </w:rPr>
      </w:pPr>
    </w:p>
    <w:p w14:paraId="262639EA" w14:textId="23889E47" w:rsidR="001C5462" w:rsidRDefault="001C5462">
      <w:pPr>
        <w:rPr>
          <w:rFonts w:cs="Arial"/>
          <w:color w:val="auto"/>
        </w:rPr>
      </w:pPr>
    </w:p>
    <w:p w14:paraId="4B2CBC38" w14:textId="0E3D938D" w:rsidR="001C5462" w:rsidRDefault="001C5462">
      <w:pPr>
        <w:rPr>
          <w:rFonts w:cs="Arial"/>
          <w:color w:val="auto"/>
        </w:rPr>
      </w:pPr>
    </w:p>
    <w:p w14:paraId="6B524E94" w14:textId="4F9D731C" w:rsidR="001C5462" w:rsidRDefault="001C5462">
      <w:pPr>
        <w:rPr>
          <w:rFonts w:cs="Arial"/>
          <w:color w:val="auto"/>
        </w:rPr>
      </w:pPr>
    </w:p>
    <w:p w14:paraId="6655D003" w14:textId="0519F0F0" w:rsidR="001C5462" w:rsidRDefault="001C5462">
      <w:pPr>
        <w:rPr>
          <w:rFonts w:cs="Arial"/>
          <w:color w:val="auto"/>
        </w:rPr>
      </w:pPr>
    </w:p>
    <w:p w14:paraId="4F3CE59A" w14:textId="6E412A8C" w:rsidR="001C5462" w:rsidRDefault="001C5462">
      <w:pPr>
        <w:rPr>
          <w:rFonts w:cs="Arial"/>
          <w:color w:val="auto"/>
        </w:rPr>
      </w:pPr>
    </w:p>
    <w:p w14:paraId="550A2263" w14:textId="00D60E9A" w:rsidR="001C5462" w:rsidRDefault="001C5462">
      <w:pPr>
        <w:rPr>
          <w:rFonts w:cs="Arial"/>
          <w:color w:val="auto"/>
        </w:rPr>
      </w:pPr>
    </w:p>
    <w:p w14:paraId="2EFAED3B" w14:textId="72B8E194" w:rsidR="001C5462" w:rsidRDefault="001C5462">
      <w:pPr>
        <w:rPr>
          <w:rFonts w:cs="Arial"/>
          <w:color w:val="auto"/>
        </w:rPr>
      </w:pPr>
    </w:p>
    <w:p w14:paraId="39B2DDA2" w14:textId="1DED54DD" w:rsidR="00102CB6" w:rsidRDefault="00102CB6">
      <w:pPr>
        <w:rPr>
          <w:rFonts w:cs="Arial"/>
          <w:color w:val="auto"/>
        </w:rPr>
      </w:pPr>
    </w:p>
    <w:p w14:paraId="34DD60ED" w14:textId="2BDC383E" w:rsidR="00102CB6" w:rsidRDefault="00102CB6">
      <w:pPr>
        <w:rPr>
          <w:rFonts w:cs="Arial"/>
          <w:color w:val="auto"/>
        </w:rPr>
      </w:pPr>
    </w:p>
    <w:p w14:paraId="3A667BB0" w14:textId="08A3EEA0" w:rsidR="00102CB6" w:rsidRDefault="00102CB6">
      <w:pPr>
        <w:rPr>
          <w:rFonts w:cs="Arial"/>
          <w:color w:val="auto"/>
        </w:rPr>
      </w:pPr>
    </w:p>
    <w:p w14:paraId="140621E1" w14:textId="4A4E7F97" w:rsidR="00102CB6" w:rsidRDefault="00102CB6">
      <w:pPr>
        <w:rPr>
          <w:rFonts w:cs="Arial"/>
          <w:color w:val="auto"/>
        </w:rPr>
      </w:pPr>
    </w:p>
    <w:p w14:paraId="4081AF4E" w14:textId="4A2F08F2" w:rsidR="00102CB6" w:rsidRDefault="00102CB6">
      <w:pPr>
        <w:rPr>
          <w:rFonts w:cs="Arial"/>
          <w:color w:val="auto"/>
        </w:rPr>
      </w:pPr>
    </w:p>
    <w:p w14:paraId="0976FBF1" w14:textId="34ABFFBA" w:rsidR="00102CB6" w:rsidRDefault="00102CB6">
      <w:pPr>
        <w:rPr>
          <w:rFonts w:cs="Arial"/>
          <w:color w:val="auto"/>
        </w:rPr>
      </w:pPr>
    </w:p>
    <w:p w14:paraId="457E5EBB" w14:textId="1C0515CF" w:rsidR="00102CB6" w:rsidRDefault="00102CB6">
      <w:pPr>
        <w:rPr>
          <w:rFonts w:cs="Arial"/>
          <w:color w:val="auto"/>
        </w:rPr>
      </w:pPr>
    </w:p>
    <w:p w14:paraId="0A2272EE" w14:textId="669FC7EF" w:rsidR="00102CB6" w:rsidRDefault="00102CB6">
      <w:pPr>
        <w:rPr>
          <w:rFonts w:cs="Arial"/>
          <w:color w:val="auto"/>
        </w:rPr>
      </w:pPr>
    </w:p>
    <w:p w14:paraId="1AC613DD" w14:textId="3BF4B850" w:rsidR="00102CB6" w:rsidRDefault="00102CB6">
      <w:pPr>
        <w:rPr>
          <w:rFonts w:cs="Arial"/>
          <w:color w:val="auto"/>
        </w:rPr>
      </w:pPr>
    </w:p>
    <w:p w14:paraId="364FA34A" w14:textId="283819A3" w:rsidR="00102CB6" w:rsidRDefault="00102CB6">
      <w:pPr>
        <w:rPr>
          <w:rFonts w:cs="Arial"/>
          <w:color w:val="auto"/>
        </w:rPr>
      </w:pPr>
    </w:p>
    <w:p w14:paraId="0B3C4E32" w14:textId="23908EAF" w:rsidR="00102CB6" w:rsidRDefault="00102CB6">
      <w:pPr>
        <w:rPr>
          <w:rFonts w:cs="Arial"/>
          <w:color w:val="auto"/>
        </w:rPr>
      </w:pPr>
    </w:p>
    <w:p w14:paraId="7BBEA417" w14:textId="5BAA025C" w:rsidR="00102CB6" w:rsidRDefault="00102CB6">
      <w:pPr>
        <w:rPr>
          <w:rFonts w:cs="Arial"/>
          <w:color w:val="auto"/>
        </w:rPr>
      </w:pPr>
    </w:p>
    <w:p w14:paraId="242974F1" w14:textId="6577FC25" w:rsidR="00102CB6" w:rsidRDefault="00102CB6">
      <w:pPr>
        <w:rPr>
          <w:rFonts w:cs="Arial"/>
          <w:color w:val="auto"/>
        </w:rPr>
      </w:pPr>
    </w:p>
    <w:p w14:paraId="6C49E591" w14:textId="2CC2A0B8" w:rsidR="00102CB6" w:rsidRDefault="00102CB6">
      <w:pPr>
        <w:rPr>
          <w:rFonts w:cs="Arial"/>
          <w:color w:val="auto"/>
        </w:rPr>
      </w:pPr>
    </w:p>
    <w:p w14:paraId="419C85F1" w14:textId="54238D3D" w:rsidR="00093A84" w:rsidRDefault="00093A84">
      <w:pPr>
        <w:rPr>
          <w:rFonts w:cs="Arial"/>
          <w:color w:val="auto"/>
        </w:rPr>
      </w:pPr>
    </w:p>
    <w:p w14:paraId="72EE518F" w14:textId="3BBBCECA" w:rsidR="009A0092" w:rsidRDefault="009A0092">
      <w:pPr>
        <w:rPr>
          <w:rFonts w:cs="Arial"/>
          <w:color w:val="auto"/>
        </w:rPr>
      </w:pPr>
    </w:p>
    <w:p w14:paraId="2EF8EE54" w14:textId="1EDBE947" w:rsidR="009A0092" w:rsidRDefault="009A0092">
      <w:pPr>
        <w:rPr>
          <w:rFonts w:cs="Arial"/>
          <w:color w:val="auto"/>
        </w:rPr>
      </w:pPr>
    </w:p>
    <w:p w14:paraId="75911DAF" w14:textId="77777777" w:rsidR="009A0092" w:rsidRDefault="009A0092">
      <w:pPr>
        <w:rPr>
          <w:rFonts w:cs="Arial"/>
          <w:color w:val="auto"/>
        </w:rPr>
      </w:pPr>
    </w:p>
    <w:p w14:paraId="21E2751B" w14:textId="77777777" w:rsidR="001C5462" w:rsidRDefault="001C5462">
      <w:pPr>
        <w:rPr>
          <w:rFonts w:cs="Arial"/>
          <w:color w:val="auto"/>
        </w:rPr>
      </w:pPr>
    </w:p>
    <w:p w14:paraId="1F4CB352" w14:textId="77777777" w:rsidR="001C5462" w:rsidRDefault="001C5462">
      <w:pPr>
        <w:rPr>
          <w:rFonts w:cs="Arial"/>
          <w:color w:val="auto"/>
        </w:rPr>
      </w:pPr>
    </w:p>
    <w:p w14:paraId="29B46CB5" w14:textId="7C06056D" w:rsidR="001C5462" w:rsidRDefault="00295B02" w:rsidP="001C5462">
      <w:pPr>
        <w:rPr>
          <w:color w:val="auto"/>
          <w:u w:val="single"/>
        </w:rPr>
      </w:pPr>
      <w:r w:rsidRPr="00295B02">
        <w:rPr>
          <w:color w:val="auto"/>
          <w:u w:val="single"/>
        </w:rPr>
        <w:lastRenderedPageBreak/>
        <w:t xml:space="preserve">References </w:t>
      </w:r>
    </w:p>
    <w:p w14:paraId="0E0B1366" w14:textId="77777777" w:rsidR="00295B02" w:rsidRPr="00295B02" w:rsidRDefault="00295B02" w:rsidP="001C5462">
      <w:pPr>
        <w:rPr>
          <w:color w:val="auto"/>
          <w:u w:val="single"/>
        </w:rPr>
      </w:pPr>
    </w:p>
    <w:p w14:paraId="1799B9E1" w14:textId="77777777" w:rsidR="001C5462" w:rsidRDefault="001C5462" w:rsidP="001C5462">
      <w:pPr>
        <w:rPr>
          <w:color w:val="auto"/>
        </w:rPr>
      </w:pPr>
      <w:bookmarkStart w:id="0" w:name="_Hlk69741683"/>
      <w:r>
        <w:rPr>
          <w:color w:val="auto"/>
        </w:rPr>
        <w:t xml:space="preserve">ACAS (2015) ‘ACAS code of practice for disciplinary and grievance procedures’ ACAS [Online] Available at: </w:t>
      </w:r>
      <w:hyperlink r:id="rId5" w:history="1">
        <w:r w:rsidRPr="001D4F2B">
          <w:rPr>
            <w:rStyle w:val="Hyperlink"/>
          </w:rPr>
          <w:t>https://www.acas.org.uk/acas-code-of-practice-for-disciplinary-and-grievance-procedures/html</w:t>
        </w:r>
      </w:hyperlink>
      <w:r>
        <w:rPr>
          <w:color w:val="auto"/>
        </w:rPr>
        <w:t xml:space="preserve"> (Accessed on 14th April 2021)</w:t>
      </w:r>
    </w:p>
    <w:p w14:paraId="6E9087D1" w14:textId="77777777" w:rsidR="001C5462" w:rsidRDefault="001C5462" w:rsidP="001C5462">
      <w:pPr>
        <w:rPr>
          <w:color w:val="auto"/>
        </w:rPr>
      </w:pPr>
    </w:p>
    <w:p w14:paraId="42312141" w14:textId="7F7CB74A" w:rsidR="001C5462" w:rsidRDefault="001C5462" w:rsidP="001C5462">
      <w:pPr>
        <w:rPr>
          <w:color w:val="auto"/>
        </w:rPr>
      </w:pPr>
      <w:r>
        <w:rPr>
          <w:color w:val="auto"/>
        </w:rPr>
        <w:t xml:space="preserve">ACAS (2021) ‘Changing an employment contract’ ACAS [Online] Available at: </w:t>
      </w:r>
      <w:hyperlink r:id="rId6" w:history="1">
        <w:r>
          <w:rPr>
            <w:rStyle w:val="Hyperlink"/>
          </w:rPr>
          <w:t>Consult employees to agree changes: Changing an employment contract - Acas</w:t>
        </w:r>
      </w:hyperlink>
      <w:r>
        <w:t xml:space="preserve"> </w:t>
      </w:r>
      <w:r w:rsidRPr="00C27276">
        <w:rPr>
          <w:color w:val="auto"/>
        </w:rPr>
        <w:t>(Accessed on 4</w:t>
      </w:r>
      <w:r w:rsidRPr="00C27276">
        <w:rPr>
          <w:color w:val="auto"/>
          <w:vertAlign w:val="superscript"/>
        </w:rPr>
        <w:t>th</w:t>
      </w:r>
      <w:r w:rsidRPr="00C27276">
        <w:rPr>
          <w:color w:val="auto"/>
        </w:rPr>
        <w:t xml:space="preserve"> April 2021)</w:t>
      </w:r>
    </w:p>
    <w:p w14:paraId="6761838B" w14:textId="230067BB" w:rsidR="001C5462" w:rsidRDefault="001C5462" w:rsidP="001C5462">
      <w:pPr>
        <w:rPr>
          <w:color w:val="auto"/>
        </w:rPr>
      </w:pPr>
    </w:p>
    <w:p w14:paraId="25A55737" w14:textId="77777777" w:rsidR="001C5462" w:rsidRDefault="001C5462" w:rsidP="001C5462">
      <w:pPr>
        <w:rPr>
          <w:color w:val="auto"/>
        </w:rPr>
      </w:pPr>
      <w:r>
        <w:rPr>
          <w:color w:val="auto"/>
        </w:rPr>
        <w:t xml:space="preserve">ACAS (2021) ‘Contracts, Hours and Pay’ ACAS [Online] Available at: </w:t>
      </w:r>
      <w:hyperlink r:id="rId7" w:history="1">
        <w:r>
          <w:rPr>
            <w:rStyle w:val="Hyperlink"/>
          </w:rPr>
          <w:t>The 48-hour average weekly limit: The maximum hours an employee can work - Acas</w:t>
        </w:r>
      </w:hyperlink>
      <w:r>
        <w:t xml:space="preserve"> </w:t>
      </w:r>
      <w:r w:rsidRPr="00E017F7">
        <w:rPr>
          <w:color w:val="auto"/>
        </w:rPr>
        <w:t>(Accessed on 4</w:t>
      </w:r>
      <w:r w:rsidRPr="00E017F7">
        <w:rPr>
          <w:color w:val="auto"/>
          <w:vertAlign w:val="superscript"/>
        </w:rPr>
        <w:t>th</w:t>
      </w:r>
      <w:r w:rsidRPr="00E017F7">
        <w:rPr>
          <w:color w:val="auto"/>
        </w:rPr>
        <w:t xml:space="preserve"> April 2021)</w:t>
      </w:r>
    </w:p>
    <w:p w14:paraId="61982A8D" w14:textId="77777777" w:rsidR="001C5462" w:rsidRDefault="001C5462" w:rsidP="001C5462">
      <w:pPr>
        <w:rPr>
          <w:color w:val="auto"/>
        </w:rPr>
      </w:pPr>
    </w:p>
    <w:p w14:paraId="3D047B5C" w14:textId="67B0F2ED" w:rsidR="001C5462" w:rsidRDefault="001C5462" w:rsidP="001C5462">
      <w:pPr>
        <w:rPr>
          <w:color w:val="auto"/>
        </w:rPr>
      </w:pPr>
      <w:r>
        <w:rPr>
          <w:color w:val="auto"/>
        </w:rPr>
        <w:t xml:space="preserve">ACAS (2021) ‘Discrimination and the law’ ACAS [Online] Available at: </w:t>
      </w:r>
      <w:hyperlink r:id="rId8" w:history="1">
        <w:r>
          <w:rPr>
            <w:rStyle w:val="Hyperlink"/>
          </w:rPr>
          <w:t>Direct and indirect discrimination: Discrimination and the law - Acas</w:t>
        </w:r>
      </w:hyperlink>
      <w:r>
        <w:t xml:space="preserve"> </w:t>
      </w:r>
      <w:r w:rsidRPr="00820467">
        <w:rPr>
          <w:color w:val="auto"/>
        </w:rPr>
        <w:t>(</w:t>
      </w:r>
      <w:r>
        <w:rPr>
          <w:color w:val="auto"/>
        </w:rPr>
        <w:t>A</w:t>
      </w:r>
      <w:r w:rsidRPr="00820467">
        <w:rPr>
          <w:color w:val="auto"/>
        </w:rPr>
        <w:t>ccessed on 4</w:t>
      </w:r>
      <w:r w:rsidRPr="00820467">
        <w:rPr>
          <w:color w:val="auto"/>
          <w:vertAlign w:val="superscript"/>
        </w:rPr>
        <w:t>th</w:t>
      </w:r>
      <w:r w:rsidRPr="00820467">
        <w:rPr>
          <w:color w:val="auto"/>
        </w:rPr>
        <w:t xml:space="preserve"> April 2021)</w:t>
      </w:r>
    </w:p>
    <w:p w14:paraId="0A646769" w14:textId="48DFDD8B" w:rsidR="001C5462" w:rsidRDefault="001C5462" w:rsidP="001C5462">
      <w:pPr>
        <w:rPr>
          <w:color w:val="auto"/>
        </w:rPr>
      </w:pPr>
    </w:p>
    <w:p w14:paraId="5659B873" w14:textId="77777777" w:rsidR="001C5462" w:rsidRDefault="001C5462" w:rsidP="001C5462">
      <w:pPr>
        <w:rPr>
          <w:color w:val="auto"/>
        </w:rPr>
      </w:pPr>
      <w:r>
        <w:rPr>
          <w:color w:val="auto"/>
        </w:rPr>
        <w:t xml:space="preserve">ACAS (2021) ‘Dismissals’ ACAS [Online] Available at: </w:t>
      </w:r>
      <w:hyperlink r:id="rId9" w:history="1">
        <w:r w:rsidRPr="001D4F2B">
          <w:rPr>
            <w:rStyle w:val="Hyperlink"/>
          </w:rPr>
          <w:t>https://www.acas.org.uk/dismissals/unfair-dismissal</w:t>
        </w:r>
      </w:hyperlink>
      <w:r>
        <w:rPr>
          <w:color w:val="auto"/>
        </w:rPr>
        <w:t xml:space="preserve"> (Accessed on 12th April 2021) </w:t>
      </w:r>
    </w:p>
    <w:p w14:paraId="4F42F264" w14:textId="77777777" w:rsidR="001C5462" w:rsidRDefault="001C5462" w:rsidP="001C5462">
      <w:pPr>
        <w:rPr>
          <w:color w:val="auto"/>
        </w:rPr>
      </w:pPr>
    </w:p>
    <w:p w14:paraId="3E695C99" w14:textId="6192054F" w:rsidR="001C5462" w:rsidRDefault="001C5462" w:rsidP="001C5462">
      <w:pPr>
        <w:rPr>
          <w:color w:val="auto"/>
        </w:rPr>
      </w:pPr>
      <w:r>
        <w:rPr>
          <w:color w:val="auto"/>
        </w:rPr>
        <w:t xml:space="preserve">ACAS (2020) ‘Early Conciliation’ ACAS, [Online] available at: </w:t>
      </w:r>
      <w:hyperlink r:id="rId10" w:history="1">
        <w:r>
          <w:rPr>
            <w:rStyle w:val="Hyperlink"/>
          </w:rPr>
          <w:t>How early conciliation works: Early conciliation - Acas</w:t>
        </w:r>
      </w:hyperlink>
      <w:r>
        <w:t xml:space="preserve"> </w:t>
      </w:r>
      <w:r w:rsidRPr="001B432A">
        <w:rPr>
          <w:color w:val="auto"/>
        </w:rPr>
        <w:t xml:space="preserve">(Accessed on </w:t>
      </w:r>
      <w:r>
        <w:rPr>
          <w:color w:val="auto"/>
        </w:rPr>
        <w:t>4</w:t>
      </w:r>
      <w:r w:rsidRPr="001B432A">
        <w:rPr>
          <w:color w:val="auto"/>
          <w:vertAlign w:val="superscript"/>
        </w:rPr>
        <w:t>th</w:t>
      </w:r>
      <w:r w:rsidRPr="001B432A">
        <w:rPr>
          <w:color w:val="auto"/>
        </w:rPr>
        <w:t xml:space="preserve"> April 2021)</w:t>
      </w:r>
    </w:p>
    <w:p w14:paraId="39E280F1" w14:textId="41795DD7" w:rsidR="001C5462" w:rsidRDefault="001C5462" w:rsidP="001C5462">
      <w:pPr>
        <w:rPr>
          <w:color w:val="auto"/>
        </w:rPr>
      </w:pPr>
    </w:p>
    <w:p w14:paraId="0F2911AD" w14:textId="1794AA48" w:rsidR="001C5462" w:rsidRDefault="001C5462" w:rsidP="001C5462">
      <w:pPr>
        <w:rPr>
          <w:color w:val="auto"/>
        </w:rPr>
      </w:pPr>
      <w:r>
        <w:rPr>
          <w:color w:val="auto"/>
        </w:rPr>
        <w:t xml:space="preserve">ACAS (2021) ‘Employment Contracts’ ACAS [Online] Available at: </w:t>
      </w:r>
      <w:hyperlink r:id="rId11" w:history="1">
        <w:r>
          <w:rPr>
            <w:rStyle w:val="Hyperlink"/>
          </w:rPr>
          <w:t>What an employment contract is - Acas</w:t>
        </w:r>
      </w:hyperlink>
      <w:r>
        <w:t xml:space="preserve"> </w:t>
      </w:r>
      <w:r w:rsidRPr="00535337">
        <w:rPr>
          <w:color w:val="auto"/>
        </w:rPr>
        <w:t>(Accessed on 4</w:t>
      </w:r>
      <w:r w:rsidRPr="00535337">
        <w:rPr>
          <w:color w:val="auto"/>
          <w:vertAlign w:val="superscript"/>
        </w:rPr>
        <w:t>th</w:t>
      </w:r>
      <w:r w:rsidRPr="00535337">
        <w:rPr>
          <w:color w:val="auto"/>
        </w:rPr>
        <w:t xml:space="preserve"> April 2021)</w:t>
      </w:r>
    </w:p>
    <w:p w14:paraId="3D5543AE" w14:textId="0B12348B" w:rsidR="001C5462" w:rsidRDefault="001C5462" w:rsidP="001C5462">
      <w:pPr>
        <w:rPr>
          <w:color w:val="auto"/>
        </w:rPr>
      </w:pPr>
    </w:p>
    <w:p w14:paraId="5F2CF4B6" w14:textId="79FC0DE6" w:rsidR="001C5462" w:rsidRDefault="001C5462" w:rsidP="001C5462">
      <w:pPr>
        <w:rPr>
          <w:color w:val="auto"/>
        </w:rPr>
      </w:pPr>
      <w:r>
        <w:rPr>
          <w:color w:val="auto"/>
        </w:rPr>
        <w:t xml:space="preserve">ACAS (2021) ‘Taking Paternity Leave’ [Online] available at: </w:t>
      </w:r>
      <w:hyperlink r:id="rId12" w:history="1">
        <w:r>
          <w:rPr>
            <w:rStyle w:val="Hyperlink"/>
          </w:rPr>
          <w:t>Taking paternity leave: Your paternity leave, pay and other rights - Acas</w:t>
        </w:r>
      </w:hyperlink>
      <w:r>
        <w:t xml:space="preserve"> </w:t>
      </w:r>
      <w:r w:rsidRPr="0034145B">
        <w:rPr>
          <w:color w:val="auto"/>
        </w:rPr>
        <w:t>(Accessed on 4</w:t>
      </w:r>
      <w:r w:rsidRPr="0034145B">
        <w:rPr>
          <w:color w:val="auto"/>
          <w:vertAlign w:val="superscript"/>
        </w:rPr>
        <w:t>th</w:t>
      </w:r>
      <w:r w:rsidRPr="0034145B">
        <w:rPr>
          <w:color w:val="auto"/>
        </w:rPr>
        <w:t xml:space="preserve"> April 2021)</w:t>
      </w:r>
    </w:p>
    <w:p w14:paraId="55AE3567" w14:textId="17438C35" w:rsidR="001C5462" w:rsidRDefault="001C5462" w:rsidP="001C5462">
      <w:pPr>
        <w:rPr>
          <w:color w:val="auto"/>
        </w:rPr>
      </w:pPr>
    </w:p>
    <w:p w14:paraId="17DA0EE2" w14:textId="77A13FD7" w:rsidR="00295B02" w:rsidRDefault="00295B02" w:rsidP="00295B02">
      <w:pPr>
        <w:rPr>
          <w:color w:val="auto"/>
        </w:rPr>
      </w:pPr>
      <w:r>
        <w:rPr>
          <w:rFonts w:cs="Arial"/>
          <w:color w:val="auto"/>
        </w:rPr>
        <w:t xml:space="preserve">CIPD (2018) ‘A Guide to TUPE Transfers’ CIPD [Online] Available at: </w:t>
      </w:r>
      <w:hyperlink r:id="rId13" w:history="1">
        <w:r>
          <w:rPr>
            <w:rStyle w:val="Hyperlink"/>
          </w:rPr>
          <w:t>A guide to TUPE transfers | Guides | CIPD</w:t>
        </w:r>
      </w:hyperlink>
      <w:r>
        <w:t xml:space="preserve"> </w:t>
      </w:r>
      <w:r w:rsidRPr="00A564C1">
        <w:rPr>
          <w:color w:val="auto"/>
        </w:rPr>
        <w:t>(Accessed on 4</w:t>
      </w:r>
      <w:r w:rsidRPr="00A564C1">
        <w:rPr>
          <w:color w:val="auto"/>
          <w:vertAlign w:val="superscript"/>
        </w:rPr>
        <w:t>th</w:t>
      </w:r>
      <w:r w:rsidRPr="00A564C1">
        <w:rPr>
          <w:color w:val="auto"/>
        </w:rPr>
        <w:t xml:space="preserve"> April 2021)</w:t>
      </w:r>
    </w:p>
    <w:p w14:paraId="001B238E" w14:textId="2C2FA939" w:rsidR="00295B02" w:rsidRDefault="00295B02" w:rsidP="00295B02">
      <w:pPr>
        <w:rPr>
          <w:color w:val="auto"/>
        </w:rPr>
      </w:pPr>
    </w:p>
    <w:p w14:paraId="76632527" w14:textId="7D40DDDC" w:rsidR="00295B02" w:rsidRDefault="00295B02" w:rsidP="00295B02">
      <w:pPr>
        <w:rPr>
          <w:color w:val="auto"/>
        </w:rPr>
      </w:pPr>
      <w:r>
        <w:rPr>
          <w:color w:val="auto"/>
        </w:rPr>
        <w:t xml:space="preserve">CIPD (2020) ‘Contracts of Employment’ CIPD [Online] Available at: </w:t>
      </w:r>
      <w:hyperlink r:id="rId14" w:anchor="gref" w:history="1">
        <w:r w:rsidRPr="001D4F2B">
          <w:rPr>
            <w:rStyle w:val="Hyperlink"/>
          </w:rPr>
          <w:t>https://www.cipd.co.uk/knowledge/fundamentals/emp-law/terms-conditions/contracts-factsheet#gref</w:t>
        </w:r>
      </w:hyperlink>
      <w:r>
        <w:rPr>
          <w:color w:val="auto"/>
        </w:rPr>
        <w:t xml:space="preserve"> (Accessed on 14</w:t>
      </w:r>
      <w:r w:rsidRPr="005C7F6D">
        <w:rPr>
          <w:color w:val="auto"/>
          <w:vertAlign w:val="superscript"/>
        </w:rPr>
        <w:t>th</w:t>
      </w:r>
      <w:r>
        <w:rPr>
          <w:color w:val="auto"/>
        </w:rPr>
        <w:t xml:space="preserve"> April 2021)</w:t>
      </w:r>
    </w:p>
    <w:p w14:paraId="3C8C404D" w14:textId="6B8B9BB8" w:rsidR="00295B02" w:rsidRDefault="00295B02" w:rsidP="00295B02">
      <w:pPr>
        <w:rPr>
          <w:color w:val="auto"/>
        </w:rPr>
      </w:pPr>
    </w:p>
    <w:p w14:paraId="20E40F26" w14:textId="77777777" w:rsidR="00295B02" w:rsidRDefault="00295B02" w:rsidP="00295B02">
      <w:pPr>
        <w:rPr>
          <w:rFonts w:cs="Arial"/>
          <w:color w:val="auto"/>
        </w:rPr>
      </w:pPr>
      <w:r>
        <w:rPr>
          <w:rFonts w:cs="Arial"/>
          <w:color w:val="auto"/>
        </w:rPr>
        <w:t xml:space="preserve">CIPD (2020) ‘Dismissal Procedures’ CIPD [Online] Available at: </w:t>
      </w:r>
      <w:hyperlink r:id="rId15" w:anchor="gref" w:history="1">
        <w:r w:rsidRPr="001D4F2B">
          <w:rPr>
            <w:rStyle w:val="Hyperlink"/>
            <w:rFonts w:cs="Arial"/>
          </w:rPr>
          <w:t>https://www.cipd.co.uk/knowledge/fundamentals/emp-law/dismissal/factsheet#gref</w:t>
        </w:r>
      </w:hyperlink>
      <w:r>
        <w:rPr>
          <w:rFonts w:cs="Arial"/>
          <w:color w:val="auto"/>
        </w:rPr>
        <w:t xml:space="preserve"> (Accessed on 14</w:t>
      </w:r>
      <w:r w:rsidRPr="008708B1">
        <w:rPr>
          <w:rFonts w:cs="Arial"/>
          <w:color w:val="auto"/>
          <w:vertAlign w:val="superscript"/>
        </w:rPr>
        <w:t>th</w:t>
      </w:r>
      <w:r>
        <w:rPr>
          <w:rFonts w:cs="Arial"/>
          <w:color w:val="auto"/>
        </w:rPr>
        <w:t xml:space="preserve"> April 2021)</w:t>
      </w:r>
    </w:p>
    <w:p w14:paraId="65E1C233" w14:textId="77777777" w:rsidR="00295B02" w:rsidRPr="0058175A" w:rsidRDefault="00295B02" w:rsidP="00295B02">
      <w:pPr>
        <w:rPr>
          <w:color w:val="auto"/>
        </w:rPr>
      </w:pPr>
    </w:p>
    <w:p w14:paraId="1B5395DB" w14:textId="6B1B76DB" w:rsidR="001C5462" w:rsidRDefault="001C5462" w:rsidP="001C5462">
      <w:pPr>
        <w:rPr>
          <w:color w:val="auto"/>
        </w:rPr>
      </w:pPr>
      <w:r w:rsidRPr="000B503E">
        <w:rPr>
          <w:color w:val="auto"/>
        </w:rPr>
        <w:t xml:space="preserve">CIPD (2021) ‘Employment Law in the UK: The court system’, CIPD, [Online] Available at </w:t>
      </w:r>
      <w:r>
        <w:rPr>
          <w:color w:val="auto"/>
          <w:sz w:val="24"/>
          <w:szCs w:val="24"/>
        </w:rPr>
        <w:t>:</w:t>
      </w:r>
      <w:r w:rsidRPr="00137BDC">
        <w:t xml:space="preserve"> </w:t>
      </w:r>
      <w:hyperlink r:id="rId16" w:history="1">
        <w:r>
          <w:rPr>
            <w:rStyle w:val="Hyperlink"/>
          </w:rPr>
          <w:t>UK Court System &amp; Employment Law | Factsheets | CIPD</w:t>
        </w:r>
      </w:hyperlink>
      <w:r>
        <w:t xml:space="preserve"> </w:t>
      </w:r>
      <w:r w:rsidRPr="00137BDC">
        <w:rPr>
          <w:color w:val="auto"/>
        </w:rPr>
        <w:t xml:space="preserve">(Accessed on </w:t>
      </w:r>
      <w:r>
        <w:rPr>
          <w:color w:val="auto"/>
        </w:rPr>
        <w:t>4</w:t>
      </w:r>
      <w:r w:rsidRPr="00137BDC">
        <w:rPr>
          <w:color w:val="auto"/>
          <w:vertAlign w:val="superscript"/>
        </w:rPr>
        <w:t>th</w:t>
      </w:r>
      <w:r w:rsidRPr="00137BDC">
        <w:rPr>
          <w:color w:val="auto"/>
        </w:rPr>
        <w:t xml:space="preserve"> April 2021) </w:t>
      </w:r>
    </w:p>
    <w:p w14:paraId="17AB9F0E" w14:textId="2E019A5A" w:rsidR="00295B02" w:rsidRDefault="00295B02" w:rsidP="001C5462">
      <w:pPr>
        <w:rPr>
          <w:color w:val="auto"/>
        </w:rPr>
      </w:pPr>
    </w:p>
    <w:p w14:paraId="10172532" w14:textId="77777777" w:rsidR="00295B02" w:rsidRDefault="00295B02" w:rsidP="00295B02">
      <w:pPr>
        <w:rPr>
          <w:color w:val="auto"/>
        </w:rPr>
      </w:pPr>
      <w:r>
        <w:rPr>
          <w:rFonts w:cs="Arial"/>
          <w:color w:val="auto"/>
        </w:rPr>
        <w:t>CIPD (2020) ‘Redundancy: An introduction’ CIPD [Online] Available at:</w:t>
      </w:r>
      <w:r w:rsidRPr="00B01A64">
        <w:t xml:space="preserve"> </w:t>
      </w:r>
      <w:hyperlink r:id="rId17" w:history="1">
        <w:r>
          <w:rPr>
            <w:rStyle w:val="Hyperlink"/>
          </w:rPr>
          <w:t>Redundancy | Factsheets | CIPD</w:t>
        </w:r>
      </w:hyperlink>
      <w:r>
        <w:t xml:space="preserve"> </w:t>
      </w:r>
      <w:r w:rsidRPr="00B01A64">
        <w:rPr>
          <w:color w:val="auto"/>
        </w:rPr>
        <w:t>(Accessed on 4</w:t>
      </w:r>
      <w:r w:rsidRPr="00B01A64">
        <w:rPr>
          <w:color w:val="auto"/>
          <w:vertAlign w:val="superscript"/>
        </w:rPr>
        <w:t>th</w:t>
      </w:r>
      <w:r w:rsidRPr="00B01A64">
        <w:rPr>
          <w:color w:val="auto"/>
        </w:rPr>
        <w:t xml:space="preserve"> April 2021)</w:t>
      </w:r>
    </w:p>
    <w:p w14:paraId="0E8B465D" w14:textId="77777777" w:rsidR="00295B02" w:rsidRDefault="00295B02" w:rsidP="001C5462">
      <w:pPr>
        <w:rPr>
          <w:color w:val="auto"/>
        </w:rPr>
      </w:pPr>
    </w:p>
    <w:p w14:paraId="783563C4" w14:textId="1FF82A15" w:rsidR="00295B02" w:rsidRDefault="00295B02" w:rsidP="00295B02">
      <w:pPr>
        <w:rPr>
          <w:color w:val="auto"/>
        </w:rPr>
      </w:pPr>
      <w:r>
        <w:rPr>
          <w:color w:val="auto"/>
        </w:rPr>
        <w:t>CIPD (2021) ‘Working hours and time off work’ CIPD [Online] Available at:</w:t>
      </w:r>
      <w:r>
        <w:t xml:space="preserve"> </w:t>
      </w:r>
      <w:hyperlink r:id="rId18" w:history="1">
        <w:r>
          <w:rPr>
            <w:rStyle w:val="Hyperlink"/>
          </w:rPr>
          <w:t>Working Hours &amp; Time Off Work | Factsheets | CIPD</w:t>
        </w:r>
      </w:hyperlink>
      <w:r>
        <w:t xml:space="preserve"> </w:t>
      </w:r>
      <w:r w:rsidRPr="004C263E">
        <w:rPr>
          <w:color w:val="auto"/>
        </w:rPr>
        <w:t>(</w:t>
      </w:r>
      <w:r>
        <w:rPr>
          <w:color w:val="auto"/>
        </w:rPr>
        <w:t>A</w:t>
      </w:r>
      <w:r w:rsidRPr="004C263E">
        <w:rPr>
          <w:color w:val="auto"/>
        </w:rPr>
        <w:t>ccessed on 4</w:t>
      </w:r>
      <w:r w:rsidRPr="004C263E">
        <w:rPr>
          <w:color w:val="auto"/>
          <w:vertAlign w:val="superscript"/>
        </w:rPr>
        <w:t>th</w:t>
      </w:r>
      <w:r w:rsidRPr="004C263E">
        <w:rPr>
          <w:color w:val="auto"/>
        </w:rPr>
        <w:t xml:space="preserve"> April 2021)</w:t>
      </w:r>
    </w:p>
    <w:p w14:paraId="0E733B1A" w14:textId="75AF1541" w:rsidR="00295B02" w:rsidRDefault="00295B02" w:rsidP="00295B02">
      <w:pPr>
        <w:rPr>
          <w:color w:val="auto"/>
        </w:rPr>
      </w:pPr>
    </w:p>
    <w:p w14:paraId="2724A1B6" w14:textId="4FBF7A0D" w:rsidR="00295B02" w:rsidRDefault="00295B02" w:rsidP="00295B02">
      <w:pPr>
        <w:rPr>
          <w:rFonts w:cs="Arial"/>
          <w:color w:val="auto"/>
        </w:rPr>
      </w:pPr>
      <w:r>
        <w:rPr>
          <w:rFonts w:cs="Arial"/>
          <w:color w:val="auto"/>
        </w:rPr>
        <w:t>Daniels, K (2019) ‘Introduction to Employment Law’ P.10-34, Chapter 1, 5</w:t>
      </w:r>
      <w:r w:rsidRPr="006D0AEC">
        <w:rPr>
          <w:rFonts w:cs="Arial"/>
          <w:color w:val="auto"/>
          <w:vertAlign w:val="superscript"/>
        </w:rPr>
        <w:t>th</w:t>
      </w:r>
      <w:r>
        <w:rPr>
          <w:rFonts w:cs="Arial"/>
          <w:color w:val="auto"/>
        </w:rPr>
        <w:t xml:space="preserve"> edition, Kogan Page Limited, Great Britain. </w:t>
      </w:r>
    </w:p>
    <w:p w14:paraId="7FBA1FD5" w14:textId="226429CA" w:rsidR="00295B02" w:rsidRDefault="00295B02" w:rsidP="00295B02">
      <w:pPr>
        <w:rPr>
          <w:rFonts w:cs="Arial"/>
          <w:color w:val="auto"/>
        </w:rPr>
      </w:pPr>
    </w:p>
    <w:p w14:paraId="657487BA" w14:textId="77777777" w:rsidR="00295B02" w:rsidRDefault="00295B02" w:rsidP="00295B02">
      <w:pPr>
        <w:rPr>
          <w:rFonts w:cs="Arial"/>
          <w:color w:val="auto"/>
        </w:rPr>
      </w:pPr>
      <w:r>
        <w:rPr>
          <w:rFonts w:cs="Arial"/>
          <w:color w:val="auto"/>
        </w:rPr>
        <w:t>Daniels, K (2019) ‘Introduction to Employment Law’ P.41-46, Chapter 3, 5</w:t>
      </w:r>
      <w:r w:rsidRPr="006D0AEC">
        <w:rPr>
          <w:rFonts w:cs="Arial"/>
          <w:color w:val="auto"/>
          <w:vertAlign w:val="superscript"/>
        </w:rPr>
        <w:t>th</w:t>
      </w:r>
      <w:r>
        <w:rPr>
          <w:rFonts w:cs="Arial"/>
          <w:color w:val="auto"/>
        </w:rPr>
        <w:t xml:space="preserve"> edition, Kogan Page Limited, Great Britain. </w:t>
      </w:r>
    </w:p>
    <w:p w14:paraId="77A3E426" w14:textId="77777777" w:rsidR="00295B02" w:rsidRPr="002D7409" w:rsidRDefault="00295B02" w:rsidP="00295B02">
      <w:pPr>
        <w:rPr>
          <w:rFonts w:cs="Arial"/>
          <w:color w:val="auto"/>
        </w:rPr>
      </w:pPr>
    </w:p>
    <w:p w14:paraId="58CF6363" w14:textId="77777777" w:rsidR="00295B02" w:rsidRDefault="00295B02" w:rsidP="00295B02">
      <w:pPr>
        <w:rPr>
          <w:color w:val="auto"/>
        </w:rPr>
      </w:pPr>
    </w:p>
    <w:p w14:paraId="1CC3C314" w14:textId="1D1FA59E" w:rsidR="00295B02" w:rsidRDefault="00295B02" w:rsidP="00295B02">
      <w:pPr>
        <w:rPr>
          <w:color w:val="auto"/>
        </w:rPr>
      </w:pPr>
    </w:p>
    <w:p w14:paraId="0E337216" w14:textId="77777777" w:rsidR="00295B02" w:rsidRDefault="00295B02" w:rsidP="00295B02">
      <w:pPr>
        <w:rPr>
          <w:color w:val="auto"/>
        </w:rPr>
      </w:pPr>
    </w:p>
    <w:p w14:paraId="66AC7E4C" w14:textId="03890A04" w:rsidR="00295B02" w:rsidRDefault="00295B02" w:rsidP="00295B02">
      <w:pPr>
        <w:rPr>
          <w:rFonts w:cs="Arial"/>
          <w:color w:val="auto"/>
        </w:rPr>
      </w:pPr>
      <w:r>
        <w:rPr>
          <w:color w:val="auto"/>
        </w:rPr>
        <w:t xml:space="preserve">Daniels, K (2019) </w:t>
      </w:r>
      <w:r>
        <w:rPr>
          <w:rFonts w:cs="Arial"/>
          <w:color w:val="auto"/>
        </w:rPr>
        <w:t>‘Introduction to Employment Law’ P.95-106, Chapter 5, 5</w:t>
      </w:r>
      <w:r w:rsidRPr="006D0AEC">
        <w:rPr>
          <w:rFonts w:cs="Arial"/>
          <w:color w:val="auto"/>
          <w:vertAlign w:val="superscript"/>
        </w:rPr>
        <w:t>th</w:t>
      </w:r>
      <w:r>
        <w:rPr>
          <w:rFonts w:cs="Arial"/>
          <w:color w:val="auto"/>
        </w:rPr>
        <w:t xml:space="preserve"> edition, Kogan Page Limited, Great Britain.</w:t>
      </w:r>
    </w:p>
    <w:p w14:paraId="3B51E437" w14:textId="4FACE4A0" w:rsidR="00295B02" w:rsidRDefault="00295B02" w:rsidP="00295B02">
      <w:pPr>
        <w:rPr>
          <w:rFonts w:cs="Arial"/>
          <w:color w:val="auto"/>
        </w:rPr>
      </w:pPr>
    </w:p>
    <w:p w14:paraId="3FFA0941" w14:textId="77777777" w:rsidR="00295B02" w:rsidRDefault="00295B02" w:rsidP="00295B02">
      <w:pPr>
        <w:rPr>
          <w:rFonts w:cs="Arial"/>
          <w:color w:val="auto"/>
        </w:rPr>
      </w:pPr>
      <w:r>
        <w:rPr>
          <w:color w:val="auto"/>
        </w:rPr>
        <w:t xml:space="preserve">Daniels, K (2019) </w:t>
      </w:r>
      <w:r>
        <w:rPr>
          <w:rFonts w:cs="Arial"/>
          <w:color w:val="auto"/>
        </w:rPr>
        <w:t>‘Introduction to Employment Law’ P.162-167, Chapter 8, 5</w:t>
      </w:r>
      <w:r w:rsidRPr="006D0AEC">
        <w:rPr>
          <w:rFonts w:cs="Arial"/>
          <w:color w:val="auto"/>
          <w:vertAlign w:val="superscript"/>
        </w:rPr>
        <w:t>th</w:t>
      </w:r>
      <w:r>
        <w:rPr>
          <w:rFonts w:cs="Arial"/>
          <w:color w:val="auto"/>
        </w:rPr>
        <w:t xml:space="preserve"> edition, Kogan Page Limited, Great Britain.</w:t>
      </w:r>
    </w:p>
    <w:p w14:paraId="36CBB561" w14:textId="77777777" w:rsidR="00295B02" w:rsidRDefault="00295B02" w:rsidP="00295B02">
      <w:pPr>
        <w:rPr>
          <w:rFonts w:cs="Arial"/>
          <w:color w:val="auto"/>
        </w:rPr>
      </w:pPr>
    </w:p>
    <w:p w14:paraId="0CE40B17" w14:textId="77777777" w:rsidR="00295B02" w:rsidRDefault="00295B02" w:rsidP="00295B02">
      <w:pPr>
        <w:rPr>
          <w:rFonts w:cs="Arial"/>
          <w:color w:val="auto"/>
        </w:rPr>
      </w:pPr>
      <w:r>
        <w:rPr>
          <w:rFonts w:cs="Arial"/>
          <w:color w:val="auto"/>
        </w:rPr>
        <w:t>Daniels, K (2019) ‘Introduction to Employment Law’ P.188-194, Chapter 9, 5</w:t>
      </w:r>
      <w:r w:rsidRPr="006D0AEC">
        <w:rPr>
          <w:rFonts w:cs="Arial"/>
          <w:color w:val="auto"/>
          <w:vertAlign w:val="superscript"/>
        </w:rPr>
        <w:t>th</w:t>
      </w:r>
      <w:r>
        <w:rPr>
          <w:rFonts w:cs="Arial"/>
          <w:color w:val="auto"/>
        </w:rPr>
        <w:t xml:space="preserve"> edition, Kogan Page Limited, Great Britain. </w:t>
      </w:r>
    </w:p>
    <w:p w14:paraId="527C7D69" w14:textId="77777777" w:rsidR="00295B02" w:rsidRDefault="00295B02" w:rsidP="00295B02">
      <w:pPr>
        <w:rPr>
          <w:color w:val="auto"/>
        </w:rPr>
      </w:pPr>
    </w:p>
    <w:p w14:paraId="355CD862" w14:textId="56518FB8" w:rsidR="00295B02" w:rsidRDefault="00295B02" w:rsidP="00295B02">
      <w:pPr>
        <w:rPr>
          <w:rFonts w:cs="Arial"/>
          <w:color w:val="auto"/>
        </w:rPr>
      </w:pPr>
      <w:r>
        <w:rPr>
          <w:color w:val="auto"/>
        </w:rPr>
        <w:t xml:space="preserve">Daniels, K (2019) </w:t>
      </w:r>
      <w:r>
        <w:rPr>
          <w:rFonts w:cs="Arial"/>
          <w:color w:val="auto"/>
        </w:rPr>
        <w:t>‘Introduction to Employment Law’ P.246-253, Chapter 12, 5</w:t>
      </w:r>
      <w:r w:rsidRPr="006D0AEC">
        <w:rPr>
          <w:rFonts w:cs="Arial"/>
          <w:color w:val="auto"/>
          <w:vertAlign w:val="superscript"/>
        </w:rPr>
        <w:t>th</w:t>
      </w:r>
      <w:r>
        <w:rPr>
          <w:rFonts w:cs="Arial"/>
          <w:color w:val="auto"/>
        </w:rPr>
        <w:t xml:space="preserve"> edition, Kogan Page Limited, Great Britain.</w:t>
      </w:r>
    </w:p>
    <w:p w14:paraId="1203677A" w14:textId="27A580CC" w:rsidR="00295B02" w:rsidRDefault="00295B02" w:rsidP="00295B02">
      <w:pPr>
        <w:rPr>
          <w:rFonts w:cs="Arial"/>
          <w:color w:val="auto"/>
        </w:rPr>
      </w:pPr>
    </w:p>
    <w:p w14:paraId="3B3C671B" w14:textId="563EA066" w:rsidR="00295B02" w:rsidRDefault="00295B02" w:rsidP="00295B02">
      <w:pPr>
        <w:rPr>
          <w:rFonts w:cs="Arial"/>
          <w:color w:val="auto"/>
        </w:rPr>
      </w:pPr>
      <w:r>
        <w:rPr>
          <w:rFonts w:cs="Arial"/>
          <w:color w:val="auto"/>
        </w:rPr>
        <w:t xml:space="preserve">GOV UK (2021) ‘Employment Rights Act 1996’ Chapter 8 [Online] Available at: </w:t>
      </w:r>
      <w:hyperlink r:id="rId19" w:history="1">
        <w:r w:rsidRPr="001D4F2B">
          <w:rPr>
            <w:rStyle w:val="Hyperlink"/>
            <w:rFonts w:cs="Arial"/>
          </w:rPr>
          <w:t>https://www.legislation.gov.uk/ukpga/1996/18/part/X</w:t>
        </w:r>
      </w:hyperlink>
      <w:r>
        <w:rPr>
          <w:rFonts w:cs="Arial"/>
          <w:color w:val="auto"/>
        </w:rPr>
        <w:t xml:space="preserve"> (Accessed on 12th April 2021)</w:t>
      </w:r>
    </w:p>
    <w:p w14:paraId="3B9C47C4" w14:textId="7579F474" w:rsidR="00295B02" w:rsidRDefault="00295B02" w:rsidP="00295B02">
      <w:pPr>
        <w:rPr>
          <w:rFonts w:cs="Arial"/>
          <w:color w:val="auto"/>
        </w:rPr>
      </w:pPr>
    </w:p>
    <w:p w14:paraId="62A40691" w14:textId="6DF37FDF" w:rsidR="00295B02" w:rsidRDefault="00295B02" w:rsidP="00295B02">
      <w:pPr>
        <w:rPr>
          <w:color w:val="auto"/>
        </w:rPr>
      </w:pPr>
      <w:r>
        <w:rPr>
          <w:color w:val="auto"/>
        </w:rPr>
        <w:t xml:space="preserve">GOV UK (2010) ‘Equality Act 2010’ [Online] Available at: </w:t>
      </w:r>
      <w:hyperlink r:id="rId20" w:history="1">
        <w:r>
          <w:rPr>
            <w:rStyle w:val="Hyperlink"/>
          </w:rPr>
          <w:t>Equality Act 2010 (legislation.gov.uk)</w:t>
        </w:r>
      </w:hyperlink>
      <w:r>
        <w:t xml:space="preserve"> </w:t>
      </w:r>
      <w:r w:rsidRPr="00DD79AA">
        <w:rPr>
          <w:color w:val="auto"/>
        </w:rPr>
        <w:t>(Accessed on 4</w:t>
      </w:r>
      <w:r w:rsidRPr="00DD79AA">
        <w:rPr>
          <w:color w:val="auto"/>
          <w:vertAlign w:val="superscript"/>
        </w:rPr>
        <w:t>th</w:t>
      </w:r>
      <w:r w:rsidRPr="00DD79AA">
        <w:rPr>
          <w:color w:val="auto"/>
        </w:rPr>
        <w:t xml:space="preserve"> April 2021</w:t>
      </w:r>
      <w:r>
        <w:rPr>
          <w:color w:val="auto"/>
        </w:rPr>
        <w:t>)</w:t>
      </w:r>
    </w:p>
    <w:p w14:paraId="317D6DC5" w14:textId="33E8FDCD" w:rsidR="00884BE6" w:rsidRDefault="00884BE6" w:rsidP="00295B02">
      <w:pPr>
        <w:rPr>
          <w:color w:val="auto"/>
        </w:rPr>
      </w:pPr>
    </w:p>
    <w:p w14:paraId="0C5D7625" w14:textId="7A8C2A6D" w:rsidR="00884BE6" w:rsidRDefault="00884BE6" w:rsidP="00295B02">
      <w:pPr>
        <w:rPr>
          <w:color w:val="auto"/>
        </w:rPr>
      </w:pPr>
      <w:r>
        <w:rPr>
          <w:color w:val="auto"/>
        </w:rPr>
        <w:t>GOV UK ‘Human Rights Act 1988’ [Online] Available at:</w:t>
      </w:r>
      <w:r w:rsidRPr="00884BE6">
        <w:t xml:space="preserve"> </w:t>
      </w:r>
      <w:hyperlink r:id="rId21" w:history="1">
        <w:r>
          <w:rPr>
            <w:rStyle w:val="Hyperlink"/>
          </w:rPr>
          <w:t>Human Rights Act 1998 (legislation.gov.uk)</w:t>
        </w:r>
      </w:hyperlink>
      <w:r>
        <w:t xml:space="preserve"> </w:t>
      </w:r>
      <w:r w:rsidRPr="005A1A25">
        <w:rPr>
          <w:color w:val="auto"/>
        </w:rPr>
        <w:t>(Accessed on 16</w:t>
      </w:r>
      <w:r w:rsidRPr="005A1A25">
        <w:rPr>
          <w:color w:val="auto"/>
          <w:vertAlign w:val="superscript"/>
        </w:rPr>
        <w:t>th</w:t>
      </w:r>
      <w:r w:rsidRPr="005A1A25">
        <w:rPr>
          <w:color w:val="auto"/>
        </w:rPr>
        <w:t xml:space="preserve"> April 2021)</w:t>
      </w:r>
    </w:p>
    <w:p w14:paraId="3B598565" w14:textId="745F3EC4" w:rsidR="00724B4E" w:rsidRDefault="00724B4E" w:rsidP="00295B02">
      <w:pPr>
        <w:rPr>
          <w:color w:val="auto"/>
        </w:rPr>
      </w:pPr>
    </w:p>
    <w:p w14:paraId="04F7E58F" w14:textId="653CBE0B" w:rsidR="00724B4E" w:rsidRPr="00724B4E" w:rsidRDefault="00724B4E" w:rsidP="00295B02">
      <w:pPr>
        <w:rPr>
          <w:color w:val="auto"/>
        </w:rPr>
      </w:pPr>
      <w:r>
        <w:rPr>
          <w:color w:val="auto"/>
        </w:rPr>
        <w:t xml:space="preserve">GOV UK (2016) ‘UK Gender Pay Gap’ GOV UK [Online] Available at: </w:t>
      </w:r>
      <w:hyperlink r:id="rId22" w:history="1">
        <w:r>
          <w:rPr>
            <w:rStyle w:val="Hyperlink"/>
          </w:rPr>
          <w:t>UK Gender Pay Gap - GOV.UK (www.gov.uk)</w:t>
        </w:r>
      </w:hyperlink>
      <w:r>
        <w:t xml:space="preserve"> </w:t>
      </w:r>
      <w:r w:rsidRPr="00724B4E">
        <w:rPr>
          <w:color w:val="auto"/>
        </w:rPr>
        <w:t>(Accessed on 16</w:t>
      </w:r>
      <w:r w:rsidRPr="00724B4E">
        <w:rPr>
          <w:color w:val="auto"/>
          <w:vertAlign w:val="superscript"/>
        </w:rPr>
        <w:t>th</w:t>
      </w:r>
      <w:r w:rsidRPr="00724B4E">
        <w:rPr>
          <w:color w:val="auto"/>
        </w:rPr>
        <w:t xml:space="preserve"> April 2021)</w:t>
      </w:r>
    </w:p>
    <w:p w14:paraId="00C1ED32" w14:textId="2AB54193" w:rsidR="00295B02" w:rsidRDefault="00295B02" w:rsidP="00295B02">
      <w:pPr>
        <w:rPr>
          <w:color w:val="auto"/>
        </w:rPr>
      </w:pPr>
    </w:p>
    <w:p w14:paraId="7B5B3A5E" w14:textId="7310ED44" w:rsidR="00295B02" w:rsidRDefault="00295B02" w:rsidP="00295B02">
      <w:pPr>
        <w:rPr>
          <w:color w:val="auto"/>
        </w:rPr>
      </w:pPr>
      <w:r>
        <w:rPr>
          <w:color w:val="auto"/>
        </w:rPr>
        <w:t xml:space="preserve">GOV UK (2021) ‘Trade Union and Labour Relations (consolidation) Act 1992’ Chapter 2 [Online] Available at: </w:t>
      </w:r>
      <w:hyperlink r:id="rId23" w:history="1">
        <w:r>
          <w:rPr>
            <w:rStyle w:val="Hyperlink"/>
          </w:rPr>
          <w:t>Trade Union and Labour Relations (Consolidation) Act 1992 (legislation.gov.uk)</w:t>
        </w:r>
      </w:hyperlink>
      <w:r>
        <w:t xml:space="preserve"> </w:t>
      </w:r>
      <w:r w:rsidRPr="00092899">
        <w:rPr>
          <w:color w:val="auto"/>
        </w:rPr>
        <w:t>(Accessed on 4</w:t>
      </w:r>
      <w:r w:rsidRPr="00092899">
        <w:rPr>
          <w:color w:val="auto"/>
          <w:vertAlign w:val="superscript"/>
        </w:rPr>
        <w:t>th</w:t>
      </w:r>
      <w:r w:rsidRPr="00092899">
        <w:rPr>
          <w:color w:val="auto"/>
        </w:rPr>
        <w:t xml:space="preserve"> April 2021)</w:t>
      </w:r>
      <w:r>
        <w:rPr>
          <w:color w:val="auto"/>
        </w:rPr>
        <w:t xml:space="preserve"> </w:t>
      </w:r>
    </w:p>
    <w:p w14:paraId="6B6B4628" w14:textId="0D6F617F" w:rsidR="00295B02" w:rsidRDefault="00295B02" w:rsidP="00295B02">
      <w:pPr>
        <w:rPr>
          <w:color w:val="auto"/>
        </w:rPr>
      </w:pPr>
    </w:p>
    <w:p w14:paraId="549C8CC1" w14:textId="2399D70A" w:rsidR="00295B02" w:rsidRDefault="00295B02" w:rsidP="00295B02">
      <w:pPr>
        <w:rPr>
          <w:color w:val="auto"/>
        </w:rPr>
      </w:pPr>
      <w:r>
        <w:rPr>
          <w:color w:val="auto"/>
        </w:rPr>
        <w:t xml:space="preserve">GOV UK (2021) ‘Understanding your pay’ GOV UK [Online] available at: </w:t>
      </w:r>
      <w:hyperlink r:id="rId24" w:history="1">
        <w:r>
          <w:rPr>
            <w:rStyle w:val="Hyperlink"/>
          </w:rPr>
          <w:t>Understanding your pay: Deductions from your pay - GOV.UK (www.gov.uk)</w:t>
        </w:r>
      </w:hyperlink>
      <w:r>
        <w:t xml:space="preserve"> </w:t>
      </w:r>
      <w:r w:rsidRPr="006D09FC">
        <w:rPr>
          <w:color w:val="auto"/>
        </w:rPr>
        <w:t>(Accessed on 4</w:t>
      </w:r>
      <w:r w:rsidRPr="006D09FC">
        <w:rPr>
          <w:color w:val="auto"/>
          <w:vertAlign w:val="superscript"/>
        </w:rPr>
        <w:t>th</w:t>
      </w:r>
      <w:r w:rsidRPr="006D09FC">
        <w:rPr>
          <w:color w:val="auto"/>
        </w:rPr>
        <w:t xml:space="preserve"> April 2021)</w:t>
      </w:r>
    </w:p>
    <w:p w14:paraId="5FDB5274" w14:textId="7BF71257" w:rsidR="00295B02" w:rsidRDefault="00295B02" w:rsidP="00295B02">
      <w:pPr>
        <w:rPr>
          <w:color w:val="auto"/>
        </w:rPr>
      </w:pPr>
    </w:p>
    <w:p w14:paraId="7AD9CDFB" w14:textId="3139678B" w:rsidR="00295B02" w:rsidRDefault="00295B02" w:rsidP="00295B02">
      <w:pPr>
        <w:rPr>
          <w:color w:val="auto"/>
        </w:rPr>
      </w:pPr>
      <w:r w:rsidRPr="00031A1F">
        <w:rPr>
          <w:color w:val="auto"/>
        </w:rPr>
        <w:t>Law commission (2018) Employment Law Hearing Structures Summary of Consultation Paper</w:t>
      </w:r>
      <w:r>
        <w:rPr>
          <w:color w:val="auto"/>
        </w:rPr>
        <w:t xml:space="preserve">, paper 239, [Online] available at: </w:t>
      </w:r>
      <w:hyperlink r:id="rId25" w:history="1">
        <w:r>
          <w:rPr>
            <w:rStyle w:val="Hyperlink"/>
          </w:rPr>
          <w:t>Employment Hearing Structures (uwtsd.ac.uk)</w:t>
        </w:r>
      </w:hyperlink>
      <w:r>
        <w:t xml:space="preserve"> </w:t>
      </w:r>
      <w:r w:rsidRPr="00031A1F">
        <w:rPr>
          <w:color w:val="auto"/>
        </w:rPr>
        <w:t>(Accessed on 4</w:t>
      </w:r>
      <w:r w:rsidRPr="00031A1F">
        <w:rPr>
          <w:color w:val="auto"/>
          <w:vertAlign w:val="superscript"/>
        </w:rPr>
        <w:t>th</w:t>
      </w:r>
      <w:r w:rsidRPr="00031A1F">
        <w:rPr>
          <w:color w:val="auto"/>
        </w:rPr>
        <w:t xml:space="preserve"> April 2021)</w:t>
      </w:r>
    </w:p>
    <w:p w14:paraId="024601E3" w14:textId="52C31264" w:rsidR="00295B02" w:rsidRDefault="00295B02" w:rsidP="00295B02">
      <w:pPr>
        <w:rPr>
          <w:color w:val="auto"/>
        </w:rPr>
      </w:pPr>
    </w:p>
    <w:p w14:paraId="06EAF1D2" w14:textId="3AB9C057" w:rsidR="00295B02" w:rsidRDefault="00295B02" w:rsidP="00295B02">
      <w:pPr>
        <w:rPr>
          <w:color w:val="auto"/>
        </w:rPr>
      </w:pPr>
      <w:r>
        <w:rPr>
          <w:rFonts w:cs="Arial"/>
          <w:color w:val="auto"/>
        </w:rPr>
        <w:t xml:space="preserve">NHS (2018) ‘Maternity and Paternity: Benefits and Leave’ NHS [Online] available at: </w:t>
      </w:r>
      <w:hyperlink r:id="rId26" w:history="1">
        <w:r>
          <w:rPr>
            <w:rStyle w:val="Hyperlink"/>
          </w:rPr>
          <w:t>Maternity and paternity benefits and leave - NHS (www.nhs.uk)</w:t>
        </w:r>
      </w:hyperlink>
      <w:r>
        <w:t xml:space="preserve"> </w:t>
      </w:r>
      <w:r w:rsidRPr="00F44CFB">
        <w:rPr>
          <w:color w:val="auto"/>
        </w:rPr>
        <w:t>(Accessed on 4</w:t>
      </w:r>
      <w:r w:rsidRPr="00F44CFB">
        <w:rPr>
          <w:color w:val="auto"/>
          <w:vertAlign w:val="superscript"/>
        </w:rPr>
        <w:t>th</w:t>
      </w:r>
      <w:r w:rsidRPr="00F44CFB">
        <w:rPr>
          <w:color w:val="auto"/>
        </w:rPr>
        <w:t xml:space="preserve"> April 2021)</w:t>
      </w:r>
    </w:p>
    <w:p w14:paraId="03149F8D" w14:textId="4939A4D0" w:rsidR="00295B02" w:rsidRDefault="00295B02" w:rsidP="00295B02">
      <w:pPr>
        <w:rPr>
          <w:color w:val="auto"/>
        </w:rPr>
      </w:pPr>
    </w:p>
    <w:p w14:paraId="72A662D7" w14:textId="27C7C9FC" w:rsidR="00295B02" w:rsidRDefault="00295B02" w:rsidP="00295B02">
      <w:pPr>
        <w:rPr>
          <w:color w:val="auto"/>
        </w:rPr>
      </w:pPr>
      <w:r>
        <w:rPr>
          <w:color w:val="auto"/>
        </w:rPr>
        <w:t xml:space="preserve">Perry, M (2019) ‘Why employers need to understand associative discrimination’ Personnel Today, [Online] available at: </w:t>
      </w:r>
      <w:hyperlink r:id="rId27" w:history="1">
        <w:r>
          <w:rPr>
            <w:rStyle w:val="Hyperlink"/>
          </w:rPr>
          <w:t>Why employers need to understand associative discrimination - Personnel Today</w:t>
        </w:r>
      </w:hyperlink>
      <w:r>
        <w:t xml:space="preserve"> </w:t>
      </w:r>
      <w:r w:rsidRPr="00B45659">
        <w:rPr>
          <w:color w:val="auto"/>
        </w:rPr>
        <w:t>(Accessed on 4</w:t>
      </w:r>
      <w:r w:rsidRPr="00B45659">
        <w:rPr>
          <w:color w:val="auto"/>
          <w:vertAlign w:val="superscript"/>
        </w:rPr>
        <w:t>th</w:t>
      </w:r>
      <w:r w:rsidRPr="00B45659">
        <w:rPr>
          <w:color w:val="auto"/>
        </w:rPr>
        <w:t xml:space="preserve"> April 2021)</w:t>
      </w:r>
    </w:p>
    <w:p w14:paraId="369C97BF" w14:textId="30765401" w:rsidR="00295B02" w:rsidRDefault="00295B02" w:rsidP="00295B02">
      <w:pPr>
        <w:rPr>
          <w:color w:val="auto"/>
        </w:rPr>
      </w:pPr>
    </w:p>
    <w:p w14:paraId="6D5E42BD" w14:textId="40FE9DDA" w:rsidR="00295B02" w:rsidRDefault="00295B02" w:rsidP="00295B02">
      <w:pPr>
        <w:rPr>
          <w:color w:val="auto"/>
        </w:rPr>
      </w:pPr>
      <w:r>
        <w:rPr>
          <w:color w:val="auto"/>
        </w:rPr>
        <w:t xml:space="preserve">Russon, M (2021) ‘Uber drivers are workers not self-employed, Supreme court rules’ BBC [Online] Available at: </w:t>
      </w:r>
      <w:hyperlink r:id="rId28" w:history="1">
        <w:r>
          <w:rPr>
            <w:rStyle w:val="Hyperlink"/>
          </w:rPr>
          <w:t>Uber drivers are workers not self-employed, Supreme Court rules - BBC News</w:t>
        </w:r>
      </w:hyperlink>
      <w:r>
        <w:t xml:space="preserve"> </w:t>
      </w:r>
      <w:r w:rsidRPr="00830583">
        <w:rPr>
          <w:color w:val="auto"/>
        </w:rPr>
        <w:t>(Accessed on 4</w:t>
      </w:r>
      <w:r w:rsidRPr="00830583">
        <w:rPr>
          <w:color w:val="auto"/>
          <w:vertAlign w:val="superscript"/>
        </w:rPr>
        <w:t>th</w:t>
      </w:r>
      <w:r w:rsidRPr="00830583">
        <w:rPr>
          <w:color w:val="auto"/>
        </w:rPr>
        <w:t xml:space="preserve"> April 2021) </w:t>
      </w:r>
    </w:p>
    <w:p w14:paraId="2AB8D97B" w14:textId="77777777" w:rsidR="00295B02" w:rsidRDefault="00295B02" w:rsidP="00295B02">
      <w:pPr>
        <w:rPr>
          <w:color w:val="auto"/>
        </w:rPr>
      </w:pPr>
    </w:p>
    <w:p w14:paraId="107C1210" w14:textId="77777777" w:rsidR="00295B02" w:rsidRDefault="00295B02" w:rsidP="00295B02">
      <w:pPr>
        <w:rPr>
          <w:color w:val="auto"/>
        </w:rPr>
      </w:pPr>
      <w:r w:rsidRPr="0058175A">
        <w:rPr>
          <w:color w:val="auto"/>
        </w:rPr>
        <w:t>Street, T (2016) ‘</w:t>
      </w:r>
      <w:r>
        <w:rPr>
          <w:color w:val="auto"/>
        </w:rPr>
        <w:t>Gross Misconduct and the Burchell Test’ Tribunal Claim, Nationwide Employment Solicitors [Online] available at:</w:t>
      </w:r>
      <w:r w:rsidRPr="0058175A">
        <w:t xml:space="preserve"> </w:t>
      </w:r>
      <w:hyperlink r:id="rId29" w:history="1">
        <w:r w:rsidRPr="001D4F2B">
          <w:rPr>
            <w:rStyle w:val="Hyperlink"/>
          </w:rPr>
          <w:t>https://www.tribunalclaim.com/gross-misconduct-burchell-test/</w:t>
        </w:r>
      </w:hyperlink>
      <w:r>
        <w:rPr>
          <w:color w:val="auto"/>
        </w:rPr>
        <w:t xml:space="preserve"> (Accessed on 14</w:t>
      </w:r>
      <w:r w:rsidRPr="0058175A">
        <w:rPr>
          <w:color w:val="auto"/>
          <w:vertAlign w:val="superscript"/>
        </w:rPr>
        <w:t>th</w:t>
      </w:r>
      <w:r>
        <w:rPr>
          <w:color w:val="auto"/>
        </w:rPr>
        <w:t xml:space="preserve"> April 2021) </w:t>
      </w:r>
    </w:p>
    <w:p w14:paraId="4B3AD2E1" w14:textId="77777777" w:rsidR="00295B02" w:rsidRDefault="00295B02" w:rsidP="00295B02">
      <w:pPr>
        <w:rPr>
          <w:color w:val="auto"/>
        </w:rPr>
      </w:pPr>
    </w:p>
    <w:p w14:paraId="75891EDB" w14:textId="20BF1BD6" w:rsidR="00830583" w:rsidRDefault="00EB3FA9">
      <w:pPr>
        <w:rPr>
          <w:color w:val="auto"/>
        </w:rPr>
      </w:pPr>
      <w:r>
        <w:rPr>
          <w:color w:val="auto"/>
        </w:rPr>
        <w:t>Taylor, S and Wilkinson, K (2016) ‘Employment Law’ P.25-</w:t>
      </w:r>
      <w:r w:rsidR="00615EC8">
        <w:rPr>
          <w:color w:val="auto"/>
        </w:rPr>
        <w:t>32</w:t>
      </w:r>
      <w:r>
        <w:rPr>
          <w:color w:val="auto"/>
        </w:rPr>
        <w:t xml:space="preserve">, chapter 2, ‘Human Resource Management: People and Organisations’ Chartered Institute of Personnel and Development, London. </w:t>
      </w:r>
      <w:bookmarkEnd w:id="0"/>
    </w:p>
    <w:p w14:paraId="784D8BD2" w14:textId="77777777" w:rsidR="00295B02" w:rsidRDefault="00295B02" w:rsidP="00295B02">
      <w:pPr>
        <w:rPr>
          <w:color w:val="auto"/>
        </w:rPr>
      </w:pPr>
    </w:p>
    <w:p w14:paraId="6E46967D" w14:textId="77777777" w:rsidR="00295B02" w:rsidRPr="00295B02" w:rsidRDefault="00295B02" w:rsidP="00295B02">
      <w:pPr>
        <w:rPr>
          <w:color w:val="auto"/>
          <w:u w:val="single"/>
        </w:rPr>
      </w:pPr>
      <w:r w:rsidRPr="00295B02">
        <w:rPr>
          <w:color w:val="auto"/>
          <w:u w:val="single"/>
        </w:rPr>
        <w:t>Bibliography</w:t>
      </w:r>
    </w:p>
    <w:p w14:paraId="47019482" w14:textId="77777777" w:rsidR="00295B02" w:rsidRDefault="00295B02" w:rsidP="00295B02">
      <w:pPr>
        <w:rPr>
          <w:color w:val="auto"/>
        </w:rPr>
      </w:pPr>
    </w:p>
    <w:p w14:paraId="780275CD" w14:textId="250835B8" w:rsidR="00295B02" w:rsidRDefault="00295B02" w:rsidP="00295B02">
      <w:pPr>
        <w:rPr>
          <w:color w:val="auto"/>
        </w:rPr>
      </w:pPr>
      <w:r>
        <w:rPr>
          <w:color w:val="auto"/>
        </w:rPr>
        <w:t xml:space="preserve">ACAS (2015) ‘ACAS code of practice for disciplinary and grievance procedures’ ACAS [Online] Available at: </w:t>
      </w:r>
      <w:hyperlink r:id="rId30" w:history="1">
        <w:r w:rsidRPr="001D4F2B">
          <w:rPr>
            <w:rStyle w:val="Hyperlink"/>
          </w:rPr>
          <w:t>https://www.acas.org.uk/acas-code-of-practice-for-disciplinary-and-grievance-procedures/html</w:t>
        </w:r>
      </w:hyperlink>
      <w:r>
        <w:rPr>
          <w:color w:val="auto"/>
        </w:rPr>
        <w:t xml:space="preserve"> (Accessed on 14th April 2021)</w:t>
      </w:r>
    </w:p>
    <w:p w14:paraId="116E26B9" w14:textId="77777777" w:rsidR="00295B02" w:rsidRDefault="00295B02" w:rsidP="00295B02">
      <w:pPr>
        <w:rPr>
          <w:color w:val="auto"/>
        </w:rPr>
      </w:pPr>
    </w:p>
    <w:p w14:paraId="49D03463" w14:textId="77777777" w:rsidR="00295B02" w:rsidRDefault="00295B02" w:rsidP="00295B02">
      <w:pPr>
        <w:rPr>
          <w:color w:val="auto"/>
        </w:rPr>
      </w:pPr>
      <w:r>
        <w:rPr>
          <w:color w:val="auto"/>
        </w:rPr>
        <w:t xml:space="preserve">ACAS (2021) ‘Changing an employment contract’ ACAS [Online] Available at: </w:t>
      </w:r>
      <w:hyperlink r:id="rId31" w:history="1">
        <w:r>
          <w:rPr>
            <w:rStyle w:val="Hyperlink"/>
          </w:rPr>
          <w:t>Consult employees to agree changes: Changing an employment contract - Acas</w:t>
        </w:r>
      </w:hyperlink>
      <w:r>
        <w:t xml:space="preserve"> </w:t>
      </w:r>
      <w:r w:rsidRPr="00C27276">
        <w:rPr>
          <w:color w:val="auto"/>
        </w:rPr>
        <w:t>(Accessed on 4</w:t>
      </w:r>
      <w:r w:rsidRPr="00C27276">
        <w:rPr>
          <w:color w:val="auto"/>
          <w:vertAlign w:val="superscript"/>
        </w:rPr>
        <w:t>th</w:t>
      </w:r>
      <w:r w:rsidRPr="00C27276">
        <w:rPr>
          <w:color w:val="auto"/>
        </w:rPr>
        <w:t xml:space="preserve"> April 2021)</w:t>
      </w:r>
    </w:p>
    <w:p w14:paraId="5376A81C" w14:textId="77777777" w:rsidR="00295B02" w:rsidRDefault="00295B02" w:rsidP="00295B02">
      <w:pPr>
        <w:rPr>
          <w:color w:val="auto"/>
        </w:rPr>
      </w:pPr>
    </w:p>
    <w:p w14:paraId="0A1C1477" w14:textId="77777777" w:rsidR="00295B02" w:rsidRDefault="00295B02" w:rsidP="00295B02">
      <w:pPr>
        <w:rPr>
          <w:color w:val="auto"/>
        </w:rPr>
      </w:pPr>
      <w:r>
        <w:rPr>
          <w:color w:val="auto"/>
        </w:rPr>
        <w:t xml:space="preserve">ACAS (2021) ‘Contracts, Hours and Pay’ ACAS [Online] Available at: </w:t>
      </w:r>
      <w:hyperlink r:id="rId32" w:history="1">
        <w:r>
          <w:rPr>
            <w:rStyle w:val="Hyperlink"/>
          </w:rPr>
          <w:t>The 48-hour average weekly limit: The maximum hours an employee can work - Acas</w:t>
        </w:r>
      </w:hyperlink>
      <w:r>
        <w:t xml:space="preserve"> </w:t>
      </w:r>
      <w:r w:rsidRPr="00E017F7">
        <w:rPr>
          <w:color w:val="auto"/>
        </w:rPr>
        <w:t>(Accessed on 4</w:t>
      </w:r>
      <w:r w:rsidRPr="00E017F7">
        <w:rPr>
          <w:color w:val="auto"/>
          <w:vertAlign w:val="superscript"/>
        </w:rPr>
        <w:t>th</w:t>
      </w:r>
      <w:r w:rsidRPr="00E017F7">
        <w:rPr>
          <w:color w:val="auto"/>
        </w:rPr>
        <w:t xml:space="preserve"> April 2021)</w:t>
      </w:r>
    </w:p>
    <w:p w14:paraId="7249C7FC" w14:textId="77777777" w:rsidR="00295B02" w:rsidRDefault="00295B02" w:rsidP="00295B02">
      <w:pPr>
        <w:rPr>
          <w:color w:val="auto"/>
        </w:rPr>
      </w:pPr>
    </w:p>
    <w:p w14:paraId="1389F594" w14:textId="77777777" w:rsidR="00295B02" w:rsidRDefault="00295B02" w:rsidP="00295B02">
      <w:pPr>
        <w:rPr>
          <w:color w:val="auto"/>
        </w:rPr>
      </w:pPr>
      <w:r>
        <w:rPr>
          <w:color w:val="auto"/>
        </w:rPr>
        <w:t xml:space="preserve">ACAS (2021) ‘Discrimination and the law’ ACAS [Online] Available at: </w:t>
      </w:r>
      <w:hyperlink r:id="rId33" w:history="1">
        <w:r>
          <w:rPr>
            <w:rStyle w:val="Hyperlink"/>
          </w:rPr>
          <w:t>Direct and indirect discrimination: Discrimination and the law - Acas</w:t>
        </w:r>
      </w:hyperlink>
      <w:r>
        <w:t xml:space="preserve"> </w:t>
      </w:r>
      <w:r w:rsidRPr="00820467">
        <w:rPr>
          <w:color w:val="auto"/>
        </w:rPr>
        <w:t>(</w:t>
      </w:r>
      <w:r>
        <w:rPr>
          <w:color w:val="auto"/>
        </w:rPr>
        <w:t>A</w:t>
      </w:r>
      <w:r w:rsidRPr="00820467">
        <w:rPr>
          <w:color w:val="auto"/>
        </w:rPr>
        <w:t>ccessed on 4</w:t>
      </w:r>
      <w:r w:rsidRPr="00820467">
        <w:rPr>
          <w:color w:val="auto"/>
          <w:vertAlign w:val="superscript"/>
        </w:rPr>
        <w:t>th</w:t>
      </w:r>
      <w:r w:rsidRPr="00820467">
        <w:rPr>
          <w:color w:val="auto"/>
        </w:rPr>
        <w:t xml:space="preserve"> April 2021)</w:t>
      </w:r>
    </w:p>
    <w:p w14:paraId="2E9ED8F4" w14:textId="77777777" w:rsidR="00295B02" w:rsidRDefault="00295B02" w:rsidP="00295B02">
      <w:pPr>
        <w:rPr>
          <w:color w:val="auto"/>
        </w:rPr>
      </w:pPr>
    </w:p>
    <w:p w14:paraId="1EF5C63C" w14:textId="77777777" w:rsidR="00295B02" w:rsidRDefault="00295B02" w:rsidP="00295B02">
      <w:pPr>
        <w:rPr>
          <w:color w:val="auto"/>
        </w:rPr>
      </w:pPr>
      <w:r>
        <w:rPr>
          <w:color w:val="auto"/>
        </w:rPr>
        <w:t xml:space="preserve">ACAS (2021) ‘Dismissals’ ACAS [Online] Available at: </w:t>
      </w:r>
      <w:hyperlink r:id="rId34" w:history="1">
        <w:r w:rsidRPr="001D4F2B">
          <w:rPr>
            <w:rStyle w:val="Hyperlink"/>
          </w:rPr>
          <w:t>https://www.acas.org.uk/dismissals/unfair-dismissal</w:t>
        </w:r>
      </w:hyperlink>
      <w:r>
        <w:rPr>
          <w:color w:val="auto"/>
        </w:rPr>
        <w:t xml:space="preserve"> (Accessed on 12th April 2021) </w:t>
      </w:r>
    </w:p>
    <w:p w14:paraId="55C2AB1C" w14:textId="77777777" w:rsidR="00295B02" w:rsidRDefault="00295B02" w:rsidP="00295B02">
      <w:pPr>
        <w:rPr>
          <w:color w:val="auto"/>
        </w:rPr>
      </w:pPr>
    </w:p>
    <w:p w14:paraId="282B3DAB" w14:textId="77777777" w:rsidR="00295B02" w:rsidRDefault="00295B02" w:rsidP="00295B02">
      <w:pPr>
        <w:rPr>
          <w:color w:val="auto"/>
        </w:rPr>
      </w:pPr>
      <w:r>
        <w:rPr>
          <w:color w:val="auto"/>
        </w:rPr>
        <w:t xml:space="preserve">ACAS (2020) ‘Early Conciliation’ ACAS, [Online] available at: </w:t>
      </w:r>
      <w:hyperlink r:id="rId35" w:history="1">
        <w:r>
          <w:rPr>
            <w:rStyle w:val="Hyperlink"/>
          </w:rPr>
          <w:t>How early conciliation works: Early conciliation - Acas</w:t>
        </w:r>
      </w:hyperlink>
      <w:r>
        <w:t xml:space="preserve"> </w:t>
      </w:r>
      <w:r w:rsidRPr="001B432A">
        <w:rPr>
          <w:color w:val="auto"/>
        </w:rPr>
        <w:t xml:space="preserve">(Accessed on </w:t>
      </w:r>
      <w:r>
        <w:rPr>
          <w:color w:val="auto"/>
        </w:rPr>
        <w:t>4</w:t>
      </w:r>
      <w:r w:rsidRPr="001B432A">
        <w:rPr>
          <w:color w:val="auto"/>
          <w:vertAlign w:val="superscript"/>
        </w:rPr>
        <w:t>th</w:t>
      </w:r>
      <w:r w:rsidRPr="001B432A">
        <w:rPr>
          <w:color w:val="auto"/>
        </w:rPr>
        <w:t xml:space="preserve"> April 2021)</w:t>
      </w:r>
    </w:p>
    <w:p w14:paraId="1DE9A390" w14:textId="77777777" w:rsidR="00295B02" w:rsidRDefault="00295B02" w:rsidP="00295B02">
      <w:pPr>
        <w:rPr>
          <w:color w:val="auto"/>
        </w:rPr>
      </w:pPr>
    </w:p>
    <w:p w14:paraId="27348802" w14:textId="77777777" w:rsidR="00295B02" w:rsidRDefault="00295B02" w:rsidP="00295B02">
      <w:pPr>
        <w:rPr>
          <w:color w:val="auto"/>
        </w:rPr>
      </w:pPr>
      <w:r>
        <w:rPr>
          <w:color w:val="auto"/>
        </w:rPr>
        <w:t xml:space="preserve">ACAS (2021) ‘Employment Contracts’ ACAS [Online] Available at: </w:t>
      </w:r>
      <w:hyperlink r:id="rId36" w:history="1">
        <w:r>
          <w:rPr>
            <w:rStyle w:val="Hyperlink"/>
          </w:rPr>
          <w:t>What an employment contract is - Acas</w:t>
        </w:r>
      </w:hyperlink>
      <w:r>
        <w:t xml:space="preserve"> </w:t>
      </w:r>
      <w:r w:rsidRPr="00535337">
        <w:rPr>
          <w:color w:val="auto"/>
        </w:rPr>
        <w:t>(Accessed on 4</w:t>
      </w:r>
      <w:r w:rsidRPr="00535337">
        <w:rPr>
          <w:color w:val="auto"/>
          <w:vertAlign w:val="superscript"/>
        </w:rPr>
        <w:t>th</w:t>
      </w:r>
      <w:r w:rsidRPr="00535337">
        <w:rPr>
          <w:color w:val="auto"/>
        </w:rPr>
        <w:t xml:space="preserve"> April 2021)</w:t>
      </w:r>
    </w:p>
    <w:p w14:paraId="25526D26" w14:textId="77777777" w:rsidR="00295B02" w:rsidRDefault="00295B02" w:rsidP="00295B02">
      <w:pPr>
        <w:rPr>
          <w:color w:val="auto"/>
        </w:rPr>
      </w:pPr>
    </w:p>
    <w:p w14:paraId="66321C06" w14:textId="4A3F4496" w:rsidR="00295B02" w:rsidRDefault="00295B02" w:rsidP="00295B02">
      <w:pPr>
        <w:rPr>
          <w:color w:val="auto"/>
        </w:rPr>
      </w:pPr>
      <w:r>
        <w:rPr>
          <w:color w:val="auto"/>
        </w:rPr>
        <w:t xml:space="preserve">ACAS (2021) ‘Taking Paternity Leave’ [Online] available at: </w:t>
      </w:r>
      <w:hyperlink r:id="rId37" w:history="1">
        <w:r>
          <w:rPr>
            <w:rStyle w:val="Hyperlink"/>
          </w:rPr>
          <w:t>Taking paternity leave: Your paternity leave, pay and other rights - Acas</w:t>
        </w:r>
      </w:hyperlink>
      <w:r>
        <w:t xml:space="preserve"> </w:t>
      </w:r>
      <w:r w:rsidRPr="0034145B">
        <w:rPr>
          <w:color w:val="auto"/>
        </w:rPr>
        <w:t>(Accessed on 4</w:t>
      </w:r>
      <w:r w:rsidRPr="0034145B">
        <w:rPr>
          <w:color w:val="auto"/>
          <w:vertAlign w:val="superscript"/>
        </w:rPr>
        <w:t>th</w:t>
      </w:r>
      <w:r w:rsidRPr="0034145B">
        <w:rPr>
          <w:color w:val="auto"/>
        </w:rPr>
        <w:t xml:space="preserve"> April 2021)</w:t>
      </w:r>
    </w:p>
    <w:p w14:paraId="78371358" w14:textId="73EE0389" w:rsidR="00DB09C2" w:rsidRDefault="00DB09C2" w:rsidP="00295B02">
      <w:pPr>
        <w:rPr>
          <w:color w:val="auto"/>
        </w:rPr>
      </w:pPr>
    </w:p>
    <w:p w14:paraId="6CA6BB03" w14:textId="77777777" w:rsidR="00DB09C2" w:rsidRDefault="00DB09C2" w:rsidP="00DB09C2">
      <w:pPr>
        <w:rPr>
          <w:color w:val="auto"/>
        </w:rPr>
      </w:pPr>
      <w:r>
        <w:rPr>
          <w:color w:val="auto"/>
        </w:rPr>
        <w:t xml:space="preserve">Barrett, D (2021) ‘Tribunal Procedure’ Daniel Barret Employment Law Barrister [Online] available at: </w:t>
      </w:r>
      <w:hyperlink r:id="rId38" w:history="1">
        <w:r w:rsidRPr="001D4F2B">
          <w:rPr>
            <w:rStyle w:val="Hyperlink"/>
          </w:rPr>
          <w:t>https://www.danielbarnett.co.uk/site/blog/employment-blog/tribunal-procedure-120421</w:t>
        </w:r>
      </w:hyperlink>
      <w:r>
        <w:rPr>
          <w:color w:val="auto"/>
        </w:rPr>
        <w:t xml:space="preserve"> (Accessed on 13rth April 2021)</w:t>
      </w:r>
    </w:p>
    <w:p w14:paraId="0D0AA69E" w14:textId="77777777" w:rsidR="00DB09C2" w:rsidRDefault="00DB09C2" w:rsidP="00295B02">
      <w:pPr>
        <w:rPr>
          <w:color w:val="auto"/>
        </w:rPr>
      </w:pPr>
    </w:p>
    <w:p w14:paraId="1EBA9200" w14:textId="77777777" w:rsidR="00295B02" w:rsidRDefault="00295B02" w:rsidP="00295B02">
      <w:pPr>
        <w:rPr>
          <w:color w:val="auto"/>
        </w:rPr>
      </w:pPr>
      <w:r>
        <w:rPr>
          <w:rFonts w:cs="Arial"/>
          <w:color w:val="auto"/>
        </w:rPr>
        <w:t xml:space="preserve">CIPD (2018) ‘A Guide to TUPE Transfers’ CIPD [Online] Available at: </w:t>
      </w:r>
      <w:hyperlink r:id="rId39" w:history="1">
        <w:r>
          <w:rPr>
            <w:rStyle w:val="Hyperlink"/>
          </w:rPr>
          <w:t>A guide to TUPE transfers | Guides | CIPD</w:t>
        </w:r>
      </w:hyperlink>
      <w:r>
        <w:t xml:space="preserve"> </w:t>
      </w:r>
      <w:r w:rsidRPr="00A564C1">
        <w:rPr>
          <w:color w:val="auto"/>
        </w:rPr>
        <w:t>(Accessed on 4</w:t>
      </w:r>
      <w:r w:rsidRPr="00A564C1">
        <w:rPr>
          <w:color w:val="auto"/>
          <w:vertAlign w:val="superscript"/>
        </w:rPr>
        <w:t>th</w:t>
      </w:r>
      <w:r w:rsidRPr="00A564C1">
        <w:rPr>
          <w:color w:val="auto"/>
        </w:rPr>
        <w:t xml:space="preserve"> April 2021)</w:t>
      </w:r>
    </w:p>
    <w:p w14:paraId="767FD380" w14:textId="77777777" w:rsidR="00295B02" w:rsidRDefault="00295B02" w:rsidP="00295B02">
      <w:pPr>
        <w:rPr>
          <w:color w:val="auto"/>
        </w:rPr>
      </w:pPr>
    </w:p>
    <w:p w14:paraId="20E1DCF9" w14:textId="77777777" w:rsidR="00295B02" w:rsidRDefault="00295B02" w:rsidP="00295B02">
      <w:pPr>
        <w:rPr>
          <w:color w:val="auto"/>
        </w:rPr>
      </w:pPr>
      <w:r>
        <w:rPr>
          <w:color w:val="auto"/>
        </w:rPr>
        <w:t xml:space="preserve">CIPD (2020) ‘Contracts of Employment’ CIPD [Online] Available at: </w:t>
      </w:r>
      <w:hyperlink r:id="rId40" w:anchor="gref" w:history="1">
        <w:r w:rsidRPr="001D4F2B">
          <w:rPr>
            <w:rStyle w:val="Hyperlink"/>
          </w:rPr>
          <w:t>https://www.cipd.co.uk/knowledge/fundamentals/emp-law/terms-conditions/contracts-factsheet#gref</w:t>
        </w:r>
      </w:hyperlink>
      <w:r>
        <w:rPr>
          <w:color w:val="auto"/>
        </w:rPr>
        <w:t xml:space="preserve"> (Accessed on 14</w:t>
      </w:r>
      <w:r w:rsidRPr="005C7F6D">
        <w:rPr>
          <w:color w:val="auto"/>
          <w:vertAlign w:val="superscript"/>
        </w:rPr>
        <w:t>th</w:t>
      </w:r>
      <w:r>
        <w:rPr>
          <w:color w:val="auto"/>
        </w:rPr>
        <w:t xml:space="preserve"> April 2021)</w:t>
      </w:r>
    </w:p>
    <w:p w14:paraId="13E6FF85" w14:textId="77777777" w:rsidR="00295B02" w:rsidRDefault="00295B02" w:rsidP="00295B02">
      <w:pPr>
        <w:rPr>
          <w:color w:val="auto"/>
        </w:rPr>
      </w:pPr>
    </w:p>
    <w:p w14:paraId="1FE55A99" w14:textId="77777777" w:rsidR="00295B02" w:rsidRDefault="00295B02" w:rsidP="00295B02">
      <w:pPr>
        <w:rPr>
          <w:rFonts w:cs="Arial"/>
          <w:color w:val="auto"/>
        </w:rPr>
      </w:pPr>
      <w:r>
        <w:rPr>
          <w:rFonts w:cs="Arial"/>
          <w:color w:val="auto"/>
        </w:rPr>
        <w:t xml:space="preserve">CIPD (2020) ‘Dismissal Procedures’ CIPD [Online] Available at: </w:t>
      </w:r>
      <w:hyperlink r:id="rId41" w:anchor="gref" w:history="1">
        <w:r w:rsidRPr="001D4F2B">
          <w:rPr>
            <w:rStyle w:val="Hyperlink"/>
            <w:rFonts w:cs="Arial"/>
          </w:rPr>
          <w:t>https://www.cipd.co.uk/knowledge/fundamentals/emp-law/dismissal/factsheet#gref</w:t>
        </w:r>
      </w:hyperlink>
      <w:r>
        <w:rPr>
          <w:rFonts w:cs="Arial"/>
          <w:color w:val="auto"/>
        </w:rPr>
        <w:t xml:space="preserve"> (Accessed on 14</w:t>
      </w:r>
      <w:r w:rsidRPr="008708B1">
        <w:rPr>
          <w:rFonts w:cs="Arial"/>
          <w:color w:val="auto"/>
          <w:vertAlign w:val="superscript"/>
        </w:rPr>
        <w:t>th</w:t>
      </w:r>
      <w:r>
        <w:rPr>
          <w:rFonts w:cs="Arial"/>
          <w:color w:val="auto"/>
        </w:rPr>
        <w:t xml:space="preserve"> April 2021)</w:t>
      </w:r>
    </w:p>
    <w:p w14:paraId="3CD16BC9" w14:textId="77777777" w:rsidR="00295B02" w:rsidRPr="0058175A" w:rsidRDefault="00295B02" w:rsidP="00295B02">
      <w:pPr>
        <w:rPr>
          <w:color w:val="auto"/>
        </w:rPr>
      </w:pPr>
    </w:p>
    <w:p w14:paraId="4920CD71" w14:textId="77777777" w:rsidR="00295B02" w:rsidRDefault="00295B02" w:rsidP="00295B02">
      <w:pPr>
        <w:rPr>
          <w:color w:val="auto"/>
        </w:rPr>
      </w:pPr>
      <w:r w:rsidRPr="000B503E">
        <w:rPr>
          <w:color w:val="auto"/>
        </w:rPr>
        <w:t xml:space="preserve">CIPD (2021) ‘Employment Law in the UK: The court system’, CIPD, [Online] Available at </w:t>
      </w:r>
      <w:r>
        <w:rPr>
          <w:color w:val="auto"/>
          <w:sz w:val="24"/>
          <w:szCs w:val="24"/>
        </w:rPr>
        <w:t>:</w:t>
      </w:r>
      <w:r w:rsidRPr="00137BDC">
        <w:t xml:space="preserve"> </w:t>
      </w:r>
      <w:hyperlink r:id="rId42" w:history="1">
        <w:r>
          <w:rPr>
            <w:rStyle w:val="Hyperlink"/>
          </w:rPr>
          <w:t>UK Court System &amp; Employment Law | Factsheets | CIPD</w:t>
        </w:r>
      </w:hyperlink>
      <w:r>
        <w:t xml:space="preserve"> </w:t>
      </w:r>
      <w:r w:rsidRPr="00137BDC">
        <w:rPr>
          <w:color w:val="auto"/>
        </w:rPr>
        <w:t xml:space="preserve">(Accessed on </w:t>
      </w:r>
      <w:r>
        <w:rPr>
          <w:color w:val="auto"/>
        </w:rPr>
        <w:t>4</w:t>
      </w:r>
      <w:r w:rsidRPr="00137BDC">
        <w:rPr>
          <w:color w:val="auto"/>
          <w:vertAlign w:val="superscript"/>
        </w:rPr>
        <w:t>th</w:t>
      </w:r>
      <w:r w:rsidRPr="00137BDC">
        <w:rPr>
          <w:color w:val="auto"/>
        </w:rPr>
        <w:t xml:space="preserve"> April 2021) </w:t>
      </w:r>
    </w:p>
    <w:p w14:paraId="0A765693" w14:textId="77777777" w:rsidR="00295B02" w:rsidRDefault="00295B02" w:rsidP="00295B02">
      <w:pPr>
        <w:rPr>
          <w:color w:val="auto"/>
        </w:rPr>
      </w:pPr>
    </w:p>
    <w:p w14:paraId="78E3F5CE" w14:textId="77777777" w:rsidR="00295B02" w:rsidRDefault="00295B02" w:rsidP="00295B02">
      <w:pPr>
        <w:rPr>
          <w:color w:val="auto"/>
        </w:rPr>
      </w:pPr>
      <w:r>
        <w:rPr>
          <w:rFonts w:cs="Arial"/>
          <w:color w:val="auto"/>
        </w:rPr>
        <w:t>CIPD (2020) ‘Redundancy: An introduction’ CIPD [Online] Available at:</w:t>
      </w:r>
      <w:r w:rsidRPr="00B01A64">
        <w:t xml:space="preserve"> </w:t>
      </w:r>
      <w:hyperlink r:id="rId43" w:history="1">
        <w:r>
          <w:rPr>
            <w:rStyle w:val="Hyperlink"/>
          </w:rPr>
          <w:t>Redundancy | Factsheets | CIPD</w:t>
        </w:r>
      </w:hyperlink>
      <w:r>
        <w:t xml:space="preserve"> </w:t>
      </w:r>
      <w:r w:rsidRPr="00B01A64">
        <w:rPr>
          <w:color w:val="auto"/>
        </w:rPr>
        <w:t>(Accessed on 4</w:t>
      </w:r>
      <w:r w:rsidRPr="00B01A64">
        <w:rPr>
          <w:color w:val="auto"/>
          <w:vertAlign w:val="superscript"/>
        </w:rPr>
        <w:t>th</w:t>
      </w:r>
      <w:r w:rsidRPr="00B01A64">
        <w:rPr>
          <w:color w:val="auto"/>
        </w:rPr>
        <w:t xml:space="preserve"> April 2021)</w:t>
      </w:r>
    </w:p>
    <w:p w14:paraId="5C59C6B6" w14:textId="77777777" w:rsidR="00295B02" w:rsidRDefault="00295B02" w:rsidP="00295B02">
      <w:pPr>
        <w:rPr>
          <w:color w:val="auto"/>
        </w:rPr>
      </w:pPr>
    </w:p>
    <w:p w14:paraId="7B291D17" w14:textId="77777777" w:rsidR="00295B02" w:rsidRDefault="00295B02" w:rsidP="00295B02">
      <w:pPr>
        <w:rPr>
          <w:color w:val="auto"/>
        </w:rPr>
      </w:pPr>
      <w:r>
        <w:rPr>
          <w:color w:val="auto"/>
        </w:rPr>
        <w:t>CIPD (2021) ‘Working hours and time off work’ CIPD [Online] Available at:</w:t>
      </w:r>
      <w:r>
        <w:t xml:space="preserve"> </w:t>
      </w:r>
      <w:hyperlink r:id="rId44" w:history="1">
        <w:r>
          <w:rPr>
            <w:rStyle w:val="Hyperlink"/>
          </w:rPr>
          <w:t>Working Hours &amp; Time Off Work | Factsheets | CIPD</w:t>
        </w:r>
      </w:hyperlink>
      <w:r>
        <w:t xml:space="preserve"> </w:t>
      </w:r>
      <w:r w:rsidRPr="004C263E">
        <w:rPr>
          <w:color w:val="auto"/>
        </w:rPr>
        <w:t>(</w:t>
      </w:r>
      <w:r>
        <w:rPr>
          <w:color w:val="auto"/>
        </w:rPr>
        <w:t>A</w:t>
      </w:r>
      <w:r w:rsidRPr="004C263E">
        <w:rPr>
          <w:color w:val="auto"/>
        </w:rPr>
        <w:t>ccessed on 4</w:t>
      </w:r>
      <w:r w:rsidRPr="004C263E">
        <w:rPr>
          <w:color w:val="auto"/>
          <w:vertAlign w:val="superscript"/>
        </w:rPr>
        <w:t>th</w:t>
      </w:r>
      <w:r w:rsidRPr="004C263E">
        <w:rPr>
          <w:color w:val="auto"/>
        </w:rPr>
        <w:t xml:space="preserve"> April 2021)</w:t>
      </w:r>
    </w:p>
    <w:p w14:paraId="734DE78D" w14:textId="77777777" w:rsidR="00295B02" w:rsidRDefault="00295B02" w:rsidP="00295B02">
      <w:pPr>
        <w:rPr>
          <w:color w:val="auto"/>
        </w:rPr>
      </w:pPr>
    </w:p>
    <w:p w14:paraId="0EB8F128" w14:textId="77777777" w:rsidR="00295B02" w:rsidRDefault="00295B02" w:rsidP="00295B02">
      <w:pPr>
        <w:rPr>
          <w:rFonts w:cs="Arial"/>
          <w:color w:val="auto"/>
        </w:rPr>
      </w:pPr>
      <w:r>
        <w:rPr>
          <w:rFonts w:cs="Arial"/>
          <w:color w:val="auto"/>
        </w:rPr>
        <w:t>Daniels, K (2019) ‘Introduction to Employment Law’ P.10-34, Chapter 1, 5</w:t>
      </w:r>
      <w:r w:rsidRPr="006D0AEC">
        <w:rPr>
          <w:rFonts w:cs="Arial"/>
          <w:color w:val="auto"/>
          <w:vertAlign w:val="superscript"/>
        </w:rPr>
        <w:t>th</w:t>
      </w:r>
      <w:r>
        <w:rPr>
          <w:rFonts w:cs="Arial"/>
          <w:color w:val="auto"/>
        </w:rPr>
        <w:t xml:space="preserve"> edition, Kogan Page Limited, Great Britain. </w:t>
      </w:r>
    </w:p>
    <w:p w14:paraId="6808326B" w14:textId="77777777" w:rsidR="00295B02" w:rsidRDefault="00295B02" w:rsidP="00295B02">
      <w:pPr>
        <w:rPr>
          <w:rFonts w:cs="Arial"/>
          <w:color w:val="auto"/>
        </w:rPr>
      </w:pPr>
    </w:p>
    <w:p w14:paraId="181C3758" w14:textId="690EB139" w:rsidR="00295B02" w:rsidRPr="00F7628C" w:rsidRDefault="00295B02" w:rsidP="00295B02">
      <w:pPr>
        <w:rPr>
          <w:rFonts w:cs="Arial"/>
          <w:color w:val="auto"/>
        </w:rPr>
      </w:pPr>
      <w:r>
        <w:rPr>
          <w:rFonts w:cs="Arial"/>
          <w:color w:val="auto"/>
        </w:rPr>
        <w:t>Daniels, K (2019) ‘Introduction to Employment Law’ P.41-46, Chapter 3, 5</w:t>
      </w:r>
      <w:r w:rsidRPr="006D0AEC">
        <w:rPr>
          <w:rFonts w:cs="Arial"/>
          <w:color w:val="auto"/>
          <w:vertAlign w:val="superscript"/>
        </w:rPr>
        <w:t>th</w:t>
      </w:r>
      <w:r>
        <w:rPr>
          <w:rFonts w:cs="Arial"/>
          <w:color w:val="auto"/>
        </w:rPr>
        <w:t xml:space="preserve"> edition, Kogan Page Limited, Great Britain. </w:t>
      </w:r>
    </w:p>
    <w:p w14:paraId="0D83D994" w14:textId="77777777" w:rsidR="00295B02" w:rsidRDefault="00295B02" w:rsidP="00295B02">
      <w:pPr>
        <w:rPr>
          <w:color w:val="auto"/>
        </w:rPr>
      </w:pPr>
    </w:p>
    <w:p w14:paraId="163EB57F" w14:textId="77777777" w:rsidR="00295B02" w:rsidRDefault="00295B02" w:rsidP="00295B02">
      <w:pPr>
        <w:rPr>
          <w:rFonts w:cs="Arial"/>
          <w:color w:val="auto"/>
        </w:rPr>
      </w:pPr>
      <w:r>
        <w:rPr>
          <w:color w:val="auto"/>
        </w:rPr>
        <w:t xml:space="preserve">Daniels, K (2019) </w:t>
      </w:r>
      <w:r>
        <w:rPr>
          <w:rFonts w:cs="Arial"/>
          <w:color w:val="auto"/>
        </w:rPr>
        <w:t>‘Introduction to Employment Law’ P.95-106, Chapter 5, 5</w:t>
      </w:r>
      <w:r w:rsidRPr="006D0AEC">
        <w:rPr>
          <w:rFonts w:cs="Arial"/>
          <w:color w:val="auto"/>
          <w:vertAlign w:val="superscript"/>
        </w:rPr>
        <w:t>th</w:t>
      </w:r>
      <w:r>
        <w:rPr>
          <w:rFonts w:cs="Arial"/>
          <w:color w:val="auto"/>
        </w:rPr>
        <w:t xml:space="preserve"> edition, Kogan Page Limited, Great Britain.</w:t>
      </w:r>
    </w:p>
    <w:p w14:paraId="7EC57B7C" w14:textId="77777777" w:rsidR="00295B02" w:rsidRDefault="00295B02" w:rsidP="00295B02">
      <w:pPr>
        <w:rPr>
          <w:rFonts w:cs="Arial"/>
          <w:color w:val="auto"/>
        </w:rPr>
      </w:pPr>
    </w:p>
    <w:p w14:paraId="791F46A5" w14:textId="77777777" w:rsidR="00295B02" w:rsidRDefault="00295B02" w:rsidP="00295B02">
      <w:pPr>
        <w:rPr>
          <w:rFonts w:cs="Arial"/>
          <w:color w:val="auto"/>
        </w:rPr>
      </w:pPr>
      <w:r>
        <w:rPr>
          <w:color w:val="auto"/>
        </w:rPr>
        <w:t xml:space="preserve">Daniels, K (2019) </w:t>
      </w:r>
      <w:r>
        <w:rPr>
          <w:rFonts w:cs="Arial"/>
          <w:color w:val="auto"/>
        </w:rPr>
        <w:t>‘Introduction to Employment Law’ P.162-167, Chapter 8, 5</w:t>
      </w:r>
      <w:r w:rsidRPr="006D0AEC">
        <w:rPr>
          <w:rFonts w:cs="Arial"/>
          <w:color w:val="auto"/>
          <w:vertAlign w:val="superscript"/>
        </w:rPr>
        <w:t>th</w:t>
      </w:r>
      <w:r>
        <w:rPr>
          <w:rFonts w:cs="Arial"/>
          <w:color w:val="auto"/>
        </w:rPr>
        <w:t xml:space="preserve"> edition, Kogan Page Limited, Great Britain.</w:t>
      </w:r>
    </w:p>
    <w:p w14:paraId="3FE618DC" w14:textId="77777777" w:rsidR="00295B02" w:rsidRDefault="00295B02" w:rsidP="00295B02">
      <w:pPr>
        <w:rPr>
          <w:rFonts w:cs="Arial"/>
          <w:color w:val="auto"/>
        </w:rPr>
      </w:pPr>
    </w:p>
    <w:p w14:paraId="79547F91" w14:textId="77777777" w:rsidR="00295B02" w:rsidRDefault="00295B02" w:rsidP="00295B02">
      <w:pPr>
        <w:rPr>
          <w:rFonts w:cs="Arial"/>
          <w:color w:val="auto"/>
        </w:rPr>
      </w:pPr>
      <w:r>
        <w:rPr>
          <w:rFonts w:cs="Arial"/>
          <w:color w:val="auto"/>
        </w:rPr>
        <w:t>Daniels, K (2019) ‘Introduction to Employment Law’ P.188-194, Chapter 9, 5</w:t>
      </w:r>
      <w:r w:rsidRPr="006D0AEC">
        <w:rPr>
          <w:rFonts w:cs="Arial"/>
          <w:color w:val="auto"/>
          <w:vertAlign w:val="superscript"/>
        </w:rPr>
        <w:t>th</w:t>
      </w:r>
      <w:r>
        <w:rPr>
          <w:rFonts w:cs="Arial"/>
          <w:color w:val="auto"/>
        </w:rPr>
        <w:t xml:space="preserve"> edition, Kogan Page Limited, Great Britain. </w:t>
      </w:r>
    </w:p>
    <w:p w14:paraId="39AEE11A" w14:textId="77777777" w:rsidR="00295B02" w:rsidRDefault="00295B02" w:rsidP="00295B02">
      <w:pPr>
        <w:rPr>
          <w:color w:val="auto"/>
        </w:rPr>
      </w:pPr>
    </w:p>
    <w:p w14:paraId="04FE6D01" w14:textId="77777777" w:rsidR="00295B02" w:rsidRDefault="00295B02" w:rsidP="00295B02">
      <w:pPr>
        <w:rPr>
          <w:rFonts w:cs="Arial"/>
          <w:color w:val="auto"/>
        </w:rPr>
      </w:pPr>
      <w:r>
        <w:rPr>
          <w:color w:val="auto"/>
        </w:rPr>
        <w:t xml:space="preserve">Daniels, K (2019) </w:t>
      </w:r>
      <w:r>
        <w:rPr>
          <w:rFonts w:cs="Arial"/>
          <w:color w:val="auto"/>
        </w:rPr>
        <w:t>‘Introduction to Employment Law’ P.246-253, Chapter 12, 5</w:t>
      </w:r>
      <w:r w:rsidRPr="006D0AEC">
        <w:rPr>
          <w:rFonts w:cs="Arial"/>
          <w:color w:val="auto"/>
          <w:vertAlign w:val="superscript"/>
        </w:rPr>
        <w:t>th</w:t>
      </w:r>
      <w:r>
        <w:rPr>
          <w:rFonts w:cs="Arial"/>
          <w:color w:val="auto"/>
        </w:rPr>
        <w:t xml:space="preserve"> edition, Kogan Page Limited, Great Britain.</w:t>
      </w:r>
    </w:p>
    <w:p w14:paraId="2FA86893" w14:textId="77777777" w:rsidR="00295B02" w:rsidRDefault="00295B02" w:rsidP="00295B02">
      <w:pPr>
        <w:rPr>
          <w:rFonts w:cs="Arial"/>
          <w:color w:val="auto"/>
        </w:rPr>
      </w:pPr>
    </w:p>
    <w:p w14:paraId="6AC0A57E" w14:textId="77777777" w:rsidR="00295B02" w:rsidRDefault="00295B02" w:rsidP="00295B02">
      <w:pPr>
        <w:rPr>
          <w:rFonts w:cs="Arial"/>
          <w:color w:val="auto"/>
        </w:rPr>
      </w:pPr>
      <w:r>
        <w:rPr>
          <w:rFonts w:cs="Arial"/>
          <w:color w:val="auto"/>
        </w:rPr>
        <w:t xml:space="preserve">GOV UK (2021) ‘Employment Rights Act 1996’ Chapter 8 [Online] Available at: </w:t>
      </w:r>
      <w:hyperlink r:id="rId45" w:history="1">
        <w:r w:rsidRPr="001D4F2B">
          <w:rPr>
            <w:rStyle w:val="Hyperlink"/>
            <w:rFonts w:cs="Arial"/>
          </w:rPr>
          <w:t>https://www.legislation.gov.uk/ukpga/1996/18/part/X</w:t>
        </w:r>
      </w:hyperlink>
      <w:r>
        <w:rPr>
          <w:rFonts w:cs="Arial"/>
          <w:color w:val="auto"/>
        </w:rPr>
        <w:t xml:space="preserve"> (Accessed on 12th April 2021)</w:t>
      </w:r>
    </w:p>
    <w:p w14:paraId="7B99C7A9" w14:textId="77777777" w:rsidR="00295B02" w:rsidRDefault="00295B02" w:rsidP="00295B02">
      <w:pPr>
        <w:rPr>
          <w:rFonts w:cs="Arial"/>
          <w:color w:val="auto"/>
        </w:rPr>
      </w:pPr>
    </w:p>
    <w:p w14:paraId="558D8605" w14:textId="7BA8E6A2" w:rsidR="00295B02" w:rsidRDefault="00295B02" w:rsidP="00295B02">
      <w:pPr>
        <w:rPr>
          <w:color w:val="auto"/>
        </w:rPr>
      </w:pPr>
      <w:r>
        <w:rPr>
          <w:color w:val="auto"/>
        </w:rPr>
        <w:t xml:space="preserve">GOV UK (2010) ‘Equality Act 2010’ [Online] Available at: </w:t>
      </w:r>
      <w:hyperlink r:id="rId46" w:history="1">
        <w:r>
          <w:rPr>
            <w:rStyle w:val="Hyperlink"/>
          </w:rPr>
          <w:t>Equality Act 2010 (legislation.gov.uk)</w:t>
        </w:r>
      </w:hyperlink>
      <w:r>
        <w:t xml:space="preserve"> </w:t>
      </w:r>
      <w:r w:rsidRPr="00DD79AA">
        <w:rPr>
          <w:color w:val="auto"/>
        </w:rPr>
        <w:t>(Accessed on 4</w:t>
      </w:r>
      <w:r w:rsidRPr="00DD79AA">
        <w:rPr>
          <w:color w:val="auto"/>
          <w:vertAlign w:val="superscript"/>
        </w:rPr>
        <w:t>th</w:t>
      </w:r>
      <w:r w:rsidRPr="00DD79AA">
        <w:rPr>
          <w:color w:val="auto"/>
        </w:rPr>
        <w:t xml:space="preserve"> April 2021</w:t>
      </w:r>
      <w:r>
        <w:rPr>
          <w:color w:val="auto"/>
        </w:rPr>
        <w:t>)</w:t>
      </w:r>
    </w:p>
    <w:p w14:paraId="19A4D2E2" w14:textId="633AEFA8" w:rsidR="0062132A" w:rsidRDefault="0062132A" w:rsidP="00295B02">
      <w:pPr>
        <w:rPr>
          <w:color w:val="auto"/>
        </w:rPr>
      </w:pPr>
    </w:p>
    <w:p w14:paraId="5C4A12C6" w14:textId="77777777" w:rsidR="0062132A" w:rsidRDefault="0062132A" w:rsidP="0062132A">
      <w:pPr>
        <w:rPr>
          <w:color w:val="auto"/>
        </w:rPr>
      </w:pPr>
      <w:r>
        <w:rPr>
          <w:color w:val="auto"/>
        </w:rPr>
        <w:t>GOV UK ‘Human Rights Act 1988’ [Online] Available at:</w:t>
      </w:r>
      <w:r w:rsidRPr="00884BE6">
        <w:t xml:space="preserve"> </w:t>
      </w:r>
      <w:hyperlink r:id="rId47" w:history="1">
        <w:r>
          <w:rPr>
            <w:rStyle w:val="Hyperlink"/>
          </w:rPr>
          <w:t>Human Rights Act 1998 (legislation.gov.uk)</w:t>
        </w:r>
      </w:hyperlink>
      <w:r>
        <w:t xml:space="preserve"> </w:t>
      </w:r>
      <w:r w:rsidRPr="005A1A25">
        <w:rPr>
          <w:color w:val="auto"/>
        </w:rPr>
        <w:t>(Accessed on 16</w:t>
      </w:r>
      <w:r w:rsidRPr="005A1A25">
        <w:rPr>
          <w:color w:val="auto"/>
          <w:vertAlign w:val="superscript"/>
        </w:rPr>
        <w:t>th</w:t>
      </w:r>
      <w:r w:rsidRPr="005A1A25">
        <w:rPr>
          <w:color w:val="auto"/>
        </w:rPr>
        <w:t xml:space="preserve"> April 2021)</w:t>
      </w:r>
    </w:p>
    <w:p w14:paraId="4AAEC4CB" w14:textId="2DC08F04" w:rsidR="00E26ED6" w:rsidRDefault="00E26ED6" w:rsidP="00295B02">
      <w:pPr>
        <w:rPr>
          <w:color w:val="auto"/>
        </w:rPr>
      </w:pPr>
    </w:p>
    <w:p w14:paraId="334C0E61" w14:textId="77777777" w:rsidR="00E26ED6" w:rsidRPr="00724B4E" w:rsidRDefault="00E26ED6" w:rsidP="00E26ED6">
      <w:pPr>
        <w:rPr>
          <w:color w:val="auto"/>
        </w:rPr>
      </w:pPr>
      <w:r>
        <w:rPr>
          <w:color w:val="auto"/>
        </w:rPr>
        <w:t xml:space="preserve">GOV UK (2016) ‘UK Gender Pay Gap’ GOV UK [Online] Available at: </w:t>
      </w:r>
      <w:hyperlink r:id="rId48" w:history="1">
        <w:r>
          <w:rPr>
            <w:rStyle w:val="Hyperlink"/>
          </w:rPr>
          <w:t>UK Gender Pay Gap - GOV.UK (www.gov.uk)</w:t>
        </w:r>
      </w:hyperlink>
      <w:r>
        <w:t xml:space="preserve"> </w:t>
      </w:r>
      <w:r w:rsidRPr="00724B4E">
        <w:rPr>
          <w:color w:val="auto"/>
        </w:rPr>
        <w:t>(Accessed on 16</w:t>
      </w:r>
      <w:r w:rsidRPr="00724B4E">
        <w:rPr>
          <w:color w:val="auto"/>
          <w:vertAlign w:val="superscript"/>
        </w:rPr>
        <w:t>th</w:t>
      </w:r>
      <w:r w:rsidRPr="00724B4E">
        <w:rPr>
          <w:color w:val="auto"/>
        </w:rPr>
        <w:t xml:space="preserve"> April 2021)</w:t>
      </w:r>
    </w:p>
    <w:p w14:paraId="4F3B5C2D" w14:textId="77777777" w:rsidR="00E26ED6" w:rsidRDefault="00E26ED6" w:rsidP="00295B02">
      <w:pPr>
        <w:rPr>
          <w:color w:val="auto"/>
        </w:rPr>
      </w:pPr>
    </w:p>
    <w:p w14:paraId="170F3BBD" w14:textId="77777777" w:rsidR="00295B02" w:rsidRDefault="00295B02" w:rsidP="00295B02">
      <w:pPr>
        <w:rPr>
          <w:color w:val="auto"/>
        </w:rPr>
      </w:pPr>
      <w:r>
        <w:rPr>
          <w:color w:val="auto"/>
        </w:rPr>
        <w:t xml:space="preserve">GOV UK (2021) ‘Trade Union and Labour Relations (consolidation) Act 1992’ Chapter 2 [Online] Available at: </w:t>
      </w:r>
      <w:hyperlink r:id="rId49" w:history="1">
        <w:r>
          <w:rPr>
            <w:rStyle w:val="Hyperlink"/>
          </w:rPr>
          <w:t>Trade Union and Labour Relations (Consolidation) Act 1992 (legislation.gov.uk)</w:t>
        </w:r>
      </w:hyperlink>
      <w:r>
        <w:t xml:space="preserve"> </w:t>
      </w:r>
      <w:r w:rsidRPr="00092899">
        <w:rPr>
          <w:color w:val="auto"/>
        </w:rPr>
        <w:t>(Accessed on 4</w:t>
      </w:r>
      <w:r w:rsidRPr="00092899">
        <w:rPr>
          <w:color w:val="auto"/>
          <w:vertAlign w:val="superscript"/>
        </w:rPr>
        <w:t>th</w:t>
      </w:r>
      <w:r w:rsidRPr="00092899">
        <w:rPr>
          <w:color w:val="auto"/>
        </w:rPr>
        <w:t xml:space="preserve"> April 2021)</w:t>
      </w:r>
      <w:r>
        <w:rPr>
          <w:color w:val="auto"/>
        </w:rPr>
        <w:t xml:space="preserve"> </w:t>
      </w:r>
    </w:p>
    <w:p w14:paraId="3E7383F9" w14:textId="77777777" w:rsidR="00295B02" w:rsidRDefault="00295B02" w:rsidP="00295B02">
      <w:pPr>
        <w:rPr>
          <w:color w:val="auto"/>
        </w:rPr>
      </w:pPr>
    </w:p>
    <w:p w14:paraId="709AB7C7" w14:textId="77777777" w:rsidR="00295B02" w:rsidRDefault="00295B02" w:rsidP="00295B02">
      <w:pPr>
        <w:rPr>
          <w:color w:val="auto"/>
        </w:rPr>
      </w:pPr>
      <w:r>
        <w:rPr>
          <w:color w:val="auto"/>
        </w:rPr>
        <w:t xml:space="preserve">GOV UK (2021) ‘Understanding your pay’ GOV UK [Online] available at: </w:t>
      </w:r>
      <w:hyperlink r:id="rId50" w:history="1">
        <w:r>
          <w:rPr>
            <w:rStyle w:val="Hyperlink"/>
          </w:rPr>
          <w:t>Understanding your pay: Deductions from your pay - GOV.UK (www.gov.uk)</w:t>
        </w:r>
      </w:hyperlink>
      <w:r>
        <w:t xml:space="preserve"> </w:t>
      </w:r>
      <w:r w:rsidRPr="006D09FC">
        <w:rPr>
          <w:color w:val="auto"/>
        </w:rPr>
        <w:t>(Accessed on 4</w:t>
      </w:r>
      <w:r w:rsidRPr="006D09FC">
        <w:rPr>
          <w:color w:val="auto"/>
          <w:vertAlign w:val="superscript"/>
        </w:rPr>
        <w:t>th</w:t>
      </w:r>
      <w:r w:rsidRPr="006D09FC">
        <w:rPr>
          <w:color w:val="auto"/>
        </w:rPr>
        <w:t xml:space="preserve"> April 2021)</w:t>
      </w:r>
    </w:p>
    <w:p w14:paraId="7A8942B4" w14:textId="77777777" w:rsidR="00295B02" w:rsidRDefault="00295B02" w:rsidP="00295B02">
      <w:pPr>
        <w:rPr>
          <w:color w:val="auto"/>
        </w:rPr>
      </w:pPr>
    </w:p>
    <w:p w14:paraId="7ED0E581" w14:textId="77777777" w:rsidR="00295B02" w:rsidRDefault="00295B02" w:rsidP="00295B02">
      <w:pPr>
        <w:rPr>
          <w:color w:val="auto"/>
        </w:rPr>
      </w:pPr>
      <w:r w:rsidRPr="00031A1F">
        <w:rPr>
          <w:color w:val="auto"/>
        </w:rPr>
        <w:t>Law commission (2018) Employment Law Hearing Structures Summary of Consultation Paper</w:t>
      </w:r>
      <w:r>
        <w:rPr>
          <w:color w:val="auto"/>
        </w:rPr>
        <w:t xml:space="preserve">, paper 239, [Online] available at: </w:t>
      </w:r>
      <w:hyperlink r:id="rId51" w:history="1">
        <w:r>
          <w:rPr>
            <w:rStyle w:val="Hyperlink"/>
          </w:rPr>
          <w:t>Employment Hearing Structures (uwtsd.ac.uk)</w:t>
        </w:r>
      </w:hyperlink>
      <w:r>
        <w:t xml:space="preserve"> </w:t>
      </w:r>
      <w:r w:rsidRPr="00031A1F">
        <w:rPr>
          <w:color w:val="auto"/>
        </w:rPr>
        <w:t>(Accessed on 4</w:t>
      </w:r>
      <w:r w:rsidRPr="00031A1F">
        <w:rPr>
          <w:color w:val="auto"/>
          <w:vertAlign w:val="superscript"/>
        </w:rPr>
        <w:t>th</w:t>
      </w:r>
      <w:r w:rsidRPr="00031A1F">
        <w:rPr>
          <w:color w:val="auto"/>
        </w:rPr>
        <w:t xml:space="preserve"> April 2021)</w:t>
      </w:r>
    </w:p>
    <w:p w14:paraId="2F017848" w14:textId="77777777" w:rsidR="00295B02" w:rsidRDefault="00295B02" w:rsidP="00295B02">
      <w:pPr>
        <w:rPr>
          <w:color w:val="auto"/>
        </w:rPr>
      </w:pPr>
    </w:p>
    <w:p w14:paraId="667023B7" w14:textId="77777777" w:rsidR="00295B02" w:rsidRDefault="00295B02" w:rsidP="00295B02">
      <w:pPr>
        <w:rPr>
          <w:color w:val="auto"/>
        </w:rPr>
      </w:pPr>
      <w:r>
        <w:rPr>
          <w:rFonts w:cs="Arial"/>
          <w:color w:val="auto"/>
        </w:rPr>
        <w:t xml:space="preserve">NHS (2018) ‘Maternity and Paternity: Benefits and Leave’ NHS [Online] available at: </w:t>
      </w:r>
      <w:hyperlink r:id="rId52" w:history="1">
        <w:r>
          <w:rPr>
            <w:rStyle w:val="Hyperlink"/>
          </w:rPr>
          <w:t>Maternity and paternity benefits and leave - NHS (www.nhs.uk)</w:t>
        </w:r>
      </w:hyperlink>
      <w:r>
        <w:t xml:space="preserve"> </w:t>
      </w:r>
      <w:r w:rsidRPr="00F44CFB">
        <w:rPr>
          <w:color w:val="auto"/>
        </w:rPr>
        <w:t>(Accessed on 4</w:t>
      </w:r>
      <w:r w:rsidRPr="00F44CFB">
        <w:rPr>
          <w:color w:val="auto"/>
          <w:vertAlign w:val="superscript"/>
        </w:rPr>
        <w:t>th</w:t>
      </w:r>
      <w:r w:rsidRPr="00F44CFB">
        <w:rPr>
          <w:color w:val="auto"/>
        </w:rPr>
        <w:t xml:space="preserve"> April 2021)</w:t>
      </w:r>
    </w:p>
    <w:p w14:paraId="77172135" w14:textId="77777777" w:rsidR="00295B02" w:rsidRDefault="00295B02" w:rsidP="00295B02">
      <w:pPr>
        <w:rPr>
          <w:color w:val="auto"/>
        </w:rPr>
      </w:pPr>
    </w:p>
    <w:p w14:paraId="4D61E683" w14:textId="77777777" w:rsidR="00295B02" w:rsidRDefault="00295B02" w:rsidP="00295B02">
      <w:pPr>
        <w:rPr>
          <w:color w:val="auto"/>
        </w:rPr>
      </w:pPr>
      <w:r>
        <w:rPr>
          <w:color w:val="auto"/>
        </w:rPr>
        <w:t xml:space="preserve">Perry, M (2019) ‘Why employers need to understand associative discrimination’ Personnel Today, [Online] available at: </w:t>
      </w:r>
      <w:hyperlink r:id="rId53" w:history="1">
        <w:r>
          <w:rPr>
            <w:rStyle w:val="Hyperlink"/>
          </w:rPr>
          <w:t>Why employers need to understand associative discrimination - Personnel Today</w:t>
        </w:r>
      </w:hyperlink>
      <w:r>
        <w:t xml:space="preserve"> </w:t>
      </w:r>
      <w:r w:rsidRPr="00B45659">
        <w:rPr>
          <w:color w:val="auto"/>
        </w:rPr>
        <w:t>(Accessed on 4</w:t>
      </w:r>
      <w:r w:rsidRPr="00B45659">
        <w:rPr>
          <w:color w:val="auto"/>
          <w:vertAlign w:val="superscript"/>
        </w:rPr>
        <w:t>th</w:t>
      </w:r>
      <w:r w:rsidRPr="00B45659">
        <w:rPr>
          <w:color w:val="auto"/>
        </w:rPr>
        <w:t xml:space="preserve"> April 2021)</w:t>
      </w:r>
    </w:p>
    <w:p w14:paraId="3FD51DF6" w14:textId="77777777" w:rsidR="00295B02" w:rsidRDefault="00295B02" w:rsidP="00295B02">
      <w:pPr>
        <w:rPr>
          <w:color w:val="auto"/>
        </w:rPr>
      </w:pPr>
    </w:p>
    <w:p w14:paraId="6DEB2F32" w14:textId="77777777" w:rsidR="00295B02" w:rsidRDefault="00295B02" w:rsidP="00295B02">
      <w:pPr>
        <w:rPr>
          <w:color w:val="auto"/>
        </w:rPr>
      </w:pPr>
      <w:r>
        <w:rPr>
          <w:color w:val="auto"/>
        </w:rPr>
        <w:t xml:space="preserve">Russon, M (2021) ‘Uber drivers are workers not self-employed, Supreme court rules’ BBC [Online] Available at: </w:t>
      </w:r>
      <w:hyperlink r:id="rId54" w:history="1">
        <w:r>
          <w:rPr>
            <w:rStyle w:val="Hyperlink"/>
          </w:rPr>
          <w:t>Uber drivers are workers not self-employed, Supreme Court rules - BBC News</w:t>
        </w:r>
      </w:hyperlink>
      <w:r>
        <w:t xml:space="preserve"> </w:t>
      </w:r>
      <w:r w:rsidRPr="00830583">
        <w:rPr>
          <w:color w:val="auto"/>
        </w:rPr>
        <w:t>(Accessed on 4</w:t>
      </w:r>
      <w:r w:rsidRPr="00830583">
        <w:rPr>
          <w:color w:val="auto"/>
          <w:vertAlign w:val="superscript"/>
        </w:rPr>
        <w:t>th</w:t>
      </w:r>
      <w:r w:rsidRPr="00830583">
        <w:rPr>
          <w:color w:val="auto"/>
        </w:rPr>
        <w:t xml:space="preserve"> April 2021) </w:t>
      </w:r>
    </w:p>
    <w:p w14:paraId="727E8048" w14:textId="77777777" w:rsidR="00295B02" w:rsidRDefault="00295B02" w:rsidP="00295B02">
      <w:pPr>
        <w:rPr>
          <w:color w:val="auto"/>
        </w:rPr>
      </w:pPr>
    </w:p>
    <w:p w14:paraId="7A0C3261" w14:textId="4753B4F1" w:rsidR="00295B02" w:rsidRDefault="00295B02" w:rsidP="00295B02">
      <w:pPr>
        <w:rPr>
          <w:color w:val="auto"/>
        </w:rPr>
      </w:pPr>
      <w:r w:rsidRPr="0058175A">
        <w:rPr>
          <w:color w:val="auto"/>
        </w:rPr>
        <w:t>Street, T (2016) ‘</w:t>
      </w:r>
      <w:r>
        <w:rPr>
          <w:color w:val="auto"/>
        </w:rPr>
        <w:t>Gross Misconduct and the Burchell Test’ Tribunal Claim, Nationwide Employment Solicitors [Online] available at:</w:t>
      </w:r>
      <w:r w:rsidRPr="0058175A">
        <w:t xml:space="preserve"> </w:t>
      </w:r>
      <w:hyperlink r:id="rId55" w:history="1">
        <w:r w:rsidRPr="001D4F2B">
          <w:rPr>
            <w:rStyle w:val="Hyperlink"/>
          </w:rPr>
          <w:t>https://www.tribunalclaim.com/gross-misconduct-burchell-test/</w:t>
        </w:r>
      </w:hyperlink>
      <w:r>
        <w:rPr>
          <w:color w:val="auto"/>
        </w:rPr>
        <w:t xml:space="preserve"> (Accessed on 14</w:t>
      </w:r>
      <w:r w:rsidRPr="0058175A">
        <w:rPr>
          <w:color w:val="auto"/>
          <w:vertAlign w:val="superscript"/>
        </w:rPr>
        <w:t>th</w:t>
      </w:r>
      <w:r>
        <w:rPr>
          <w:color w:val="auto"/>
        </w:rPr>
        <w:t xml:space="preserve"> April 2021) </w:t>
      </w:r>
      <w:r w:rsidR="00F7628C">
        <w:rPr>
          <w:color w:val="auto"/>
        </w:rPr>
        <w:t xml:space="preserve"> </w:t>
      </w:r>
    </w:p>
    <w:p w14:paraId="0C69FCE1" w14:textId="59170A18" w:rsidR="00DB09C2" w:rsidRDefault="00DB09C2" w:rsidP="00295B02">
      <w:pPr>
        <w:rPr>
          <w:color w:val="auto"/>
        </w:rPr>
      </w:pPr>
    </w:p>
    <w:p w14:paraId="4FB97E81" w14:textId="77777777" w:rsidR="00DB09C2" w:rsidRDefault="00DB09C2" w:rsidP="00DB09C2">
      <w:pPr>
        <w:rPr>
          <w:color w:val="auto"/>
        </w:rPr>
      </w:pPr>
      <w:r>
        <w:rPr>
          <w:color w:val="auto"/>
        </w:rPr>
        <w:lastRenderedPageBreak/>
        <w:t xml:space="preserve">Taylor, S (2021) ‘CIPD: Employment Law Update’ CIPD [Online] available at: </w:t>
      </w:r>
      <w:hyperlink r:id="rId56" w:history="1">
        <w:r w:rsidRPr="001D4F2B">
          <w:rPr>
            <w:rStyle w:val="Hyperlink"/>
          </w:rPr>
          <w:t>https://www.danielbarnett.co.uk/site/blog/employment-blog/tribunal-procedure-120421</w:t>
        </w:r>
      </w:hyperlink>
      <w:r>
        <w:rPr>
          <w:color w:val="auto"/>
        </w:rPr>
        <w:t xml:space="preserve"> (Accessed on 10th April 2021)</w:t>
      </w:r>
    </w:p>
    <w:p w14:paraId="63EB2A0F" w14:textId="77777777" w:rsidR="00DB09C2" w:rsidRDefault="00DB09C2" w:rsidP="00295B02">
      <w:pPr>
        <w:rPr>
          <w:color w:val="auto"/>
        </w:rPr>
      </w:pPr>
    </w:p>
    <w:p w14:paraId="63D11FEF" w14:textId="4A2D4F9A" w:rsidR="004A3212" w:rsidRDefault="00295B02">
      <w:pPr>
        <w:rPr>
          <w:color w:val="auto"/>
        </w:rPr>
      </w:pPr>
      <w:r>
        <w:rPr>
          <w:color w:val="auto"/>
        </w:rPr>
        <w:t xml:space="preserve">Taylor, S and Wilkinson, K (2016) ‘Employment Law’ P.25-32, chapter 2, ‘Human Resource Management: People and </w:t>
      </w:r>
      <w:r w:rsidR="00E363BA">
        <w:rPr>
          <w:color w:val="auto"/>
        </w:rPr>
        <w:t>Organisations’</w:t>
      </w:r>
      <w:r>
        <w:rPr>
          <w:color w:val="auto"/>
        </w:rPr>
        <w:t xml:space="preserve"> Chartered Institute of Personnel and Development, London</w:t>
      </w:r>
    </w:p>
    <w:sectPr w:rsidR="004A3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457A"/>
    <w:multiLevelType w:val="hybridMultilevel"/>
    <w:tmpl w:val="553C7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CE0"/>
    <w:rsid w:val="00000F43"/>
    <w:rsid w:val="00031A1F"/>
    <w:rsid w:val="000361D0"/>
    <w:rsid w:val="000377C4"/>
    <w:rsid w:val="00046F39"/>
    <w:rsid w:val="000511F9"/>
    <w:rsid w:val="000730B1"/>
    <w:rsid w:val="0007374B"/>
    <w:rsid w:val="00092899"/>
    <w:rsid w:val="00093A84"/>
    <w:rsid w:val="00097BAF"/>
    <w:rsid w:val="000A4E31"/>
    <w:rsid w:val="000B503E"/>
    <w:rsid w:val="000B6797"/>
    <w:rsid w:val="000B7695"/>
    <w:rsid w:val="000B7C38"/>
    <w:rsid w:val="000C3C8C"/>
    <w:rsid w:val="000D0D92"/>
    <w:rsid w:val="000D2ED4"/>
    <w:rsid w:val="000E05EB"/>
    <w:rsid w:val="001026BA"/>
    <w:rsid w:val="00102CB6"/>
    <w:rsid w:val="00111246"/>
    <w:rsid w:val="00125F86"/>
    <w:rsid w:val="00130779"/>
    <w:rsid w:val="00137BDC"/>
    <w:rsid w:val="00141279"/>
    <w:rsid w:val="0015281D"/>
    <w:rsid w:val="00152F6E"/>
    <w:rsid w:val="001A0CE0"/>
    <w:rsid w:val="001A21A4"/>
    <w:rsid w:val="001A71B6"/>
    <w:rsid w:val="001B432A"/>
    <w:rsid w:val="001C24DC"/>
    <w:rsid w:val="001C5462"/>
    <w:rsid w:val="001C6417"/>
    <w:rsid w:val="001C681C"/>
    <w:rsid w:val="001D0229"/>
    <w:rsid w:val="001D5714"/>
    <w:rsid w:val="00204356"/>
    <w:rsid w:val="00210F32"/>
    <w:rsid w:val="0022129A"/>
    <w:rsid w:val="00263988"/>
    <w:rsid w:val="00295B02"/>
    <w:rsid w:val="002C1337"/>
    <w:rsid w:val="002D7409"/>
    <w:rsid w:val="002D7C80"/>
    <w:rsid w:val="003028DF"/>
    <w:rsid w:val="0030472F"/>
    <w:rsid w:val="00316E93"/>
    <w:rsid w:val="00320157"/>
    <w:rsid w:val="0034145B"/>
    <w:rsid w:val="00360DBA"/>
    <w:rsid w:val="003678D8"/>
    <w:rsid w:val="003A1FD4"/>
    <w:rsid w:val="003C06A5"/>
    <w:rsid w:val="003C29BB"/>
    <w:rsid w:val="003C684A"/>
    <w:rsid w:val="003D70D2"/>
    <w:rsid w:val="003E78E6"/>
    <w:rsid w:val="003F40DD"/>
    <w:rsid w:val="004462D3"/>
    <w:rsid w:val="0046023E"/>
    <w:rsid w:val="00464DF2"/>
    <w:rsid w:val="004657DD"/>
    <w:rsid w:val="00493EC8"/>
    <w:rsid w:val="004A3212"/>
    <w:rsid w:val="004A455D"/>
    <w:rsid w:val="004C263E"/>
    <w:rsid w:val="004F2CAF"/>
    <w:rsid w:val="00507AAD"/>
    <w:rsid w:val="005352F6"/>
    <w:rsid w:val="00535337"/>
    <w:rsid w:val="00544F86"/>
    <w:rsid w:val="005474E5"/>
    <w:rsid w:val="00562708"/>
    <w:rsid w:val="005656AD"/>
    <w:rsid w:val="00566DA0"/>
    <w:rsid w:val="00580810"/>
    <w:rsid w:val="0058175A"/>
    <w:rsid w:val="005A1A25"/>
    <w:rsid w:val="005B156E"/>
    <w:rsid w:val="005C0139"/>
    <w:rsid w:val="005C7F6D"/>
    <w:rsid w:val="005E60D6"/>
    <w:rsid w:val="005F2890"/>
    <w:rsid w:val="00615EC8"/>
    <w:rsid w:val="0062132A"/>
    <w:rsid w:val="00645480"/>
    <w:rsid w:val="00647472"/>
    <w:rsid w:val="00662CBA"/>
    <w:rsid w:val="0069508A"/>
    <w:rsid w:val="00695D79"/>
    <w:rsid w:val="006B7312"/>
    <w:rsid w:val="006D09FC"/>
    <w:rsid w:val="006D0AEC"/>
    <w:rsid w:val="006E3BD6"/>
    <w:rsid w:val="006F4109"/>
    <w:rsid w:val="006F422B"/>
    <w:rsid w:val="006F6D2E"/>
    <w:rsid w:val="007066D0"/>
    <w:rsid w:val="00724850"/>
    <w:rsid w:val="00724B4E"/>
    <w:rsid w:val="00734249"/>
    <w:rsid w:val="007A1244"/>
    <w:rsid w:val="007A1FAF"/>
    <w:rsid w:val="007A6A54"/>
    <w:rsid w:val="007C6961"/>
    <w:rsid w:val="007D00E8"/>
    <w:rsid w:val="007D229A"/>
    <w:rsid w:val="007E6C0A"/>
    <w:rsid w:val="007F4561"/>
    <w:rsid w:val="008000F2"/>
    <w:rsid w:val="008058D1"/>
    <w:rsid w:val="00805A95"/>
    <w:rsid w:val="00820467"/>
    <w:rsid w:val="00830577"/>
    <w:rsid w:val="00830583"/>
    <w:rsid w:val="00846B2E"/>
    <w:rsid w:val="008502E3"/>
    <w:rsid w:val="008708B1"/>
    <w:rsid w:val="00883974"/>
    <w:rsid w:val="00884BE6"/>
    <w:rsid w:val="008A7585"/>
    <w:rsid w:val="008B085D"/>
    <w:rsid w:val="008C2E91"/>
    <w:rsid w:val="008D23F6"/>
    <w:rsid w:val="008E3942"/>
    <w:rsid w:val="008F3867"/>
    <w:rsid w:val="00927BE4"/>
    <w:rsid w:val="009316B1"/>
    <w:rsid w:val="009854BC"/>
    <w:rsid w:val="00992713"/>
    <w:rsid w:val="0099287B"/>
    <w:rsid w:val="009A0092"/>
    <w:rsid w:val="009B3358"/>
    <w:rsid w:val="009B3B37"/>
    <w:rsid w:val="009D20F5"/>
    <w:rsid w:val="009E327A"/>
    <w:rsid w:val="009E34D9"/>
    <w:rsid w:val="009F38C5"/>
    <w:rsid w:val="009F7D29"/>
    <w:rsid w:val="00A0315A"/>
    <w:rsid w:val="00A12A63"/>
    <w:rsid w:val="00A14D03"/>
    <w:rsid w:val="00A32D4C"/>
    <w:rsid w:val="00A35860"/>
    <w:rsid w:val="00A41915"/>
    <w:rsid w:val="00A50AC4"/>
    <w:rsid w:val="00A564C1"/>
    <w:rsid w:val="00A767DB"/>
    <w:rsid w:val="00A8350B"/>
    <w:rsid w:val="00A84A21"/>
    <w:rsid w:val="00AE61DB"/>
    <w:rsid w:val="00B01A64"/>
    <w:rsid w:val="00B3368F"/>
    <w:rsid w:val="00B426BA"/>
    <w:rsid w:val="00B45659"/>
    <w:rsid w:val="00B557B9"/>
    <w:rsid w:val="00B85355"/>
    <w:rsid w:val="00B9212C"/>
    <w:rsid w:val="00B9580A"/>
    <w:rsid w:val="00BB0066"/>
    <w:rsid w:val="00BC32E7"/>
    <w:rsid w:val="00BF56E5"/>
    <w:rsid w:val="00C0036D"/>
    <w:rsid w:val="00C27276"/>
    <w:rsid w:val="00C2781E"/>
    <w:rsid w:val="00C34CBA"/>
    <w:rsid w:val="00C45047"/>
    <w:rsid w:val="00C5763F"/>
    <w:rsid w:val="00C57959"/>
    <w:rsid w:val="00C6705B"/>
    <w:rsid w:val="00C74252"/>
    <w:rsid w:val="00C75908"/>
    <w:rsid w:val="00CA0981"/>
    <w:rsid w:val="00CB2D5E"/>
    <w:rsid w:val="00CB42AB"/>
    <w:rsid w:val="00CB738B"/>
    <w:rsid w:val="00D1295F"/>
    <w:rsid w:val="00D14780"/>
    <w:rsid w:val="00D25172"/>
    <w:rsid w:val="00D41D8E"/>
    <w:rsid w:val="00D45476"/>
    <w:rsid w:val="00D5646A"/>
    <w:rsid w:val="00D93548"/>
    <w:rsid w:val="00D93664"/>
    <w:rsid w:val="00DB09C2"/>
    <w:rsid w:val="00DB6BF7"/>
    <w:rsid w:val="00DC2739"/>
    <w:rsid w:val="00DD2D41"/>
    <w:rsid w:val="00DD79AA"/>
    <w:rsid w:val="00DE3E4D"/>
    <w:rsid w:val="00DF6B38"/>
    <w:rsid w:val="00E017F7"/>
    <w:rsid w:val="00E26C8E"/>
    <w:rsid w:val="00E26ED6"/>
    <w:rsid w:val="00E33E91"/>
    <w:rsid w:val="00E363BA"/>
    <w:rsid w:val="00E41C29"/>
    <w:rsid w:val="00E7608C"/>
    <w:rsid w:val="00E82FCE"/>
    <w:rsid w:val="00E844A9"/>
    <w:rsid w:val="00E949E3"/>
    <w:rsid w:val="00EB3FA9"/>
    <w:rsid w:val="00ED3666"/>
    <w:rsid w:val="00EE0B9B"/>
    <w:rsid w:val="00EE348A"/>
    <w:rsid w:val="00EF0846"/>
    <w:rsid w:val="00F15276"/>
    <w:rsid w:val="00F41EFB"/>
    <w:rsid w:val="00F43773"/>
    <w:rsid w:val="00F44CFB"/>
    <w:rsid w:val="00F618F1"/>
    <w:rsid w:val="00F7071F"/>
    <w:rsid w:val="00F7628C"/>
    <w:rsid w:val="00F83815"/>
    <w:rsid w:val="00F907D9"/>
    <w:rsid w:val="00FC2199"/>
    <w:rsid w:val="00FD73E6"/>
    <w:rsid w:val="00FE5C22"/>
    <w:rsid w:val="00FF3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1A385"/>
  <w15:chartTrackingRefBased/>
  <w15:docId w15:val="{102CB5BB-90E2-40A4-96B2-7B3159345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CE0"/>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7BDC"/>
    <w:rPr>
      <w:color w:val="0000FF"/>
      <w:u w:val="single"/>
    </w:rPr>
  </w:style>
  <w:style w:type="paragraph" w:styleId="ListParagraph">
    <w:name w:val="List Paragraph"/>
    <w:basedOn w:val="Normal"/>
    <w:uiPriority w:val="34"/>
    <w:qFormat/>
    <w:rsid w:val="00A50AC4"/>
    <w:pPr>
      <w:ind w:left="720"/>
      <w:contextualSpacing/>
    </w:pPr>
    <w:rPr>
      <w:color w:val="auto"/>
      <w:lang w:val="en-GB"/>
    </w:rPr>
  </w:style>
  <w:style w:type="table" w:styleId="TableGrid">
    <w:name w:val="Table Grid"/>
    <w:basedOn w:val="TableNormal"/>
    <w:uiPriority w:val="39"/>
    <w:rsid w:val="009D20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A1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emp-law/tupe/guide" TargetMode="External"/><Relationship Id="rId18" Type="http://schemas.openxmlformats.org/officeDocument/2006/relationships/hyperlink" Target="https://www.cipd.co.uk/knowledge/fundamentals/emp-law/working-time/factsheet" TargetMode="External"/><Relationship Id="rId26" Type="http://schemas.openxmlformats.org/officeDocument/2006/relationships/hyperlink" Target="https://www.nhs.uk/pregnancy/finding-out/maternity-and-paternity-benefits-and-leave/" TargetMode="External"/><Relationship Id="rId39" Type="http://schemas.openxmlformats.org/officeDocument/2006/relationships/hyperlink" Target="https://www.cipd.co.uk/knowledge/fundamentals/emp-law/tupe/guide" TargetMode="External"/><Relationship Id="rId21" Type="http://schemas.openxmlformats.org/officeDocument/2006/relationships/hyperlink" Target="https://www.legislation.gov.uk/ukpga/1998/42/contents" TargetMode="External"/><Relationship Id="rId34" Type="http://schemas.openxmlformats.org/officeDocument/2006/relationships/hyperlink" Target="https://www.acas.org.uk/dismissals/unfair-dismissal" TargetMode="External"/><Relationship Id="rId42" Type="http://schemas.openxmlformats.org/officeDocument/2006/relationships/hyperlink" Target="https://www.cipd.co.uk/knowledge/fundamentals/emp-law/about/uk-court-system-factsheet" TargetMode="External"/><Relationship Id="rId47" Type="http://schemas.openxmlformats.org/officeDocument/2006/relationships/hyperlink" Target="https://www.legislation.gov.uk/ukpga/1998/42/contents" TargetMode="External"/><Relationship Id="rId50" Type="http://schemas.openxmlformats.org/officeDocument/2006/relationships/hyperlink" Target="https://www.gov.uk/understanding-your-pay/deductions-from-your-pay" TargetMode="External"/><Relationship Id="rId55" Type="http://schemas.openxmlformats.org/officeDocument/2006/relationships/hyperlink" Target="https://www.tribunalclaim.com/gross-misconduct-burchell-test/" TargetMode="External"/><Relationship Id="rId7" Type="http://schemas.openxmlformats.org/officeDocument/2006/relationships/hyperlink" Target="https://www.acas.org.uk/the-maximum-hours-an-employee-can-work" TargetMode="External"/><Relationship Id="rId2" Type="http://schemas.openxmlformats.org/officeDocument/2006/relationships/styles" Target="styles.xml"/><Relationship Id="rId16" Type="http://schemas.openxmlformats.org/officeDocument/2006/relationships/hyperlink" Target="https://www.cipd.co.uk/knowledge/fundamentals/emp-law/about/uk-court-system-factsheet" TargetMode="External"/><Relationship Id="rId29" Type="http://schemas.openxmlformats.org/officeDocument/2006/relationships/hyperlink" Target="https://www.tribunalclaim.com/gross-misconduct-burchell-test/" TargetMode="External"/><Relationship Id="rId11" Type="http://schemas.openxmlformats.org/officeDocument/2006/relationships/hyperlink" Target="https://www.acas.org.uk/what-an-employment-contract-is" TargetMode="External"/><Relationship Id="rId24" Type="http://schemas.openxmlformats.org/officeDocument/2006/relationships/hyperlink" Target="https://www.gov.uk/understanding-your-pay/deductions-from-your-pay" TargetMode="External"/><Relationship Id="rId32" Type="http://schemas.openxmlformats.org/officeDocument/2006/relationships/hyperlink" Target="https://www.acas.org.uk/the-maximum-hours-an-employee-can-work" TargetMode="External"/><Relationship Id="rId37" Type="http://schemas.openxmlformats.org/officeDocument/2006/relationships/hyperlink" Target="https://www.acas.org.uk/your-paternity-rights-leave-and-pay/taking-paternity-leave" TargetMode="External"/><Relationship Id="rId40" Type="http://schemas.openxmlformats.org/officeDocument/2006/relationships/hyperlink" Target="https://www.cipd.co.uk/knowledge/fundamentals/emp-law/terms-conditions/contracts-factsheet" TargetMode="External"/><Relationship Id="rId45" Type="http://schemas.openxmlformats.org/officeDocument/2006/relationships/hyperlink" Target="https://www.legislation.gov.uk/ukpga/1996/18/part/X" TargetMode="External"/><Relationship Id="rId53" Type="http://schemas.openxmlformats.org/officeDocument/2006/relationships/hyperlink" Target="https://www.personneltoday.com/hr/why-employers-need-to-understand-associative-discrimination/" TargetMode="External"/><Relationship Id="rId58" Type="http://schemas.openxmlformats.org/officeDocument/2006/relationships/theme" Target="theme/theme1.xml"/><Relationship Id="rId5" Type="http://schemas.openxmlformats.org/officeDocument/2006/relationships/hyperlink" Target="https://www.acas.org.uk/acas-code-of-practice-for-disciplinary-and-grievance-procedures/html" TargetMode="External"/><Relationship Id="rId19" Type="http://schemas.openxmlformats.org/officeDocument/2006/relationships/hyperlink" Target="https://www.legislation.gov.uk/ukpga/1996/18/part/X" TargetMode="External"/><Relationship Id="rId4" Type="http://schemas.openxmlformats.org/officeDocument/2006/relationships/webSettings" Target="webSettings.xml"/><Relationship Id="rId9" Type="http://schemas.openxmlformats.org/officeDocument/2006/relationships/hyperlink" Target="https://www.acas.org.uk/dismissals/unfair-dismissal" TargetMode="External"/><Relationship Id="rId14" Type="http://schemas.openxmlformats.org/officeDocument/2006/relationships/hyperlink" Target="https://www.cipd.co.uk/knowledge/fundamentals/emp-law/terms-conditions/contracts-factsheet" TargetMode="External"/><Relationship Id="rId22" Type="http://schemas.openxmlformats.org/officeDocument/2006/relationships/hyperlink" Target="https://www.gov.uk/government/news/uk-gender-pay-gap" TargetMode="External"/><Relationship Id="rId27" Type="http://schemas.openxmlformats.org/officeDocument/2006/relationships/hyperlink" Target="https://www.personneltoday.com/hr/why-employers-need-to-understand-associative-discrimination/" TargetMode="External"/><Relationship Id="rId30" Type="http://schemas.openxmlformats.org/officeDocument/2006/relationships/hyperlink" Target="https://www.acas.org.uk/acas-code-of-practice-for-disciplinary-and-grievance-procedures/html" TargetMode="External"/><Relationship Id="rId35" Type="http://schemas.openxmlformats.org/officeDocument/2006/relationships/hyperlink" Target="https://www.acas.org.uk/early-conciliation/how-early-conciliation-works" TargetMode="External"/><Relationship Id="rId43" Type="http://schemas.openxmlformats.org/officeDocument/2006/relationships/hyperlink" Target="https://www.cipd.co.uk/knowledge/fundamentals/emp-law/redundancy/factsheet" TargetMode="External"/><Relationship Id="rId48" Type="http://schemas.openxmlformats.org/officeDocument/2006/relationships/hyperlink" Target="https://www.gov.uk/government/news/uk-gender-pay-gap" TargetMode="External"/><Relationship Id="rId56" Type="http://schemas.openxmlformats.org/officeDocument/2006/relationships/hyperlink" Target="https://www.danielbarnett.co.uk/site/blog/employment-blog/tribunal-procedure-120421" TargetMode="External"/><Relationship Id="rId8" Type="http://schemas.openxmlformats.org/officeDocument/2006/relationships/hyperlink" Target="https://www.acas.org.uk/discrimination-and-the-law/direct-and-indirect-discrimination" TargetMode="External"/><Relationship Id="rId51" Type="http://schemas.openxmlformats.org/officeDocument/2006/relationships/hyperlink" Target="https://moodle.uwtsd.ac.uk/pluginfile.php/228249/mod_resource/content/1/Employment-Hearing-Structures-Summary.pdf" TargetMode="External"/><Relationship Id="rId3" Type="http://schemas.openxmlformats.org/officeDocument/2006/relationships/settings" Target="settings.xml"/><Relationship Id="rId12" Type="http://schemas.openxmlformats.org/officeDocument/2006/relationships/hyperlink" Target="https://www.acas.org.uk/your-paternity-rights-leave-and-pay/taking-paternity-leave" TargetMode="External"/><Relationship Id="rId17" Type="http://schemas.openxmlformats.org/officeDocument/2006/relationships/hyperlink" Target="https://www.cipd.co.uk/knowledge/fundamentals/emp-law/redundancy/factsheet" TargetMode="External"/><Relationship Id="rId25" Type="http://schemas.openxmlformats.org/officeDocument/2006/relationships/hyperlink" Target="https://moodle.uwtsd.ac.uk/pluginfile.php/228249/mod_resource/content/1/Employment-Hearing-Structures-Summary.pdf" TargetMode="External"/><Relationship Id="rId33" Type="http://schemas.openxmlformats.org/officeDocument/2006/relationships/hyperlink" Target="https://www.acas.org.uk/discrimination-and-the-law/direct-and-indirect-discrimination" TargetMode="External"/><Relationship Id="rId38" Type="http://schemas.openxmlformats.org/officeDocument/2006/relationships/hyperlink" Target="https://www.danielbarnett.co.uk/site/blog/employment-blog/tribunal-procedure-120421" TargetMode="External"/><Relationship Id="rId46" Type="http://schemas.openxmlformats.org/officeDocument/2006/relationships/hyperlink" Target="https://www.legislation.gov.uk/ukpga/2010/15/contents"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www.cipd.co.uk/knowledge/fundamentals/emp-law/dismissal/factsheet" TargetMode="External"/><Relationship Id="rId54" Type="http://schemas.openxmlformats.org/officeDocument/2006/relationships/hyperlink" Target="https://www.bbc.co.uk/news/business-56123668" TargetMode="External"/><Relationship Id="rId1" Type="http://schemas.openxmlformats.org/officeDocument/2006/relationships/numbering" Target="numbering.xml"/><Relationship Id="rId6" Type="http://schemas.openxmlformats.org/officeDocument/2006/relationships/hyperlink" Target="https://www.acas.org.uk/changing-an-employment-contract/consult-employees-to-agree-changes" TargetMode="External"/><Relationship Id="rId15" Type="http://schemas.openxmlformats.org/officeDocument/2006/relationships/hyperlink" Target="https://www.cipd.co.uk/knowledge/fundamentals/emp-law/dismissal/factsheet" TargetMode="External"/><Relationship Id="rId23" Type="http://schemas.openxmlformats.org/officeDocument/2006/relationships/hyperlink" Target="https://www.legislation.gov.uk/ukpga/1992/52/part/IV/chapter/II" TargetMode="External"/><Relationship Id="rId28" Type="http://schemas.openxmlformats.org/officeDocument/2006/relationships/hyperlink" Target="https://www.bbc.co.uk/news/business-56123668" TargetMode="External"/><Relationship Id="rId36" Type="http://schemas.openxmlformats.org/officeDocument/2006/relationships/hyperlink" Target="https://www.acas.org.uk/what-an-employment-contract-is" TargetMode="External"/><Relationship Id="rId49" Type="http://schemas.openxmlformats.org/officeDocument/2006/relationships/hyperlink" Target="https://www.legislation.gov.uk/ukpga/1992/52/part/IV/chapter/II" TargetMode="External"/><Relationship Id="rId57" Type="http://schemas.openxmlformats.org/officeDocument/2006/relationships/fontTable" Target="fontTable.xml"/><Relationship Id="rId10" Type="http://schemas.openxmlformats.org/officeDocument/2006/relationships/hyperlink" Target="https://www.acas.org.uk/early-conciliation/how-early-conciliation-works" TargetMode="External"/><Relationship Id="rId31" Type="http://schemas.openxmlformats.org/officeDocument/2006/relationships/hyperlink" Target="https://www.acas.org.uk/changing-an-employment-contract/consult-employees-to-agree-changes" TargetMode="External"/><Relationship Id="rId44" Type="http://schemas.openxmlformats.org/officeDocument/2006/relationships/hyperlink" Target="https://www.cipd.co.uk/knowledge/fundamentals/emp-law/working-time/factsheet" TargetMode="External"/><Relationship Id="rId52" Type="http://schemas.openxmlformats.org/officeDocument/2006/relationships/hyperlink" Target="https://www.nhs.uk/pregnancy/finding-out/maternity-and-paternity-benefits-and-le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TotalTime>
  <Pages>15</Pages>
  <Words>6232</Words>
  <Characters>35524</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81</cp:revision>
  <dcterms:created xsi:type="dcterms:W3CDTF">2021-04-17T20:31:00Z</dcterms:created>
  <dcterms:modified xsi:type="dcterms:W3CDTF">2021-04-19T18:11:00Z</dcterms:modified>
</cp:coreProperties>
</file>