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56F06">
        <w:tc>
          <w:tcPr>
            <w:tcW w:w="9922" w:type="dxa"/>
            <w:shd w:val="clear" w:color="auto" w:fill="C0C0C0"/>
          </w:tcPr>
          <w:p w14:paraId="4A9088E2" w14:textId="77777777" w:rsidR="00763CB3" w:rsidRPr="00876921" w:rsidRDefault="00763CB3" w:rsidP="00656F06">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3CB3" w:rsidRPr="00876921" w14:paraId="31839A4F" w14:textId="77777777" w:rsidTr="00B526D4">
        <w:tc>
          <w:tcPr>
            <w:tcW w:w="2093" w:type="dxa"/>
            <w:shd w:val="clear" w:color="auto" w:fill="auto"/>
          </w:tcPr>
          <w:p w14:paraId="2774B0F3"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6EF7B2FB" w:rsidR="00763CB3" w:rsidRPr="00876921" w:rsidRDefault="00656F06" w:rsidP="00656F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Amy Sharp</w:t>
            </w:r>
          </w:p>
        </w:tc>
        <w:tc>
          <w:tcPr>
            <w:tcW w:w="2268" w:type="dxa"/>
            <w:shd w:val="clear" w:color="auto" w:fill="D9D9D9" w:themeFill="background1" w:themeFillShade="D9"/>
          </w:tcPr>
          <w:p w14:paraId="3C49D852"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463D5F79" w:rsidR="00763CB3" w:rsidRPr="00876921" w:rsidRDefault="00B526D4" w:rsidP="00656F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1815874</w:t>
            </w:r>
          </w:p>
        </w:tc>
      </w:tr>
      <w:tr w:rsidR="00763CB3" w:rsidRPr="00876921" w14:paraId="62602496" w14:textId="77777777" w:rsidTr="00B526D4">
        <w:tc>
          <w:tcPr>
            <w:tcW w:w="2093" w:type="dxa"/>
            <w:shd w:val="clear" w:color="auto" w:fill="auto"/>
          </w:tcPr>
          <w:p w14:paraId="20C38791"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656F06">
            <w:pPr>
              <w:spacing w:before="120" w:after="120" w:line="240" w:lineRule="auto"/>
              <w:jc w:val="both"/>
              <w:rPr>
                <w:rFonts w:ascii="Arial" w:eastAsia="Times New Roman" w:hAnsi="Arial" w:cs="Arial"/>
                <w:b/>
                <w:lang w:eastAsia="en-GB"/>
              </w:rPr>
            </w:pPr>
          </w:p>
        </w:tc>
      </w:tr>
      <w:tr w:rsidR="00763CB3" w:rsidRPr="00876921" w14:paraId="11D4B072" w14:textId="77777777" w:rsidTr="00B526D4">
        <w:tc>
          <w:tcPr>
            <w:tcW w:w="2093" w:type="dxa"/>
            <w:shd w:val="clear" w:color="auto" w:fill="auto"/>
          </w:tcPr>
          <w:p w14:paraId="1D686F4D"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656F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B526D4">
        <w:tc>
          <w:tcPr>
            <w:tcW w:w="2093" w:type="dxa"/>
            <w:shd w:val="clear" w:color="auto" w:fill="auto"/>
          </w:tcPr>
          <w:p w14:paraId="2781D01F"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656F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56F06">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B526D4">
        <w:tc>
          <w:tcPr>
            <w:tcW w:w="2093" w:type="dxa"/>
            <w:shd w:val="clear" w:color="auto" w:fill="auto"/>
          </w:tcPr>
          <w:p w14:paraId="6F089514" w14:textId="77777777" w:rsidR="00763CB3" w:rsidRPr="00876921" w:rsidRDefault="00763CB3" w:rsidP="00656F06">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656F06">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56F06">
            <w:pPr>
              <w:spacing w:before="120" w:after="120" w:line="240" w:lineRule="auto"/>
              <w:jc w:val="both"/>
              <w:rPr>
                <w:rFonts w:ascii="Arial" w:eastAsia="Times New Roman" w:hAnsi="Arial" w:cs="Arial"/>
                <w:b/>
                <w:lang w:eastAsia="en-GB"/>
              </w:rPr>
            </w:pPr>
          </w:p>
        </w:tc>
      </w:tr>
      <w:tr w:rsidR="00763CB3" w:rsidRPr="00876921" w14:paraId="6DE58ABE" w14:textId="77777777" w:rsidTr="00B526D4">
        <w:tc>
          <w:tcPr>
            <w:tcW w:w="2093" w:type="dxa"/>
            <w:shd w:val="clear" w:color="auto" w:fill="auto"/>
          </w:tcPr>
          <w:p w14:paraId="72386433"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656F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clear" w:color="auto" w:fill="auto"/>
          </w:tcPr>
          <w:p w14:paraId="69C56199"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56F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B526D4">
        <w:tc>
          <w:tcPr>
            <w:tcW w:w="2093" w:type="dxa"/>
            <w:shd w:val="clear" w:color="auto" w:fill="auto"/>
          </w:tcPr>
          <w:p w14:paraId="1A089A08"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81688E3" w:rsidR="00763CB3" w:rsidRPr="00876921" w:rsidRDefault="00DC3BA2" w:rsidP="00656F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Pr="00DC3BA2">
              <w:rPr>
                <w:rFonts w:ascii="Arial" w:eastAsia="Times New Roman" w:hAnsi="Arial" w:cs="Arial"/>
                <w:b/>
                <w:vertAlign w:val="superscript"/>
                <w:lang w:eastAsia="en-GB"/>
              </w:rPr>
              <w:t>th</w:t>
            </w:r>
            <w:r>
              <w:rPr>
                <w:rFonts w:ascii="Arial" w:eastAsia="Times New Roman" w:hAnsi="Arial" w:cs="Arial"/>
                <w:b/>
                <w:lang w:eastAsia="en-GB"/>
              </w:rPr>
              <w:t xml:space="preserve"> January 2021</w:t>
            </w:r>
          </w:p>
        </w:tc>
        <w:tc>
          <w:tcPr>
            <w:tcW w:w="2268" w:type="dxa"/>
            <w:shd w:val="clear" w:color="auto" w:fill="auto"/>
          </w:tcPr>
          <w:p w14:paraId="73ECFA60"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35DC456" w:rsidR="00763CB3" w:rsidRPr="00876921" w:rsidRDefault="3899A0CF" w:rsidP="0CC06466">
            <w:pPr>
              <w:spacing w:before="120" w:after="120" w:line="240" w:lineRule="auto"/>
              <w:jc w:val="both"/>
              <w:rPr>
                <w:rFonts w:ascii="Arial" w:eastAsia="Times New Roman" w:hAnsi="Arial" w:cs="Arial"/>
                <w:b/>
                <w:bCs/>
                <w:lang w:eastAsia="en-GB"/>
              </w:rPr>
            </w:pPr>
            <w:r w:rsidRPr="0CC06466">
              <w:rPr>
                <w:rFonts w:ascii="Arial" w:eastAsia="Times New Roman" w:hAnsi="Arial" w:cs="Arial"/>
                <w:b/>
                <w:bCs/>
                <w:lang w:eastAsia="en-GB"/>
              </w:rPr>
              <w:t>20 working days</w:t>
            </w:r>
          </w:p>
        </w:tc>
      </w:tr>
      <w:tr w:rsidR="00763CB3" w:rsidRPr="00876921" w14:paraId="06994002" w14:textId="77777777" w:rsidTr="00B526D4">
        <w:tc>
          <w:tcPr>
            <w:tcW w:w="2093" w:type="dxa"/>
            <w:shd w:val="clear" w:color="auto" w:fill="auto"/>
          </w:tcPr>
          <w:p w14:paraId="29059159"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56F06">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unless otherwise instructed by the Lecturer. (Please DO NOT put this assessment specification into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or it will match many similarities with other students’ submissions.)</w:t>
            </w:r>
          </w:p>
          <w:p w14:paraId="5C1AAE30" w14:textId="77777777" w:rsidR="00763CB3" w:rsidRPr="00876921" w:rsidRDefault="00763CB3" w:rsidP="00656F06">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B526D4">
        <w:tc>
          <w:tcPr>
            <w:tcW w:w="2093" w:type="dxa"/>
            <w:shd w:val="clear" w:color="auto" w:fill="auto"/>
          </w:tcPr>
          <w:p w14:paraId="403934AA" w14:textId="77777777" w:rsidR="00763CB3" w:rsidRPr="00876921" w:rsidRDefault="00763CB3" w:rsidP="00656F06">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56F06">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6DA6307A" w14:textId="2BCC31D6" w:rsidR="00763CB3" w:rsidRPr="00876921" w:rsidRDefault="00763CB3" w:rsidP="00656F06">
            <w:pPr>
              <w:spacing w:before="120" w:after="120" w:line="240" w:lineRule="auto"/>
              <w:jc w:val="both"/>
              <w:rPr>
                <w:rFonts w:ascii="Arial" w:eastAsia="Times New Roman" w:hAnsi="Arial" w:cs="Arial"/>
                <w:lang w:eastAsia="en-GB"/>
              </w:rPr>
            </w:pPr>
          </w:p>
        </w:tc>
      </w:tr>
    </w:tbl>
    <w:p w14:paraId="52B2B521" w14:textId="58D6E07C" w:rsidR="00763CB3" w:rsidRDefault="00763CB3" w:rsidP="00763CB3"/>
    <w:p w14:paraId="466EE477" w14:textId="273F86E5" w:rsidR="00B526D4" w:rsidRDefault="00B526D4" w:rsidP="00763CB3"/>
    <w:p w14:paraId="4B26B49D" w14:textId="53A0B13D" w:rsidR="00B526D4" w:rsidRDefault="00B526D4" w:rsidP="00763CB3"/>
    <w:p w14:paraId="56BC4A79" w14:textId="1081F195" w:rsidR="00B526D4" w:rsidRDefault="00B526D4" w:rsidP="00763CB3"/>
    <w:p w14:paraId="641D8AA3" w14:textId="5C5C812E" w:rsidR="00B526D4" w:rsidRDefault="00B526D4" w:rsidP="00763CB3"/>
    <w:p w14:paraId="63D4A61D" w14:textId="6FF58FA8" w:rsidR="00B526D4" w:rsidRDefault="00B526D4" w:rsidP="00763CB3"/>
    <w:p w14:paraId="3A951A2A" w14:textId="05199A19" w:rsidR="00B526D4" w:rsidRDefault="00B526D4" w:rsidP="00763CB3"/>
    <w:p w14:paraId="42396695" w14:textId="2F213021" w:rsidR="00B526D4" w:rsidRDefault="00B526D4" w:rsidP="00763CB3"/>
    <w:p w14:paraId="1F6FC218" w14:textId="77777777" w:rsidR="000241A0" w:rsidRDefault="000241A0" w:rsidP="000241A0">
      <w:pPr>
        <w:overflowPunct w:val="0"/>
        <w:autoSpaceDE w:val="0"/>
        <w:autoSpaceDN w:val="0"/>
        <w:adjustRightInd w:val="0"/>
        <w:spacing w:before="240" w:after="0" w:line="240" w:lineRule="auto"/>
        <w:textAlignment w:val="baseline"/>
        <w:rPr>
          <w:rFonts w:ascii="Arial" w:eastAsia="Times New Roman" w:hAnsi="Arial" w:cs="Arial"/>
          <w:b/>
          <w:u w:val="single"/>
          <w:lang w:eastAsia="en-GB"/>
        </w:rPr>
      </w:pPr>
    </w:p>
    <w:p w14:paraId="4888AF7A" w14:textId="12995572" w:rsidR="000241A0" w:rsidRDefault="000241A0" w:rsidP="000241A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u w:val="single"/>
          <w:lang w:eastAsia="en-GB"/>
        </w:rPr>
        <w:lastRenderedPageBreak/>
        <w:t>Title 1</w:t>
      </w:r>
    </w:p>
    <w:p w14:paraId="3EC0AB32" w14:textId="77777777" w:rsidR="000241A0" w:rsidRPr="007F505A" w:rsidRDefault="000241A0" w:rsidP="000241A0">
      <w:pPr>
        <w:overflowPunct w:val="0"/>
        <w:autoSpaceDE w:val="0"/>
        <w:autoSpaceDN w:val="0"/>
        <w:adjustRightInd w:val="0"/>
        <w:spacing w:before="240" w:after="0" w:line="240" w:lineRule="auto"/>
        <w:textAlignment w:val="baseline"/>
        <w:rPr>
          <w:rFonts w:ascii="Arial" w:eastAsia="Times New Roman" w:hAnsi="Arial" w:cs="Arial"/>
          <w:b/>
          <w:lang w:eastAsia="en-GB"/>
        </w:rPr>
      </w:pPr>
      <w:r w:rsidRPr="007F505A">
        <w:rPr>
          <w:rFonts w:ascii="Arial" w:eastAsia="Times New Roman" w:hAnsi="Arial" w:cs="Arial"/>
          <w:b/>
          <w:lang w:eastAsia="en-GB"/>
        </w:rPr>
        <w:t>Analyse why key incidents/events have had a damaging effect on the willingness of communities to engage with the police. Evaluate the role of community policing in fostering and maintaining community cohesion and understand and apply key principles of effective community engagement</w:t>
      </w:r>
    </w:p>
    <w:p w14:paraId="007468C5" w14:textId="77777777" w:rsidR="000241A0" w:rsidRDefault="000241A0" w:rsidP="000241A0"/>
    <w:p w14:paraId="0CE40B9C" w14:textId="77777777" w:rsidR="000241A0" w:rsidRDefault="000241A0" w:rsidP="000241A0">
      <w:pPr>
        <w:jc w:val="both"/>
      </w:pPr>
      <w:r>
        <w:t xml:space="preserve">The concept of community policing has never been more important than it is in today’s society. In the last year alone the Black Lives Matter movement has highlighted a continued </w:t>
      </w:r>
      <w:proofErr w:type="spellStart"/>
      <w:r>
        <w:t>mis</w:t>
      </w:r>
      <w:proofErr w:type="spellEnd"/>
      <w:r>
        <w:t xml:space="preserve">-trust of the police by some of the minority ethnic members of society which has led to civil unrest and large scale protests during the summer months. This combined with policing the coronavirus pandemic with limited resources, has meant that co-operation from the public has been imperative towards tackling and preventing crime, as well as protecting society from a deadly virus. Sir Robert Peel (1829) famously coined the phrase ‘policing by consent’ which underpins everything the police do. ‘Without the co-operation of the public, policing in developed democracies would become essentially unworkable’ (COP, 2013). </w:t>
      </w:r>
    </w:p>
    <w:p w14:paraId="239E2270" w14:textId="77777777" w:rsidR="000241A0" w:rsidRDefault="000241A0" w:rsidP="000241A0">
      <w:pPr>
        <w:jc w:val="both"/>
      </w:pPr>
      <w:r>
        <w:t xml:space="preserve">Community Policing is ‘an essential part of the UK policing approach, that aims to connect communities directly and seamlessly to specialise policing services at a local, regional and national level’ (COP, </w:t>
      </w:r>
      <w:proofErr w:type="spellStart"/>
      <w:r>
        <w:t>n.d</w:t>
      </w:r>
      <w:proofErr w:type="spellEnd"/>
      <w:r>
        <w:t xml:space="preserve">). Engaging with the community and working collaboratively can have a positive impact on reducing crime and disorder as well as improving the communities attitudes and trust in the police (Cole &amp; Smith, 2007). However, without the trust from the community this can have a damaging effect on the willingness of communities to engage with the police and therefore impact on the police’s ability to combat crime and in some cases can lead to large scale disorder. This was evident in the 1980’s where there was a growing </w:t>
      </w:r>
      <w:proofErr w:type="spellStart"/>
      <w:r>
        <w:t>mis</w:t>
      </w:r>
      <w:proofErr w:type="spellEnd"/>
      <w:r>
        <w:t xml:space="preserve">-trust between the police and the black communities within the United Kingdom. This famously led to the Brixton Riots in 1981 which saw casualties, both civilian and police, as well as damage to property totalling millions of pounds. This incident also drove a further wedge between the police and the local communities </w:t>
      </w:r>
      <w:r w:rsidRPr="007F505A">
        <w:t>(Bryant et al, 2019).</w:t>
      </w:r>
      <w:r>
        <w:rPr>
          <w:b/>
        </w:rPr>
        <w:t xml:space="preserve"> </w:t>
      </w:r>
      <w:r>
        <w:t xml:space="preserve">The </w:t>
      </w:r>
      <w:proofErr w:type="spellStart"/>
      <w:r>
        <w:t>Scarman</w:t>
      </w:r>
      <w:proofErr w:type="spellEnd"/>
      <w:r>
        <w:t xml:space="preserve"> Report (1981) found the catalyst for these riots were following a breakdown in community engagement between the police and the local community following an increase in stop searches of young black males, road blocks and arrests </w:t>
      </w:r>
      <w:r w:rsidRPr="00A5574F">
        <w:t>(SCARMAN, 1981).</w:t>
      </w:r>
      <w:r>
        <w:t xml:space="preserve"> Despite police reforms made with regards to accountability and the complaints procedures, community relations continued to be strained. This was evident following the death of Stephen Lawrence after police were accused of not investigating his murder thoroughly because of his race. The subsequent Macpherson Report (1999)</w:t>
      </w:r>
      <w:r>
        <w:rPr>
          <w:b/>
        </w:rPr>
        <w:t xml:space="preserve"> </w:t>
      </w:r>
      <w:r>
        <w:t xml:space="preserve">highlighted continued failings by the police as an organisation as well as a lack of engagement with and understanding of, the local communities. Following the publication of this report a number of changes were implemented within the police as a way to improve community relations. The most notable change was the introduction of Police Community Support Officers (PCSOs) in 2002. Their role was to “act as a key liaison point between local communities and policing” </w:t>
      </w:r>
      <w:r w:rsidRPr="00C61065">
        <w:t xml:space="preserve">(COP, </w:t>
      </w:r>
      <w:proofErr w:type="spellStart"/>
      <w:r w:rsidRPr="00C61065">
        <w:t>n.d</w:t>
      </w:r>
      <w:proofErr w:type="spellEnd"/>
      <w:r w:rsidRPr="00C61065">
        <w:t>).</w:t>
      </w:r>
      <w:r>
        <w:t xml:space="preserve"> In a survey conducted by the Home Office </w:t>
      </w:r>
      <w:r w:rsidRPr="00A976F1">
        <w:t>(2005)</w:t>
      </w:r>
      <w:r>
        <w:rPr>
          <w:b/>
        </w:rPr>
        <w:t xml:space="preserve"> </w:t>
      </w:r>
      <w:r>
        <w:t xml:space="preserve">it was found there had been significant improvements in the way in which local communities were consulted and found that the police were now “equal or better than other agencies” (Foster et al, 2005). </w:t>
      </w:r>
    </w:p>
    <w:p w14:paraId="049BDB99" w14:textId="77777777" w:rsidR="000241A0" w:rsidRDefault="000241A0" w:rsidP="000241A0">
      <w:pPr>
        <w:jc w:val="both"/>
      </w:pPr>
      <w:r>
        <w:t xml:space="preserve">To ensure effective community engagement it is important the key principles are followed: Set realistic expectations, provide a suitable and accessible environment for the community to engage and develop partnership working (CREW, 2015). In terms of community policing this is applied in a number of different ways. For example, more visible patrols and accessibility to a local police officer, </w:t>
      </w:r>
      <w:proofErr w:type="spellStart"/>
      <w:r>
        <w:t>i.e</w:t>
      </w:r>
      <w:proofErr w:type="spellEnd"/>
      <w:r>
        <w:t xml:space="preserve"> the local PCSO. Police are also engaged in Police and Communities Together (PACT) meetings which provide local communities a space to discuss their concerns with their local police officers, as well partner agencies like the local council.</w:t>
      </w:r>
    </w:p>
    <w:p w14:paraId="6A44418D" w14:textId="77777777" w:rsidR="000241A0" w:rsidRDefault="000241A0" w:rsidP="000241A0">
      <w:pPr>
        <w:jc w:val="both"/>
      </w:pPr>
      <w:r>
        <w:t xml:space="preserve">When community engagement is conducted effectively this can have a positive impact on the outcome of a particular policing priority. For example tackling anti-social behaviour (ASB). By engaging with the community to establish the problem areas, discuss target hardening measures and collaborating with local authorities, this can help to tackle anti-social behaviour. However, where community engagement is not delivered or is delivered badly “it can raise opposition and create a hostile local environment that can challenge the successful completion of delivery” (CREW, 2015). For example, the enforcement of coronavirus legislation. Due to the ever changing guidance and legislation imposed by the government, this has made it difficult to communicate clearly with the local communities, thus making it difficult to manage and police. </w:t>
      </w:r>
    </w:p>
    <w:p w14:paraId="5793B2EC" w14:textId="77777777" w:rsidR="000241A0" w:rsidRDefault="000241A0" w:rsidP="000241A0">
      <w:pPr>
        <w:jc w:val="both"/>
      </w:pPr>
      <w:r>
        <w:t xml:space="preserve">Community engagement is not only important for improving relations between local communities and the police but it is also a great tool for maintaining community cohesion. Following the terrorist attacks in 2001 and again in 2005 </w:t>
      </w:r>
      <w:r>
        <w:lastRenderedPageBreak/>
        <w:t xml:space="preserve">there was a significant increase on attacks against British </w:t>
      </w:r>
      <w:proofErr w:type="spellStart"/>
      <w:proofErr w:type="gramStart"/>
      <w:r>
        <w:t>muslims</w:t>
      </w:r>
      <w:proofErr w:type="spellEnd"/>
      <w:proofErr w:type="gramEnd"/>
      <w:r>
        <w:t xml:space="preserve">. In a report conducted by the University of Leicester it was found there was a 600% increase of hate crimes against </w:t>
      </w:r>
      <w:proofErr w:type="spellStart"/>
      <w:r>
        <w:t>muslims</w:t>
      </w:r>
      <w:proofErr w:type="spellEnd"/>
      <w:r>
        <w:t xml:space="preserve"> in 2005 compared to the previous year (</w:t>
      </w:r>
      <w:proofErr w:type="spellStart"/>
      <w:r>
        <w:t>Ratcliffe</w:t>
      </w:r>
      <w:proofErr w:type="spellEnd"/>
      <w:r>
        <w:t xml:space="preserve"> et al, 2013). By engaging with the local communities and adopting a multi-agency approach, this can have a positive impact on community cohesion. </w:t>
      </w:r>
    </w:p>
    <w:p w14:paraId="5843F115" w14:textId="77777777" w:rsidR="000241A0" w:rsidRPr="006F2EC6" w:rsidRDefault="000241A0" w:rsidP="000241A0">
      <w:pPr>
        <w:jc w:val="both"/>
      </w:pPr>
      <w:r>
        <w:t>If history has taught us anything it is the importance of community engagement particularly when it comes to policing. The basis of a democracy is that the people feel they are heard, are adequately represented and involved in the decision making process. The policing of neighbourhoods has a direct impact on the residents or community within that neighbourhood. However, what may be a priority for one may not be a priority for another. For example policing of the inner cities  will be very different to policing more rural areas, as the type of crime is very different and in some cases so is the socio-economic status. As a result, it is necessary to understand the local policing priorities and needs as well as the regional ones. The police are merely citizens in uniform and as a result need to ensure they are policing for their communities and not just as enforcers of the law, after all “the public are the police and the police are the public” (Peel, 1829)</w:t>
      </w:r>
    </w:p>
    <w:p w14:paraId="41849B4E" w14:textId="77777777" w:rsidR="000241A0" w:rsidRDefault="000241A0" w:rsidP="000241A0">
      <w:pPr>
        <w:rPr>
          <w:b/>
        </w:rPr>
      </w:pPr>
    </w:p>
    <w:p w14:paraId="1746CFA9" w14:textId="77777777" w:rsidR="000241A0" w:rsidRPr="00C61065" w:rsidRDefault="000241A0" w:rsidP="000241A0">
      <w:r w:rsidRPr="00C61065">
        <w:t>(Word Count: 992)</w:t>
      </w:r>
    </w:p>
    <w:p w14:paraId="27403F33" w14:textId="66C55FDE" w:rsidR="00B526D4" w:rsidRDefault="00B526D4" w:rsidP="00763CB3"/>
    <w:p w14:paraId="3CFBA768" w14:textId="1D521FDE" w:rsidR="00B526D4" w:rsidRDefault="00B526D4" w:rsidP="00763CB3"/>
    <w:p w14:paraId="4CE1DF93"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23487A07"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36665167"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5416ED83"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10DCB257"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401DE2D2"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105525F2"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097E643B"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036FEF41"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6CC649DF"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20544C25"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7B163B19"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7C687C45"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3ED4C29B"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762A5378"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7FC6D0A9"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73365476"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3F5CBC90" w14:textId="77777777"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0B7073C5" w14:textId="40378E8C" w:rsidR="000241A0" w:rsidRDefault="000241A0"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3AD78E43" w14:textId="77777777" w:rsidR="005E4F47" w:rsidRDefault="005E4F47" w:rsidP="005E4F47">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E700BF">
        <w:rPr>
          <w:rFonts w:ascii="Arial" w:eastAsia="Times New Roman" w:hAnsi="Arial" w:cs="Arial"/>
          <w:b/>
          <w:u w:val="single"/>
          <w:lang w:eastAsia="en-GB"/>
        </w:rPr>
        <w:lastRenderedPageBreak/>
        <w:t>Title 2:</w:t>
      </w:r>
      <w:r w:rsidRPr="0CC06466">
        <w:rPr>
          <w:rFonts w:ascii="Arial" w:eastAsia="Times New Roman" w:hAnsi="Arial" w:cs="Arial"/>
          <w:lang w:eastAsia="en-GB"/>
        </w:rPr>
        <w:t xml:space="preserve"> </w:t>
      </w:r>
    </w:p>
    <w:p w14:paraId="7A796665" w14:textId="77777777" w:rsidR="005E4F47" w:rsidRPr="00200DA4" w:rsidRDefault="005E4F47" w:rsidP="005E4F47">
      <w:pPr>
        <w:overflowPunct w:val="0"/>
        <w:autoSpaceDE w:val="0"/>
        <w:autoSpaceDN w:val="0"/>
        <w:adjustRightInd w:val="0"/>
        <w:spacing w:before="240" w:after="0" w:line="240" w:lineRule="auto"/>
        <w:textAlignment w:val="baseline"/>
        <w:rPr>
          <w:rFonts w:ascii="Arial" w:eastAsia="Times New Roman" w:hAnsi="Arial" w:cs="Arial"/>
          <w:b/>
          <w:lang w:eastAsia="en-GB"/>
        </w:rPr>
      </w:pPr>
      <w:r w:rsidRPr="00200DA4">
        <w:rPr>
          <w:rFonts w:ascii="Arial" w:eastAsia="Times New Roman" w:hAnsi="Arial" w:cs="Arial"/>
          <w:b/>
          <w:lang w:eastAsia="en-GB"/>
        </w:rPr>
        <w:t>Assess the strengths and weakness of different policing models in relation to crime/victimisation and the public and explore crime prevention theories initiates and strategies. Explain and employ analytical products provided by intelligence specialists during an investigation</w:t>
      </w:r>
    </w:p>
    <w:p w14:paraId="5E089059" w14:textId="77777777" w:rsidR="005E4F47" w:rsidRDefault="005E4F47" w:rsidP="005E4F47">
      <w:pPr>
        <w:jc w:val="both"/>
      </w:pPr>
    </w:p>
    <w:p w14:paraId="5BA93A5B" w14:textId="1E5A2A87" w:rsidR="005E4F47" w:rsidRDefault="005E4F47" w:rsidP="005E4F47">
      <w:pPr>
        <w:jc w:val="both"/>
      </w:pPr>
      <w:r>
        <w:t xml:space="preserve">Over the years there have been a number of different policing models and crime prevention theories that have been developed and brought into policing practices. However, as with any model or theory they all have their strengths and weaknesses. </w:t>
      </w:r>
    </w:p>
    <w:p w14:paraId="06309B0A" w14:textId="77777777" w:rsidR="005E4F47" w:rsidRDefault="005E4F47" w:rsidP="005E4F47">
      <w:pPr>
        <w:jc w:val="both"/>
      </w:pPr>
      <w:r>
        <w:t xml:space="preserve">Problem-orientated policing or Problem Solving policing is one of the most common approaches in policing. The approach aims to tackle crime by identifying a specific problem through the use of analysis in order to understand the problem and provide a more tailored approach (COP, 2020). It was first introduced by Herman Goldstein in the 1970’s with the goal that police could be more effective if they focused their resources on particular problems rather than the traditional policing methods (Boba and Crank, 2008). This can be reflected through the policing campaigns often seen through various media outlets </w:t>
      </w:r>
      <w:proofErr w:type="spellStart"/>
      <w:r>
        <w:t>i.e</w:t>
      </w:r>
      <w:proofErr w:type="spellEnd"/>
      <w:r>
        <w:t xml:space="preserve"> The Drink Driving campaign over the Christmas period and in most recent years “Lives not Knives” following an increase in knife crime. The introduction of the problem orientated policing approach provided the grounds for a commonly used problem solving method called the SARA model. This is a four step process often used by officers when trying to tackle crime and disorder. The first step is the ‘Scanning’ stage where the problems are identified including their location and target areas. Once this has been established this then leads to the ‘Analysis’ stage where information and intelligence is gathered in order to ascertain what the root cause of the problems are and help to guide resources. The next stage is the ‘Response’ stage where strategies to solve the problems are implemented and finally is the ‘Assessment’ stage is where the actions taken are evaluated to see if they have had any effect on the problem initially identified in the ‘Scanning’ stage (ASU, </w:t>
      </w:r>
      <w:proofErr w:type="spellStart"/>
      <w:r>
        <w:t>n.d</w:t>
      </w:r>
      <w:proofErr w:type="spellEnd"/>
      <w:r>
        <w:t>). Research has found that problem-orientated policing and problem solving policing has been shown to reduce crime and disorder by 33.8% (</w:t>
      </w:r>
      <w:proofErr w:type="spellStart"/>
      <w:r>
        <w:t>Weisburd</w:t>
      </w:r>
      <w:proofErr w:type="spellEnd"/>
      <w:r>
        <w:t xml:space="preserve"> et al, 2008). Despite this approach seemingly having a positive outcome, it has been criticised in its application. Scott (2000) identified key weaknesses with the approach which included the misinterpretation of the word ‘problem’. Officers would incorrectly identify individual incidents as problems, i.e. a number of incidents conducted by a single perpetrator at a single location can be incorrectly regarded as a ‘problem’ for the purpose of problem-orientated policing (Boba &amp; Clark, 2008). The quality of the analysis is often ‘generally weak’ and implemented police responses ‘largely consist of traditional enforcement activities’ (</w:t>
      </w:r>
      <w:proofErr w:type="spellStart"/>
      <w:r>
        <w:t>Weisburd</w:t>
      </w:r>
      <w:proofErr w:type="spellEnd"/>
      <w:r>
        <w:t xml:space="preserve"> et al 2008).</w:t>
      </w:r>
    </w:p>
    <w:p w14:paraId="11B88A47" w14:textId="77777777" w:rsidR="005E4F47" w:rsidRDefault="005E4F47" w:rsidP="005E4F47">
      <w:pPr>
        <w:jc w:val="both"/>
      </w:pPr>
      <w:r>
        <w:t xml:space="preserve">The ’Broken Window’s’ theory was created by Wilson and </w:t>
      </w:r>
      <w:proofErr w:type="spellStart"/>
      <w:r>
        <w:t>Kelling</w:t>
      </w:r>
      <w:proofErr w:type="spellEnd"/>
      <w:r>
        <w:t xml:space="preserve"> in 1982 and suggests that visible signs of crime i.e. ‘broken windows’ can lead to further crime and disorder. This theory saw the birth of the “zero tolerance” approach to policing. Zero Tolerance interventions tend to be a more aggressive approach to tackling crime and disorder. As the title of the theory suggests there is no room for negotiation. On the surface this approach appears to be a more traditional style of policing however a review on the approach found that ‘this strategy did not generate statistically significant crime reductions, on average, and it runs the risks of damaging police-community relations’ (</w:t>
      </w:r>
      <w:proofErr w:type="spellStart"/>
      <w:r>
        <w:t>Skogan</w:t>
      </w:r>
      <w:proofErr w:type="spellEnd"/>
      <w:r>
        <w:t xml:space="preserve"> and </w:t>
      </w:r>
      <w:proofErr w:type="spellStart"/>
      <w:r>
        <w:t>Frydl</w:t>
      </w:r>
      <w:proofErr w:type="spellEnd"/>
      <w:r>
        <w:t xml:space="preserve">, 2004). This was evident in the 1980’s when police used the Stop Search powers in an attempt to tackle crime in the area however this led to increased tensions between the police and the local community resulting in a large scale disorder, the Brixton Riots (1981).  </w:t>
      </w:r>
    </w:p>
    <w:p w14:paraId="6F9D8FBF" w14:textId="77777777" w:rsidR="005E4F47" w:rsidRDefault="005E4F47" w:rsidP="005E4F47">
      <w:pPr>
        <w:jc w:val="both"/>
      </w:pPr>
      <w:r>
        <w:t>Another approach often used in policing is ‘Hot-spot Policing’ where police can be effective in tackling crime and disorder when they focus on small geographical areas or hot-spots (</w:t>
      </w:r>
      <w:proofErr w:type="spellStart"/>
      <w:r>
        <w:t>Weisburd</w:t>
      </w:r>
      <w:proofErr w:type="spellEnd"/>
      <w:r>
        <w:t xml:space="preserve"> and </w:t>
      </w:r>
      <w:proofErr w:type="spellStart"/>
      <w:r>
        <w:t>Telep</w:t>
      </w:r>
      <w:proofErr w:type="spellEnd"/>
      <w:r>
        <w:t xml:space="preserve">, 2014). The National Research Council (2004) noted “Studies that focused police resources on crime hot spots provided the strongest collective evidence of police effectiveness that is now available” (NRC, 2004). Braga (2007) also noted that the research concluded “hot spots policing is an effective crime prevention strategy” (Braga, 2007). However, despite their being clear support and success to the approach, there are concerns that ‘spatial crime displacement’. Once the crime is tackled in one area it will just move to another. For example, targeting an area for drug dealing may not necessarily tackle the crime but instead move it to another location. In a study conducted by </w:t>
      </w:r>
      <w:proofErr w:type="spellStart"/>
      <w:r>
        <w:t>Ratcliffe</w:t>
      </w:r>
      <w:proofErr w:type="spellEnd"/>
      <w:r>
        <w:t xml:space="preserve"> et al (2011) there was evidence of the spatial displacement. However, after a further review by Braga et al (2012) it was found the crime prevention benefit of the approach far outweighed any crime displacement that occurred. </w:t>
      </w:r>
    </w:p>
    <w:p w14:paraId="0AA076F2" w14:textId="77777777" w:rsidR="005E4F47" w:rsidRDefault="005E4F47" w:rsidP="005E4F47">
      <w:pPr>
        <w:jc w:val="both"/>
      </w:pPr>
      <w:r>
        <w:lastRenderedPageBreak/>
        <w:t xml:space="preserve">One thing these approaches and theories have in common is their reliance on information and intelligence to form the basis of their implementation. As a result effective analysis of the intelligence and the products they produce is important in order to ensure they are successful in their approach. There are a number of analytical products that can stem from information and intelligence gathering. Under the National Intelligence Model (NIM), there are four core intelligence products: Subject Profile, Problem Profile, Tactical Assessment and Strategic Assessment (COP, 2019). ‘Subject Profile’ intelligence products can provide a detailed picture of the offender or offenders. This can in turn assist with operational management and ‘initiate a target operation or support an ongoing operation against an individual or networked group of individuals’ (NCIS, 2014). The ‘Problem Profile’ identifies established and emerging crime or incident types as well as identifying the incident hot-spots. The profile can support ‘targeting and reactive investigation as well as preventative initiatives’ (NCIS, 2014). ‘Tactical assessment’ products can help with identifying and tackling short term issues. This can assist with current policing operations and help to ensure appropriate allocation of resources to tackle the issue (NCIS, 2014). A topical example of this is policing the Coronavirus pandemic, where resources need to </w:t>
      </w:r>
      <w:proofErr w:type="gramStart"/>
      <w:r>
        <w:t>re-allocated</w:t>
      </w:r>
      <w:proofErr w:type="gramEnd"/>
      <w:r>
        <w:t xml:space="preserve"> with every lockdown announcement. For example, officers were required to be stationed at ‘beauty spots’ after they attracted a number of visitors despite legislation stating essential travel only. ‘Strategic assessment’ intelligence products aim to identify long term trends and patterns of crime in a particular area and makes predictions for potential criminal growth. This can help with long term policing priorities in terms of determining what resources are required, where they are needed and for how long (NCIS, 2014). </w:t>
      </w:r>
    </w:p>
    <w:p w14:paraId="48FFCC66" w14:textId="77777777" w:rsidR="005E4F47" w:rsidRDefault="005E4F47" w:rsidP="005E4F47">
      <w:pPr>
        <w:jc w:val="both"/>
      </w:pPr>
      <w:r>
        <w:t xml:space="preserve">All of these intelligence products assist with an effective policing approach. This is especially important in the current climate as police continue to face challenges brought about by austerity, with funding in the public sector continuing to see cuts each year. </w:t>
      </w:r>
    </w:p>
    <w:p w14:paraId="18513E86" w14:textId="77777777" w:rsidR="005E4F47" w:rsidRDefault="005E4F47" w:rsidP="005E4F47">
      <w:pPr>
        <w:jc w:val="both"/>
      </w:pPr>
    </w:p>
    <w:p w14:paraId="7FD84982" w14:textId="77777777" w:rsidR="005E4F47" w:rsidRDefault="005E4F47" w:rsidP="005E4F47">
      <w:pPr>
        <w:jc w:val="both"/>
      </w:pPr>
      <w:r>
        <w:t>(Word Count: 1079)</w:t>
      </w:r>
    </w:p>
    <w:p w14:paraId="2E645F50" w14:textId="2788EE39"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4B27CD0F" w14:textId="50F295CF"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056A0C7B" w14:textId="506D7BD6"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1334A094" w14:textId="65010D74"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746E041D" w14:textId="3BA0B8BB"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1FDBC2DD" w14:textId="4CCF6576"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4B743D27" w14:textId="455AE07A"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4A6283F5" w14:textId="406D2D76"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3775F171" w14:textId="42BC5344"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4DD34207" w14:textId="3C98D6B7"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4E7211F5" w14:textId="0927B7ED"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53C7C35B" w14:textId="319E661B"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24BFF0CD" w14:textId="7285BDE3"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0FD2B05E" w14:textId="20C4C637"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37F4EB12" w14:textId="49EAE921"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53FE7DCA" w14:textId="652C9050" w:rsidR="005E4F47" w:rsidRDefault="005E4F47" w:rsidP="00B526D4">
      <w:pPr>
        <w:overflowPunct w:val="0"/>
        <w:autoSpaceDE w:val="0"/>
        <w:autoSpaceDN w:val="0"/>
        <w:adjustRightInd w:val="0"/>
        <w:spacing w:before="240" w:after="0" w:line="240" w:lineRule="auto"/>
        <w:jc w:val="both"/>
        <w:textAlignment w:val="baseline"/>
        <w:rPr>
          <w:rFonts w:ascii="Arial" w:eastAsia="Times New Roman" w:hAnsi="Arial" w:cs="Arial"/>
          <w:b/>
          <w:u w:val="single"/>
          <w:lang w:eastAsia="en-GB"/>
        </w:rPr>
      </w:pPr>
    </w:p>
    <w:p w14:paraId="16C9F888" w14:textId="16B6DCB4" w:rsidR="00B526D4" w:rsidRDefault="00B526D4" w:rsidP="00B526D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b/>
          <w:u w:val="single"/>
          <w:lang w:eastAsia="en-GB"/>
        </w:rPr>
        <w:lastRenderedPageBreak/>
        <w:t>Title 3:</w:t>
      </w:r>
      <w:r>
        <w:rPr>
          <w:rFonts w:ascii="Arial" w:eastAsia="Times New Roman" w:hAnsi="Arial" w:cs="Arial"/>
          <w:lang w:eastAsia="en-GB"/>
        </w:rPr>
        <w:t xml:space="preserve"> </w:t>
      </w:r>
    </w:p>
    <w:p w14:paraId="5D50380B" w14:textId="77777777" w:rsidR="00B526D4" w:rsidRDefault="00B526D4" w:rsidP="00B526D4">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Pr>
          <w:rFonts w:ascii="Arial" w:eastAsia="Times New Roman" w:hAnsi="Arial" w:cs="Arial"/>
          <w:b/>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6982F880" w14:textId="77777777" w:rsidR="00B526D4" w:rsidRDefault="00B526D4" w:rsidP="00B526D4"/>
    <w:p w14:paraId="60844607" w14:textId="77777777" w:rsidR="00B526D4" w:rsidRDefault="00B526D4" w:rsidP="00B526D4">
      <w:pPr>
        <w:jc w:val="both"/>
      </w:pPr>
      <w:r>
        <w:t xml:space="preserve">Operational Policing is not without its challenges as seemingly simple incidents could turn into major or even critical incidents. Advancement in technology and social media has put policing under the spotlight and has made the impact of an incident far more reaching than it has ever been before. For example, the death of George Floyd in the United States, sparked mass protests in the United Kingdom and led to tensions between the police and the public. </w:t>
      </w:r>
    </w:p>
    <w:p w14:paraId="4D7F5A3A" w14:textId="77777777" w:rsidR="00B526D4" w:rsidRDefault="00B526D4" w:rsidP="00B526D4">
      <w:pPr>
        <w:jc w:val="both"/>
      </w:pPr>
      <w:r>
        <w:t>A critical incident is defined as “an incident where the effectiveness of the police response is likely to have a significant impact on the confidence of the victim, their family and/or community” (NPIA, 2011). The concept of a critical incident was developed as part of the Macpherson Report (1999) following the death of Stephen Lawrence (</w:t>
      </w:r>
      <w:proofErr w:type="spellStart"/>
      <w:r>
        <w:t>Harfield</w:t>
      </w:r>
      <w:proofErr w:type="spellEnd"/>
      <w:r>
        <w:t xml:space="preserve">, 2014). The damage to public relations with the police following this incident saw a decline in public confidence. In a survey conducted by the British Crime Survey it was found that in 1982, 92% of respondents believed their local police were doing a ‘very or fairly good job’ as opposed to a survey conducted in 2001/2002 where the figure had fallen to 75% (BCS, 2006).  Another example of a critical incident is the investigation into Victoria </w:t>
      </w:r>
      <w:proofErr w:type="spellStart"/>
      <w:r>
        <w:t>Climbi</w:t>
      </w:r>
      <w:r>
        <w:rPr>
          <w:rFonts w:cstheme="minorHAnsi"/>
        </w:rPr>
        <w:t>è</w:t>
      </w:r>
      <w:proofErr w:type="spellEnd"/>
      <w:r>
        <w:t xml:space="preserve">. An analysis conducted by Lord Laming (2003) found a number of failings by the organisations involved in safeguarding </w:t>
      </w:r>
      <w:proofErr w:type="spellStart"/>
      <w:r>
        <w:t>Climbi</w:t>
      </w:r>
      <w:r>
        <w:rPr>
          <w:rFonts w:cstheme="minorHAnsi"/>
        </w:rPr>
        <w:t>è</w:t>
      </w:r>
      <w:proofErr w:type="spellEnd"/>
      <w:r>
        <w:t xml:space="preserve">, the police included. It highlighted the importance of joint /partnership working and the importance of effective communication between agencies during an investigation. Other historical examples of critical incidents include the Hillsborough stadium disaster of 1989 and the riots of 2011. In each instance police in particular, were criticised for their response and handling of the incidents. As a result it is important a critical incident is identified quickly in order to ensure the appropriate response is provided and managed to restore public confidence. </w:t>
      </w:r>
    </w:p>
    <w:p w14:paraId="29B53B30" w14:textId="77777777" w:rsidR="00B526D4" w:rsidRDefault="00B526D4" w:rsidP="00B526D4">
      <w:pPr>
        <w:jc w:val="both"/>
      </w:pPr>
      <w:r>
        <w:t xml:space="preserve">A ‘Major incident’ is defined as “an emergency that requires the implementation of special arrangements by one or more of the emergency services” (Bryant et al, 2019). Examples of this include the London Bombings in 2005, the Manchester Arena bombing in 2017 and the attacks on Westminster Bridge in 2018. All of these incidents had the capability of turning into critical incidents had they not been managed appropriately. </w:t>
      </w:r>
    </w:p>
    <w:p w14:paraId="28AC6B4B" w14:textId="5B47C22F" w:rsidR="00B526D4" w:rsidRDefault="00B526D4" w:rsidP="00B526D4">
      <w:pPr>
        <w:jc w:val="both"/>
      </w:pPr>
      <w:r>
        <w:t>As mentioned above in order for an incident to be declared a ‘Major Incident’ several emergency services need to be involved. Every emergency service will have a contingency plan in place to deal with a wide range of incidents as required under the Civil Contingencies Act (2004)</w:t>
      </w:r>
      <w:r>
        <w:rPr>
          <w:b/>
        </w:rPr>
        <w:t>.</w:t>
      </w:r>
      <w:r>
        <w:t xml:space="preserve"> For example in the event of a terrorist attack or even a health pandemic. However, these plans would be very different in terms of procedures and risk assessments as each service has a different purpose. </w:t>
      </w:r>
    </w:p>
    <w:p w14:paraId="799CE154" w14:textId="77777777" w:rsidR="00B526D4" w:rsidRDefault="00B526D4" w:rsidP="00B526D4">
      <w:pPr>
        <w:jc w:val="both"/>
      </w:pPr>
      <w:r>
        <w:t>Following several reviews of major incidents that required a multi-agency response it was found the emergency services, involved in these types of incidents, were professional and efficient when it came to their individual roles. However more needed to be done to address a more collaborative approach. They needed to “ensure that a multi-agency response to all incidents is organised, structured and practiced” (JESIP, 2020). The key issues that were identified following a review of several major incidents and emergency responses included, challenges establishing initial command, control and coordination on arrival at the scene. The differing operational and command procedures of the services, as each service had a different approach. Identifying who was in charge at the scene, misunderstandings over what information can be shared as well as differing risk thresholds and lack of understanding of each services role at the incident (JESIP, 2020). As a result the Joint Emergency Services Interoperability Principles (JESIP) were established to address these issues. The role of JESIP was to provide guidelines that “facilitate co-ordinated and coherent decision making in what can be a very fluid and demanding situation” (Bryant et al, 2019). As well as ensuring the emergency services “constantly updated their working practices and learn from events of the past…together…not just in isolation” (JESIP, 2020).</w:t>
      </w:r>
    </w:p>
    <w:p w14:paraId="127D3F7E" w14:textId="77777777" w:rsidR="00B526D4" w:rsidRDefault="00B526D4" w:rsidP="00B526D4">
      <w:pPr>
        <w:jc w:val="both"/>
      </w:pPr>
      <w:r>
        <w:t xml:space="preserve">The police play an important role in these types of incidents as they are often the first service on scene and as a result have the responsibility of assessing and establishing whether or not a multi-agency response is required. JESIP provides guidance by which those first on scene should follow and it is in the form of the mnemonic METHANE (JESIP, 2020). This mnemonic recognised and used by multiple agencies allows for efficient co-ordination of services at the incident. </w:t>
      </w:r>
      <w:r>
        <w:lastRenderedPageBreak/>
        <w:t xml:space="preserve">The police are also responsible for ensuring the safety of the public and the other services on scene usually by providing a cordon. Perhaps most importantly, the police are the only service whose responsibility is to establish whether or not a crime has been committed. For example, in the event of a Road Traffic Collision (RTC) consideration would need to be given as to whether the driver was under the influence of drink or drugs. Or in the event of a terrorist attack a scene would need to be established in order for evidence to be preserved and collected to support the investigation. Although the other emergency services on scene are responsible for the immediate effects of the incident, i.e. tending to casualties, the police have a duty to ensure the after effects of the incident are managed appropriately in order to achieve the best outcome for the victims. </w:t>
      </w:r>
    </w:p>
    <w:p w14:paraId="69F96E82" w14:textId="77777777" w:rsidR="00B526D4" w:rsidRDefault="00B526D4" w:rsidP="00B526D4">
      <w:pPr>
        <w:jc w:val="both"/>
      </w:pPr>
      <w:r>
        <w:t>Despite Critical and Major Incidents predominantly having a multi-agency response, it is the police service that usually find themselves in the firing line and having to face up to public scrutiny. As previously stated the advancement in technology and widespread use of social media have put the police service under a microscope and providing more platforms for the public to air their concerns and criticisms.  In a report produced by the Office of National Statistics in 2019 it was found that 93% of households in Great Britain had access to the internet and of those 64% were using mobile broadband to access the internet (ONS, 2019). As a result it is imperative that ‘best practice’ is followed at these incidents to ensure an efficient and effective investigation.</w:t>
      </w:r>
    </w:p>
    <w:p w14:paraId="211151BD" w14:textId="77777777" w:rsidR="00B526D4" w:rsidRDefault="00B526D4" w:rsidP="00B526D4">
      <w:pPr>
        <w:jc w:val="both"/>
      </w:pPr>
    </w:p>
    <w:p w14:paraId="30797157" w14:textId="77777777" w:rsidR="00B526D4" w:rsidRDefault="00B526D4" w:rsidP="00B526D4">
      <w:pPr>
        <w:jc w:val="both"/>
      </w:pPr>
      <w:r>
        <w:t>(Word Count: 1029)</w:t>
      </w:r>
    </w:p>
    <w:p w14:paraId="5AD3CC56" w14:textId="27814AC0" w:rsidR="00B526D4" w:rsidRDefault="00B526D4" w:rsidP="00763CB3"/>
    <w:p w14:paraId="40DAD54B" w14:textId="26357637" w:rsidR="00B526D4" w:rsidRDefault="00B526D4" w:rsidP="00763CB3"/>
    <w:p w14:paraId="6C04D8E5" w14:textId="1101BCE2" w:rsidR="00B526D4" w:rsidRDefault="00B526D4" w:rsidP="00763CB3"/>
    <w:p w14:paraId="0AB7EEF7" w14:textId="77777777" w:rsidR="00B526D4" w:rsidRDefault="00B526D4" w:rsidP="00763CB3"/>
    <w:p w14:paraId="363951D2" w14:textId="2738AAB0" w:rsidR="00763CB3" w:rsidRDefault="00763CB3"/>
    <w:p w14:paraId="43F8E812" w14:textId="3EEBD4FA" w:rsidR="00B526D4" w:rsidRDefault="00B526D4"/>
    <w:p w14:paraId="78565DDF" w14:textId="245C3929" w:rsidR="00B526D4" w:rsidRDefault="00B526D4"/>
    <w:p w14:paraId="0109AB32" w14:textId="6AF953B6" w:rsidR="00B526D4" w:rsidRDefault="00B526D4"/>
    <w:p w14:paraId="7A0D4FF2" w14:textId="6BC0F2C5" w:rsidR="00B526D4" w:rsidRDefault="00B526D4"/>
    <w:p w14:paraId="642E5325" w14:textId="60389BB7" w:rsidR="00B526D4" w:rsidRDefault="00B526D4"/>
    <w:p w14:paraId="76BA9D2F" w14:textId="702D0EE1" w:rsidR="00B526D4" w:rsidRDefault="00B526D4"/>
    <w:p w14:paraId="0BA0C2DB" w14:textId="315FFB70" w:rsidR="00B526D4" w:rsidRDefault="00B526D4"/>
    <w:p w14:paraId="4A3DD426" w14:textId="41009530" w:rsidR="00B526D4" w:rsidRDefault="00B526D4"/>
    <w:p w14:paraId="4E68350B" w14:textId="0EC7C256" w:rsidR="00B526D4" w:rsidRDefault="00B526D4"/>
    <w:p w14:paraId="207720D4" w14:textId="153338B7" w:rsidR="00B526D4" w:rsidRDefault="00B526D4"/>
    <w:p w14:paraId="691373D5" w14:textId="2A4FAACA" w:rsidR="00B526D4" w:rsidRDefault="00B526D4"/>
    <w:p w14:paraId="4D57DD40" w14:textId="3ECFC03C" w:rsidR="00B526D4" w:rsidRDefault="00B526D4"/>
    <w:p w14:paraId="430E8B6C" w14:textId="20078EF8" w:rsidR="00B526D4" w:rsidRDefault="00B526D4"/>
    <w:p w14:paraId="5D0486AD" w14:textId="11AF78BC" w:rsidR="00B526D4" w:rsidRDefault="00B526D4"/>
    <w:p w14:paraId="13B78EA1" w14:textId="03E77129" w:rsidR="00B526D4" w:rsidRDefault="00B526D4"/>
    <w:p w14:paraId="60ECEDFC" w14:textId="2F9A3182" w:rsidR="00B526D4" w:rsidRDefault="00B526D4"/>
    <w:p w14:paraId="37AE4A85" w14:textId="77777777" w:rsidR="00656F06" w:rsidRPr="00656F06" w:rsidRDefault="00656F06" w:rsidP="00656F06">
      <w:pPr>
        <w:overflowPunct w:val="0"/>
        <w:autoSpaceDE w:val="0"/>
        <w:autoSpaceDN w:val="0"/>
        <w:adjustRightInd w:val="0"/>
        <w:spacing w:before="240" w:after="0" w:line="240" w:lineRule="auto"/>
        <w:jc w:val="both"/>
        <w:textAlignment w:val="baseline"/>
        <w:rPr>
          <w:rFonts w:eastAsia="Times New Roman" w:cstheme="minorHAnsi"/>
          <w:lang w:eastAsia="en-GB"/>
        </w:rPr>
      </w:pPr>
      <w:r w:rsidRPr="00656F06">
        <w:rPr>
          <w:rFonts w:eastAsia="Times New Roman" w:cstheme="minorHAnsi"/>
          <w:b/>
          <w:u w:val="single"/>
          <w:lang w:eastAsia="en-GB"/>
        </w:rPr>
        <w:lastRenderedPageBreak/>
        <w:t>Title 4:</w:t>
      </w:r>
      <w:r w:rsidRPr="00656F06">
        <w:rPr>
          <w:rFonts w:eastAsia="Times New Roman" w:cstheme="minorHAnsi"/>
          <w:lang w:eastAsia="en-GB"/>
        </w:rPr>
        <w:t xml:space="preserve"> </w:t>
      </w:r>
    </w:p>
    <w:p w14:paraId="346DAEE0" w14:textId="77777777" w:rsidR="00656F06" w:rsidRPr="00656F06" w:rsidRDefault="00656F06" w:rsidP="00656F06">
      <w:pPr>
        <w:overflowPunct w:val="0"/>
        <w:autoSpaceDE w:val="0"/>
        <w:autoSpaceDN w:val="0"/>
        <w:adjustRightInd w:val="0"/>
        <w:spacing w:before="240" w:after="0" w:line="240" w:lineRule="auto"/>
        <w:jc w:val="both"/>
        <w:textAlignment w:val="baseline"/>
        <w:rPr>
          <w:rFonts w:eastAsia="Times New Roman" w:cstheme="minorHAnsi"/>
          <w:b/>
          <w:lang w:eastAsia="en-GB"/>
        </w:rPr>
      </w:pPr>
      <w:r w:rsidRPr="00656F06">
        <w:rPr>
          <w:rFonts w:eastAsia="Times New Roman" w:cstheme="minorHAnsi"/>
          <w:b/>
          <w:lang w:eastAsia="en-GB"/>
        </w:rPr>
        <w:t>Analyse the potential links between terrorism and other forms of criminality and discuss how policing the roads assist in counter terrorism investigation</w:t>
      </w:r>
    </w:p>
    <w:p w14:paraId="6EDAAA0E" w14:textId="77777777" w:rsidR="00656F06" w:rsidRPr="00656F06" w:rsidRDefault="00656F06" w:rsidP="00656F06">
      <w:pPr>
        <w:overflowPunct w:val="0"/>
        <w:autoSpaceDE w:val="0"/>
        <w:autoSpaceDN w:val="0"/>
        <w:adjustRightInd w:val="0"/>
        <w:spacing w:before="240" w:after="0" w:line="240" w:lineRule="auto"/>
        <w:jc w:val="both"/>
        <w:textAlignment w:val="baseline"/>
        <w:rPr>
          <w:rFonts w:eastAsia="Times New Roman" w:cstheme="minorHAnsi"/>
          <w:lang w:eastAsia="en-GB"/>
        </w:rPr>
      </w:pPr>
      <w:r w:rsidRPr="00656F06">
        <w:rPr>
          <w:rFonts w:eastAsia="Times New Roman" w:cstheme="minorHAnsi"/>
          <w:lang w:eastAsia="en-GB"/>
        </w:rPr>
        <w:t>The act of terrorism is defined as “the use or threat of action, both in and outside the UK, designed to influence any international government organisation or intimidate the public for a politic, racial or religious cause” (CPS, 2020). Acts of terrorism have been conducted internationally for centuries and has most certainly been prevalent in the United Kingdom. In the 1980’s and 1990’s saw the IRA bombings and the Lockerbie bombing of 1988. However most recently there have been the London bombings in 2005, the Manchester Arena bombing in 2017 and the attacks on Westminster in 2018. Terrorism is a very real threat in our day to day lives more so than most people realise. In a joint review conducted by MI5 and the police it was found together they had stopped 18 terrorist plots in Great Britain since Mid-2013, 5 of which were following the attack on Westminster in 2018 (MI5, 2019). It is anticipated that at any one time MI5 and the police are conducting around 500 active international counter terrorism investigations, involving approximately 3,000 persons of interest (MI5, 2019).</w:t>
      </w:r>
    </w:p>
    <w:p w14:paraId="55BABD64" w14:textId="77777777" w:rsidR="00656F06" w:rsidRPr="00656F06" w:rsidRDefault="00656F06" w:rsidP="00656F06">
      <w:pPr>
        <w:overflowPunct w:val="0"/>
        <w:autoSpaceDE w:val="0"/>
        <w:autoSpaceDN w:val="0"/>
        <w:adjustRightInd w:val="0"/>
        <w:spacing w:before="240" w:after="0" w:line="240" w:lineRule="auto"/>
        <w:jc w:val="both"/>
        <w:textAlignment w:val="baseline"/>
        <w:rPr>
          <w:rFonts w:cstheme="minorHAnsi"/>
        </w:rPr>
      </w:pPr>
      <w:r w:rsidRPr="00656F06">
        <w:rPr>
          <w:rFonts w:eastAsia="Times New Roman" w:cstheme="minorHAnsi"/>
          <w:lang w:eastAsia="en-GB"/>
        </w:rPr>
        <w:t xml:space="preserve">Terrorist attacks although only committed by a few are usually part of a much larger network. A great deal of planning and organising goes into these attacks and as a result requires a large amount of funding. However, in order to avoid detection by the authorities, the funding is usually acquired through illegitimate means. </w:t>
      </w:r>
      <w:r w:rsidRPr="00656F06">
        <w:rPr>
          <w:rFonts w:cstheme="minorHAnsi"/>
        </w:rPr>
        <w:t xml:space="preserve">In order for terrorist organisations to continue with their objectives and sustain their cause, they have often been found to turn to criminal activities. </w:t>
      </w:r>
      <w:r w:rsidRPr="00656F06">
        <w:rPr>
          <w:rFonts w:eastAsia="Times New Roman" w:cstheme="minorHAnsi"/>
          <w:lang w:eastAsia="en-GB"/>
        </w:rPr>
        <w:t>“</w:t>
      </w:r>
      <w:r w:rsidRPr="00656F06">
        <w:rPr>
          <w:rFonts w:cstheme="minorHAnsi"/>
        </w:rPr>
        <w:t>Money is necessary, and beyond the funds needed to execute an attack, funds are also required to finance day-to-day recruiting, training, and maintenance, and to provide sanctuary for terrorist organizations” (</w:t>
      </w:r>
      <w:proofErr w:type="spellStart"/>
      <w:r w:rsidRPr="00656F06">
        <w:rPr>
          <w:rFonts w:cstheme="minorHAnsi"/>
        </w:rPr>
        <w:t>Treverton</w:t>
      </w:r>
      <w:proofErr w:type="spellEnd"/>
      <w:r w:rsidRPr="00656F06">
        <w:rPr>
          <w:rFonts w:cstheme="minorHAnsi"/>
        </w:rPr>
        <w:t xml:space="preserve"> et al, 2009). This is certainly true of some of the larger organisations like the IRA and Hezbollah (CCISS, 2006). The most common criminal activity used by these organisations is drug trafficking (</w:t>
      </w:r>
      <w:proofErr w:type="spellStart"/>
      <w:r w:rsidRPr="00656F06">
        <w:rPr>
          <w:rFonts w:cstheme="minorHAnsi"/>
        </w:rPr>
        <w:t>Treverton</w:t>
      </w:r>
      <w:proofErr w:type="spellEnd"/>
      <w:r w:rsidRPr="00656F06">
        <w:rPr>
          <w:rFonts w:cstheme="minorHAnsi"/>
        </w:rPr>
        <w:t xml:space="preserve"> et al, 2009). Drug trafficking provides a major source of income for many organised crime groups (NCA, </w:t>
      </w:r>
      <w:proofErr w:type="spellStart"/>
      <w:r w:rsidRPr="00656F06">
        <w:rPr>
          <w:rFonts w:cstheme="minorHAnsi"/>
        </w:rPr>
        <w:t>n.d.</w:t>
      </w:r>
      <w:proofErr w:type="spellEnd"/>
      <w:r w:rsidRPr="00656F06">
        <w:rPr>
          <w:rFonts w:cstheme="minorHAnsi"/>
        </w:rPr>
        <w:t>). In a report commissioned by the Home Office (2013) it was estimated drug trafficking to the UK amount to £10.9 Billion. In the same report it also estimated £8.9 billion from organised fraud and a further £1.0 billion from immigration crime, i.e. Human trafficking (Home Office, 2013). Based on these figures alone it is clear why terrorism and organised crime tend to go hand in hand.</w:t>
      </w:r>
    </w:p>
    <w:p w14:paraId="78008B27" w14:textId="77777777" w:rsidR="00656F06" w:rsidRPr="00656F06" w:rsidRDefault="00656F06" w:rsidP="00656F06">
      <w:pPr>
        <w:overflowPunct w:val="0"/>
        <w:autoSpaceDE w:val="0"/>
        <w:autoSpaceDN w:val="0"/>
        <w:adjustRightInd w:val="0"/>
        <w:spacing w:before="240" w:line="240" w:lineRule="auto"/>
        <w:jc w:val="both"/>
        <w:rPr>
          <w:rFonts w:eastAsia="Times New Roman" w:cstheme="minorHAnsi"/>
          <w:lang w:eastAsia="en-GB"/>
        </w:rPr>
      </w:pPr>
      <w:r w:rsidRPr="00656F06">
        <w:rPr>
          <w:rFonts w:cstheme="minorHAnsi"/>
        </w:rPr>
        <w:t xml:space="preserve">As well as providing the revenue to fund their organisations, they will engage in criminal activities in order to carry out their objectives. For example, the routes and connections established for trafficking drugs and people could prove vital in moving individuals from place to place undetected. Another example of a criminal activity that could assist terrorists with their objectives is identity theft. Obtaining and assuming other peoples identities can play an important role when it comes to organising and even carrying out terrorist acts.  </w:t>
      </w:r>
      <w:r w:rsidRPr="00656F06">
        <w:rPr>
          <w:rFonts w:eastAsia="Times New Roman" w:cstheme="minorHAnsi"/>
          <w:lang w:eastAsia="en-GB"/>
        </w:rPr>
        <w:t xml:space="preserve">One of the well-known terrorist organisations, Al Qaeda, has even provided guidance to their followers with regards to identify theft and how these documents should be used “All documents of the undercover brother, such as identity cards and passport, </w:t>
      </w:r>
      <w:r w:rsidRPr="00656F06">
        <w:rPr>
          <w:rFonts w:eastAsia="Times New Roman" w:cstheme="minorHAnsi"/>
          <w:u w:val="single"/>
          <w:lang w:eastAsia="en-GB"/>
        </w:rPr>
        <w:t>should be falsified</w:t>
      </w:r>
      <w:r w:rsidRPr="00656F06">
        <w:rPr>
          <w:rFonts w:eastAsia="Times New Roman" w:cstheme="minorHAnsi"/>
          <w:lang w:eastAsia="en-GB"/>
        </w:rPr>
        <w:t>”. They go further and state “The photograph of the brother in these documents should be without a beard. It is preferable that the brother's public photograph [on these documents] be also without a beard. If he already has one [document] showing a photograph with a beard, he should replace it.” (Burns and Peters, 2005).</w:t>
      </w:r>
    </w:p>
    <w:p w14:paraId="47E7519A" w14:textId="77777777" w:rsidR="00656F06" w:rsidRPr="00656F06" w:rsidRDefault="00656F06" w:rsidP="00656F06">
      <w:pPr>
        <w:ind w:right="237"/>
        <w:jc w:val="both"/>
        <w:rPr>
          <w:rFonts w:cstheme="minorHAnsi"/>
        </w:rPr>
      </w:pPr>
      <w:r w:rsidRPr="00656F06">
        <w:rPr>
          <w:rFonts w:cstheme="minorHAnsi"/>
        </w:rPr>
        <w:t xml:space="preserve">Due to the complex nature and international connections terrorism often have, tackling terrorism requires a multi-partnership approach, involving key stakeholders within the government, the police as well as security services and other agencies. Within the police service, there are a number of specialist counter terrorism units (CTUs) and counter terrorism intelligence units (CTIU) set up across the United Kingdom. Despite these specialist units, day to day operational policing can also play a vital role in the fight against terrorism, in particular roads policing. </w:t>
      </w:r>
    </w:p>
    <w:p w14:paraId="1032534B" w14:textId="77777777" w:rsidR="00656F06" w:rsidRPr="00656F06" w:rsidRDefault="00656F06" w:rsidP="00656F06">
      <w:pPr>
        <w:ind w:right="237"/>
        <w:jc w:val="both"/>
        <w:rPr>
          <w:rFonts w:cstheme="minorHAnsi"/>
        </w:rPr>
      </w:pPr>
      <w:r w:rsidRPr="00656F06">
        <w:rPr>
          <w:rFonts w:cstheme="minorHAnsi"/>
        </w:rPr>
        <w:t xml:space="preserve">Policing the roads can help to disrupt criminal activity from minor road traffic offences to more serious organised crime, including terrorism (COP, 2019). After all criminals are road users too. The disruption of criminal activity is part of the Home Offices Serious and Organised Crime Strategy (2018) calling for “relentless disruption and targeted action” (HM </w:t>
      </w:r>
      <w:proofErr w:type="spellStart"/>
      <w:r w:rsidRPr="00656F06">
        <w:rPr>
          <w:rFonts w:cstheme="minorHAnsi"/>
        </w:rPr>
        <w:t>Govt</w:t>
      </w:r>
      <w:proofErr w:type="spellEnd"/>
      <w:r w:rsidRPr="00656F06">
        <w:rPr>
          <w:rFonts w:cstheme="minorHAnsi"/>
        </w:rPr>
        <w:t xml:space="preserve">, 2018). Police Officers are given the powers to stop and search vehicles, these include Section 163 and Section 165a of the Road Traffic Act 1988, which give officers the power to stop and seize vehicles. In relation to assisting with combatting terrorism officers have powers under Section 43, Section 44 and Section 45 of the Terrorism Act 2000 which grant officers the preventative powers to stop and search where terrorist activity is suspected at a particular location. Whether it be a part of a pre-planned operation, acting on information and </w:t>
      </w:r>
      <w:r w:rsidRPr="00656F06">
        <w:rPr>
          <w:rFonts w:cstheme="minorHAnsi"/>
        </w:rPr>
        <w:lastRenderedPageBreak/>
        <w:t xml:space="preserve">intelligence from vehicle checks or even just the ‘coppers nose’, utilising these powers can help towards disrupting criminal activity. </w:t>
      </w:r>
    </w:p>
    <w:p w14:paraId="75B22F9F" w14:textId="77777777" w:rsidR="00656F06" w:rsidRPr="00656F06" w:rsidRDefault="00656F06" w:rsidP="00656F06">
      <w:pPr>
        <w:ind w:right="237"/>
        <w:jc w:val="both"/>
        <w:rPr>
          <w:rFonts w:cstheme="minorHAnsi"/>
        </w:rPr>
      </w:pPr>
      <w:r w:rsidRPr="00656F06">
        <w:rPr>
          <w:rFonts w:cstheme="minorHAnsi"/>
        </w:rPr>
        <w:t xml:space="preserve">A key way in which roads policing officers can assist in the fight against terrorism is the use of Automatic Number Plate Recognition (ANPR) systems. ANPR works by reading the registration number of each vehicle that passes the device which is instantly checked against a database to determine whether or not the vehicle is of interest (NPCC, </w:t>
      </w:r>
      <w:proofErr w:type="spellStart"/>
      <w:r w:rsidRPr="00656F06">
        <w:rPr>
          <w:rFonts w:cstheme="minorHAnsi"/>
        </w:rPr>
        <w:t>n.d</w:t>
      </w:r>
      <w:proofErr w:type="spellEnd"/>
      <w:r w:rsidRPr="00656F06">
        <w:rPr>
          <w:rFonts w:cstheme="minorHAnsi"/>
        </w:rPr>
        <w:t xml:space="preserve">). There are currently an estimated 11,000 ANPR cameras located across the United Kingdom (NPCC, </w:t>
      </w:r>
      <w:proofErr w:type="spellStart"/>
      <w:r w:rsidRPr="00656F06">
        <w:rPr>
          <w:rFonts w:cstheme="minorHAnsi"/>
        </w:rPr>
        <w:t>n.d</w:t>
      </w:r>
      <w:proofErr w:type="spellEnd"/>
      <w:r w:rsidRPr="00656F06">
        <w:rPr>
          <w:rFonts w:cstheme="minorHAnsi"/>
        </w:rPr>
        <w:t xml:space="preserve">). By utilising this technology it can help to establish routes taken by particular individuals or even help to identify possible targets, as part of counter terrorism investigations. </w:t>
      </w:r>
    </w:p>
    <w:p w14:paraId="4FD9DCA0" w14:textId="77777777" w:rsidR="00656F06" w:rsidRPr="00656F06" w:rsidRDefault="00656F06" w:rsidP="00656F06">
      <w:pPr>
        <w:ind w:right="237"/>
        <w:jc w:val="both"/>
        <w:rPr>
          <w:rFonts w:cstheme="minorHAnsi"/>
        </w:rPr>
      </w:pPr>
      <w:r w:rsidRPr="00656F06">
        <w:rPr>
          <w:rFonts w:cstheme="minorHAnsi"/>
        </w:rPr>
        <w:t>Terrorism is one of biggest threats facing the United Kingdom at the moment and has the potential to cause mass casualties. That combined with the added pressures this country is facing as a result of a global pandemic, has the potential to make us very vulnerable to an attack. This was reflected in the government’s decision to raise the threat level to ‘Severe’ in November 2020. Despite the reduced traffic on the roads caused by coronavirus, roads policing will continue to play to vital role in the fight against terrorism.</w:t>
      </w:r>
    </w:p>
    <w:p w14:paraId="73F1B552" w14:textId="77777777" w:rsidR="00656F06" w:rsidRPr="00656F06" w:rsidRDefault="00656F06" w:rsidP="00656F06">
      <w:pPr>
        <w:ind w:right="237"/>
        <w:jc w:val="both"/>
        <w:rPr>
          <w:rFonts w:cstheme="minorHAnsi"/>
        </w:rPr>
      </w:pPr>
    </w:p>
    <w:p w14:paraId="1AC60AC5" w14:textId="77777777" w:rsidR="00656F06" w:rsidRPr="00656F06" w:rsidRDefault="00656F06" w:rsidP="00656F06">
      <w:pPr>
        <w:ind w:right="237"/>
        <w:jc w:val="both"/>
        <w:rPr>
          <w:rFonts w:cstheme="minorHAnsi"/>
        </w:rPr>
      </w:pPr>
      <w:r w:rsidRPr="00656F06">
        <w:rPr>
          <w:rFonts w:cstheme="minorHAnsi"/>
        </w:rPr>
        <w:t>(Word Count: 1026)</w:t>
      </w:r>
    </w:p>
    <w:p w14:paraId="3A97E455" w14:textId="77777777" w:rsidR="00656F06" w:rsidRDefault="00656F06" w:rsidP="00656F06">
      <w:pPr>
        <w:ind w:right="237"/>
        <w:jc w:val="both"/>
        <w:rPr>
          <w:rFonts w:ascii="Arial" w:hAnsi="Arial" w:cs="Arial"/>
        </w:rPr>
      </w:pPr>
    </w:p>
    <w:p w14:paraId="496A1879" w14:textId="77777777" w:rsidR="00656F06" w:rsidRDefault="00656F06"/>
    <w:p w14:paraId="5BAE58E3" w14:textId="4A94F5C6" w:rsidR="00B526D4" w:rsidRDefault="00B526D4"/>
    <w:p w14:paraId="55E1F109" w14:textId="77777777" w:rsidR="005E4F47" w:rsidRDefault="005E4F47">
      <w:pPr>
        <w:rPr>
          <w:b/>
          <w:u w:val="single"/>
        </w:rPr>
      </w:pPr>
    </w:p>
    <w:p w14:paraId="18862211" w14:textId="77777777" w:rsidR="005E4F47" w:rsidRDefault="005E4F47">
      <w:pPr>
        <w:rPr>
          <w:b/>
          <w:u w:val="single"/>
        </w:rPr>
      </w:pPr>
    </w:p>
    <w:p w14:paraId="5BF57080" w14:textId="77777777" w:rsidR="005E4F47" w:rsidRDefault="005E4F47">
      <w:pPr>
        <w:rPr>
          <w:b/>
          <w:u w:val="single"/>
        </w:rPr>
      </w:pPr>
    </w:p>
    <w:p w14:paraId="2E8570F3" w14:textId="77777777" w:rsidR="005E4F47" w:rsidRDefault="005E4F47">
      <w:pPr>
        <w:rPr>
          <w:b/>
          <w:u w:val="single"/>
        </w:rPr>
      </w:pPr>
    </w:p>
    <w:p w14:paraId="66D470F2" w14:textId="77777777" w:rsidR="005E4F47" w:rsidRDefault="005E4F47">
      <w:pPr>
        <w:rPr>
          <w:b/>
          <w:u w:val="single"/>
        </w:rPr>
      </w:pPr>
    </w:p>
    <w:p w14:paraId="6F6E35DC" w14:textId="77777777" w:rsidR="005E4F47" w:rsidRDefault="005E4F47">
      <w:pPr>
        <w:rPr>
          <w:b/>
          <w:u w:val="single"/>
        </w:rPr>
      </w:pPr>
    </w:p>
    <w:p w14:paraId="33994E3C" w14:textId="77777777" w:rsidR="005E4F47" w:rsidRDefault="005E4F47">
      <w:pPr>
        <w:rPr>
          <w:b/>
          <w:u w:val="single"/>
        </w:rPr>
      </w:pPr>
    </w:p>
    <w:p w14:paraId="126BA97A" w14:textId="77777777" w:rsidR="005E4F47" w:rsidRDefault="005E4F47">
      <w:pPr>
        <w:rPr>
          <w:b/>
          <w:u w:val="single"/>
        </w:rPr>
      </w:pPr>
    </w:p>
    <w:p w14:paraId="1B6ADC36" w14:textId="77777777" w:rsidR="005E4F47" w:rsidRDefault="005E4F47">
      <w:pPr>
        <w:rPr>
          <w:b/>
          <w:u w:val="single"/>
        </w:rPr>
      </w:pPr>
    </w:p>
    <w:p w14:paraId="17BF5DA2" w14:textId="77777777" w:rsidR="005E4F47" w:rsidRDefault="005E4F47">
      <w:pPr>
        <w:rPr>
          <w:b/>
          <w:u w:val="single"/>
        </w:rPr>
      </w:pPr>
    </w:p>
    <w:p w14:paraId="47B21AFA" w14:textId="77777777" w:rsidR="005E4F47" w:rsidRDefault="005E4F47">
      <w:pPr>
        <w:rPr>
          <w:b/>
          <w:u w:val="single"/>
        </w:rPr>
      </w:pPr>
    </w:p>
    <w:p w14:paraId="21D16504" w14:textId="77777777" w:rsidR="005E4F47" w:rsidRDefault="005E4F47">
      <w:pPr>
        <w:rPr>
          <w:b/>
          <w:u w:val="single"/>
        </w:rPr>
      </w:pPr>
    </w:p>
    <w:p w14:paraId="6D9EA792" w14:textId="77777777" w:rsidR="005E4F47" w:rsidRDefault="005E4F47">
      <w:pPr>
        <w:rPr>
          <w:b/>
          <w:u w:val="single"/>
        </w:rPr>
      </w:pPr>
    </w:p>
    <w:p w14:paraId="6F350194" w14:textId="77777777" w:rsidR="005E4F47" w:rsidRDefault="005E4F47">
      <w:pPr>
        <w:rPr>
          <w:b/>
          <w:u w:val="single"/>
        </w:rPr>
      </w:pPr>
    </w:p>
    <w:p w14:paraId="6078240C" w14:textId="77777777" w:rsidR="005E4F47" w:rsidRDefault="005E4F47">
      <w:pPr>
        <w:rPr>
          <w:b/>
          <w:u w:val="single"/>
        </w:rPr>
      </w:pPr>
    </w:p>
    <w:p w14:paraId="6AD31299" w14:textId="77777777" w:rsidR="005E4F47" w:rsidRDefault="005E4F47">
      <w:pPr>
        <w:rPr>
          <w:b/>
          <w:u w:val="single"/>
        </w:rPr>
      </w:pPr>
    </w:p>
    <w:p w14:paraId="6EB3E867" w14:textId="77777777" w:rsidR="005E4F47" w:rsidRDefault="005E4F47">
      <w:pPr>
        <w:rPr>
          <w:b/>
          <w:u w:val="single"/>
        </w:rPr>
      </w:pPr>
    </w:p>
    <w:p w14:paraId="7EE729AF" w14:textId="77777777" w:rsidR="005E4F47" w:rsidRDefault="005E4F47">
      <w:pPr>
        <w:rPr>
          <w:b/>
          <w:u w:val="single"/>
        </w:rPr>
      </w:pPr>
    </w:p>
    <w:p w14:paraId="301D192D" w14:textId="77777777" w:rsidR="005E4F47" w:rsidRDefault="005E4F47">
      <w:pPr>
        <w:rPr>
          <w:b/>
          <w:u w:val="single"/>
        </w:rPr>
      </w:pPr>
    </w:p>
    <w:p w14:paraId="4FA589B1" w14:textId="5EFD55E8" w:rsidR="00B526D4" w:rsidRDefault="00B526D4">
      <w:pPr>
        <w:rPr>
          <w:b/>
          <w:u w:val="single"/>
        </w:rPr>
      </w:pPr>
      <w:r>
        <w:rPr>
          <w:b/>
          <w:u w:val="single"/>
        </w:rPr>
        <w:lastRenderedPageBreak/>
        <w:t>Bibliography</w:t>
      </w:r>
    </w:p>
    <w:p w14:paraId="29C452D0" w14:textId="6BA9B613" w:rsidR="00B526D4" w:rsidRDefault="00B526D4">
      <w:pPr>
        <w:rPr>
          <w:b/>
          <w:u w:val="single"/>
        </w:rPr>
      </w:pPr>
    </w:p>
    <w:p w14:paraId="68844343" w14:textId="77777777" w:rsidR="005E4F47" w:rsidRDefault="005E4F47" w:rsidP="005E4F47">
      <w:pPr>
        <w:pStyle w:val="ListParagraph"/>
        <w:numPr>
          <w:ilvl w:val="0"/>
          <w:numId w:val="9"/>
        </w:numPr>
      </w:pPr>
      <w:r>
        <w:t>Arizona State University (</w:t>
      </w:r>
      <w:proofErr w:type="spellStart"/>
      <w:r>
        <w:t>n.d</w:t>
      </w:r>
      <w:proofErr w:type="spellEnd"/>
      <w:r>
        <w:t xml:space="preserve">) </w:t>
      </w:r>
      <w:r>
        <w:rPr>
          <w:i/>
        </w:rPr>
        <w:t>The SARA Model</w:t>
      </w:r>
      <w:r>
        <w:t xml:space="preserve">, Available at &lt; </w:t>
      </w:r>
      <w:hyperlink r:id="rId12" w:history="1">
        <w:r>
          <w:rPr>
            <w:rStyle w:val="Hyperlink"/>
          </w:rPr>
          <w:t>https://popcenter.asu.edu/content/sara-model-0</w:t>
        </w:r>
      </w:hyperlink>
      <w:r>
        <w:t>&gt; (accessed 08.01.21)</w:t>
      </w:r>
    </w:p>
    <w:p w14:paraId="3515545B" w14:textId="77777777" w:rsidR="005E4F47" w:rsidRDefault="005E4F47" w:rsidP="005E4F47">
      <w:pPr>
        <w:pStyle w:val="ListParagraph"/>
        <w:numPr>
          <w:ilvl w:val="0"/>
          <w:numId w:val="9"/>
        </w:numPr>
      </w:pPr>
      <w:r>
        <w:t xml:space="preserve">Boba R. and Clark J. (2008) ‘Institutionalizing problem-orientated policing: rethinking problem solving, analysis and accountability’, </w:t>
      </w:r>
      <w:r>
        <w:rPr>
          <w:i/>
        </w:rPr>
        <w:t xml:space="preserve">Police Practice and Research, </w:t>
      </w:r>
      <w:r>
        <w:t>Vol 9 (5), P379-393</w:t>
      </w:r>
    </w:p>
    <w:p w14:paraId="0E51F9EF" w14:textId="77777777" w:rsidR="005E4F47" w:rsidRDefault="005E4F47" w:rsidP="00B526D4">
      <w:pPr>
        <w:pStyle w:val="ListParagraph"/>
        <w:numPr>
          <w:ilvl w:val="0"/>
          <w:numId w:val="9"/>
        </w:numPr>
        <w:spacing w:line="256" w:lineRule="auto"/>
        <w:jc w:val="both"/>
      </w:pPr>
      <w:r>
        <w:t xml:space="preserve">British Crime Survey (2006) </w:t>
      </w:r>
      <w:r>
        <w:rPr>
          <w:i/>
        </w:rPr>
        <w:t>Measuring Crime for 25 years,</w:t>
      </w:r>
      <w:r>
        <w:t xml:space="preserve"> Available at &lt; </w:t>
      </w:r>
      <w:hyperlink r:id="rId13" w:history="1">
        <w:r>
          <w:rPr>
            <w:rStyle w:val="Hyperlink"/>
          </w:rPr>
          <w:t>https://webarchive.nationalarchives.gov.uk/20110218140037/http://rds.homeoffice.gov.uk/rds/pdfs07/bcs25.pdf</w:t>
        </w:r>
      </w:hyperlink>
      <w:r>
        <w:t>&gt; (accessed 09/01/21)</w:t>
      </w:r>
    </w:p>
    <w:p w14:paraId="79EDF540" w14:textId="77777777" w:rsidR="005E4F47" w:rsidRDefault="005E4F47" w:rsidP="00B526D4">
      <w:pPr>
        <w:pStyle w:val="ListParagraph"/>
        <w:numPr>
          <w:ilvl w:val="0"/>
          <w:numId w:val="9"/>
        </w:numPr>
        <w:overflowPunct w:val="0"/>
        <w:autoSpaceDE w:val="0"/>
        <w:autoSpaceDN w:val="0"/>
        <w:adjustRightInd w:val="0"/>
        <w:spacing w:after="0" w:line="240" w:lineRule="auto"/>
        <w:textAlignment w:val="baseline"/>
        <w:rPr>
          <w:rFonts w:cstheme="minorHAnsi"/>
        </w:rPr>
      </w:pPr>
      <w:r>
        <w:rPr>
          <w:rFonts w:cstheme="minorHAnsi"/>
        </w:rPr>
        <w:t xml:space="preserve">Bryant R and Bryant S (2019) </w:t>
      </w:r>
      <w:r>
        <w:rPr>
          <w:rFonts w:cstheme="minorHAnsi"/>
          <w:i/>
        </w:rPr>
        <w:t>Blackstone’s Handbook for Policing Students</w:t>
      </w:r>
      <w:r>
        <w:rPr>
          <w:rFonts w:cstheme="minorHAnsi"/>
        </w:rPr>
        <w:t>, 13</w:t>
      </w:r>
      <w:r>
        <w:rPr>
          <w:rFonts w:cstheme="minorHAnsi"/>
          <w:vertAlign w:val="superscript"/>
        </w:rPr>
        <w:t>th</w:t>
      </w:r>
      <w:r>
        <w:rPr>
          <w:rFonts w:cstheme="minorHAnsi"/>
        </w:rPr>
        <w:t xml:space="preserve"> </w:t>
      </w:r>
      <w:proofErr w:type="spellStart"/>
      <w:r>
        <w:rPr>
          <w:rFonts w:cstheme="minorHAnsi"/>
        </w:rPr>
        <w:t>Edn</w:t>
      </w:r>
      <w:proofErr w:type="spellEnd"/>
      <w:r>
        <w:rPr>
          <w:rFonts w:cstheme="minorHAnsi"/>
        </w:rPr>
        <w:t xml:space="preserve">, Oxford University Press: Oxford </w:t>
      </w:r>
    </w:p>
    <w:p w14:paraId="38E697A1" w14:textId="77777777" w:rsidR="005E4F47" w:rsidRDefault="005E4F47" w:rsidP="00656F06">
      <w:pPr>
        <w:pStyle w:val="ListParagraph"/>
        <w:numPr>
          <w:ilvl w:val="0"/>
          <w:numId w:val="9"/>
        </w:numPr>
      </w:pPr>
      <w:r>
        <w:t xml:space="preserve">Burns, V and Peterson K (2005) </w:t>
      </w:r>
      <w:r>
        <w:rPr>
          <w:i/>
        </w:rPr>
        <w:t>Terrorism: A Documentary and reference guide</w:t>
      </w:r>
      <w:r>
        <w:t>, Greenwood Press: Westport Conn.</w:t>
      </w:r>
    </w:p>
    <w:p w14:paraId="0153CD3D" w14:textId="77777777" w:rsidR="005E4F47" w:rsidRDefault="005E4F47" w:rsidP="000241A0">
      <w:pPr>
        <w:pStyle w:val="ListParagraph"/>
        <w:numPr>
          <w:ilvl w:val="0"/>
          <w:numId w:val="9"/>
        </w:numPr>
      </w:pPr>
      <w:r>
        <w:t xml:space="preserve">Cole G, and Smith C (2007) </w:t>
      </w:r>
      <w:r>
        <w:rPr>
          <w:i/>
        </w:rPr>
        <w:t xml:space="preserve">The American System of Criminal Justice, </w:t>
      </w:r>
      <w:r>
        <w:t>11ed, Belmont CA: Thompson/Wadsworth</w:t>
      </w:r>
    </w:p>
    <w:p w14:paraId="06F55729" w14:textId="77777777" w:rsidR="005E4F47" w:rsidRDefault="005E4F47" w:rsidP="000241A0">
      <w:pPr>
        <w:pStyle w:val="ListParagraph"/>
        <w:numPr>
          <w:ilvl w:val="0"/>
          <w:numId w:val="9"/>
        </w:numPr>
      </w:pPr>
      <w:r>
        <w:t>College of Policing (2013) Engagement and Communication, Available at &lt;</w:t>
      </w:r>
      <w:r w:rsidRPr="00D9249B">
        <w:t xml:space="preserve"> </w:t>
      </w:r>
      <w:hyperlink r:id="rId14" w:history="1">
        <w:r>
          <w:rPr>
            <w:rStyle w:val="Hyperlink"/>
          </w:rPr>
          <w:t>https://www.app.college.police.uk/app-content/engagement-and-communication/engaging-with-communities/</w:t>
        </w:r>
      </w:hyperlink>
      <w:r>
        <w:t>&gt; (accessed 05/01/21)</w:t>
      </w:r>
    </w:p>
    <w:p w14:paraId="0D1D63A4" w14:textId="77777777" w:rsidR="005E4F47" w:rsidRPr="00A20816" w:rsidRDefault="005E4F47" w:rsidP="005E4F47">
      <w:pPr>
        <w:pStyle w:val="ListParagraph"/>
        <w:numPr>
          <w:ilvl w:val="0"/>
          <w:numId w:val="9"/>
        </w:numPr>
        <w:rPr>
          <w:i/>
        </w:rPr>
      </w:pPr>
      <w:r>
        <w:t xml:space="preserve">College of Policing (2019) </w:t>
      </w:r>
      <w:r>
        <w:rPr>
          <w:i/>
        </w:rPr>
        <w:t>Intelligence Management: Intelligence Products</w:t>
      </w:r>
      <w:r>
        <w:t xml:space="preserve"> &lt;</w:t>
      </w:r>
      <w:r w:rsidRPr="00C518F0">
        <w:t xml:space="preserve"> </w:t>
      </w:r>
      <w:hyperlink r:id="rId15" w:history="1">
        <w:r>
          <w:rPr>
            <w:rStyle w:val="Hyperlink"/>
          </w:rPr>
          <w:t>https://www.app.college.police.uk/app-content/intelligence-management/analysis/intelligence-products/</w:t>
        </w:r>
      </w:hyperlink>
      <w:r>
        <w:t>&gt; (accessed 08/01/21)</w:t>
      </w:r>
    </w:p>
    <w:p w14:paraId="3B843BD8" w14:textId="77777777" w:rsidR="005E4F47" w:rsidRPr="00F95A13" w:rsidRDefault="005E4F47" w:rsidP="00656F06">
      <w:pPr>
        <w:pStyle w:val="ListParagraph"/>
        <w:numPr>
          <w:ilvl w:val="0"/>
          <w:numId w:val="9"/>
        </w:numPr>
        <w:rPr>
          <w:i/>
        </w:rPr>
      </w:pPr>
      <w:r>
        <w:t xml:space="preserve">College of Policing (2019) Roads Policing: </w:t>
      </w:r>
      <w:r>
        <w:rPr>
          <w:i/>
        </w:rPr>
        <w:t>Disrupting Criminality</w:t>
      </w:r>
      <w:r>
        <w:t xml:space="preserve">, Available at &lt; </w:t>
      </w:r>
      <w:hyperlink r:id="rId16" w:history="1">
        <w:r>
          <w:rPr>
            <w:rStyle w:val="Hyperlink"/>
          </w:rPr>
          <w:t>https://www.app.college.police.uk/app-content/road-policing-2/disrupting-criminality/</w:t>
        </w:r>
      </w:hyperlink>
      <w:r>
        <w:t xml:space="preserve"> &gt; (accessed 10/01/21)</w:t>
      </w:r>
    </w:p>
    <w:p w14:paraId="5AF8A492" w14:textId="77777777" w:rsidR="005E4F47" w:rsidRDefault="005E4F47" w:rsidP="005E4F47">
      <w:pPr>
        <w:pStyle w:val="ListParagraph"/>
        <w:numPr>
          <w:ilvl w:val="0"/>
          <w:numId w:val="9"/>
        </w:numPr>
      </w:pPr>
      <w:r>
        <w:t xml:space="preserve">College of Policing (2020) </w:t>
      </w:r>
      <w:r>
        <w:rPr>
          <w:i/>
        </w:rPr>
        <w:t xml:space="preserve">Problem Orientated Policing, </w:t>
      </w:r>
      <w:r>
        <w:t>Available at &lt;</w:t>
      </w:r>
      <w:hyperlink r:id="rId17" w:history="1">
        <w:r>
          <w:rPr>
            <w:rStyle w:val="Hyperlink"/>
          </w:rPr>
          <w:t>https://whatworks.college.police.uk/toolkit/Pages/Intervention.aspx?InterventionID=47</w:t>
        </w:r>
      </w:hyperlink>
      <w:r>
        <w:t>&gt; (accessed 08/01/21)</w:t>
      </w:r>
    </w:p>
    <w:p w14:paraId="0FCE6822" w14:textId="77777777" w:rsidR="005E4F47" w:rsidRDefault="005E4F47" w:rsidP="000241A0">
      <w:pPr>
        <w:pStyle w:val="ListParagraph"/>
        <w:numPr>
          <w:ilvl w:val="0"/>
          <w:numId w:val="9"/>
        </w:numPr>
      </w:pPr>
      <w:r>
        <w:t>College of Policing (</w:t>
      </w:r>
      <w:proofErr w:type="spellStart"/>
      <w:r>
        <w:t>n.d</w:t>
      </w:r>
      <w:proofErr w:type="spellEnd"/>
      <w:r>
        <w:t xml:space="preserve">) </w:t>
      </w:r>
      <w:r w:rsidRPr="00C61065">
        <w:rPr>
          <w:i/>
        </w:rPr>
        <w:t>Definition of Neighbourhood Policing</w:t>
      </w:r>
      <w:r>
        <w:t>, Available at &lt;</w:t>
      </w:r>
      <w:r w:rsidRPr="00E95E44">
        <w:t xml:space="preserve"> </w:t>
      </w:r>
      <w:hyperlink r:id="rId18" w:history="1">
        <w:r>
          <w:rPr>
            <w:rStyle w:val="Hyperlink"/>
          </w:rPr>
          <w:t>https://www.college.police.uk/What-we-do/Standards/Guidelines/Neighbourhood-Policing/Pages/definition-of-neighbourhood-policing.aspx</w:t>
        </w:r>
      </w:hyperlink>
      <w:r>
        <w:t>&gt; (accessed 05/01/21)</w:t>
      </w:r>
    </w:p>
    <w:p w14:paraId="7C7D93D3" w14:textId="77777777" w:rsidR="005E4F47" w:rsidRDefault="005E4F47" w:rsidP="000241A0">
      <w:pPr>
        <w:pStyle w:val="ListParagraph"/>
        <w:numPr>
          <w:ilvl w:val="0"/>
          <w:numId w:val="9"/>
        </w:numPr>
      </w:pPr>
      <w:r>
        <w:t xml:space="preserve">CREW (2015) </w:t>
      </w:r>
      <w:r w:rsidRPr="00C61065">
        <w:rPr>
          <w:i/>
        </w:rPr>
        <w:t>A Guide to</w:t>
      </w:r>
      <w:r>
        <w:rPr>
          <w:i/>
        </w:rPr>
        <w:t xml:space="preserve"> Effective Community Engagement, </w:t>
      </w:r>
      <w:r>
        <w:t>Available at &lt;</w:t>
      </w:r>
      <w:hyperlink r:id="rId19" w:history="1">
        <w:r>
          <w:rPr>
            <w:rStyle w:val="Hyperlink"/>
          </w:rPr>
          <w:t>http://regenwales.org/upload/pdf/071415111717A%20Guide%20to%20Effective%20Community%20Engagement.pdf</w:t>
        </w:r>
      </w:hyperlink>
      <w:r>
        <w:t>&gt; (Accessed 07/01/21)</w:t>
      </w:r>
    </w:p>
    <w:p w14:paraId="789CFDAF" w14:textId="77777777" w:rsidR="005E4F47" w:rsidRDefault="005E4F47" w:rsidP="00656F06">
      <w:pPr>
        <w:pStyle w:val="ListParagraph"/>
        <w:numPr>
          <w:ilvl w:val="0"/>
          <w:numId w:val="9"/>
        </w:numPr>
      </w:pPr>
      <w:r>
        <w:t xml:space="preserve">Crown Prosecution Service (2020) </w:t>
      </w:r>
      <w:r>
        <w:rPr>
          <w:i/>
        </w:rPr>
        <w:t>Terrorism</w:t>
      </w:r>
      <w:r>
        <w:t xml:space="preserve">, Available at &lt; </w:t>
      </w:r>
      <w:hyperlink r:id="rId20" w:history="1">
        <w:r>
          <w:rPr>
            <w:rStyle w:val="Hyperlink"/>
          </w:rPr>
          <w:t>https://www.cps.gov.uk/crime-info/terrorism</w:t>
        </w:r>
      </w:hyperlink>
      <w:r>
        <w:t>&gt; (accessed 10/01/21)</w:t>
      </w:r>
    </w:p>
    <w:p w14:paraId="39BD227A" w14:textId="77777777" w:rsidR="005E4F47" w:rsidRDefault="005E4F47" w:rsidP="000241A0">
      <w:pPr>
        <w:pStyle w:val="ListParagraph"/>
        <w:numPr>
          <w:ilvl w:val="0"/>
          <w:numId w:val="9"/>
        </w:numPr>
      </w:pPr>
      <w:r>
        <w:t xml:space="preserve">Foster J, </w:t>
      </w:r>
      <w:proofErr w:type="spellStart"/>
      <w:r>
        <w:t>Newburn</w:t>
      </w:r>
      <w:proofErr w:type="spellEnd"/>
      <w:r>
        <w:t xml:space="preserve"> T and </w:t>
      </w:r>
      <w:proofErr w:type="spellStart"/>
      <w:r>
        <w:t>Souhami</w:t>
      </w:r>
      <w:proofErr w:type="spellEnd"/>
      <w:r>
        <w:t xml:space="preserve"> A (2005) </w:t>
      </w:r>
      <w:r>
        <w:rPr>
          <w:i/>
        </w:rPr>
        <w:t>Assessing the impact of the Stephen Lawrence Inquiry</w:t>
      </w:r>
      <w:r>
        <w:t>, Available at &lt;</w:t>
      </w:r>
      <w:r w:rsidRPr="00A976F1">
        <w:t xml:space="preserve"> </w:t>
      </w:r>
      <w:hyperlink r:id="rId21" w:history="1">
        <w:r>
          <w:rPr>
            <w:rStyle w:val="Hyperlink"/>
          </w:rPr>
          <w:t>https://www.politieacademie.nl/kennisenonderzoek/kennis/mediatheek/PDF/45875.pdf</w:t>
        </w:r>
      </w:hyperlink>
      <w:r>
        <w:t>&gt; (accessed 07/01/21)</w:t>
      </w:r>
    </w:p>
    <w:p w14:paraId="27E07E8F" w14:textId="77777777" w:rsidR="005E4F47" w:rsidRDefault="005E4F47" w:rsidP="00B526D4">
      <w:pPr>
        <w:pStyle w:val="ListParagraph"/>
        <w:numPr>
          <w:ilvl w:val="0"/>
          <w:numId w:val="9"/>
        </w:numPr>
        <w:spacing w:line="256" w:lineRule="auto"/>
        <w:jc w:val="both"/>
      </w:pPr>
      <w:proofErr w:type="spellStart"/>
      <w:r>
        <w:t>Harfield</w:t>
      </w:r>
      <w:proofErr w:type="spellEnd"/>
      <w:r>
        <w:t xml:space="preserve">, C (2014) </w:t>
      </w:r>
      <w:r>
        <w:rPr>
          <w:i/>
        </w:rPr>
        <w:t>Blackstone’s Police Operational Handbook: Practice and Procedure</w:t>
      </w:r>
      <w:r>
        <w:t>. 2</w:t>
      </w:r>
      <w:r>
        <w:rPr>
          <w:vertAlign w:val="superscript"/>
        </w:rPr>
        <w:t>nd</w:t>
      </w:r>
      <w:r>
        <w:t xml:space="preserve"> </w:t>
      </w:r>
      <w:proofErr w:type="spellStart"/>
      <w:r>
        <w:t>Edn</w:t>
      </w:r>
      <w:proofErr w:type="spellEnd"/>
      <w:r>
        <w:t>. Oxford University Press: Oxford</w:t>
      </w:r>
    </w:p>
    <w:p w14:paraId="6A63FE6D" w14:textId="77777777" w:rsidR="005E4F47" w:rsidRPr="000152D8" w:rsidRDefault="005E4F47" w:rsidP="00656F06">
      <w:pPr>
        <w:pStyle w:val="ListParagraph"/>
        <w:numPr>
          <w:ilvl w:val="0"/>
          <w:numId w:val="9"/>
        </w:numPr>
        <w:rPr>
          <w:i/>
        </w:rPr>
      </w:pPr>
      <w:r>
        <w:t xml:space="preserve">HM Government (2018) </w:t>
      </w:r>
      <w:r>
        <w:rPr>
          <w:i/>
        </w:rPr>
        <w:t>Serious and Organised Crime Strategy</w:t>
      </w:r>
      <w:r>
        <w:t xml:space="preserve">, Available at &lt; </w:t>
      </w:r>
      <w:hyperlink r:id="rId22" w:history="1">
        <w:r>
          <w:rPr>
            <w:rStyle w:val="Hyperlink"/>
          </w:rPr>
          <w:t>https://assets.publishing.service.gov.uk/government/uploads/system/uploads/attachment_data/file/752850/SOC-2018-web.pdf</w:t>
        </w:r>
      </w:hyperlink>
      <w:r>
        <w:t xml:space="preserve"> &gt; (accessed 10/01/21)</w:t>
      </w:r>
    </w:p>
    <w:p w14:paraId="19248A92" w14:textId="77777777" w:rsidR="005E4F47" w:rsidRPr="00A8658A" w:rsidRDefault="005E4F47" w:rsidP="00656F06">
      <w:pPr>
        <w:pStyle w:val="ListParagraph"/>
        <w:numPr>
          <w:ilvl w:val="0"/>
          <w:numId w:val="9"/>
        </w:numPr>
        <w:rPr>
          <w:i/>
        </w:rPr>
      </w:pPr>
      <w:r>
        <w:t xml:space="preserve">Home Office (2013) </w:t>
      </w:r>
      <w:r>
        <w:rPr>
          <w:i/>
        </w:rPr>
        <w:t>Understanding organised crime: estimating the scale and the social and economic costs</w:t>
      </w:r>
      <w:r>
        <w:t xml:space="preserve">, Available at &lt; </w:t>
      </w:r>
      <w:hyperlink r:id="rId23" w:history="1">
        <w:r>
          <w:rPr>
            <w:rStyle w:val="Hyperlink"/>
          </w:rPr>
          <w:t>https://assets.publishing.service.gov.uk/government/uploads/system/uploads/attachment_data/file/246390/horr73.pdf</w:t>
        </w:r>
      </w:hyperlink>
      <w:r>
        <w:t xml:space="preserve"> &gt; (accessed 10/01/21)</w:t>
      </w:r>
    </w:p>
    <w:p w14:paraId="29E4B6E4" w14:textId="77777777" w:rsidR="005E4F47" w:rsidRDefault="005E4F47" w:rsidP="00B526D4">
      <w:pPr>
        <w:pStyle w:val="ListParagraph"/>
        <w:numPr>
          <w:ilvl w:val="0"/>
          <w:numId w:val="9"/>
        </w:numPr>
        <w:spacing w:line="256" w:lineRule="auto"/>
        <w:jc w:val="both"/>
      </w:pPr>
      <w:r>
        <w:t xml:space="preserve">JESIP (2020) </w:t>
      </w:r>
      <w:r>
        <w:rPr>
          <w:i/>
        </w:rPr>
        <w:t>JESIP - Working together, Saving Lives.</w:t>
      </w:r>
      <w:r>
        <w:t> Available at&lt; </w:t>
      </w:r>
      <w:hyperlink r:id="rId24" w:history="1">
        <w:r>
          <w:rPr>
            <w:rStyle w:val="Hyperlink"/>
          </w:rPr>
          <w:t>https://jesip.org.uk/home</w:t>
        </w:r>
      </w:hyperlink>
      <w:r>
        <w:t xml:space="preserve"> &gt; (accessed 09/01/21)</w:t>
      </w:r>
    </w:p>
    <w:p w14:paraId="464916FA" w14:textId="77777777" w:rsidR="005E4F47" w:rsidRDefault="005E4F47" w:rsidP="00B526D4">
      <w:pPr>
        <w:pStyle w:val="ListParagraph"/>
        <w:numPr>
          <w:ilvl w:val="0"/>
          <w:numId w:val="9"/>
        </w:numPr>
        <w:spacing w:line="256" w:lineRule="auto"/>
        <w:jc w:val="both"/>
      </w:pPr>
      <w:r>
        <w:t xml:space="preserve">Laming, </w:t>
      </w:r>
      <w:proofErr w:type="spellStart"/>
      <w:r>
        <w:t>Rt</w:t>
      </w:r>
      <w:proofErr w:type="spellEnd"/>
      <w:r>
        <w:t xml:space="preserve"> Hon The Lord (2003) </w:t>
      </w:r>
      <w:r>
        <w:rPr>
          <w:i/>
        </w:rPr>
        <w:t xml:space="preserve">The Victoria </w:t>
      </w:r>
      <w:proofErr w:type="spellStart"/>
      <w:r>
        <w:rPr>
          <w:i/>
        </w:rPr>
        <w:t>Climbie</w:t>
      </w:r>
      <w:proofErr w:type="spellEnd"/>
      <w:r>
        <w:rPr>
          <w:i/>
        </w:rPr>
        <w:t xml:space="preserve"> Inquiry, </w:t>
      </w:r>
      <w:r>
        <w:t>TSO: London</w:t>
      </w:r>
    </w:p>
    <w:p w14:paraId="7D035FF7" w14:textId="77777777" w:rsidR="005E4F47" w:rsidRDefault="005E4F47" w:rsidP="000241A0">
      <w:pPr>
        <w:pStyle w:val="ListParagraph"/>
        <w:numPr>
          <w:ilvl w:val="0"/>
          <w:numId w:val="9"/>
        </w:numPr>
      </w:pPr>
      <w:r>
        <w:lastRenderedPageBreak/>
        <w:t xml:space="preserve">Macpherson, Sir W (1999) </w:t>
      </w:r>
      <w:r>
        <w:rPr>
          <w:i/>
        </w:rPr>
        <w:t xml:space="preserve">The Stephen Lawrence Inquiry, </w:t>
      </w:r>
      <w:r>
        <w:t xml:space="preserve">Available at &lt; </w:t>
      </w:r>
      <w:hyperlink r:id="rId25" w:history="1">
        <w:r>
          <w:rPr>
            <w:rStyle w:val="Hyperlink"/>
          </w:rPr>
          <w:t>https://assets.publishing.service.gov.uk/government/uploads/system/uploads/attachment_data/file/277111/4262.pdf</w:t>
        </w:r>
      </w:hyperlink>
      <w:r>
        <w:t>&gt; (Accessed 07/01/21)</w:t>
      </w:r>
    </w:p>
    <w:p w14:paraId="05857D32" w14:textId="77777777" w:rsidR="005E4F47" w:rsidRDefault="005E4F47" w:rsidP="00656F06">
      <w:pPr>
        <w:pStyle w:val="ListParagraph"/>
        <w:numPr>
          <w:ilvl w:val="0"/>
          <w:numId w:val="9"/>
        </w:numPr>
      </w:pPr>
      <w:r>
        <w:t xml:space="preserve">MI5 (2019) </w:t>
      </w:r>
      <w:r>
        <w:rPr>
          <w:i/>
        </w:rPr>
        <w:t>MI5 and Police – Joint Review of Operational Processes in CT Investigations following recent terrorist attacks</w:t>
      </w:r>
      <w:r>
        <w:t xml:space="preserve">, Available at &lt; </w:t>
      </w:r>
      <w:hyperlink r:id="rId26" w:history="1">
        <w:r>
          <w:rPr>
            <w:rStyle w:val="Hyperlink"/>
          </w:rPr>
          <w:t>https://www.mi5.gov.uk/news/mi5-and-police-%E2%80%93-joint-review-of-operational-processes-in-ct-investigations-following-recent</w:t>
        </w:r>
      </w:hyperlink>
      <w:r>
        <w:t>&gt; (accessed 10/01/21)</w:t>
      </w:r>
    </w:p>
    <w:p w14:paraId="6D20A162" w14:textId="77777777" w:rsidR="005E4F47" w:rsidRPr="00867C3A" w:rsidRDefault="005E4F47" w:rsidP="00656F06">
      <w:pPr>
        <w:pStyle w:val="ListParagraph"/>
        <w:numPr>
          <w:ilvl w:val="0"/>
          <w:numId w:val="9"/>
        </w:numPr>
        <w:rPr>
          <w:i/>
        </w:rPr>
      </w:pPr>
      <w:r>
        <w:t>National Crime Agency (</w:t>
      </w:r>
      <w:proofErr w:type="spellStart"/>
      <w:r>
        <w:t>n.d</w:t>
      </w:r>
      <w:proofErr w:type="spellEnd"/>
      <w:r>
        <w:t xml:space="preserve">) </w:t>
      </w:r>
      <w:r>
        <w:rPr>
          <w:i/>
        </w:rPr>
        <w:t>Drug Trafficking</w:t>
      </w:r>
      <w:r>
        <w:t xml:space="preserve">, Available at &lt; </w:t>
      </w:r>
      <w:hyperlink r:id="rId27" w:history="1">
        <w:r>
          <w:rPr>
            <w:rStyle w:val="Hyperlink"/>
          </w:rPr>
          <w:t>Drug trafficking - National Crime Agency</w:t>
        </w:r>
      </w:hyperlink>
      <w:r>
        <w:t xml:space="preserve"> &gt; (accessed 10/01/21)</w:t>
      </w:r>
    </w:p>
    <w:p w14:paraId="17DC0B9D" w14:textId="77777777" w:rsidR="005E4F47" w:rsidRPr="003D1C81" w:rsidRDefault="005E4F47" w:rsidP="005E4F47">
      <w:pPr>
        <w:pStyle w:val="ListParagraph"/>
        <w:numPr>
          <w:ilvl w:val="0"/>
          <w:numId w:val="9"/>
        </w:numPr>
        <w:rPr>
          <w:i/>
        </w:rPr>
      </w:pPr>
      <w:r>
        <w:t xml:space="preserve">National Criminal Intelligence Service (2014) </w:t>
      </w:r>
      <w:r>
        <w:rPr>
          <w:i/>
        </w:rPr>
        <w:t>The National Intelligence Model</w:t>
      </w:r>
      <w:r>
        <w:t>, Available at &lt;</w:t>
      </w:r>
      <w:r w:rsidRPr="00A20816">
        <w:t xml:space="preserve"> </w:t>
      </w:r>
      <w:hyperlink r:id="rId28" w:history="1">
        <w:r>
          <w:rPr>
            <w:rStyle w:val="Hyperlink"/>
          </w:rPr>
          <w:t>https://netpol.org/wp-content/uploads/2014/06/National-Intelligence-Model.pdf</w:t>
        </w:r>
      </w:hyperlink>
      <w:r>
        <w:t>&gt; (accessed 08/01/21)</w:t>
      </w:r>
    </w:p>
    <w:p w14:paraId="6FB645CC" w14:textId="77777777" w:rsidR="005E4F47" w:rsidRDefault="005E4F47" w:rsidP="00656F06">
      <w:pPr>
        <w:pStyle w:val="ListParagraph"/>
        <w:numPr>
          <w:ilvl w:val="0"/>
          <w:numId w:val="9"/>
        </w:numPr>
        <w:overflowPunct w:val="0"/>
        <w:autoSpaceDE w:val="0"/>
        <w:autoSpaceDN w:val="0"/>
        <w:adjustRightInd w:val="0"/>
        <w:spacing w:after="0" w:line="240" w:lineRule="auto"/>
        <w:textAlignment w:val="baseline"/>
      </w:pPr>
      <w:r>
        <w:t>National Police Chiefs’ Council (</w:t>
      </w:r>
      <w:proofErr w:type="spellStart"/>
      <w:r>
        <w:t>n.d</w:t>
      </w:r>
      <w:proofErr w:type="spellEnd"/>
      <w:r>
        <w:t xml:space="preserve">) </w:t>
      </w:r>
      <w:proofErr w:type="spellStart"/>
      <w:r>
        <w:t>Automatice</w:t>
      </w:r>
      <w:proofErr w:type="spellEnd"/>
      <w:r>
        <w:t xml:space="preserve"> Number Plate Recognition, Available at &lt;</w:t>
      </w:r>
      <w:hyperlink r:id="rId29" w:history="1">
        <w:r>
          <w:rPr>
            <w:rStyle w:val="Hyperlink"/>
          </w:rPr>
          <w:t>https://www.npcc.police.uk/FreedomofInformation/ANPR.aspx</w:t>
        </w:r>
      </w:hyperlink>
      <w:r>
        <w:t>&gt; (accessed on 19/09/20)</w:t>
      </w:r>
    </w:p>
    <w:p w14:paraId="3EA0930D" w14:textId="77777777" w:rsidR="005E4F47" w:rsidRDefault="005E4F47" w:rsidP="00B526D4">
      <w:pPr>
        <w:pStyle w:val="ListParagraph"/>
        <w:numPr>
          <w:ilvl w:val="0"/>
          <w:numId w:val="9"/>
        </w:numPr>
        <w:spacing w:line="256" w:lineRule="auto"/>
        <w:jc w:val="both"/>
      </w:pPr>
      <w:r>
        <w:t xml:space="preserve">National Policing Improvement Agency (2011) </w:t>
      </w:r>
      <w:r>
        <w:rPr>
          <w:i/>
        </w:rPr>
        <w:t xml:space="preserve">Practical Advice on Critical Incident Management, </w:t>
      </w:r>
      <w:r>
        <w:t xml:space="preserve">Available at &lt; </w:t>
      </w:r>
      <w:hyperlink r:id="rId30" w:history="1">
        <w:r>
          <w:rPr>
            <w:rStyle w:val="Hyperlink"/>
          </w:rPr>
          <w:t>http://library.college.police.uk/docs/NPIA/Practice-Advice-on-CIM-Jul2011.pdf</w:t>
        </w:r>
      </w:hyperlink>
      <w:r>
        <w:t xml:space="preserve"> &gt; (accessed 09/01/21)</w:t>
      </w:r>
    </w:p>
    <w:p w14:paraId="313641F3" w14:textId="77777777" w:rsidR="005E4F47" w:rsidRDefault="005E4F47" w:rsidP="00B526D4">
      <w:pPr>
        <w:pStyle w:val="ListParagraph"/>
        <w:numPr>
          <w:ilvl w:val="0"/>
          <w:numId w:val="9"/>
        </w:numPr>
        <w:overflowPunct w:val="0"/>
        <w:autoSpaceDE w:val="0"/>
        <w:autoSpaceDN w:val="0"/>
        <w:adjustRightInd w:val="0"/>
        <w:spacing w:after="0" w:line="240" w:lineRule="auto"/>
        <w:textAlignment w:val="baseline"/>
      </w:pPr>
      <w:r>
        <w:t xml:space="preserve">Office of National Statistics (2019) Internet Access – Households and Individuals, Great Britain 2019, Available at &lt; </w:t>
      </w:r>
      <w:hyperlink r:id="rId31" w:history="1">
        <w:r>
          <w:rPr>
            <w:rStyle w:val="Hyperlink"/>
          </w:rPr>
          <w:t>https://www.ons.gov.uk/peoplepopulationandcommunity/householdcharacteristics/homeinternetandsocialmediausage/bulletins/internetaccesshouseholdsandindividuals/2019</w:t>
        </w:r>
      </w:hyperlink>
      <w:r>
        <w:t>&gt; (accessed 09/01/21)</w:t>
      </w:r>
    </w:p>
    <w:p w14:paraId="098CD428" w14:textId="77777777" w:rsidR="005E4F47" w:rsidRDefault="005E4F47" w:rsidP="000241A0">
      <w:pPr>
        <w:pStyle w:val="ListParagraph"/>
        <w:numPr>
          <w:ilvl w:val="0"/>
          <w:numId w:val="9"/>
        </w:numPr>
      </w:pPr>
      <w:proofErr w:type="spellStart"/>
      <w:r>
        <w:t>Ratcliffe</w:t>
      </w:r>
      <w:proofErr w:type="spellEnd"/>
      <w:r>
        <w:t xml:space="preserve">, Anita &amp; von </w:t>
      </w:r>
      <w:proofErr w:type="spellStart"/>
      <w:r>
        <w:t>Hinke</w:t>
      </w:r>
      <w:proofErr w:type="spellEnd"/>
      <w:r>
        <w:t xml:space="preserve"> Kessler </w:t>
      </w:r>
      <w:proofErr w:type="spellStart"/>
      <w:r>
        <w:t>Scholdery</w:t>
      </w:r>
      <w:proofErr w:type="spellEnd"/>
      <w:r>
        <w:t xml:space="preserve">, Stephanie (2013) The London Bombings and Racial Prejudice: Evidence from Housing and Labour Markets, Available at &lt; </w:t>
      </w:r>
      <w:hyperlink r:id="rId32" w:history="1">
        <w:r>
          <w:rPr>
            <w:rStyle w:val="Hyperlink"/>
          </w:rPr>
          <w:t>https://onlinelibrary.wiley.com/doi/epdf/10.1111/ecin.12144</w:t>
        </w:r>
      </w:hyperlink>
      <w:r>
        <w:t>&gt; (accessed 07/01/21)</w:t>
      </w:r>
    </w:p>
    <w:p w14:paraId="7AB3C3F1" w14:textId="77777777" w:rsidR="005E4F47" w:rsidRPr="00C518F0" w:rsidRDefault="005E4F47" w:rsidP="005E4F47">
      <w:pPr>
        <w:pStyle w:val="ListParagraph"/>
        <w:numPr>
          <w:ilvl w:val="0"/>
          <w:numId w:val="9"/>
        </w:numPr>
        <w:rPr>
          <w:i/>
        </w:rPr>
      </w:pPr>
      <w:proofErr w:type="spellStart"/>
      <w:r>
        <w:t>Ratcliffe</w:t>
      </w:r>
      <w:proofErr w:type="spellEnd"/>
      <w:r>
        <w:t>, J., Taniguchi, T., Groff, E. R., &amp; Wood, J. D. (2011). The Philadelphia foot patrol experiment: A randomized controlled trial of police patrol effectiveness in violent crime hotspots. Criminology, 49, 795-831.</w:t>
      </w:r>
    </w:p>
    <w:p w14:paraId="5D70E458" w14:textId="77777777" w:rsidR="005E4F47" w:rsidRDefault="005E4F47" w:rsidP="000241A0">
      <w:pPr>
        <w:pStyle w:val="ListParagraph"/>
        <w:numPr>
          <w:ilvl w:val="0"/>
          <w:numId w:val="9"/>
        </w:numPr>
      </w:pPr>
      <w:proofErr w:type="spellStart"/>
      <w:r>
        <w:t>Scarman</w:t>
      </w:r>
      <w:proofErr w:type="spellEnd"/>
      <w:r>
        <w:t xml:space="preserve">, Lord (1981) </w:t>
      </w:r>
      <w:r>
        <w:rPr>
          <w:i/>
        </w:rPr>
        <w:t>Report into the Brixton Disorders</w:t>
      </w:r>
      <w:r>
        <w:t xml:space="preserve">, </w:t>
      </w:r>
      <w:proofErr w:type="spellStart"/>
      <w:r>
        <w:t>Cmnd</w:t>
      </w:r>
      <w:proofErr w:type="spellEnd"/>
      <w:r>
        <w:t xml:space="preserve"> 8427, HMSO: London</w:t>
      </w:r>
    </w:p>
    <w:p w14:paraId="4EF4DE1B" w14:textId="77777777" w:rsidR="005E4F47" w:rsidRPr="00E0636B" w:rsidRDefault="005E4F47" w:rsidP="005E4F47">
      <w:pPr>
        <w:pStyle w:val="ListParagraph"/>
        <w:numPr>
          <w:ilvl w:val="0"/>
          <w:numId w:val="9"/>
        </w:numPr>
        <w:rPr>
          <w:i/>
        </w:rPr>
      </w:pPr>
      <w:r>
        <w:t xml:space="preserve">Scott M (2000) </w:t>
      </w:r>
      <w:r w:rsidRPr="00E95197">
        <w:rPr>
          <w:i/>
        </w:rPr>
        <w:t>Problem-oriented policing: Reflections on the first 20 years</w:t>
      </w:r>
      <w:r>
        <w:t xml:space="preserve">, Available at &lt; </w:t>
      </w:r>
      <w:hyperlink r:id="rId33" w:history="1">
        <w:r>
          <w:rPr>
            <w:rStyle w:val="Hyperlink"/>
          </w:rPr>
          <w:t>https://popcenter.asu.edu/sites/default/files/library/reading/pdfs/Reflections-2.pdf</w:t>
        </w:r>
      </w:hyperlink>
      <w:r>
        <w:t>&gt; (accessed 08/01/21)</w:t>
      </w:r>
    </w:p>
    <w:p w14:paraId="22F99F5B" w14:textId="77777777" w:rsidR="005E4F47" w:rsidRPr="000152D8" w:rsidRDefault="005E4F47" w:rsidP="00656F06">
      <w:pPr>
        <w:pStyle w:val="ListParagraph"/>
        <w:numPr>
          <w:ilvl w:val="0"/>
          <w:numId w:val="9"/>
        </w:numPr>
        <w:rPr>
          <w:i/>
        </w:rPr>
      </w:pPr>
      <w:r>
        <w:t xml:space="preserve">Section 163 Road Traffic Act (1988) Available at &lt; </w:t>
      </w:r>
      <w:hyperlink r:id="rId34" w:history="1">
        <w:r>
          <w:rPr>
            <w:rStyle w:val="Hyperlink"/>
          </w:rPr>
          <w:t>https://www.legislation.gov.uk/ukpga/1988/52/section/163</w:t>
        </w:r>
      </w:hyperlink>
      <w:r>
        <w:t>&gt; (accessed 10/01/21)</w:t>
      </w:r>
    </w:p>
    <w:p w14:paraId="5D632EF6" w14:textId="77777777" w:rsidR="005E4F47" w:rsidRPr="000152D8" w:rsidRDefault="005E4F47" w:rsidP="00656F06">
      <w:pPr>
        <w:pStyle w:val="ListParagraph"/>
        <w:numPr>
          <w:ilvl w:val="0"/>
          <w:numId w:val="9"/>
        </w:numPr>
        <w:rPr>
          <w:i/>
        </w:rPr>
      </w:pPr>
      <w:r>
        <w:t>Section 165a Road Traffic Act (1988) Available at &lt;</w:t>
      </w:r>
      <w:r w:rsidRPr="000152D8">
        <w:t xml:space="preserve"> </w:t>
      </w:r>
      <w:hyperlink r:id="rId35" w:history="1">
        <w:r>
          <w:rPr>
            <w:rStyle w:val="Hyperlink"/>
          </w:rPr>
          <w:t>https://www.legislation.gov.uk/ukpga/1988/52/section/165A</w:t>
        </w:r>
      </w:hyperlink>
      <w:r>
        <w:t>&gt; (accessed 10/01/21)</w:t>
      </w:r>
    </w:p>
    <w:p w14:paraId="410D8974" w14:textId="77777777" w:rsidR="005E4F47" w:rsidRPr="000152D8" w:rsidRDefault="005E4F47" w:rsidP="00656F06">
      <w:pPr>
        <w:pStyle w:val="ListParagraph"/>
        <w:numPr>
          <w:ilvl w:val="0"/>
          <w:numId w:val="9"/>
        </w:numPr>
        <w:rPr>
          <w:i/>
        </w:rPr>
      </w:pPr>
      <w:r>
        <w:t xml:space="preserve">Section 43 Terrorism Act (2000) Available at &lt; </w:t>
      </w:r>
      <w:hyperlink r:id="rId36" w:history="1">
        <w:r>
          <w:rPr>
            <w:rStyle w:val="Hyperlink"/>
          </w:rPr>
          <w:t>https://www.legislation.gov.uk/ukpga/2000/11/section/43</w:t>
        </w:r>
      </w:hyperlink>
      <w:r>
        <w:t xml:space="preserve"> &gt; (accessed 10/01/21)</w:t>
      </w:r>
    </w:p>
    <w:p w14:paraId="3F5F0B2C" w14:textId="77777777" w:rsidR="005E4F47" w:rsidRPr="000152D8" w:rsidRDefault="005E4F47" w:rsidP="00656F06">
      <w:pPr>
        <w:pStyle w:val="ListParagraph"/>
        <w:numPr>
          <w:ilvl w:val="0"/>
          <w:numId w:val="9"/>
        </w:numPr>
        <w:rPr>
          <w:i/>
        </w:rPr>
      </w:pPr>
      <w:r>
        <w:t xml:space="preserve">Section 44 Terrorism Act (2000) Available at &lt; </w:t>
      </w:r>
      <w:hyperlink r:id="rId37" w:history="1">
        <w:r>
          <w:rPr>
            <w:rStyle w:val="Hyperlink"/>
          </w:rPr>
          <w:t>https://www.legislation.gov.uk/ukpga/2000/11/section/44/2003-04-01</w:t>
        </w:r>
      </w:hyperlink>
      <w:r>
        <w:t xml:space="preserve"> &gt; (accessed 10/01/21)</w:t>
      </w:r>
    </w:p>
    <w:p w14:paraId="3C3C5D45" w14:textId="77777777" w:rsidR="005E4F47" w:rsidRPr="000152D8" w:rsidRDefault="005E4F47" w:rsidP="00656F06">
      <w:pPr>
        <w:pStyle w:val="ListParagraph"/>
        <w:numPr>
          <w:ilvl w:val="0"/>
          <w:numId w:val="9"/>
        </w:numPr>
        <w:rPr>
          <w:i/>
        </w:rPr>
      </w:pPr>
      <w:r>
        <w:t xml:space="preserve">Section 45 Terrorism Act (2000) Available at &lt; </w:t>
      </w:r>
      <w:hyperlink r:id="rId38" w:history="1">
        <w:r>
          <w:rPr>
            <w:rStyle w:val="Hyperlink"/>
          </w:rPr>
          <w:t>https://www.legislation.gov.uk/ukpga/2000/11/section/45</w:t>
        </w:r>
      </w:hyperlink>
      <w:r>
        <w:t xml:space="preserve"> &gt; (accessed 10/01/21)</w:t>
      </w:r>
    </w:p>
    <w:p w14:paraId="72D2E213" w14:textId="77777777" w:rsidR="005E4F47" w:rsidRPr="00C618B7" w:rsidRDefault="005E4F47" w:rsidP="005E4F47">
      <w:pPr>
        <w:pStyle w:val="ListParagraph"/>
        <w:numPr>
          <w:ilvl w:val="0"/>
          <w:numId w:val="9"/>
        </w:numPr>
        <w:rPr>
          <w:i/>
        </w:rPr>
      </w:pPr>
      <w:proofErr w:type="spellStart"/>
      <w:r>
        <w:t>Skogan</w:t>
      </w:r>
      <w:proofErr w:type="spellEnd"/>
      <w:r>
        <w:t xml:space="preserve"> W and </w:t>
      </w:r>
      <w:proofErr w:type="spellStart"/>
      <w:r>
        <w:t>Frydl</w:t>
      </w:r>
      <w:proofErr w:type="spellEnd"/>
      <w:r>
        <w:t xml:space="preserve"> K (2004) </w:t>
      </w:r>
      <w:r>
        <w:rPr>
          <w:i/>
        </w:rPr>
        <w:t xml:space="preserve">Fairness and Effectiveness in Policing: The Evidence, </w:t>
      </w:r>
      <w:r>
        <w:t>National Academies Press: Washington D.C.</w:t>
      </w:r>
    </w:p>
    <w:p w14:paraId="1F37F415" w14:textId="77777777" w:rsidR="005E4F47" w:rsidRDefault="005E4F47" w:rsidP="00656F06">
      <w:pPr>
        <w:pStyle w:val="ListParagraph"/>
        <w:numPr>
          <w:ilvl w:val="0"/>
          <w:numId w:val="9"/>
        </w:numPr>
      </w:pPr>
      <w:proofErr w:type="spellStart"/>
      <w:r>
        <w:t>Treverton</w:t>
      </w:r>
      <w:proofErr w:type="spellEnd"/>
      <w:r>
        <w:t xml:space="preserve"> G, </w:t>
      </w:r>
      <w:proofErr w:type="spellStart"/>
      <w:r>
        <w:t>Matthies</w:t>
      </w:r>
      <w:proofErr w:type="spellEnd"/>
      <w:r>
        <w:t xml:space="preserve"> C, </w:t>
      </w:r>
      <w:proofErr w:type="spellStart"/>
      <w:r>
        <w:t>Goulka</w:t>
      </w:r>
      <w:proofErr w:type="spellEnd"/>
      <w:r>
        <w:t xml:space="preserve"> J, Ridgeway G, Wong A (2009) </w:t>
      </w:r>
      <w:r>
        <w:rPr>
          <w:i/>
        </w:rPr>
        <w:t>Film Piracy, Organized Crime and Terrorism</w:t>
      </w:r>
      <w:r>
        <w:t>, RAND Corp: Santa Monica, CA</w:t>
      </w:r>
    </w:p>
    <w:p w14:paraId="409B82CD" w14:textId="77777777" w:rsidR="005E4F47" w:rsidRPr="003D1C81" w:rsidRDefault="005E4F47" w:rsidP="005E4F47">
      <w:pPr>
        <w:pStyle w:val="ListParagraph"/>
        <w:numPr>
          <w:ilvl w:val="0"/>
          <w:numId w:val="9"/>
        </w:numPr>
        <w:rPr>
          <w:i/>
        </w:rPr>
      </w:pPr>
      <w:proofErr w:type="spellStart"/>
      <w:r>
        <w:t>Weisburd</w:t>
      </w:r>
      <w:proofErr w:type="spellEnd"/>
      <w:r>
        <w:t xml:space="preserve"> D and </w:t>
      </w:r>
      <w:proofErr w:type="spellStart"/>
      <w:r>
        <w:t>Telep</w:t>
      </w:r>
      <w:proofErr w:type="spellEnd"/>
      <w:r>
        <w:t xml:space="preserve"> C (2014) ‘ Hot Spots Policing: What We Know and What We Need to Know’, </w:t>
      </w:r>
      <w:r>
        <w:rPr>
          <w:i/>
        </w:rPr>
        <w:t xml:space="preserve">Journal of Contemporary Criminal Justice, </w:t>
      </w:r>
      <w:r>
        <w:t>Vol 30(2), P200 – 220</w:t>
      </w:r>
    </w:p>
    <w:p w14:paraId="28F5BCA7" w14:textId="77777777" w:rsidR="005E4F47" w:rsidRDefault="005E4F47" w:rsidP="005E4F47">
      <w:pPr>
        <w:pStyle w:val="ListParagraph"/>
        <w:numPr>
          <w:ilvl w:val="0"/>
          <w:numId w:val="9"/>
        </w:numPr>
      </w:pPr>
      <w:proofErr w:type="spellStart"/>
      <w:r>
        <w:t>Weisburd</w:t>
      </w:r>
      <w:proofErr w:type="spellEnd"/>
      <w:r>
        <w:t xml:space="preserve"> D, </w:t>
      </w:r>
      <w:proofErr w:type="spellStart"/>
      <w:r>
        <w:t>Telep</w:t>
      </w:r>
      <w:proofErr w:type="spellEnd"/>
      <w:r>
        <w:t xml:space="preserve"> C, Hinkle J and Eck J (2008) </w:t>
      </w:r>
      <w:r>
        <w:rPr>
          <w:i/>
        </w:rPr>
        <w:t>The effects of problem-orientated policing on crime and disorder</w:t>
      </w:r>
      <w:r>
        <w:t>, Campbell Systematic Reviews (14)</w:t>
      </w:r>
    </w:p>
    <w:p w14:paraId="765325C3" w14:textId="77777777" w:rsidR="005E4F47" w:rsidRPr="00140C24" w:rsidRDefault="005E4F47" w:rsidP="005E4F47">
      <w:pPr>
        <w:pStyle w:val="ListParagraph"/>
        <w:numPr>
          <w:ilvl w:val="0"/>
          <w:numId w:val="9"/>
        </w:numPr>
        <w:rPr>
          <w:i/>
        </w:rPr>
      </w:pPr>
      <w:r>
        <w:t xml:space="preserve">Wilson J and </w:t>
      </w:r>
      <w:proofErr w:type="spellStart"/>
      <w:r>
        <w:t>Kelling</w:t>
      </w:r>
      <w:proofErr w:type="spellEnd"/>
      <w:r>
        <w:t xml:space="preserve"> G (1982) </w:t>
      </w:r>
      <w:r>
        <w:rPr>
          <w:i/>
        </w:rPr>
        <w:t>Broken Windows: The Police and Neighbourhood Safety</w:t>
      </w:r>
      <w:r>
        <w:t>, Available at &lt;</w:t>
      </w:r>
      <w:r w:rsidRPr="00A04ED8">
        <w:t xml:space="preserve"> </w:t>
      </w:r>
      <w:hyperlink r:id="rId39" w:history="1">
        <w:r>
          <w:rPr>
            <w:rStyle w:val="Hyperlink"/>
          </w:rPr>
          <w:t>https://www.theatlantic.com/magazine/archive/1982/03/broken-windows/304465/</w:t>
        </w:r>
      </w:hyperlink>
      <w:r>
        <w:t>&gt; (accessed 08/01/21)</w:t>
      </w:r>
    </w:p>
    <w:p w14:paraId="1145E7D6" w14:textId="77777777" w:rsidR="005E4F47" w:rsidRDefault="005E4F47" w:rsidP="005E4F47">
      <w:pPr>
        <w:pStyle w:val="ListParagraph"/>
      </w:pPr>
    </w:p>
    <w:p w14:paraId="2EAE87A1" w14:textId="77777777" w:rsidR="00656F06" w:rsidRDefault="00656F06" w:rsidP="00656F06">
      <w:pPr>
        <w:pStyle w:val="ListParagraph"/>
      </w:pPr>
    </w:p>
    <w:p w14:paraId="4FCC350B" w14:textId="77777777" w:rsidR="000241A0" w:rsidRDefault="000241A0" w:rsidP="00656F06">
      <w:pPr>
        <w:overflowPunct w:val="0"/>
        <w:autoSpaceDE w:val="0"/>
        <w:autoSpaceDN w:val="0"/>
        <w:adjustRightInd w:val="0"/>
        <w:spacing w:after="0" w:line="240" w:lineRule="auto"/>
        <w:textAlignment w:val="baseline"/>
      </w:pPr>
    </w:p>
    <w:p w14:paraId="68BADFCD" w14:textId="6EDC9489" w:rsidR="00B526D4" w:rsidRPr="00B526D4" w:rsidRDefault="00B526D4">
      <w:bookmarkStart w:id="0" w:name="_GoBack"/>
      <w:bookmarkEnd w:id="0"/>
    </w:p>
    <w:sectPr w:rsidR="00B526D4" w:rsidRPr="00B526D4" w:rsidSect="00B526D4">
      <w:footerReference w:type="default" r:id="rId40"/>
      <w:pgSz w:w="11894" w:h="16834"/>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656F06" w:rsidRDefault="00656F06">
      <w:pPr>
        <w:spacing w:after="0" w:line="240" w:lineRule="auto"/>
      </w:pPr>
      <w:r>
        <w:separator/>
      </w:r>
    </w:p>
  </w:endnote>
  <w:endnote w:type="continuationSeparator" w:id="0">
    <w:p w14:paraId="0D55CABB" w14:textId="77777777" w:rsidR="00656F06" w:rsidRDefault="00656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7777777" w:rsidR="00656F06" w:rsidRDefault="00656F0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656F06" w:rsidRDefault="00656F06">
      <w:pPr>
        <w:spacing w:after="0" w:line="240" w:lineRule="auto"/>
      </w:pPr>
      <w:r>
        <w:separator/>
      </w:r>
    </w:p>
  </w:footnote>
  <w:footnote w:type="continuationSeparator" w:id="0">
    <w:p w14:paraId="68E41288" w14:textId="77777777" w:rsidR="00656F06" w:rsidRDefault="00656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B6CD5"/>
    <w:multiLevelType w:val="hybridMultilevel"/>
    <w:tmpl w:val="907094FC"/>
    <w:lvl w:ilvl="0" w:tplc="96F8579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DA20A4"/>
    <w:multiLevelType w:val="hybridMultilevel"/>
    <w:tmpl w:val="A350AE86"/>
    <w:lvl w:ilvl="0" w:tplc="2C9A97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11432F"/>
    <w:multiLevelType w:val="hybridMultilevel"/>
    <w:tmpl w:val="7B04DD48"/>
    <w:lvl w:ilvl="0" w:tplc="20FCCE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1" w15:restartNumberingAfterBreak="0">
    <w:nsid w:val="7D981697"/>
    <w:multiLevelType w:val="hybridMultilevel"/>
    <w:tmpl w:val="ACA01E92"/>
    <w:lvl w:ilvl="0" w:tplc="277C1C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4"/>
  </w:num>
  <w:num w:numId="4">
    <w:abstractNumId w:val="1"/>
  </w:num>
  <w:num w:numId="5">
    <w:abstractNumId w:val="5"/>
  </w:num>
  <w:num w:numId="6">
    <w:abstractNumId w:val="2"/>
  </w:num>
  <w:num w:numId="7">
    <w:abstractNumId w:val="7"/>
  </w:num>
  <w:num w:numId="8">
    <w:abstractNumId w:val="8"/>
  </w:num>
  <w:num w:numId="9">
    <w:abstractNumId w:val="0"/>
  </w:num>
  <w:num w:numId="10">
    <w:abstractNumId w:val="3"/>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241A0"/>
    <w:rsid w:val="001934C2"/>
    <w:rsid w:val="00296CDC"/>
    <w:rsid w:val="002C458D"/>
    <w:rsid w:val="00536896"/>
    <w:rsid w:val="005E4F47"/>
    <w:rsid w:val="00621EDF"/>
    <w:rsid w:val="00656F06"/>
    <w:rsid w:val="00763CB3"/>
    <w:rsid w:val="00795C11"/>
    <w:rsid w:val="00810ADD"/>
    <w:rsid w:val="00846F01"/>
    <w:rsid w:val="00893149"/>
    <w:rsid w:val="009178EA"/>
    <w:rsid w:val="009E333B"/>
    <w:rsid w:val="00A741C5"/>
    <w:rsid w:val="00B526D4"/>
    <w:rsid w:val="00B8357D"/>
    <w:rsid w:val="00BB18E4"/>
    <w:rsid w:val="00CF7B26"/>
    <w:rsid w:val="00D76CF9"/>
    <w:rsid w:val="00DC3BA2"/>
    <w:rsid w:val="00F84916"/>
    <w:rsid w:val="00FF774E"/>
    <w:rsid w:val="0860B511"/>
    <w:rsid w:val="0A1E30FF"/>
    <w:rsid w:val="0CC06466"/>
    <w:rsid w:val="124B3E78"/>
    <w:rsid w:val="1A3706BB"/>
    <w:rsid w:val="230E8587"/>
    <w:rsid w:val="2497CF2C"/>
    <w:rsid w:val="26429D2F"/>
    <w:rsid w:val="3025346F"/>
    <w:rsid w:val="33D7A529"/>
    <w:rsid w:val="3899A0CF"/>
    <w:rsid w:val="502D20D9"/>
    <w:rsid w:val="5523DACC"/>
    <w:rsid w:val="60DC7F1B"/>
    <w:rsid w:val="6837A979"/>
    <w:rsid w:val="6E299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uiPriority w:val="99"/>
    <w:semiHidden/>
    <w:unhideWhenUsed/>
    <w:rsid w:val="00B526D4"/>
    <w:rPr>
      <w:color w:val="0000FF"/>
      <w:u w:val="single"/>
    </w:rPr>
  </w:style>
  <w:style w:type="character" w:styleId="FollowedHyperlink">
    <w:name w:val="FollowedHyperlink"/>
    <w:basedOn w:val="DefaultParagraphFont"/>
    <w:uiPriority w:val="99"/>
    <w:semiHidden/>
    <w:unhideWhenUsed/>
    <w:rsid w:val="000241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614017">
      <w:bodyDiv w:val="1"/>
      <w:marLeft w:val="0"/>
      <w:marRight w:val="0"/>
      <w:marTop w:val="0"/>
      <w:marBottom w:val="0"/>
      <w:divBdr>
        <w:top w:val="none" w:sz="0" w:space="0" w:color="auto"/>
        <w:left w:val="none" w:sz="0" w:space="0" w:color="auto"/>
        <w:bottom w:val="none" w:sz="0" w:space="0" w:color="auto"/>
        <w:right w:val="none" w:sz="0" w:space="0" w:color="auto"/>
      </w:divBdr>
    </w:div>
    <w:div w:id="1475873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ebarchive.nationalarchives.gov.uk/20110218140037/http:/rds.homeoffice.gov.uk/rds/pdfs07/bcs25.pdf" TargetMode="External"/><Relationship Id="rId18" Type="http://schemas.openxmlformats.org/officeDocument/2006/relationships/hyperlink" Target="https://www.college.police.uk/What-we-do/Standards/Guidelines/Neighbourhood-Policing/Pages/definition-of-neighbourhood-policing.aspx" TargetMode="External"/><Relationship Id="rId26" Type="http://schemas.openxmlformats.org/officeDocument/2006/relationships/hyperlink" Target="https://www.mi5.gov.uk/news/mi5-and-police-%E2%80%93-joint-review-of-operational-processes-in-ct-investigations-following-recent" TargetMode="External"/><Relationship Id="rId39" Type="http://schemas.openxmlformats.org/officeDocument/2006/relationships/hyperlink" Target="https://www.theatlantic.com/magazine/archive/1982/03/broken-windows/304465/" TargetMode="External"/><Relationship Id="rId3" Type="http://schemas.openxmlformats.org/officeDocument/2006/relationships/customXml" Target="../customXml/item3.xml"/><Relationship Id="rId21" Type="http://schemas.openxmlformats.org/officeDocument/2006/relationships/hyperlink" Target="https://www.politieacademie.nl/kennisenonderzoek/kennis/mediatheek/PDF/45875.pdf" TargetMode="External"/><Relationship Id="rId34" Type="http://schemas.openxmlformats.org/officeDocument/2006/relationships/hyperlink" Target="https://www.legislation.gov.uk/ukpga/1988/52/section/163"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popcenter.asu.edu/content/sara-model-0" TargetMode="External"/><Relationship Id="rId17" Type="http://schemas.openxmlformats.org/officeDocument/2006/relationships/hyperlink" Target="https://whatworks.college.police.uk/toolkit/Pages/Intervention.aspx?InterventionID=47" TargetMode="External"/><Relationship Id="rId25" Type="http://schemas.openxmlformats.org/officeDocument/2006/relationships/hyperlink" Target="https://assets.publishing.service.gov.uk/government/uploads/system/uploads/attachment_data/file/277111/4262.pdf" TargetMode="External"/><Relationship Id="rId33" Type="http://schemas.openxmlformats.org/officeDocument/2006/relationships/hyperlink" Target="https://popcenter.asu.edu/sites/default/files/library/reading/pdfs/Reflections-2.pdf" TargetMode="External"/><Relationship Id="rId38" Type="http://schemas.openxmlformats.org/officeDocument/2006/relationships/hyperlink" Target="https://www.legislation.gov.uk/ukpga/2000/11/section/45" TargetMode="External"/><Relationship Id="rId2" Type="http://schemas.openxmlformats.org/officeDocument/2006/relationships/customXml" Target="../customXml/item2.xml"/><Relationship Id="rId16" Type="http://schemas.openxmlformats.org/officeDocument/2006/relationships/hyperlink" Target="https://www.app.college.police.uk/app-content/road-policing-2/disrupting-criminality/" TargetMode="External"/><Relationship Id="rId20" Type="http://schemas.openxmlformats.org/officeDocument/2006/relationships/hyperlink" Target="https://www.cps.gov.uk/crime-info/terrorism" TargetMode="External"/><Relationship Id="rId29" Type="http://schemas.openxmlformats.org/officeDocument/2006/relationships/hyperlink" Target="https://www.npcc.police.uk/FreedomofInformation/ANPR.aspx"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jesip.org.uk/home" TargetMode="External"/><Relationship Id="rId32" Type="http://schemas.openxmlformats.org/officeDocument/2006/relationships/hyperlink" Target="https://onlinelibrary.wiley.com/doi/epdf/10.1111/ecin.12144" TargetMode="External"/><Relationship Id="rId37" Type="http://schemas.openxmlformats.org/officeDocument/2006/relationships/hyperlink" Target="https://www.legislation.gov.uk/ukpga/2000/11/section/44/2003-04-01"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pp.college.police.uk/app-content/intelligence-management/analysis/intelligence-products/" TargetMode="External"/><Relationship Id="rId23" Type="http://schemas.openxmlformats.org/officeDocument/2006/relationships/hyperlink" Target="https://assets.publishing.service.gov.uk/government/uploads/system/uploads/attachment_data/file/246390/horr73.pdf" TargetMode="External"/><Relationship Id="rId28" Type="http://schemas.openxmlformats.org/officeDocument/2006/relationships/hyperlink" Target="https://netpol.org/wp-content/uploads/2014/06/National-Intelligence-Model.pdf" TargetMode="External"/><Relationship Id="rId36" Type="http://schemas.openxmlformats.org/officeDocument/2006/relationships/hyperlink" Target="https://www.legislation.gov.uk/ukpga/2000/11/section/43" TargetMode="External"/><Relationship Id="rId10" Type="http://schemas.openxmlformats.org/officeDocument/2006/relationships/image" Target="media/image1.png"/><Relationship Id="rId19" Type="http://schemas.openxmlformats.org/officeDocument/2006/relationships/hyperlink" Target="http://regenwales.org/upload/pdf/071415111717A%20Guide%20to%20Effective%20Community%20Engagement.pdf" TargetMode="External"/><Relationship Id="rId31" Type="http://schemas.openxmlformats.org/officeDocument/2006/relationships/hyperlink" Target="https://www.ons.gov.uk/peoplepopulationandcommunity/householdcharacteristics/homeinternetandsocialmediausage/bulletins/internetaccesshouseholdsandindividuals/201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engagement-and-communication/engaging-with-communities/" TargetMode="External"/><Relationship Id="rId22" Type="http://schemas.openxmlformats.org/officeDocument/2006/relationships/hyperlink" Target="https://assets.publishing.service.gov.uk/government/uploads/system/uploads/attachment_data/file/752850/SOC-2018-web.pdf" TargetMode="External"/><Relationship Id="rId27" Type="http://schemas.openxmlformats.org/officeDocument/2006/relationships/hyperlink" Target="https://www.nationalcrimeagency.gov.uk/what-we-do/crime-threats/drug-trafficking" TargetMode="External"/><Relationship Id="rId30" Type="http://schemas.openxmlformats.org/officeDocument/2006/relationships/hyperlink" Target="http://library.college.police.uk/docs/NPIA/Practice-Advice-on-CIM-Jul2011.pdf" TargetMode="External"/><Relationship Id="rId35" Type="http://schemas.openxmlformats.org/officeDocument/2006/relationships/hyperlink" Target="https://www.legislation.gov.uk/ukpga/1988/52/section/16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DE45B5-FABA-4727-935C-66B04A5C5E54}">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2e89cfda-a374-4413-9f0d-8b601eddeb70"/>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886</TotalTime>
  <Pages>11</Pages>
  <Words>5699</Words>
  <Characters>32489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Sharp,Amy swp6442</cp:lastModifiedBy>
  <cp:revision>5</cp:revision>
  <cp:lastPrinted>2020-03-18T13:24:00Z</cp:lastPrinted>
  <dcterms:created xsi:type="dcterms:W3CDTF">2020-09-01T07:21:00Z</dcterms:created>
  <dcterms:modified xsi:type="dcterms:W3CDTF">2021-01-11T01:33:00Z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de2f72e7-6a2c-47de-bb97-bc636456d3bc</vt:lpwstr>
  </property>
</Properties>
</file>