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4596E" w14:textId="49A92CB9" w:rsidR="00092E83" w:rsidRPr="009C58C4" w:rsidRDefault="00092E83" w:rsidP="006A5714">
      <w:pPr>
        <w:spacing w:after="0" w:line="360" w:lineRule="auto"/>
        <w:ind w:firstLine="720"/>
        <w:jc w:val="center"/>
        <w:rPr>
          <w:rFonts w:ascii="Times New Roman" w:hAnsi="Times New Roman" w:cs="Times New Roman"/>
          <w:b/>
          <w:bCs/>
          <w:sz w:val="24"/>
          <w:szCs w:val="24"/>
        </w:rPr>
      </w:pPr>
      <w:r w:rsidRPr="009C58C4">
        <w:rPr>
          <w:rFonts w:ascii="Times New Roman" w:hAnsi="Times New Roman" w:cs="Times New Roman"/>
          <w:b/>
          <w:bCs/>
          <w:sz w:val="24"/>
          <w:szCs w:val="24"/>
        </w:rPr>
        <w:t>Part A (Introduction)</w:t>
      </w:r>
    </w:p>
    <w:p w14:paraId="276D5775" w14:textId="7A2580F5" w:rsidR="00092E83" w:rsidRPr="009C58C4" w:rsidRDefault="00FE6815"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t>History</w:t>
      </w:r>
    </w:p>
    <w:p w14:paraId="16675380" w14:textId="77777777" w:rsidR="00092E83" w:rsidRPr="009C58C4" w:rsidRDefault="00FE6815"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The company was established on 1st April 1976 by Steve Jobs, Steve Wozniak, and Ronald Wayne in Cupertino, California. Originally known as Apple Computer Inc. and was formed to design and market personal computers. Apple, as a brand, was born from this innovation – the first product which it developed was the Apple I. Apple floated in the stock market in 1980 and in the next twenty-five years it stormed into the market with stars like Macintosh, iPod, iPhone, iPad and so on. In 2007 the company decided to remove ‘Computer’ from its name as it had evolved to also encompass electronics and digital services.</w:t>
      </w:r>
    </w:p>
    <w:p w14:paraId="525ADD00" w14:textId="0BD12959" w:rsidR="00092E83" w:rsidRPr="009C58C4" w:rsidRDefault="00FE6815"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t>Business Model</w:t>
      </w:r>
    </w:p>
    <w:p w14:paraId="11DA650D" w14:textId="3A7C3586" w:rsidR="00092E83" w:rsidRPr="009C58C4" w:rsidRDefault="00FE6815"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Apple’s business operations focus on developing and marketing computer and digital products, peripherals, mobile phones, networking and storage devices, and software products and digital services. The key and well-known products of the company are the iPhone, iPad, Mac, Apple Watch, and Apple TV. It also provides several services like the application store, storing space or cloud storage, music and television services and a streaming platform. It earns its revenue from product sales, subscriptions, and with the digital services forming an ecosystem around the company. Apple’s business model is defined as the company that focuses on the premium value, on the high-quality hardware and software which is tightly connected with each other (Apple </w:t>
      </w:r>
      <w:r w:rsidR="00092E83" w:rsidRPr="009C58C4">
        <w:rPr>
          <w:rFonts w:ascii="Times New Roman" w:hAnsi="Times New Roman" w:cs="Times New Roman"/>
          <w:sz w:val="24"/>
          <w:szCs w:val="24"/>
        </w:rPr>
        <w:t>Inc.,</w:t>
      </w:r>
      <w:r w:rsidRPr="009C58C4">
        <w:rPr>
          <w:rFonts w:ascii="Times New Roman" w:hAnsi="Times New Roman" w:cs="Times New Roman"/>
          <w:sz w:val="24"/>
          <w:szCs w:val="24"/>
        </w:rPr>
        <w:t xml:space="preserve"> 2023b)</w:t>
      </w:r>
    </w:p>
    <w:p w14:paraId="02F40DA3" w14:textId="77777777" w:rsidR="00092E83" w:rsidRPr="009C58C4" w:rsidRDefault="00FE6815"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t>Market Presence</w:t>
      </w:r>
    </w:p>
    <w:p w14:paraId="22FC655D" w14:textId="15177F15" w:rsidR="00FE6815" w:rsidRPr="009C58C4" w:rsidRDefault="00FE6815"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sz w:val="24"/>
          <w:szCs w:val="24"/>
        </w:rPr>
        <w:t>Apple Inc. is one of the most prominent companies on the international technology industry market. Industry gurus regard it as one among the key players in the smartphone, tablet and personal computers categories. The company has established its operations in many countries of the world with special emphasis on North America, Europe and Asia. Apple specifically stores are recognizable and affect the market positioning and brand equity to the maximum. The existence of the firm and its proliferation to embrace the market leader in consumer technology is informed by innovation and brand loyalty (Statista, 2023).</w:t>
      </w:r>
    </w:p>
    <w:p w14:paraId="497D3218" w14:textId="77777777" w:rsidR="00092E83" w:rsidRPr="009C58C4" w:rsidRDefault="00FE6815" w:rsidP="006A5714">
      <w:pPr>
        <w:pStyle w:val="ListParagraph"/>
        <w:spacing w:after="0" w:line="360" w:lineRule="auto"/>
        <w:ind w:left="0" w:firstLine="720"/>
        <w:rPr>
          <w:rFonts w:ascii="Times New Roman" w:hAnsi="Times New Roman" w:cs="Times New Roman"/>
          <w:i/>
          <w:iCs/>
          <w:sz w:val="24"/>
          <w:szCs w:val="24"/>
        </w:rPr>
      </w:pPr>
      <w:r w:rsidRPr="009C58C4">
        <w:rPr>
          <w:rFonts w:ascii="Times New Roman" w:hAnsi="Times New Roman" w:cs="Times New Roman"/>
          <w:i/>
          <w:iCs/>
          <w:sz w:val="24"/>
          <w:szCs w:val="24"/>
        </w:rPr>
        <w:t>Major Competitors</w:t>
      </w:r>
    </w:p>
    <w:p w14:paraId="6FBA7F12" w14:textId="77777777" w:rsidR="00092E83" w:rsidRPr="009C58C4" w:rsidRDefault="00FE6815" w:rsidP="006A5714">
      <w:pPr>
        <w:pStyle w:val="ListParagraph"/>
        <w:spacing w:after="0" w:line="360" w:lineRule="auto"/>
        <w:ind w:left="0" w:firstLine="720"/>
        <w:rPr>
          <w:rFonts w:ascii="Times New Roman" w:hAnsi="Times New Roman" w:cs="Times New Roman"/>
          <w:sz w:val="24"/>
          <w:szCs w:val="24"/>
        </w:rPr>
      </w:pPr>
      <w:r w:rsidRPr="009C58C4">
        <w:rPr>
          <w:rFonts w:ascii="Times New Roman" w:hAnsi="Times New Roman" w:cs="Times New Roman"/>
          <w:sz w:val="24"/>
          <w:szCs w:val="24"/>
        </w:rPr>
        <w:t xml:space="preserve">Some of its chief rivals are Microsoft Corporation, Samsung Electronics, and Google LLC. Microsoft is a competitor of Apple in the PC and software segment of the market offering Windows OS as well as the laptops and tablets Surface. Google has a direct competitor in the </w:t>
      </w:r>
      <w:r w:rsidRPr="009C58C4">
        <w:rPr>
          <w:rFonts w:ascii="Times New Roman" w:hAnsi="Times New Roman" w:cs="Times New Roman"/>
          <w:sz w:val="24"/>
          <w:szCs w:val="24"/>
        </w:rPr>
        <w:lastRenderedPageBreak/>
        <w:t>forms of Samsung’s smartphones and tablets, which are direct rivals to Apple’s iPhone and iPad. Google has been known to be in direct rivalry with Apple in the digital services market more so through the android marketplace and Google byte (Forbes, 2023).</w:t>
      </w:r>
    </w:p>
    <w:p w14:paraId="651E433C" w14:textId="77777777" w:rsidR="00092E83" w:rsidRPr="009C58C4" w:rsidRDefault="00FE6815" w:rsidP="006A5714">
      <w:pPr>
        <w:pStyle w:val="ListParagraph"/>
        <w:spacing w:after="0" w:line="360" w:lineRule="auto"/>
        <w:ind w:left="0" w:firstLine="720"/>
        <w:rPr>
          <w:rFonts w:ascii="Times New Roman" w:hAnsi="Times New Roman" w:cs="Times New Roman"/>
          <w:b/>
          <w:bCs/>
          <w:sz w:val="24"/>
          <w:szCs w:val="24"/>
        </w:rPr>
      </w:pPr>
      <w:r w:rsidRPr="009C58C4">
        <w:rPr>
          <w:rFonts w:ascii="Times New Roman" w:hAnsi="Times New Roman" w:cs="Times New Roman"/>
          <w:b/>
          <w:bCs/>
          <w:sz w:val="24"/>
          <w:szCs w:val="24"/>
        </w:rPr>
        <w:t>Recent Events (Last 5 Years):</w:t>
      </w:r>
    </w:p>
    <w:p w14:paraId="7473AFDA" w14:textId="1B5348D8" w:rsidR="00FE6815" w:rsidRPr="009C58C4" w:rsidRDefault="00FE6815" w:rsidP="006A5714">
      <w:pPr>
        <w:pStyle w:val="ListParagraph"/>
        <w:spacing w:after="0" w:line="360" w:lineRule="auto"/>
        <w:ind w:left="0" w:firstLine="720"/>
        <w:rPr>
          <w:rFonts w:ascii="Times New Roman" w:hAnsi="Times New Roman" w:cs="Times New Roman"/>
          <w:i/>
          <w:iCs/>
          <w:sz w:val="24"/>
          <w:szCs w:val="24"/>
        </w:rPr>
      </w:pPr>
      <w:r w:rsidRPr="009C58C4">
        <w:rPr>
          <w:rFonts w:ascii="Times New Roman" w:hAnsi="Times New Roman" w:cs="Times New Roman"/>
          <w:i/>
          <w:iCs/>
          <w:sz w:val="24"/>
          <w:szCs w:val="24"/>
        </w:rPr>
        <w:t>Leadership Changes:</w:t>
      </w:r>
    </w:p>
    <w:p w14:paraId="5AC3B79A" w14:textId="77777777" w:rsidR="00092E83" w:rsidRPr="009C58C4" w:rsidRDefault="00FE6815" w:rsidP="006A5714">
      <w:pPr>
        <w:pStyle w:val="ListParagraph"/>
        <w:spacing w:after="0" w:line="360" w:lineRule="auto"/>
        <w:ind w:left="0" w:firstLine="720"/>
        <w:rPr>
          <w:rFonts w:ascii="Times New Roman" w:hAnsi="Times New Roman" w:cs="Times New Roman"/>
          <w:sz w:val="24"/>
          <w:szCs w:val="24"/>
        </w:rPr>
      </w:pPr>
      <w:r w:rsidRPr="009C58C4">
        <w:rPr>
          <w:rFonts w:ascii="Times New Roman" w:hAnsi="Times New Roman" w:cs="Times New Roman"/>
          <w:sz w:val="24"/>
          <w:szCs w:val="24"/>
        </w:rPr>
        <w:t xml:space="preserve"> In August 2021, the company lost its Chief Design Officer, Jony </w:t>
      </w:r>
      <w:proofErr w:type="spellStart"/>
      <w:r w:rsidRPr="009C58C4">
        <w:rPr>
          <w:rFonts w:ascii="Times New Roman" w:hAnsi="Times New Roman" w:cs="Times New Roman"/>
          <w:sz w:val="24"/>
          <w:szCs w:val="24"/>
        </w:rPr>
        <w:t>Ive</w:t>
      </w:r>
      <w:proofErr w:type="spellEnd"/>
      <w:r w:rsidRPr="009C58C4">
        <w:rPr>
          <w:rFonts w:ascii="Times New Roman" w:hAnsi="Times New Roman" w:cs="Times New Roman"/>
          <w:sz w:val="24"/>
          <w:szCs w:val="24"/>
        </w:rPr>
        <w:t>, who has been in the company’s most core product designs. His exit was instrumental in changing the face of Apple design leadership while at the same time, Apple’s innovation on design was sustained (The Guardian, 2021).</w:t>
      </w:r>
    </w:p>
    <w:p w14:paraId="2B5E9252" w14:textId="2BA2642F" w:rsidR="00FE6815" w:rsidRPr="009C58C4" w:rsidRDefault="00FE6815" w:rsidP="006A5714">
      <w:pPr>
        <w:pStyle w:val="ListParagraph"/>
        <w:spacing w:after="0" w:line="360" w:lineRule="auto"/>
        <w:ind w:left="0" w:firstLine="720"/>
        <w:rPr>
          <w:rFonts w:ascii="Times New Roman" w:hAnsi="Times New Roman" w:cs="Times New Roman"/>
          <w:i/>
          <w:iCs/>
          <w:sz w:val="24"/>
          <w:szCs w:val="24"/>
        </w:rPr>
      </w:pPr>
      <w:r w:rsidRPr="009C58C4">
        <w:rPr>
          <w:rFonts w:ascii="Times New Roman" w:hAnsi="Times New Roman" w:cs="Times New Roman"/>
          <w:i/>
          <w:iCs/>
          <w:sz w:val="24"/>
          <w:szCs w:val="24"/>
        </w:rPr>
        <w:t>Profit Warnings or Financial Performance:</w:t>
      </w:r>
    </w:p>
    <w:p w14:paraId="3A3DFB32" w14:textId="77777777" w:rsidR="00092E83" w:rsidRPr="009C58C4" w:rsidRDefault="00FE6815" w:rsidP="006A5714">
      <w:pPr>
        <w:pStyle w:val="ListParagraph"/>
        <w:spacing w:after="0" w:line="360" w:lineRule="auto"/>
        <w:ind w:left="0" w:firstLine="720"/>
        <w:rPr>
          <w:rFonts w:ascii="Times New Roman" w:hAnsi="Times New Roman" w:cs="Times New Roman"/>
          <w:sz w:val="24"/>
          <w:szCs w:val="24"/>
        </w:rPr>
      </w:pPr>
      <w:r w:rsidRPr="009C58C4">
        <w:rPr>
          <w:rFonts w:ascii="Times New Roman" w:hAnsi="Times New Roman" w:cs="Times New Roman"/>
          <w:sz w:val="24"/>
          <w:szCs w:val="24"/>
        </w:rPr>
        <w:t xml:space="preserve"> However, in 2022 Apple experienced certain difficulties connected with problem in the global supply chain that influenced availability of some products and became the cause of the growth rate decrease for the temporary period of time. However, such difficulties did not affect the company’s financial results and it retained its growth of the product and service portfolio (Apple </w:t>
      </w:r>
      <w:proofErr w:type="gramStart"/>
      <w:r w:rsidRPr="009C58C4">
        <w:rPr>
          <w:rFonts w:ascii="Times New Roman" w:hAnsi="Times New Roman" w:cs="Times New Roman"/>
          <w:sz w:val="24"/>
          <w:szCs w:val="24"/>
        </w:rPr>
        <w:t>Inc. ,</w:t>
      </w:r>
      <w:proofErr w:type="gramEnd"/>
      <w:r w:rsidRPr="009C58C4">
        <w:rPr>
          <w:rFonts w:ascii="Times New Roman" w:hAnsi="Times New Roman" w:cs="Times New Roman"/>
          <w:sz w:val="24"/>
          <w:szCs w:val="24"/>
        </w:rPr>
        <w:t xml:space="preserve"> 2023c).</w:t>
      </w:r>
    </w:p>
    <w:p w14:paraId="768FA431" w14:textId="3468E9A1" w:rsidR="00FE6815" w:rsidRPr="009C58C4" w:rsidRDefault="00FE6815" w:rsidP="006A5714">
      <w:pPr>
        <w:pStyle w:val="ListParagraph"/>
        <w:spacing w:after="0" w:line="360" w:lineRule="auto"/>
        <w:ind w:left="0" w:firstLine="720"/>
        <w:rPr>
          <w:rFonts w:ascii="Times New Roman" w:hAnsi="Times New Roman" w:cs="Times New Roman"/>
          <w:i/>
          <w:iCs/>
          <w:sz w:val="24"/>
          <w:szCs w:val="24"/>
        </w:rPr>
      </w:pPr>
      <w:r w:rsidRPr="009C58C4">
        <w:rPr>
          <w:rFonts w:ascii="Times New Roman" w:hAnsi="Times New Roman" w:cs="Times New Roman"/>
          <w:i/>
          <w:iCs/>
          <w:sz w:val="24"/>
          <w:szCs w:val="24"/>
        </w:rPr>
        <w:t>Legal Issues:</w:t>
      </w:r>
    </w:p>
    <w:p w14:paraId="681B1CAE" w14:textId="77777777" w:rsidR="00092E83" w:rsidRPr="009C58C4" w:rsidRDefault="00FE6815" w:rsidP="006A5714">
      <w:pPr>
        <w:pStyle w:val="ListParagraph"/>
        <w:spacing w:after="0" w:line="360" w:lineRule="auto"/>
        <w:ind w:left="0" w:firstLine="720"/>
        <w:rPr>
          <w:rFonts w:ascii="Times New Roman" w:hAnsi="Times New Roman" w:cs="Times New Roman"/>
          <w:sz w:val="24"/>
          <w:szCs w:val="24"/>
        </w:rPr>
      </w:pPr>
      <w:r w:rsidRPr="009C58C4">
        <w:rPr>
          <w:rFonts w:ascii="Times New Roman" w:hAnsi="Times New Roman" w:cs="Times New Roman"/>
          <w:sz w:val="24"/>
          <w:szCs w:val="24"/>
        </w:rPr>
        <w:t xml:space="preserve"> Major legal proceedings of Apple have been recorded in the past five years. A notable one was the on-going disagreement that the company had with Epic games over the App store revenue share. This case involved some aspects of the digital marketplaces and the antitrust matters (BBC News, 2021).</w:t>
      </w:r>
    </w:p>
    <w:p w14:paraId="71B0BE52" w14:textId="0BF8C9CD" w:rsidR="00FE6815" w:rsidRPr="009C58C4" w:rsidRDefault="00FE6815" w:rsidP="006A5714">
      <w:pPr>
        <w:pStyle w:val="ListParagraph"/>
        <w:spacing w:after="0" w:line="360" w:lineRule="auto"/>
        <w:ind w:left="0" w:firstLine="720"/>
        <w:rPr>
          <w:rFonts w:ascii="Times New Roman" w:hAnsi="Times New Roman" w:cs="Times New Roman"/>
          <w:i/>
          <w:iCs/>
          <w:sz w:val="24"/>
          <w:szCs w:val="24"/>
        </w:rPr>
      </w:pPr>
      <w:r w:rsidRPr="009C58C4">
        <w:rPr>
          <w:rFonts w:ascii="Times New Roman" w:hAnsi="Times New Roman" w:cs="Times New Roman"/>
          <w:i/>
          <w:iCs/>
          <w:sz w:val="24"/>
          <w:szCs w:val="24"/>
        </w:rPr>
        <w:t xml:space="preserve">Mergers and Acquisitions (M&amp;A): </w:t>
      </w:r>
    </w:p>
    <w:p w14:paraId="524BCBA1" w14:textId="77777777" w:rsidR="00092E83" w:rsidRPr="009C58C4" w:rsidRDefault="00FE6815" w:rsidP="006A5714">
      <w:pPr>
        <w:pStyle w:val="ListParagraph"/>
        <w:spacing w:after="0" w:line="360" w:lineRule="auto"/>
        <w:ind w:left="0" w:firstLine="720"/>
        <w:rPr>
          <w:rFonts w:ascii="Times New Roman" w:hAnsi="Times New Roman" w:cs="Times New Roman"/>
          <w:sz w:val="24"/>
          <w:szCs w:val="24"/>
        </w:rPr>
      </w:pPr>
      <w:r w:rsidRPr="009C58C4">
        <w:rPr>
          <w:rFonts w:ascii="Times New Roman" w:hAnsi="Times New Roman" w:cs="Times New Roman"/>
          <w:sz w:val="24"/>
          <w:szCs w:val="24"/>
        </w:rPr>
        <w:t xml:space="preserve">Thus, in 2022, Apple purchased the VR company </w:t>
      </w:r>
      <w:proofErr w:type="spellStart"/>
      <w:r w:rsidRPr="009C58C4">
        <w:rPr>
          <w:rFonts w:ascii="Times New Roman" w:hAnsi="Times New Roman" w:cs="Times New Roman"/>
          <w:sz w:val="24"/>
          <w:szCs w:val="24"/>
        </w:rPr>
        <w:t>NextVR</w:t>
      </w:r>
      <w:proofErr w:type="spellEnd"/>
      <w:r w:rsidRPr="009C58C4">
        <w:rPr>
          <w:rFonts w:ascii="Times New Roman" w:hAnsi="Times New Roman" w:cs="Times New Roman"/>
          <w:sz w:val="24"/>
          <w:szCs w:val="24"/>
        </w:rPr>
        <w:t xml:space="preserve"> in an effort to advance itself in the area of virtual reality and to accommodate it strategic development based on augmented reality and extremities of such technologies (TechCrunch, 2022).</w:t>
      </w:r>
    </w:p>
    <w:p w14:paraId="36F00D43" w14:textId="6E1A17F9" w:rsidR="00FE6815" w:rsidRPr="009C58C4" w:rsidRDefault="00FE6815" w:rsidP="006A5714">
      <w:pPr>
        <w:pStyle w:val="ListParagraph"/>
        <w:spacing w:after="0" w:line="360" w:lineRule="auto"/>
        <w:ind w:left="0" w:firstLine="720"/>
        <w:rPr>
          <w:rFonts w:ascii="Times New Roman" w:hAnsi="Times New Roman" w:cs="Times New Roman"/>
          <w:i/>
          <w:iCs/>
          <w:sz w:val="24"/>
          <w:szCs w:val="24"/>
        </w:rPr>
      </w:pPr>
      <w:r w:rsidRPr="009C58C4">
        <w:rPr>
          <w:rFonts w:ascii="Times New Roman" w:hAnsi="Times New Roman" w:cs="Times New Roman"/>
          <w:i/>
          <w:iCs/>
          <w:sz w:val="24"/>
          <w:szCs w:val="24"/>
        </w:rPr>
        <w:t>Strategic Changes:</w:t>
      </w:r>
    </w:p>
    <w:p w14:paraId="3239929D" w14:textId="4F744A38" w:rsidR="00FE6815" w:rsidRPr="009C58C4" w:rsidRDefault="00FE6815" w:rsidP="006A5714">
      <w:pPr>
        <w:pStyle w:val="ListParagraph"/>
        <w:spacing w:after="0" w:line="360" w:lineRule="auto"/>
        <w:ind w:left="0" w:firstLine="720"/>
        <w:rPr>
          <w:rFonts w:ascii="Times New Roman" w:hAnsi="Times New Roman" w:cs="Times New Roman"/>
          <w:sz w:val="24"/>
          <w:szCs w:val="24"/>
        </w:rPr>
      </w:pPr>
      <w:r w:rsidRPr="009C58C4">
        <w:rPr>
          <w:rFonts w:ascii="Times New Roman" w:hAnsi="Times New Roman" w:cs="Times New Roman"/>
          <w:sz w:val="24"/>
          <w:szCs w:val="24"/>
        </w:rPr>
        <w:t xml:space="preserve"> Apple has continued to step up efforts to diversify its services segment, the firm has dedicated huge resources in the Apple TV+ streaming platform and new subscription products offered under the Apple One umbrella (Apple </w:t>
      </w:r>
      <w:r w:rsidR="00092E83" w:rsidRPr="009C58C4">
        <w:rPr>
          <w:rFonts w:ascii="Times New Roman" w:hAnsi="Times New Roman" w:cs="Times New Roman"/>
          <w:sz w:val="24"/>
          <w:szCs w:val="24"/>
        </w:rPr>
        <w:t>Inc.,</w:t>
      </w:r>
      <w:r w:rsidRPr="009C58C4">
        <w:rPr>
          <w:rFonts w:ascii="Times New Roman" w:hAnsi="Times New Roman" w:cs="Times New Roman"/>
          <w:sz w:val="24"/>
          <w:szCs w:val="24"/>
        </w:rPr>
        <w:t xml:space="preserve"> 2023).</w:t>
      </w:r>
    </w:p>
    <w:p w14:paraId="3CA59968" w14:textId="3B5013E5" w:rsidR="00FE6815" w:rsidRPr="009C58C4" w:rsidRDefault="00FE6815" w:rsidP="006A5714">
      <w:pPr>
        <w:spacing w:after="0" w:line="360" w:lineRule="auto"/>
        <w:ind w:firstLine="720"/>
        <w:rPr>
          <w:rFonts w:ascii="Times New Roman" w:hAnsi="Times New Roman" w:cs="Times New Roman"/>
          <w:b/>
          <w:bCs/>
          <w:sz w:val="24"/>
          <w:szCs w:val="24"/>
        </w:rPr>
      </w:pPr>
      <w:r w:rsidRPr="009C58C4">
        <w:rPr>
          <w:rFonts w:ascii="Times New Roman" w:hAnsi="Times New Roman" w:cs="Times New Roman"/>
          <w:sz w:val="24"/>
          <w:szCs w:val="24"/>
        </w:rPr>
        <w:br w:type="page"/>
      </w:r>
      <w:r w:rsidRPr="009C58C4">
        <w:rPr>
          <w:rFonts w:ascii="Times New Roman" w:hAnsi="Times New Roman" w:cs="Times New Roman"/>
          <w:b/>
          <w:bCs/>
          <w:sz w:val="24"/>
          <w:szCs w:val="24"/>
        </w:rPr>
        <w:lastRenderedPageBreak/>
        <w:t xml:space="preserve">Part B: Performance Evaluation in Terms of Financial Proformas </w:t>
      </w:r>
    </w:p>
    <w:p w14:paraId="37FB10E9" w14:textId="0260AAF6" w:rsidR="00FE6815" w:rsidRPr="009C58C4" w:rsidRDefault="00FE6815"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Growth and profitability analysis of Apple Inc. for the period of the last five years using the key financial ratios are critiqued in this section. Competitors' evaluation is presented with reference to </w:t>
      </w:r>
      <w:r w:rsidR="00527123" w:rsidRPr="009C58C4">
        <w:rPr>
          <w:rFonts w:ascii="Times New Roman" w:hAnsi="Times New Roman" w:cs="Times New Roman"/>
          <w:sz w:val="24"/>
          <w:szCs w:val="24"/>
        </w:rPr>
        <w:t>a major rival,</w:t>
      </w:r>
      <w:r w:rsidRPr="009C58C4">
        <w:rPr>
          <w:rFonts w:ascii="Times New Roman" w:hAnsi="Times New Roman" w:cs="Times New Roman"/>
          <w:sz w:val="24"/>
          <w:szCs w:val="24"/>
        </w:rPr>
        <w:t xml:space="preserve"> Samsung Electronics, as well as suggestions for Apple's better handling of its finances. </w:t>
      </w:r>
    </w:p>
    <w:p w14:paraId="35C4843A" w14:textId="77777777" w:rsidR="00FE6815" w:rsidRPr="009C58C4" w:rsidRDefault="00FE6815" w:rsidP="006A5714">
      <w:pPr>
        <w:spacing w:after="0" w:line="360" w:lineRule="auto"/>
        <w:ind w:firstLine="720"/>
        <w:rPr>
          <w:rFonts w:ascii="Times New Roman" w:hAnsi="Times New Roman" w:cs="Times New Roman"/>
          <w:sz w:val="24"/>
          <w:szCs w:val="24"/>
        </w:rPr>
      </w:pPr>
    </w:p>
    <w:p w14:paraId="69A0EBF5" w14:textId="4B8B94C4" w:rsidR="00FE6815" w:rsidRPr="009C58C4" w:rsidRDefault="00FE6815" w:rsidP="006A5714">
      <w:pPr>
        <w:pStyle w:val="ListParagraph"/>
        <w:numPr>
          <w:ilvl w:val="0"/>
          <w:numId w:val="2"/>
        </w:numPr>
        <w:spacing w:after="0" w:line="360" w:lineRule="auto"/>
        <w:ind w:left="0" w:firstLine="720"/>
        <w:rPr>
          <w:rFonts w:ascii="Times New Roman" w:hAnsi="Times New Roman" w:cs="Times New Roman"/>
          <w:b/>
          <w:bCs/>
          <w:i/>
          <w:iCs/>
          <w:sz w:val="24"/>
          <w:szCs w:val="24"/>
        </w:rPr>
      </w:pPr>
      <w:r w:rsidRPr="009C58C4">
        <w:rPr>
          <w:rFonts w:ascii="Times New Roman" w:hAnsi="Times New Roman" w:cs="Times New Roman"/>
          <w:b/>
          <w:bCs/>
          <w:i/>
          <w:iCs/>
          <w:sz w:val="24"/>
          <w:szCs w:val="24"/>
        </w:rPr>
        <w:t>Profitability Ratios</w:t>
      </w:r>
    </w:p>
    <w:p w14:paraId="447F66EA" w14:textId="7BD4CC0B" w:rsidR="00FE6815" w:rsidRPr="009C58C4" w:rsidRDefault="00FE6815" w:rsidP="006A5714">
      <w:pPr>
        <w:pStyle w:val="ListParagraph"/>
        <w:spacing w:after="0" w:line="360" w:lineRule="auto"/>
        <w:ind w:left="0" w:firstLine="720"/>
        <w:rPr>
          <w:rFonts w:ascii="Times New Roman" w:hAnsi="Times New Roman" w:cs="Times New Roman"/>
          <w:sz w:val="24"/>
          <w:szCs w:val="24"/>
        </w:rPr>
      </w:pPr>
      <w:r w:rsidRPr="009C58C4">
        <w:rPr>
          <w:rFonts w:ascii="Times New Roman" w:hAnsi="Times New Roman" w:cs="Times New Roman"/>
          <w:sz w:val="24"/>
          <w:szCs w:val="24"/>
        </w:rPr>
        <w:t>This class of earned business opinion is about how efficiently the organization is in the production of profits relative to the selling expenses, total expenses, assets or shareholders' funds in a given period of time. All these ratios are crucial in setting the position of balance sheets of a business and the capacity to produce returns to the shareholders. some of the common or popular profitability ratios are; gross profit margin, operation profit margin and net profit margin, return on assets (ROA) and return on equity (ROE). These ratios signify in what manner or to what extent firms are capitalizing on resources in the production of revenues and are used commonly by investors and analysts to take a measure of the current state of a firm as an investment asset.</w:t>
      </w:r>
    </w:p>
    <w:p w14:paraId="2DA4B324" w14:textId="77777777" w:rsidR="00092E83" w:rsidRPr="009C58C4" w:rsidRDefault="00092E83" w:rsidP="006A5714">
      <w:pPr>
        <w:pStyle w:val="ListParagraph"/>
        <w:spacing w:after="0" w:line="360" w:lineRule="auto"/>
        <w:ind w:left="0" w:firstLine="720"/>
        <w:rPr>
          <w:rFonts w:ascii="Times New Roman" w:hAnsi="Times New Roman" w:cs="Times New Roman"/>
          <w:b/>
          <w:bCs/>
          <w:sz w:val="24"/>
          <w:szCs w:val="24"/>
        </w:rPr>
      </w:pPr>
    </w:p>
    <w:p w14:paraId="669BEB22" w14:textId="77777777" w:rsidR="00FE6815" w:rsidRPr="009C58C4" w:rsidRDefault="00FE6815" w:rsidP="006A5714">
      <w:pPr>
        <w:spacing w:after="0" w:line="360" w:lineRule="auto"/>
        <w:ind w:firstLine="720"/>
        <w:rPr>
          <w:rFonts w:ascii="Times New Roman" w:hAnsi="Times New Roman" w:cs="Times New Roman"/>
          <w:b/>
          <w:bCs/>
          <w:sz w:val="24"/>
          <w:szCs w:val="24"/>
        </w:rPr>
      </w:pPr>
      <w:r w:rsidRPr="009C58C4">
        <w:rPr>
          <w:rFonts w:ascii="Times New Roman" w:hAnsi="Times New Roman" w:cs="Times New Roman"/>
          <w:b/>
          <w:bCs/>
          <w:sz w:val="24"/>
          <w:szCs w:val="24"/>
        </w:rPr>
        <w:t>1. Gross Margin</w:t>
      </w:r>
    </w:p>
    <w:p w14:paraId="0698662D" w14:textId="77777777" w:rsidR="00FE6815" w:rsidRPr="009C58C4" w:rsidRDefault="00FE6815" w:rsidP="006A5714">
      <w:pPr>
        <w:spacing w:after="0" w:line="360" w:lineRule="auto"/>
        <w:ind w:firstLine="720"/>
        <w:rPr>
          <w:rFonts w:ascii="Times New Roman" w:hAnsi="Times New Roman" w:cs="Times New Roman"/>
          <w:b/>
          <w:bCs/>
          <w:i/>
          <w:iCs/>
          <w:sz w:val="24"/>
          <w:szCs w:val="24"/>
        </w:rPr>
      </w:pPr>
      <w:r w:rsidRPr="009C58C4">
        <w:rPr>
          <w:rFonts w:ascii="Times New Roman" w:hAnsi="Times New Roman" w:cs="Times New Roman"/>
          <w:b/>
          <w:bCs/>
          <w:i/>
          <w:iCs/>
          <w:sz w:val="24"/>
          <w:szCs w:val="24"/>
        </w:rPr>
        <w:t>Definition:</w:t>
      </w:r>
    </w:p>
    <w:p w14:paraId="1F947244" w14:textId="77777777" w:rsidR="00FE6815" w:rsidRPr="009C58C4" w:rsidRDefault="00FE6815"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Gross Margin is beneficial to the investors and analysts in determining the degree of efficiency of the company in controlling its cost of production and the proportion of the amount of its total earnings that is available for distribution. Indeed, it is widely used to benchmark the competing firms in the same industry, and to analyze the performance change of a certain firm. Gross margin measures the company's selling price achievement in its products and its ability to manage production costs and this can be arrived at as follows Gross margin = (Total sales - cost of sales) / total sales A high gross margin normally reflects good cost management and strong pricing capability on the part of the firm while a low gross margin usually signals poor cost control and or pricing pressures in the marketplace.</w:t>
      </w:r>
    </w:p>
    <w:p w14:paraId="1CF04ABC" w14:textId="77777777" w:rsidR="00FE6815" w:rsidRPr="009C58C4" w:rsidRDefault="00FE6815"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“Gross margin is a critical profitability ratio that shows how much of every dollar of revenue is retained after accounting for the direct costs of production. It reflects a company’s efficiency in producing and selling its goods.” – </w:t>
      </w:r>
      <w:r w:rsidRPr="009C58C4">
        <w:rPr>
          <w:rFonts w:ascii="Times New Roman" w:hAnsi="Times New Roman" w:cs="Times New Roman"/>
          <w:i/>
          <w:iCs/>
          <w:sz w:val="24"/>
          <w:szCs w:val="24"/>
        </w:rPr>
        <w:t>Stephen H. Penman, Financial Statement Analysis and Security Valuation</w:t>
      </w:r>
      <w:r w:rsidRPr="009C58C4">
        <w:rPr>
          <w:rFonts w:ascii="Times New Roman" w:hAnsi="Times New Roman" w:cs="Times New Roman"/>
          <w:sz w:val="24"/>
          <w:szCs w:val="24"/>
        </w:rPr>
        <w:t xml:space="preserve"> (6th Edition, p. 235)</w:t>
      </w:r>
    </w:p>
    <w:p w14:paraId="496FD255" w14:textId="77777777" w:rsidR="00FE6815" w:rsidRPr="009C58C4" w:rsidRDefault="00FE6815" w:rsidP="006A5714">
      <w:pPr>
        <w:spacing w:after="0" w:line="360" w:lineRule="auto"/>
        <w:ind w:firstLine="720"/>
        <w:rPr>
          <w:rFonts w:ascii="Times New Roman" w:hAnsi="Times New Roman" w:cs="Times New Roman"/>
          <w:sz w:val="24"/>
          <w:szCs w:val="24"/>
        </w:rPr>
      </w:pPr>
    </w:p>
    <w:p w14:paraId="61E4DE05" w14:textId="77777777" w:rsidR="00FE6815" w:rsidRPr="009C58C4" w:rsidRDefault="00FE6815" w:rsidP="006A5714">
      <w:pPr>
        <w:spacing w:after="0" w:line="360" w:lineRule="auto"/>
        <w:ind w:firstLine="720"/>
        <w:rPr>
          <w:rFonts w:ascii="Times New Roman" w:hAnsi="Times New Roman" w:cs="Times New Roman"/>
          <w:b/>
          <w:bCs/>
          <w:sz w:val="24"/>
          <w:szCs w:val="24"/>
        </w:rPr>
      </w:pPr>
      <w:r w:rsidRPr="009C58C4">
        <w:rPr>
          <w:rFonts w:ascii="Times New Roman" w:hAnsi="Times New Roman" w:cs="Times New Roman"/>
          <w:b/>
          <w:bCs/>
          <w:sz w:val="24"/>
          <w:szCs w:val="24"/>
        </w:rPr>
        <w:t>Gross Margin (%) = Net Sales/Gross Profit​×100</w:t>
      </w:r>
    </w:p>
    <w:tbl>
      <w:tblPr>
        <w:tblpPr w:leftFromText="180" w:rightFromText="180" w:vertAnchor="text" w:horzAnchor="margin" w:tblpY="741"/>
        <w:tblOverlap w:val="neve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58"/>
        <w:gridCol w:w="2450"/>
        <w:gridCol w:w="2450"/>
        <w:gridCol w:w="2392"/>
      </w:tblGrid>
      <w:tr w:rsidR="00FE6815" w:rsidRPr="009C58C4" w14:paraId="59F5B6CA" w14:textId="77777777" w:rsidTr="00092E83">
        <w:trPr>
          <w:trHeight w:val="665"/>
        </w:trPr>
        <w:tc>
          <w:tcPr>
            <w:tcW w:w="1101" w:type="pct"/>
            <w:shd w:val="clear" w:color="auto" w:fill="auto"/>
            <w:vAlign w:val="center"/>
            <w:hideMark/>
          </w:tcPr>
          <w:p w14:paraId="2426492C" w14:textId="77777777" w:rsidR="00FE6815" w:rsidRPr="009C58C4" w:rsidRDefault="00FE6815"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Year</w:t>
            </w:r>
          </w:p>
        </w:tc>
        <w:tc>
          <w:tcPr>
            <w:tcW w:w="1310" w:type="pct"/>
            <w:shd w:val="clear" w:color="auto" w:fill="auto"/>
            <w:vAlign w:val="center"/>
            <w:hideMark/>
          </w:tcPr>
          <w:p w14:paraId="6BD1F147" w14:textId="77777777" w:rsidR="00FE6815" w:rsidRPr="009C58C4" w:rsidRDefault="00FE6815"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Gross Profit ($m)</w:t>
            </w:r>
          </w:p>
        </w:tc>
        <w:tc>
          <w:tcPr>
            <w:tcW w:w="1310" w:type="pct"/>
            <w:shd w:val="clear" w:color="auto" w:fill="auto"/>
            <w:vAlign w:val="center"/>
            <w:hideMark/>
          </w:tcPr>
          <w:p w14:paraId="702217E4" w14:textId="77777777" w:rsidR="00FE6815" w:rsidRPr="009C58C4" w:rsidRDefault="00FE6815"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Net Sales ($m)</w:t>
            </w:r>
          </w:p>
        </w:tc>
        <w:tc>
          <w:tcPr>
            <w:tcW w:w="1279" w:type="pct"/>
            <w:shd w:val="clear" w:color="auto" w:fill="auto"/>
            <w:vAlign w:val="center"/>
            <w:hideMark/>
          </w:tcPr>
          <w:p w14:paraId="66FB83A1" w14:textId="77777777" w:rsidR="00FE6815" w:rsidRPr="009C58C4" w:rsidRDefault="00FE6815"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Gross Margin (%)</w:t>
            </w:r>
          </w:p>
        </w:tc>
      </w:tr>
      <w:tr w:rsidR="00FE6815" w:rsidRPr="009C58C4" w14:paraId="7F3FDCFD" w14:textId="77777777" w:rsidTr="00092E83">
        <w:trPr>
          <w:trHeight w:val="221"/>
        </w:trPr>
        <w:tc>
          <w:tcPr>
            <w:tcW w:w="1101" w:type="pct"/>
            <w:shd w:val="clear" w:color="auto" w:fill="auto"/>
            <w:vAlign w:val="center"/>
            <w:hideMark/>
          </w:tcPr>
          <w:p w14:paraId="42725486"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2019</w:t>
            </w:r>
          </w:p>
        </w:tc>
        <w:tc>
          <w:tcPr>
            <w:tcW w:w="1310" w:type="pct"/>
            <w:shd w:val="clear" w:color="auto" w:fill="auto"/>
            <w:vAlign w:val="center"/>
            <w:hideMark/>
          </w:tcPr>
          <w:p w14:paraId="37217D29"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98,392</w:t>
            </w:r>
          </w:p>
        </w:tc>
        <w:tc>
          <w:tcPr>
            <w:tcW w:w="1310" w:type="pct"/>
            <w:shd w:val="clear" w:color="auto" w:fill="auto"/>
            <w:vAlign w:val="center"/>
            <w:hideMark/>
          </w:tcPr>
          <w:p w14:paraId="1ACB57A0"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260,174</w:t>
            </w:r>
          </w:p>
        </w:tc>
        <w:tc>
          <w:tcPr>
            <w:tcW w:w="1279" w:type="pct"/>
            <w:shd w:val="clear" w:color="auto" w:fill="auto"/>
            <w:vAlign w:val="center"/>
            <w:hideMark/>
          </w:tcPr>
          <w:p w14:paraId="05ED64C7"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37.31%</w:t>
            </w:r>
          </w:p>
        </w:tc>
      </w:tr>
      <w:tr w:rsidR="00FE6815" w:rsidRPr="009C58C4" w14:paraId="44C4C9A3" w14:textId="77777777" w:rsidTr="00092E83">
        <w:trPr>
          <w:trHeight w:val="221"/>
        </w:trPr>
        <w:tc>
          <w:tcPr>
            <w:tcW w:w="1101" w:type="pct"/>
            <w:shd w:val="clear" w:color="auto" w:fill="auto"/>
            <w:vAlign w:val="center"/>
            <w:hideMark/>
          </w:tcPr>
          <w:p w14:paraId="500DC6AD"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2020</w:t>
            </w:r>
          </w:p>
        </w:tc>
        <w:tc>
          <w:tcPr>
            <w:tcW w:w="1310" w:type="pct"/>
            <w:shd w:val="clear" w:color="auto" w:fill="auto"/>
            <w:vAlign w:val="center"/>
            <w:hideMark/>
          </w:tcPr>
          <w:p w14:paraId="3B8BC2EC"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104,956</w:t>
            </w:r>
          </w:p>
        </w:tc>
        <w:tc>
          <w:tcPr>
            <w:tcW w:w="1310" w:type="pct"/>
            <w:shd w:val="clear" w:color="auto" w:fill="auto"/>
            <w:vAlign w:val="center"/>
            <w:hideMark/>
          </w:tcPr>
          <w:p w14:paraId="7BC1BD09"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274,515</w:t>
            </w:r>
          </w:p>
        </w:tc>
        <w:tc>
          <w:tcPr>
            <w:tcW w:w="1279" w:type="pct"/>
            <w:shd w:val="clear" w:color="auto" w:fill="auto"/>
            <w:vAlign w:val="center"/>
            <w:hideMark/>
          </w:tcPr>
          <w:p w14:paraId="527DF249"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38.25%</w:t>
            </w:r>
          </w:p>
        </w:tc>
      </w:tr>
      <w:tr w:rsidR="00FE6815" w:rsidRPr="009C58C4" w14:paraId="3FE4B7AE" w14:textId="77777777" w:rsidTr="00092E83">
        <w:trPr>
          <w:trHeight w:val="221"/>
        </w:trPr>
        <w:tc>
          <w:tcPr>
            <w:tcW w:w="1101" w:type="pct"/>
            <w:shd w:val="clear" w:color="auto" w:fill="auto"/>
            <w:vAlign w:val="center"/>
            <w:hideMark/>
          </w:tcPr>
          <w:p w14:paraId="4C785A5D"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2021</w:t>
            </w:r>
          </w:p>
        </w:tc>
        <w:tc>
          <w:tcPr>
            <w:tcW w:w="1310" w:type="pct"/>
            <w:shd w:val="clear" w:color="auto" w:fill="auto"/>
            <w:vAlign w:val="center"/>
            <w:hideMark/>
          </w:tcPr>
          <w:p w14:paraId="402F8E0F"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152,836</w:t>
            </w:r>
          </w:p>
        </w:tc>
        <w:tc>
          <w:tcPr>
            <w:tcW w:w="1310" w:type="pct"/>
            <w:shd w:val="clear" w:color="auto" w:fill="auto"/>
            <w:vAlign w:val="center"/>
            <w:hideMark/>
          </w:tcPr>
          <w:p w14:paraId="7B699AFB"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365,817</w:t>
            </w:r>
          </w:p>
        </w:tc>
        <w:tc>
          <w:tcPr>
            <w:tcW w:w="1279" w:type="pct"/>
            <w:shd w:val="clear" w:color="auto" w:fill="auto"/>
            <w:vAlign w:val="center"/>
            <w:hideMark/>
          </w:tcPr>
          <w:p w14:paraId="1D6B7E9B"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41.78%</w:t>
            </w:r>
          </w:p>
        </w:tc>
      </w:tr>
      <w:tr w:rsidR="00FE6815" w:rsidRPr="009C58C4" w14:paraId="68819938" w14:textId="77777777" w:rsidTr="00092E83">
        <w:trPr>
          <w:trHeight w:val="221"/>
        </w:trPr>
        <w:tc>
          <w:tcPr>
            <w:tcW w:w="1101" w:type="pct"/>
            <w:shd w:val="clear" w:color="auto" w:fill="auto"/>
            <w:vAlign w:val="center"/>
            <w:hideMark/>
          </w:tcPr>
          <w:p w14:paraId="446770F7"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2022</w:t>
            </w:r>
          </w:p>
        </w:tc>
        <w:tc>
          <w:tcPr>
            <w:tcW w:w="1310" w:type="pct"/>
            <w:shd w:val="clear" w:color="auto" w:fill="auto"/>
            <w:vAlign w:val="center"/>
            <w:hideMark/>
          </w:tcPr>
          <w:p w14:paraId="4F659D01"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170,782</w:t>
            </w:r>
          </w:p>
        </w:tc>
        <w:tc>
          <w:tcPr>
            <w:tcW w:w="1310" w:type="pct"/>
            <w:shd w:val="clear" w:color="auto" w:fill="auto"/>
            <w:vAlign w:val="center"/>
            <w:hideMark/>
          </w:tcPr>
          <w:p w14:paraId="08451113"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394,328</w:t>
            </w:r>
          </w:p>
        </w:tc>
        <w:tc>
          <w:tcPr>
            <w:tcW w:w="1279" w:type="pct"/>
            <w:shd w:val="clear" w:color="auto" w:fill="auto"/>
            <w:vAlign w:val="center"/>
            <w:hideMark/>
          </w:tcPr>
          <w:p w14:paraId="5CACB3FB"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43.25%</w:t>
            </w:r>
          </w:p>
        </w:tc>
      </w:tr>
      <w:tr w:rsidR="00FE6815" w:rsidRPr="009C58C4" w14:paraId="0CE1C779" w14:textId="77777777" w:rsidTr="00092E83">
        <w:trPr>
          <w:trHeight w:val="221"/>
        </w:trPr>
        <w:tc>
          <w:tcPr>
            <w:tcW w:w="1101" w:type="pct"/>
            <w:shd w:val="clear" w:color="auto" w:fill="auto"/>
            <w:vAlign w:val="center"/>
            <w:hideMark/>
          </w:tcPr>
          <w:p w14:paraId="4EDFEEE8"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2023</w:t>
            </w:r>
          </w:p>
        </w:tc>
        <w:tc>
          <w:tcPr>
            <w:tcW w:w="1310" w:type="pct"/>
            <w:shd w:val="clear" w:color="auto" w:fill="auto"/>
            <w:vAlign w:val="center"/>
            <w:hideMark/>
          </w:tcPr>
          <w:p w14:paraId="7FDD13E4"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169,148</w:t>
            </w:r>
          </w:p>
        </w:tc>
        <w:tc>
          <w:tcPr>
            <w:tcW w:w="1310" w:type="pct"/>
            <w:shd w:val="clear" w:color="auto" w:fill="auto"/>
            <w:vAlign w:val="center"/>
            <w:hideMark/>
          </w:tcPr>
          <w:p w14:paraId="5F511B52"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382,285</w:t>
            </w:r>
          </w:p>
        </w:tc>
        <w:tc>
          <w:tcPr>
            <w:tcW w:w="1279" w:type="pct"/>
            <w:shd w:val="clear" w:color="auto" w:fill="auto"/>
            <w:vAlign w:val="center"/>
            <w:hideMark/>
          </w:tcPr>
          <w:p w14:paraId="4591FE9E" w14:textId="77777777" w:rsidR="00FE6815" w:rsidRPr="009C58C4" w:rsidRDefault="00FE6815"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44.23%</w:t>
            </w:r>
          </w:p>
        </w:tc>
      </w:tr>
    </w:tbl>
    <w:p w14:paraId="17EAC5B6" w14:textId="7E188AFA" w:rsidR="00FE6815" w:rsidRPr="009C58C4" w:rsidRDefault="00FE6815" w:rsidP="006A5714">
      <w:pPr>
        <w:tabs>
          <w:tab w:val="left" w:pos="4410"/>
        </w:tabs>
        <w:spacing w:after="0" w:line="360" w:lineRule="auto"/>
        <w:ind w:firstLine="720"/>
        <w:jc w:val="center"/>
        <w:rPr>
          <w:rFonts w:ascii="Times New Roman" w:hAnsi="Times New Roman" w:cs="Times New Roman"/>
          <w:b/>
          <w:bCs/>
          <w:sz w:val="24"/>
          <w:szCs w:val="24"/>
        </w:rPr>
      </w:pPr>
      <w:r w:rsidRPr="009C58C4">
        <w:rPr>
          <w:rFonts w:ascii="Times New Roman" w:hAnsi="Times New Roman" w:cs="Times New Roman"/>
          <w:b/>
          <w:bCs/>
          <w:sz w:val="24"/>
          <w:szCs w:val="24"/>
        </w:rPr>
        <w:br w:type="textWrapping" w:clear="all"/>
        <w:t>Apple inc.</w:t>
      </w:r>
    </w:p>
    <w:p w14:paraId="2A6115AB" w14:textId="77777777" w:rsidR="00092E83" w:rsidRPr="009C58C4" w:rsidRDefault="00092E83" w:rsidP="006A5714">
      <w:pPr>
        <w:spacing w:after="0" w:line="360" w:lineRule="auto"/>
        <w:rPr>
          <w:rFonts w:ascii="Times New Roman" w:hAnsi="Times New Roman" w:cs="Times New Roman"/>
          <w:b/>
          <w:bCs/>
          <w:sz w:val="24"/>
          <w:szCs w:val="24"/>
        </w:rPr>
      </w:pPr>
    </w:p>
    <w:tbl>
      <w:tblPr>
        <w:tblpPr w:leftFromText="180" w:rightFromText="180" w:vertAnchor="page" w:horzAnchor="margin" w:tblpY="6889"/>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90"/>
        <w:gridCol w:w="2532"/>
        <w:gridCol w:w="2691"/>
        <w:gridCol w:w="2237"/>
      </w:tblGrid>
      <w:tr w:rsidR="00DA0658" w:rsidRPr="009C58C4" w14:paraId="03D6A0F2" w14:textId="77777777" w:rsidTr="00DA0658">
        <w:trPr>
          <w:trHeight w:val="1152"/>
        </w:trPr>
        <w:tc>
          <w:tcPr>
            <w:tcW w:w="1011" w:type="pct"/>
            <w:shd w:val="clear" w:color="auto" w:fill="auto"/>
            <w:vAlign w:val="center"/>
            <w:hideMark/>
          </w:tcPr>
          <w:p w14:paraId="33598284" w14:textId="77777777" w:rsidR="00DA0658" w:rsidRPr="009C58C4" w:rsidRDefault="00DA0658" w:rsidP="006A5714">
            <w:pPr>
              <w:spacing w:after="0" w:line="360" w:lineRule="auto"/>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Year</w:t>
            </w:r>
          </w:p>
        </w:tc>
        <w:tc>
          <w:tcPr>
            <w:tcW w:w="1354" w:type="pct"/>
            <w:shd w:val="clear" w:color="auto" w:fill="auto"/>
            <w:vAlign w:val="center"/>
            <w:hideMark/>
          </w:tcPr>
          <w:p w14:paraId="0BF0CAF0" w14:textId="77777777" w:rsidR="00DA0658" w:rsidRPr="009C58C4" w:rsidRDefault="00DA0658" w:rsidP="006A5714">
            <w:pPr>
              <w:spacing w:after="0" w:line="360" w:lineRule="auto"/>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Gross Profit (USD millions)</w:t>
            </w:r>
          </w:p>
        </w:tc>
        <w:tc>
          <w:tcPr>
            <w:tcW w:w="1439" w:type="pct"/>
            <w:shd w:val="clear" w:color="auto" w:fill="auto"/>
            <w:vAlign w:val="center"/>
            <w:hideMark/>
          </w:tcPr>
          <w:p w14:paraId="2FA60984" w14:textId="77777777" w:rsidR="00DA0658" w:rsidRPr="009C58C4" w:rsidRDefault="00DA0658" w:rsidP="006A5714">
            <w:pPr>
              <w:spacing w:after="0" w:line="360" w:lineRule="auto"/>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Net Sales (USD millions)</w:t>
            </w:r>
          </w:p>
        </w:tc>
        <w:tc>
          <w:tcPr>
            <w:tcW w:w="1196" w:type="pct"/>
            <w:shd w:val="clear" w:color="auto" w:fill="auto"/>
            <w:vAlign w:val="center"/>
            <w:hideMark/>
          </w:tcPr>
          <w:p w14:paraId="0FC7ECDD" w14:textId="77777777" w:rsidR="00DA0658" w:rsidRPr="009C58C4" w:rsidRDefault="00DA0658" w:rsidP="006A5714">
            <w:pPr>
              <w:spacing w:after="0" w:line="360" w:lineRule="auto"/>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Gross Margin (%)</w:t>
            </w:r>
          </w:p>
        </w:tc>
      </w:tr>
      <w:tr w:rsidR="00DA0658" w:rsidRPr="009C58C4" w14:paraId="3EE54E95" w14:textId="77777777" w:rsidTr="00DA0658">
        <w:trPr>
          <w:trHeight w:val="288"/>
        </w:trPr>
        <w:tc>
          <w:tcPr>
            <w:tcW w:w="1011" w:type="pct"/>
            <w:shd w:val="clear" w:color="auto" w:fill="auto"/>
            <w:vAlign w:val="center"/>
            <w:hideMark/>
          </w:tcPr>
          <w:p w14:paraId="5BE92267"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2023</w:t>
            </w:r>
          </w:p>
        </w:tc>
        <w:tc>
          <w:tcPr>
            <w:tcW w:w="1354" w:type="pct"/>
            <w:shd w:val="clear" w:color="auto" w:fill="auto"/>
            <w:vAlign w:val="center"/>
            <w:hideMark/>
          </w:tcPr>
          <w:p w14:paraId="19D9B5FE"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60,137.59</w:t>
            </w:r>
          </w:p>
        </w:tc>
        <w:tc>
          <w:tcPr>
            <w:tcW w:w="1439" w:type="pct"/>
            <w:shd w:val="clear" w:color="auto" w:fill="auto"/>
            <w:vAlign w:val="center"/>
            <w:hideMark/>
          </w:tcPr>
          <w:p w14:paraId="50278C51"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198,247.86</w:t>
            </w:r>
          </w:p>
        </w:tc>
        <w:tc>
          <w:tcPr>
            <w:tcW w:w="1196" w:type="pct"/>
            <w:shd w:val="clear" w:color="auto" w:fill="auto"/>
            <w:vAlign w:val="center"/>
            <w:hideMark/>
          </w:tcPr>
          <w:p w14:paraId="183EDE5D"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30.30%</w:t>
            </w:r>
          </w:p>
        </w:tc>
      </w:tr>
    </w:tbl>
    <w:p w14:paraId="76887E77" w14:textId="7DE75A6F" w:rsidR="00FE6815" w:rsidRPr="009C58C4" w:rsidRDefault="00FE6815" w:rsidP="006A5714">
      <w:pPr>
        <w:spacing w:after="0" w:line="360" w:lineRule="auto"/>
        <w:jc w:val="center"/>
        <w:rPr>
          <w:rFonts w:ascii="Times New Roman" w:hAnsi="Times New Roman" w:cs="Times New Roman"/>
          <w:b/>
          <w:bCs/>
          <w:sz w:val="24"/>
          <w:szCs w:val="24"/>
        </w:rPr>
      </w:pPr>
      <w:r w:rsidRPr="009C58C4">
        <w:rPr>
          <w:rFonts w:ascii="Times New Roman" w:hAnsi="Times New Roman" w:cs="Times New Roman"/>
          <w:b/>
          <w:bCs/>
          <w:sz w:val="24"/>
          <w:szCs w:val="24"/>
        </w:rPr>
        <w:t>Samsung inc.</w:t>
      </w:r>
    </w:p>
    <w:p w14:paraId="7D601667" w14:textId="77777777" w:rsidR="00DA0658" w:rsidRPr="009C58C4" w:rsidRDefault="00DA0658" w:rsidP="006A5714">
      <w:pPr>
        <w:spacing w:after="0" w:line="360" w:lineRule="auto"/>
        <w:ind w:firstLine="720"/>
        <w:rPr>
          <w:rFonts w:ascii="Times New Roman" w:hAnsi="Times New Roman" w:cs="Times New Roman"/>
          <w:sz w:val="24"/>
          <w:szCs w:val="24"/>
        </w:rPr>
      </w:pPr>
    </w:p>
    <w:p w14:paraId="73527970" w14:textId="703D8232" w:rsidR="00EC2ECF" w:rsidRPr="009C58C4" w:rsidRDefault="00EC2ECF"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A comparison of the gross margin figures of Apple and Samsung shows that Apple has been continuously generating higher gross margins than Samsung. Gross margin has equally depicted an upward trend over the last five years, having increased from 37.31% in 2019 to 44. 23% in 2023. This trend has a bearing on Apple’s stringer capacity to book a larger proportion of its revenues once COGS is eliminated, pointing to strong earnings capacity as well as stringent cost control. </w:t>
      </w:r>
    </w:p>
    <w:p w14:paraId="3E09C11D" w14:textId="77777777" w:rsidR="00EC2ECF" w:rsidRPr="009C58C4" w:rsidRDefault="00EC2ECF"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Fiscal year 2023 gross margin of Apple was 44. 23%, which is higher than in the previous years. Such significant margin shows that not only Apple is doing well in terms of revenue generation but also it has a good control over the cost of production. The remarkable margins that Apple has been able to post are as a result of its above-average pricing, brand image and the fact that it has a tight rein on costs of production and sourcing of raw materials. The company has a brilliant gross margin because of its concentration on high-margin products like iPhones and services. </w:t>
      </w:r>
    </w:p>
    <w:p w14:paraId="17424017" w14:textId="77777777" w:rsidR="00EC2ECF" w:rsidRPr="009C58C4" w:rsidRDefault="00EC2ECF"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lastRenderedPageBreak/>
        <w:t xml:space="preserve"> In the same year, Samsung’s gross margin was comparatively lower at 30 in 2023. 30%. Such a divergence indicates that Samsung can produce devices at a higher cost or offer a more competitive price to offset market share loss. Some of the factors leading to high production costs may be as a result of Samsung spending so much in developing technology as well as developing strong manufacturing arm that may not necessarily bring in the same proportion of revenues. Also, Samsung has a vast product line that has electronics ranging from low-end to high-end products, and the mix may in a way bring down the overall margin relative to Apple. </w:t>
      </w:r>
    </w:p>
    <w:p w14:paraId="641DB8A4" w14:textId="63A181ED" w:rsidR="00FE6815" w:rsidRPr="009C58C4" w:rsidRDefault="00EC2ECF"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This is an indication of the fact that Apple has been able to manage its cost better and also charge higher prices for its products compared to Samsung. Samsung’s lower margin reveals the issues in cost management or pricing strategies on its products, while Apple, which enjoys a higher margin, shows its dominance in the market and good management of operation cost.</w:t>
      </w:r>
      <w:r w:rsidR="00DA0658" w:rsidRPr="009C58C4">
        <w:rPr>
          <w:rFonts w:ascii="Times New Roman" w:hAnsi="Times New Roman" w:cs="Times New Roman"/>
          <w:sz w:val="24"/>
          <w:szCs w:val="24"/>
        </w:rPr>
        <w:t xml:space="preserve"> For investors and stakeholders, Apple's higher gross margin is a testament to its robust financial health and ability to extract more value from its sales compared to Samsung.</w:t>
      </w:r>
    </w:p>
    <w:p w14:paraId="634144E4" w14:textId="77777777" w:rsidR="00FE6815" w:rsidRPr="009C58C4" w:rsidRDefault="00FE6815" w:rsidP="006A5714">
      <w:pPr>
        <w:spacing w:after="0" w:line="360" w:lineRule="auto"/>
        <w:ind w:firstLine="720"/>
        <w:rPr>
          <w:rFonts w:ascii="Times New Roman" w:hAnsi="Times New Roman" w:cs="Times New Roman"/>
          <w:b/>
          <w:bCs/>
          <w:sz w:val="24"/>
          <w:szCs w:val="24"/>
        </w:rPr>
      </w:pPr>
    </w:p>
    <w:p w14:paraId="59FCCC72" w14:textId="1A16CECD" w:rsidR="00FE6815" w:rsidRPr="009C58C4" w:rsidRDefault="00FE6815" w:rsidP="006A5714">
      <w:pPr>
        <w:pStyle w:val="ListParagraph"/>
        <w:numPr>
          <w:ilvl w:val="0"/>
          <w:numId w:val="2"/>
        </w:numPr>
        <w:spacing w:after="0" w:line="360" w:lineRule="auto"/>
        <w:rPr>
          <w:rFonts w:ascii="Times New Roman" w:hAnsi="Times New Roman" w:cs="Times New Roman"/>
          <w:b/>
          <w:bCs/>
          <w:sz w:val="24"/>
          <w:szCs w:val="24"/>
        </w:rPr>
      </w:pPr>
      <w:r w:rsidRPr="009C58C4">
        <w:rPr>
          <w:rFonts w:ascii="Times New Roman" w:hAnsi="Times New Roman" w:cs="Times New Roman"/>
          <w:b/>
          <w:bCs/>
          <w:sz w:val="24"/>
          <w:szCs w:val="24"/>
        </w:rPr>
        <w:t>Net Profit Margin (%) = (Net Sales/Net </w:t>
      </w:r>
      <w:r w:rsidR="00BB6C86" w:rsidRPr="009C58C4">
        <w:rPr>
          <w:rFonts w:ascii="Times New Roman" w:hAnsi="Times New Roman" w:cs="Times New Roman"/>
          <w:b/>
          <w:bCs/>
          <w:sz w:val="24"/>
          <w:szCs w:val="24"/>
        </w:rPr>
        <w:t>Profit​) ×</w:t>
      </w:r>
      <w:r w:rsidRPr="009C58C4">
        <w:rPr>
          <w:rFonts w:ascii="Times New Roman" w:hAnsi="Times New Roman" w:cs="Times New Roman"/>
          <w:b/>
          <w:bCs/>
          <w:sz w:val="24"/>
          <w:szCs w:val="24"/>
        </w:rPr>
        <w:t>100</w:t>
      </w:r>
    </w:p>
    <w:p w14:paraId="2750E7FD" w14:textId="5D6545A7" w:rsidR="00BB6C86" w:rsidRPr="009C58C4" w:rsidRDefault="00BB6C86"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t>Definition</w:t>
      </w:r>
    </w:p>
    <w:p w14:paraId="112E1075" w14:textId="2F3A047D" w:rsidR="00DA0658" w:rsidRPr="009C58C4" w:rsidRDefault="00DA0658"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Net Profit Margin as a business calculating tool shows the proportion of business net profit in relation of business net sales. This is a measure of how much of one dollar of revenues is left after having provided for operating expenses, interest, taxes as well as all other expenses that are not operating ones. This ratio gives a clear picture about profitability of a company and efficiency of sales in terms of arriving at actual profit.</w:t>
      </w:r>
    </w:p>
    <w:p w14:paraId="523C27A6" w14:textId="3907055B" w:rsidR="00FE6815" w:rsidRPr="009C58C4" w:rsidRDefault="00DA0658"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w:t>
      </w:r>
      <w:r w:rsidR="00FE6815" w:rsidRPr="009C58C4">
        <w:rPr>
          <w:rFonts w:ascii="Times New Roman" w:hAnsi="Times New Roman" w:cs="Times New Roman"/>
          <w:i/>
          <w:iCs/>
          <w:sz w:val="24"/>
          <w:szCs w:val="24"/>
        </w:rPr>
        <w:t>The net profit margin measures the proportion of revenue that remains as profit after all expenses are deducted. It is an essential metric for assessing overall profitability and cost management effectiveness</w:t>
      </w:r>
      <w:r w:rsidRPr="009C58C4">
        <w:rPr>
          <w:rFonts w:ascii="Times New Roman" w:hAnsi="Times New Roman" w:cs="Times New Roman"/>
          <w:sz w:val="24"/>
          <w:szCs w:val="24"/>
        </w:rPr>
        <w:t>”</w:t>
      </w:r>
      <w:r w:rsidR="00FE6815" w:rsidRPr="009C58C4">
        <w:rPr>
          <w:rFonts w:ascii="Times New Roman" w:hAnsi="Times New Roman" w:cs="Times New Roman"/>
          <w:sz w:val="24"/>
          <w:szCs w:val="24"/>
        </w:rPr>
        <w:t>: A Practitioner's Guide (5th Edition, p. 137)</w:t>
      </w:r>
    </w:p>
    <w:p w14:paraId="7795F2B7" w14:textId="77777777" w:rsidR="00DA0658" w:rsidRPr="009C58C4" w:rsidRDefault="00DA0658" w:rsidP="006A5714">
      <w:pPr>
        <w:tabs>
          <w:tab w:val="left" w:pos="2004"/>
        </w:tabs>
        <w:spacing w:after="0" w:line="360" w:lineRule="auto"/>
        <w:ind w:firstLine="720"/>
        <w:jc w:val="center"/>
        <w:rPr>
          <w:rFonts w:ascii="Times New Roman" w:hAnsi="Times New Roman" w:cs="Times New Roman"/>
          <w:b/>
          <w:bCs/>
          <w:sz w:val="24"/>
          <w:szCs w:val="24"/>
        </w:rPr>
      </w:pPr>
    </w:p>
    <w:p w14:paraId="1B88F442" w14:textId="77777777" w:rsidR="00DA0658" w:rsidRPr="009C58C4" w:rsidRDefault="00DA0658" w:rsidP="006A5714">
      <w:pPr>
        <w:tabs>
          <w:tab w:val="left" w:pos="2004"/>
        </w:tabs>
        <w:spacing w:after="0" w:line="360" w:lineRule="auto"/>
        <w:ind w:firstLine="720"/>
        <w:jc w:val="center"/>
        <w:rPr>
          <w:rFonts w:ascii="Times New Roman" w:hAnsi="Times New Roman" w:cs="Times New Roman"/>
          <w:b/>
          <w:bCs/>
          <w:sz w:val="24"/>
          <w:szCs w:val="24"/>
        </w:rPr>
      </w:pPr>
    </w:p>
    <w:p w14:paraId="18340B98" w14:textId="77777777" w:rsidR="00DA0658" w:rsidRPr="009C58C4" w:rsidRDefault="00DA0658" w:rsidP="006A5714">
      <w:pPr>
        <w:tabs>
          <w:tab w:val="left" w:pos="2004"/>
        </w:tabs>
        <w:spacing w:after="0" w:line="360" w:lineRule="auto"/>
        <w:ind w:firstLine="720"/>
        <w:jc w:val="center"/>
        <w:rPr>
          <w:rFonts w:ascii="Times New Roman" w:hAnsi="Times New Roman" w:cs="Times New Roman"/>
          <w:b/>
          <w:bCs/>
          <w:sz w:val="24"/>
          <w:szCs w:val="24"/>
        </w:rPr>
      </w:pPr>
    </w:p>
    <w:p w14:paraId="5DD4AB51" w14:textId="77777777" w:rsidR="00DA0658" w:rsidRPr="009C58C4" w:rsidRDefault="00DA0658" w:rsidP="006A5714">
      <w:pPr>
        <w:tabs>
          <w:tab w:val="left" w:pos="2004"/>
        </w:tabs>
        <w:spacing w:after="0" w:line="360" w:lineRule="auto"/>
        <w:ind w:firstLine="720"/>
        <w:jc w:val="center"/>
        <w:rPr>
          <w:rFonts w:ascii="Times New Roman" w:hAnsi="Times New Roman" w:cs="Times New Roman"/>
          <w:b/>
          <w:bCs/>
          <w:sz w:val="24"/>
          <w:szCs w:val="24"/>
        </w:rPr>
      </w:pPr>
    </w:p>
    <w:p w14:paraId="6DD518A5" w14:textId="77777777" w:rsidR="00DA0658" w:rsidRPr="009C58C4" w:rsidRDefault="00DA0658" w:rsidP="006A5714">
      <w:pPr>
        <w:tabs>
          <w:tab w:val="left" w:pos="2004"/>
        </w:tabs>
        <w:spacing w:after="0" w:line="360" w:lineRule="auto"/>
        <w:ind w:firstLine="720"/>
        <w:jc w:val="center"/>
        <w:rPr>
          <w:rFonts w:ascii="Times New Roman" w:hAnsi="Times New Roman" w:cs="Times New Roman"/>
          <w:b/>
          <w:bCs/>
          <w:sz w:val="24"/>
          <w:szCs w:val="24"/>
        </w:rPr>
      </w:pPr>
    </w:p>
    <w:p w14:paraId="08148B12" w14:textId="77777777" w:rsidR="00DA0658" w:rsidRPr="009C58C4" w:rsidRDefault="00DA0658" w:rsidP="006A5714">
      <w:pPr>
        <w:tabs>
          <w:tab w:val="left" w:pos="2004"/>
        </w:tabs>
        <w:spacing w:after="0" w:line="360" w:lineRule="auto"/>
        <w:ind w:firstLine="720"/>
        <w:jc w:val="center"/>
        <w:rPr>
          <w:rFonts w:ascii="Times New Roman" w:hAnsi="Times New Roman" w:cs="Times New Roman"/>
          <w:b/>
          <w:bCs/>
          <w:sz w:val="24"/>
          <w:szCs w:val="24"/>
        </w:rPr>
      </w:pPr>
    </w:p>
    <w:p w14:paraId="72CB6221" w14:textId="77777777" w:rsidR="00DA0658" w:rsidRPr="009C58C4" w:rsidRDefault="00DA0658" w:rsidP="006A5714">
      <w:pPr>
        <w:tabs>
          <w:tab w:val="left" w:pos="2004"/>
        </w:tabs>
        <w:spacing w:after="0" w:line="360" w:lineRule="auto"/>
        <w:ind w:firstLine="720"/>
        <w:jc w:val="center"/>
        <w:rPr>
          <w:rFonts w:ascii="Times New Roman" w:hAnsi="Times New Roman" w:cs="Times New Roman"/>
          <w:b/>
          <w:bCs/>
          <w:sz w:val="24"/>
          <w:szCs w:val="24"/>
        </w:rPr>
      </w:pPr>
    </w:p>
    <w:p w14:paraId="68C9FD45" w14:textId="1727F414" w:rsidR="00FE6815" w:rsidRPr="009C58C4" w:rsidRDefault="004A738E" w:rsidP="006A5714">
      <w:pPr>
        <w:tabs>
          <w:tab w:val="left" w:pos="2004"/>
        </w:tabs>
        <w:spacing w:after="0" w:line="360" w:lineRule="auto"/>
        <w:ind w:firstLine="720"/>
        <w:jc w:val="center"/>
        <w:rPr>
          <w:rFonts w:ascii="Times New Roman" w:hAnsi="Times New Roman" w:cs="Times New Roman"/>
          <w:b/>
          <w:bCs/>
          <w:sz w:val="24"/>
          <w:szCs w:val="24"/>
        </w:rPr>
      </w:pPr>
      <w:r w:rsidRPr="009C58C4">
        <w:rPr>
          <w:rFonts w:ascii="Times New Roman" w:hAnsi="Times New Roman" w:cs="Times New Roman"/>
          <w:b/>
          <w:bCs/>
          <w:sz w:val="24"/>
          <w:szCs w:val="24"/>
        </w:rPr>
        <w:lastRenderedPageBreak/>
        <w:t>Apple inc.</w:t>
      </w:r>
    </w:p>
    <w:tbl>
      <w:tblPr>
        <w:tblpPr w:leftFromText="180" w:rightFromText="180" w:vertAnchor="page" w:horzAnchor="margin" w:tblpY="1969"/>
        <w:tblOverlap w:val="neve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43"/>
        <w:gridCol w:w="2841"/>
        <w:gridCol w:w="2338"/>
        <w:gridCol w:w="2728"/>
      </w:tblGrid>
      <w:tr w:rsidR="00DA0658" w:rsidRPr="009C58C4" w14:paraId="7799A361" w14:textId="77777777" w:rsidTr="00DA0658">
        <w:trPr>
          <w:trHeight w:val="591"/>
        </w:trPr>
        <w:tc>
          <w:tcPr>
            <w:tcW w:w="772" w:type="pct"/>
            <w:shd w:val="clear" w:color="auto" w:fill="auto"/>
            <w:vAlign w:val="center"/>
            <w:hideMark/>
          </w:tcPr>
          <w:p w14:paraId="51D2C2A5" w14:textId="77777777" w:rsidR="00DA0658" w:rsidRPr="009C58C4" w:rsidRDefault="00DA0658"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Year</w:t>
            </w:r>
          </w:p>
        </w:tc>
        <w:tc>
          <w:tcPr>
            <w:tcW w:w="1519" w:type="pct"/>
            <w:shd w:val="clear" w:color="auto" w:fill="auto"/>
            <w:vAlign w:val="center"/>
            <w:hideMark/>
          </w:tcPr>
          <w:p w14:paraId="1D821AAC" w14:textId="77777777" w:rsidR="00DA0658" w:rsidRPr="009C58C4" w:rsidRDefault="00DA0658"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Net sale ($m)</w:t>
            </w:r>
          </w:p>
        </w:tc>
        <w:tc>
          <w:tcPr>
            <w:tcW w:w="1250" w:type="pct"/>
            <w:shd w:val="clear" w:color="auto" w:fill="auto"/>
            <w:vAlign w:val="center"/>
            <w:hideMark/>
          </w:tcPr>
          <w:p w14:paraId="2345ED16" w14:textId="77777777" w:rsidR="00DA0658" w:rsidRPr="009C58C4" w:rsidRDefault="00DA0658"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Net income ($m)</w:t>
            </w:r>
          </w:p>
        </w:tc>
        <w:tc>
          <w:tcPr>
            <w:tcW w:w="1459" w:type="pct"/>
            <w:shd w:val="clear" w:color="auto" w:fill="auto"/>
            <w:vAlign w:val="center"/>
            <w:hideMark/>
          </w:tcPr>
          <w:p w14:paraId="4CA52C19" w14:textId="77777777" w:rsidR="00DA0658" w:rsidRPr="009C58C4" w:rsidRDefault="00DA0658"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Net Profit Margin (%)</w:t>
            </w:r>
          </w:p>
        </w:tc>
      </w:tr>
      <w:tr w:rsidR="00DA0658" w:rsidRPr="009C58C4" w14:paraId="1CBAA474" w14:textId="77777777" w:rsidTr="00DA0658">
        <w:trPr>
          <w:trHeight w:val="147"/>
        </w:trPr>
        <w:tc>
          <w:tcPr>
            <w:tcW w:w="772" w:type="pct"/>
            <w:shd w:val="clear" w:color="auto" w:fill="auto"/>
            <w:vAlign w:val="center"/>
            <w:hideMark/>
          </w:tcPr>
          <w:p w14:paraId="5C1DBA72"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2019</w:t>
            </w:r>
          </w:p>
        </w:tc>
        <w:tc>
          <w:tcPr>
            <w:tcW w:w="1519" w:type="pct"/>
            <w:shd w:val="clear" w:color="auto" w:fill="auto"/>
            <w:vAlign w:val="center"/>
            <w:hideMark/>
          </w:tcPr>
          <w:p w14:paraId="7B868B24"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55,256</w:t>
            </w:r>
          </w:p>
        </w:tc>
        <w:tc>
          <w:tcPr>
            <w:tcW w:w="1250" w:type="pct"/>
            <w:shd w:val="clear" w:color="auto" w:fill="auto"/>
            <w:vAlign w:val="center"/>
            <w:hideMark/>
          </w:tcPr>
          <w:p w14:paraId="7394DB36"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260,174</w:t>
            </w:r>
          </w:p>
        </w:tc>
        <w:tc>
          <w:tcPr>
            <w:tcW w:w="1459" w:type="pct"/>
            <w:shd w:val="clear" w:color="auto" w:fill="auto"/>
            <w:vAlign w:val="center"/>
            <w:hideMark/>
          </w:tcPr>
          <w:p w14:paraId="30AA9FA1"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21.23%</w:t>
            </w:r>
          </w:p>
        </w:tc>
      </w:tr>
      <w:tr w:rsidR="00DA0658" w:rsidRPr="009C58C4" w14:paraId="37C026E8" w14:textId="77777777" w:rsidTr="00DA0658">
        <w:trPr>
          <w:trHeight w:val="147"/>
        </w:trPr>
        <w:tc>
          <w:tcPr>
            <w:tcW w:w="772" w:type="pct"/>
            <w:shd w:val="clear" w:color="auto" w:fill="auto"/>
            <w:vAlign w:val="center"/>
            <w:hideMark/>
          </w:tcPr>
          <w:p w14:paraId="3F43BC20"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2020</w:t>
            </w:r>
          </w:p>
        </w:tc>
        <w:tc>
          <w:tcPr>
            <w:tcW w:w="1519" w:type="pct"/>
            <w:shd w:val="clear" w:color="auto" w:fill="auto"/>
            <w:vAlign w:val="center"/>
            <w:hideMark/>
          </w:tcPr>
          <w:p w14:paraId="2494E421"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57,411</w:t>
            </w:r>
          </w:p>
        </w:tc>
        <w:tc>
          <w:tcPr>
            <w:tcW w:w="1250" w:type="pct"/>
            <w:shd w:val="clear" w:color="auto" w:fill="auto"/>
            <w:vAlign w:val="center"/>
            <w:hideMark/>
          </w:tcPr>
          <w:p w14:paraId="7F008AEB"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274,515</w:t>
            </w:r>
          </w:p>
        </w:tc>
        <w:tc>
          <w:tcPr>
            <w:tcW w:w="1459" w:type="pct"/>
            <w:shd w:val="clear" w:color="auto" w:fill="auto"/>
            <w:vAlign w:val="center"/>
            <w:hideMark/>
          </w:tcPr>
          <w:p w14:paraId="52DE5DC5"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20.91%</w:t>
            </w:r>
          </w:p>
        </w:tc>
      </w:tr>
      <w:tr w:rsidR="00DA0658" w:rsidRPr="009C58C4" w14:paraId="4EA0833B" w14:textId="77777777" w:rsidTr="00DA0658">
        <w:trPr>
          <w:trHeight w:val="147"/>
        </w:trPr>
        <w:tc>
          <w:tcPr>
            <w:tcW w:w="772" w:type="pct"/>
            <w:shd w:val="clear" w:color="auto" w:fill="auto"/>
            <w:vAlign w:val="center"/>
            <w:hideMark/>
          </w:tcPr>
          <w:p w14:paraId="61A1720A"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2021</w:t>
            </w:r>
          </w:p>
        </w:tc>
        <w:tc>
          <w:tcPr>
            <w:tcW w:w="1519" w:type="pct"/>
            <w:shd w:val="clear" w:color="auto" w:fill="auto"/>
            <w:vAlign w:val="center"/>
            <w:hideMark/>
          </w:tcPr>
          <w:p w14:paraId="09A0C8B8"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94,680</w:t>
            </w:r>
          </w:p>
        </w:tc>
        <w:tc>
          <w:tcPr>
            <w:tcW w:w="1250" w:type="pct"/>
            <w:shd w:val="clear" w:color="auto" w:fill="auto"/>
            <w:vAlign w:val="center"/>
            <w:hideMark/>
          </w:tcPr>
          <w:p w14:paraId="78410193"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365,817</w:t>
            </w:r>
          </w:p>
        </w:tc>
        <w:tc>
          <w:tcPr>
            <w:tcW w:w="1459" w:type="pct"/>
            <w:shd w:val="clear" w:color="auto" w:fill="auto"/>
            <w:vAlign w:val="center"/>
            <w:hideMark/>
          </w:tcPr>
          <w:p w14:paraId="70E65039"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25.88%</w:t>
            </w:r>
          </w:p>
        </w:tc>
      </w:tr>
      <w:tr w:rsidR="00DA0658" w:rsidRPr="009C58C4" w14:paraId="121F8F6E" w14:textId="77777777" w:rsidTr="00DA0658">
        <w:trPr>
          <w:trHeight w:val="147"/>
        </w:trPr>
        <w:tc>
          <w:tcPr>
            <w:tcW w:w="772" w:type="pct"/>
            <w:shd w:val="clear" w:color="auto" w:fill="auto"/>
            <w:vAlign w:val="center"/>
            <w:hideMark/>
          </w:tcPr>
          <w:p w14:paraId="7ED75741"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2022</w:t>
            </w:r>
          </w:p>
        </w:tc>
        <w:tc>
          <w:tcPr>
            <w:tcW w:w="1519" w:type="pct"/>
            <w:shd w:val="clear" w:color="auto" w:fill="auto"/>
            <w:vAlign w:val="center"/>
            <w:hideMark/>
          </w:tcPr>
          <w:p w14:paraId="263B5D3D"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99,803</w:t>
            </w:r>
          </w:p>
        </w:tc>
        <w:tc>
          <w:tcPr>
            <w:tcW w:w="1250" w:type="pct"/>
            <w:shd w:val="clear" w:color="auto" w:fill="auto"/>
            <w:vAlign w:val="center"/>
            <w:hideMark/>
          </w:tcPr>
          <w:p w14:paraId="4E74B41E"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394,328</w:t>
            </w:r>
          </w:p>
        </w:tc>
        <w:tc>
          <w:tcPr>
            <w:tcW w:w="1459" w:type="pct"/>
            <w:shd w:val="clear" w:color="auto" w:fill="auto"/>
            <w:vAlign w:val="center"/>
            <w:hideMark/>
          </w:tcPr>
          <w:p w14:paraId="6E2EBD42"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25.31%</w:t>
            </w:r>
          </w:p>
        </w:tc>
      </w:tr>
      <w:tr w:rsidR="00DA0658" w:rsidRPr="009C58C4" w14:paraId="76201F26" w14:textId="77777777" w:rsidTr="00DA0658">
        <w:trPr>
          <w:trHeight w:val="147"/>
        </w:trPr>
        <w:tc>
          <w:tcPr>
            <w:tcW w:w="772" w:type="pct"/>
            <w:shd w:val="clear" w:color="auto" w:fill="auto"/>
            <w:vAlign w:val="center"/>
            <w:hideMark/>
          </w:tcPr>
          <w:p w14:paraId="5FCE2B94"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2023</w:t>
            </w:r>
          </w:p>
        </w:tc>
        <w:tc>
          <w:tcPr>
            <w:tcW w:w="1519" w:type="pct"/>
            <w:shd w:val="clear" w:color="auto" w:fill="auto"/>
            <w:vAlign w:val="center"/>
            <w:hideMark/>
          </w:tcPr>
          <w:p w14:paraId="036AA496"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96,995</w:t>
            </w:r>
          </w:p>
        </w:tc>
        <w:tc>
          <w:tcPr>
            <w:tcW w:w="1250" w:type="pct"/>
            <w:shd w:val="clear" w:color="auto" w:fill="auto"/>
            <w:vAlign w:val="center"/>
            <w:hideMark/>
          </w:tcPr>
          <w:p w14:paraId="2D38BD79"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383,285</w:t>
            </w:r>
          </w:p>
        </w:tc>
        <w:tc>
          <w:tcPr>
            <w:tcW w:w="1459" w:type="pct"/>
            <w:shd w:val="clear" w:color="auto" w:fill="auto"/>
            <w:vAlign w:val="center"/>
            <w:hideMark/>
          </w:tcPr>
          <w:p w14:paraId="74C9A086"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25.31%</w:t>
            </w:r>
          </w:p>
        </w:tc>
      </w:tr>
    </w:tbl>
    <w:p w14:paraId="28062479" w14:textId="77777777" w:rsidR="00FE6815" w:rsidRPr="009C58C4" w:rsidRDefault="00FE6815" w:rsidP="006A5714">
      <w:pPr>
        <w:spacing w:after="0" w:line="360" w:lineRule="auto"/>
        <w:ind w:firstLine="720"/>
        <w:rPr>
          <w:rFonts w:ascii="Times New Roman" w:hAnsi="Times New Roman" w:cs="Times New Roman"/>
          <w:b/>
          <w:bCs/>
          <w:sz w:val="24"/>
          <w:szCs w:val="24"/>
        </w:rPr>
      </w:pPr>
    </w:p>
    <w:p w14:paraId="0EB1F8B9" w14:textId="06E07BD4" w:rsidR="00FE6815" w:rsidRPr="009C58C4" w:rsidRDefault="00FE6815" w:rsidP="006A5714">
      <w:pPr>
        <w:tabs>
          <w:tab w:val="left" w:pos="6254"/>
        </w:tabs>
        <w:spacing w:after="0" w:line="360" w:lineRule="auto"/>
        <w:ind w:firstLine="720"/>
        <w:jc w:val="center"/>
        <w:rPr>
          <w:rFonts w:ascii="Times New Roman" w:hAnsi="Times New Roman" w:cs="Times New Roman"/>
          <w:b/>
          <w:bCs/>
          <w:sz w:val="24"/>
          <w:szCs w:val="24"/>
        </w:rPr>
      </w:pPr>
      <w:r w:rsidRPr="009C58C4">
        <w:rPr>
          <w:rFonts w:ascii="Times New Roman" w:hAnsi="Times New Roman" w:cs="Times New Roman"/>
          <w:b/>
          <w:bCs/>
          <w:sz w:val="24"/>
          <w:szCs w:val="24"/>
        </w:rPr>
        <w:t>Samsung inc.</w:t>
      </w:r>
    </w:p>
    <w:tbl>
      <w:tblPr>
        <w:tblpPr w:leftFromText="180" w:rightFromText="180" w:vertAnchor="text" w:horzAnchor="margin" w:tblpXSpec="right" w:tblpY="29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99"/>
        <w:gridCol w:w="3877"/>
        <w:gridCol w:w="2674"/>
      </w:tblGrid>
      <w:tr w:rsidR="00BB6C86" w:rsidRPr="009C58C4" w14:paraId="2BC8AD18" w14:textId="77777777" w:rsidTr="00BB6C86">
        <w:trPr>
          <w:trHeight w:val="337"/>
        </w:trPr>
        <w:tc>
          <w:tcPr>
            <w:tcW w:w="1497" w:type="pct"/>
            <w:shd w:val="clear" w:color="auto" w:fill="auto"/>
            <w:vAlign w:val="center"/>
            <w:hideMark/>
          </w:tcPr>
          <w:p w14:paraId="76B3539D" w14:textId="77777777" w:rsidR="00BB6C86" w:rsidRPr="009C58C4" w:rsidRDefault="00BB6C86"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Metric</w:t>
            </w:r>
          </w:p>
        </w:tc>
        <w:tc>
          <w:tcPr>
            <w:tcW w:w="2073" w:type="pct"/>
            <w:shd w:val="clear" w:color="auto" w:fill="auto"/>
            <w:vAlign w:val="center"/>
            <w:hideMark/>
          </w:tcPr>
          <w:p w14:paraId="589BA937" w14:textId="77777777" w:rsidR="00BB6C86" w:rsidRPr="009C58C4" w:rsidRDefault="00BB6C86"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Amount (USD)</w:t>
            </w:r>
          </w:p>
        </w:tc>
        <w:tc>
          <w:tcPr>
            <w:tcW w:w="1430" w:type="pct"/>
            <w:shd w:val="clear" w:color="auto" w:fill="auto"/>
            <w:vAlign w:val="center"/>
            <w:hideMark/>
          </w:tcPr>
          <w:p w14:paraId="66B7947F" w14:textId="77777777" w:rsidR="00BB6C86" w:rsidRPr="009C58C4" w:rsidRDefault="00BB6C86"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Net Profit Ratio (%)</w:t>
            </w:r>
          </w:p>
        </w:tc>
      </w:tr>
      <w:tr w:rsidR="00BB6C86" w:rsidRPr="009C58C4" w14:paraId="3BDB51EE" w14:textId="77777777" w:rsidTr="00BB6C86">
        <w:trPr>
          <w:trHeight w:val="224"/>
        </w:trPr>
        <w:tc>
          <w:tcPr>
            <w:tcW w:w="1497" w:type="pct"/>
            <w:shd w:val="clear" w:color="auto" w:fill="auto"/>
            <w:vAlign w:val="center"/>
            <w:hideMark/>
          </w:tcPr>
          <w:p w14:paraId="4CA54D35" w14:textId="77777777" w:rsidR="00BB6C86" w:rsidRPr="009C58C4" w:rsidRDefault="00BB6C86" w:rsidP="006A5714">
            <w:pPr>
              <w:spacing w:after="0" w:line="360" w:lineRule="auto"/>
              <w:ind w:firstLine="720"/>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Net Profit</w:t>
            </w:r>
          </w:p>
        </w:tc>
        <w:tc>
          <w:tcPr>
            <w:tcW w:w="2073" w:type="pct"/>
            <w:shd w:val="clear" w:color="auto" w:fill="auto"/>
            <w:vAlign w:val="center"/>
            <w:hideMark/>
          </w:tcPr>
          <w:p w14:paraId="7C8FBBC6" w14:textId="77777777" w:rsidR="00BB6C86" w:rsidRPr="009C58C4" w:rsidRDefault="00BB6C86"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 xml:space="preserve">$11,857,333 </w:t>
            </w:r>
          </w:p>
        </w:tc>
        <w:tc>
          <w:tcPr>
            <w:tcW w:w="1430" w:type="pct"/>
            <w:shd w:val="clear" w:color="auto" w:fill="auto"/>
            <w:vAlign w:val="center"/>
            <w:hideMark/>
          </w:tcPr>
          <w:p w14:paraId="31238CBF" w14:textId="77777777" w:rsidR="00BB6C86" w:rsidRPr="009C58C4" w:rsidRDefault="00BB6C86"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5.98%</w:t>
            </w:r>
          </w:p>
        </w:tc>
      </w:tr>
      <w:tr w:rsidR="00BB6C86" w:rsidRPr="009C58C4" w14:paraId="4E4A34D0" w14:textId="77777777" w:rsidTr="00BB6C86">
        <w:trPr>
          <w:trHeight w:val="337"/>
        </w:trPr>
        <w:tc>
          <w:tcPr>
            <w:tcW w:w="1497" w:type="pct"/>
            <w:shd w:val="clear" w:color="auto" w:fill="auto"/>
            <w:vAlign w:val="center"/>
            <w:hideMark/>
          </w:tcPr>
          <w:p w14:paraId="67E2E96E" w14:textId="77777777" w:rsidR="00BB6C86" w:rsidRPr="009C58C4" w:rsidRDefault="00BB6C86" w:rsidP="006A5714">
            <w:pPr>
              <w:spacing w:after="0" w:line="360" w:lineRule="auto"/>
              <w:ind w:firstLine="720"/>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(Net Sales)</w:t>
            </w:r>
          </w:p>
        </w:tc>
        <w:tc>
          <w:tcPr>
            <w:tcW w:w="2073" w:type="pct"/>
            <w:shd w:val="clear" w:color="auto" w:fill="auto"/>
            <w:vAlign w:val="center"/>
            <w:hideMark/>
          </w:tcPr>
          <w:p w14:paraId="0722163A" w14:textId="77777777" w:rsidR="00BB6C86" w:rsidRPr="009C58C4" w:rsidRDefault="00BB6C86"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 xml:space="preserve">$198,247,859 </w:t>
            </w:r>
          </w:p>
        </w:tc>
        <w:tc>
          <w:tcPr>
            <w:tcW w:w="1430" w:type="pct"/>
            <w:shd w:val="clear" w:color="auto" w:fill="auto"/>
            <w:noWrap/>
            <w:vAlign w:val="bottom"/>
            <w:hideMark/>
          </w:tcPr>
          <w:p w14:paraId="41BB6CD0" w14:textId="77777777" w:rsidR="00BB6C86" w:rsidRPr="009C58C4" w:rsidRDefault="00BB6C86"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p>
        </w:tc>
      </w:tr>
    </w:tbl>
    <w:p w14:paraId="72890FA3" w14:textId="77777777" w:rsidR="00FE6815" w:rsidRPr="009C58C4" w:rsidRDefault="00FE6815" w:rsidP="006A5714">
      <w:pPr>
        <w:spacing w:after="0" w:line="360" w:lineRule="auto"/>
        <w:ind w:firstLine="720"/>
        <w:rPr>
          <w:rFonts w:ascii="Times New Roman" w:hAnsi="Times New Roman" w:cs="Times New Roman"/>
          <w:b/>
          <w:bCs/>
          <w:sz w:val="24"/>
          <w:szCs w:val="24"/>
        </w:rPr>
      </w:pPr>
    </w:p>
    <w:p w14:paraId="0F29D435" w14:textId="77777777" w:rsidR="00FE6815" w:rsidRPr="009C58C4" w:rsidRDefault="00FE6815" w:rsidP="006A5714">
      <w:pPr>
        <w:spacing w:after="0" w:line="360" w:lineRule="auto"/>
        <w:ind w:firstLine="720"/>
        <w:rPr>
          <w:rFonts w:ascii="Times New Roman" w:hAnsi="Times New Roman" w:cs="Times New Roman"/>
          <w:sz w:val="24"/>
          <w:szCs w:val="24"/>
        </w:rPr>
      </w:pPr>
    </w:p>
    <w:p w14:paraId="67DF7E65" w14:textId="7D7E6A53" w:rsidR="007B60B6" w:rsidRPr="009C58C4" w:rsidRDefault="007B60B6" w:rsidP="006A5714">
      <w:pPr>
        <w:tabs>
          <w:tab w:val="left" w:pos="1063"/>
        </w:tabs>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In 2023, Apple's net profit margin stood at 25.31%, a reflection of its strong profitability and operational efficiency. This figure represents a significant percentage of its revenue being retained as profit after all expenses are accounted for. In contrast, Samsung Electronics recorded a net profit margin of 5.98% for the same fiscal year. This stark difference highlights Apple’s superior efficiency in converting its sales into actual profit. Apple’s high net profit margin can be attributed to several factors. The company’s premium pricing strategy, strong brand loyalty, and operational efficiency contribute to its ability to maintain high margins. Apple's focus on high-margin products, such as the iPhone and other consumer electronics, enables it to command higher prices and achieve substantial profit from its sales. Additionally, Apple’s streamlined supply chain and effective cost management further bolster its profitability.</w:t>
      </w:r>
    </w:p>
    <w:p w14:paraId="3032FF0A" w14:textId="75C1F2CD" w:rsidR="007B60B6" w:rsidRPr="009C58C4" w:rsidRDefault="007B60B6" w:rsidP="006A5714">
      <w:pPr>
        <w:tabs>
          <w:tab w:val="left" w:pos="1063"/>
        </w:tabs>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Samsung, while also profitable, operates with a significantly lower net profit margin. The company’s broader product range, which includes more budget-friendly and mid-range devices in addition to its high-end offerings, results in a more competitive pricing strategy. This strategy, while increasing market share, often results in lower margins. Furthermore, Samsung's </w:t>
      </w:r>
      <w:r w:rsidRPr="009C58C4">
        <w:rPr>
          <w:rFonts w:ascii="Times New Roman" w:hAnsi="Times New Roman" w:cs="Times New Roman"/>
          <w:sz w:val="24"/>
          <w:szCs w:val="24"/>
        </w:rPr>
        <w:lastRenderedPageBreak/>
        <w:t>diversified business operations, spanning various sectors beyond consumer electronics, might dilute its profit margins in its electronics segment.</w:t>
      </w:r>
    </w:p>
    <w:p w14:paraId="2F6EF2BC" w14:textId="77777777" w:rsidR="007B60B6" w:rsidRPr="009C58C4" w:rsidRDefault="007B60B6" w:rsidP="006A5714">
      <w:pPr>
        <w:tabs>
          <w:tab w:val="left" w:pos="1063"/>
        </w:tabs>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The disparity in net profit margins between Apple and Samsung underscores the different strategic approaches and market positions of the two companies. Apple’s ability to maintain a high margin indicates a successful execution of its premium product strategy and operational excellence. On the other hand, Samsung’s lower margin suggests a more competitive pricing strategy and a diversified business model, which may impact profitability in the electronics segment.</w:t>
      </w:r>
    </w:p>
    <w:p w14:paraId="2032A357" w14:textId="0F90F79B" w:rsidR="00A02693" w:rsidRPr="009C58C4" w:rsidRDefault="00A02693" w:rsidP="006A5714">
      <w:pPr>
        <w:tabs>
          <w:tab w:val="left" w:pos="1063"/>
        </w:tabs>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w:t>
      </w:r>
    </w:p>
    <w:p w14:paraId="51B0F74D" w14:textId="29DE572A" w:rsidR="00A02693" w:rsidRPr="009C58C4" w:rsidRDefault="006C7088" w:rsidP="006A5714">
      <w:pPr>
        <w:pStyle w:val="ListParagraph"/>
        <w:numPr>
          <w:ilvl w:val="0"/>
          <w:numId w:val="2"/>
        </w:numPr>
        <w:tabs>
          <w:tab w:val="left" w:pos="1063"/>
        </w:tabs>
        <w:spacing w:after="0" w:line="360" w:lineRule="auto"/>
        <w:rPr>
          <w:rFonts w:ascii="Times New Roman" w:hAnsi="Times New Roman" w:cs="Times New Roman"/>
          <w:b/>
          <w:bCs/>
          <w:sz w:val="24"/>
          <w:szCs w:val="24"/>
        </w:rPr>
      </w:pPr>
      <w:r w:rsidRPr="009C58C4">
        <w:rPr>
          <w:rFonts w:ascii="Times New Roman" w:hAnsi="Times New Roman" w:cs="Times New Roman"/>
          <w:b/>
          <w:bCs/>
          <w:sz w:val="24"/>
          <w:szCs w:val="24"/>
        </w:rPr>
        <w:t>Current Ratio=Current Liabilities</w:t>
      </w:r>
      <w:r w:rsidR="00710A42" w:rsidRPr="009C58C4">
        <w:rPr>
          <w:rFonts w:ascii="Times New Roman" w:hAnsi="Times New Roman" w:cs="Times New Roman"/>
          <w:b/>
          <w:bCs/>
          <w:sz w:val="24"/>
          <w:szCs w:val="24"/>
        </w:rPr>
        <w:t>/</w:t>
      </w:r>
      <w:r w:rsidRPr="009C58C4">
        <w:rPr>
          <w:rFonts w:ascii="Times New Roman" w:hAnsi="Times New Roman" w:cs="Times New Roman"/>
          <w:b/>
          <w:bCs/>
          <w:sz w:val="24"/>
          <w:szCs w:val="24"/>
        </w:rPr>
        <w:t>Current Assets​</w:t>
      </w:r>
    </w:p>
    <w:p w14:paraId="0D0C35BE" w14:textId="77777777" w:rsidR="00A02693" w:rsidRPr="009C58C4" w:rsidRDefault="00A02693" w:rsidP="006A5714">
      <w:pPr>
        <w:tabs>
          <w:tab w:val="left" w:pos="1063"/>
        </w:tabs>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A current ratio, only if bigger than 1 means that the company has more current assets than current liabilities which, again, means it has good current liquidity. On the other hand, a current ratio below 1 can be a pointer to some liquidity constraints because the firm may not be in a position to pay off its current liabilities with the current assets. </w:t>
      </w:r>
    </w:p>
    <w:p w14:paraId="7FD24356" w14:textId="1070BBE4" w:rsidR="00FB3164" w:rsidRPr="009C58C4" w:rsidRDefault="00BB6C86" w:rsidP="006A5714">
      <w:pPr>
        <w:tabs>
          <w:tab w:val="left" w:pos="1063"/>
        </w:tabs>
        <w:spacing w:after="0" w:line="360" w:lineRule="auto"/>
        <w:ind w:firstLine="720"/>
        <w:jc w:val="center"/>
        <w:rPr>
          <w:rFonts w:ascii="Times New Roman" w:hAnsi="Times New Roman" w:cs="Times New Roman"/>
          <w:b/>
          <w:bCs/>
          <w:sz w:val="24"/>
          <w:szCs w:val="24"/>
        </w:rPr>
      </w:pPr>
      <w:r w:rsidRPr="009C58C4">
        <w:rPr>
          <w:rFonts w:ascii="Times New Roman" w:hAnsi="Times New Roman" w:cs="Times New Roman"/>
          <w:b/>
          <w:bCs/>
          <w:sz w:val="24"/>
          <w:szCs w:val="24"/>
        </w:rPr>
        <w:t>Apple Inc.</w:t>
      </w:r>
    </w:p>
    <w:p w14:paraId="5FD63862" w14:textId="77777777" w:rsidR="00FB3164" w:rsidRPr="009C58C4" w:rsidRDefault="00FB3164" w:rsidP="006A5714">
      <w:pPr>
        <w:spacing w:after="0" w:line="360" w:lineRule="auto"/>
        <w:ind w:firstLine="720"/>
        <w:rPr>
          <w:rFonts w:ascii="Times New Roman" w:hAnsi="Times New Roman" w:cs="Times New Roman"/>
          <w:sz w:val="24"/>
          <w:szCs w:val="24"/>
        </w:rPr>
      </w:pPr>
    </w:p>
    <w:tbl>
      <w:tblPr>
        <w:tblpPr w:leftFromText="180" w:rightFromText="180" w:vertAnchor="page" w:horzAnchor="margin" w:tblpY="8065"/>
        <w:tblW w:w="5000" w:type="pct"/>
        <w:tblLook w:val="04A0" w:firstRow="1" w:lastRow="0" w:firstColumn="1" w:lastColumn="0" w:noHBand="0" w:noVBand="1"/>
      </w:tblPr>
      <w:tblGrid>
        <w:gridCol w:w="1991"/>
        <w:gridCol w:w="2451"/>
        <w:gridCol w:w="2449"/>
        <w:gridCol w:w="2449"/>
      </w:tblGrid>
      <w:tr w:rsidR="00DA0658" w:rsidRPr="009C58C4" w14:paraId="34826D76" w14:textId="77777777" w:rsidTr="00DA0658">
        <w:trPr>
          <w:trHeight w:val="876"/>
        </w:trPr>
        <w:tc>
          <w:tcPr>
            <w:tcW w:w="1066"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09F1C5A3" w14:textId="77777777" w:rsidR="00DA0658" w:rsidRPr="009C58C4" w:rsidRDefault="00DA0658"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Year</w:t>
            </w:r>
          </w:p>
        </w:tc>
        <w:tc>
          <w:tcPr>
            <w:tcW w:w="1312" w:type="pct"/>
            <w:tcBorders>
              <w:top w:val="single" w:sz="8" w:space="0" w:color="auto"/>
              <w:left w:val="nil"/>
              <w:bottom w:val="single" w:sz="8" w:space="0" w:color="auto"/>
              <w:right w:val="single" w:sz="8" w:space="0" w:color="auto"/>
            </w:tcBorders>
            <w:shd w:val="clear" w:color="auto" w:fill="auto"/>
            <w:vAlign w:val="center"/>
            <w:hideMark/>
          </w:tcPr>
          <w:p w14:paraId="1B37AC4C" w14:textId="20323A4E" w:rsidR="00DA0658" w:rsidRPr="009C58C4" w:rsidRDefault="00DA0658"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Current Assets ($m)</w:t>
            </w:r>
          </w:p>
        </w:tc>
        <w:tc>
          <w:tcPr>
            <w:tcW w:w="1311" w:type="pct"/>
            <w:tcBorders>
              <w:top w:val="single" w:sz="8" w:space="0" w:color="auto"/>
              <w:left w:val="nil"/>
              <w:bottom w:val="single" w:sz="8" w:space="0" w:color="auto"/>
              <w:right w:val="single" w:sz="8" w:space="0" w:color="auto"/>
            </w:tcBorders>
            <w:shd w:val="clear" w:color="auto" w:fill="auto"/>
            <w:vAlign w:val="center"/>
            <w:hideMark/>
          </w:tcPr>
          <w:p w14:paraId="41D9AE49" w14:textId="77777777" w:rsidR="00DA0658" w:rsidRPr="009C58C4" w:rsidRDefault="00DA0658"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Current Liabilities ($m)</w:t>
            </w:r>
          </w:p>
        </w:tc>
        <w:tc>
          <w:tcPr>
            <w:tcW w:w="1311" w:type="pct"/>
            <w:tcBorders>
              <w:top w:val="single" w:sz="8" w:space="0" w:color="auto"/>
              <w:left w:val="nil"/>
              <w:bottom w:val="single" w:sz="8" w:space="0" w:color="auto"/>
              <w:right w:val="single" w:sz="8" w:space="0" w:color="auto"/>
            </w:tcBorders>
            <w:shd w:val="clear" w:color="auto" w:fill="auto"/>
            <w:vAlign w:val="center"/>
            <w:hideMark/>
          </w:tcPr>
          <w:p w14:paraId="56FFF5B8" w14:textId="77777777" w:rsidR="00DA0658" w:rsidRPr="009C58C4" w:rsidRDefault="00DA0658"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Current Ratio</w:t>
            </w:r>
          </w:p>
        </w:tc>
      </w:tr>
      <w:tr w:rsidR="00DA0658" w:rsidRPr="009C58C4" w14:paraId="65673B4C" w14:textId="77777777" w:rsidTr="00DA0658">
        <w:trPr>
          <w:trHeight w:val="300"/>
        </w:trPr>
        <w:tc>
          <w:tcPr>
            <w:tcW w:w="1066" w:type="pct"/>
            <w:tcBorders>
              <w:top w:val="nil"/>
              <w:left w:val="single" w:sz="8" w:space="0" w:color="auto"/>
              <w:bottom w:val="single" w:sz="8" w:space="0" w:color="auto"/>
              <w:right w:val="single" w:sz="8" w:space="0" w:color="auto"/>
            </w:tcBorders>
            <w:shd w:val="clear" w:color="auto" w:fill="auto"/>
            <w:vAlign w:val="center"/>
            <w:hideMark/>
          </w:tcPr>
          <w:p w14:paraId="0AAE04A3"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2019</w:t>
            </w:r>
          </w:p>
        </w:tc>
        <w:tc>
          <w:tcPr>
            <w:tcW w:w="1312" w:type="pct"/>
            <w:tcBorders>
              <w:top w:val="nil"/>
              <w:left w:val="nil"/>
              <w:bottom w:val="single" w:sz="8" w:space="0" w:color="auto"/>
              <w:right w:val="single" w:sz="8" w:space="0" w:color="auto"/>
            </w:tcBorders>
            <w:shd w:val="clear" w:color="auto" w:fill="auto"/>
            <w:vAlign w:val="center"/>
            <w:hideMark/>
          </w:tcPr>
          <w:p w14:paraId="50F4A09A"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162,816</w:t>
            </w:r>
          </w:p>
        </w:tc>
        <w:tc>
          <w:tcPr>
            <w:tcW w:w="1311" w:type="pct"/>
            <w:tcBorders>
              <w:top w:val="nil"/>
              <w:left w:val="nil"/>
              <w:bottom w:val="single" w:sz="8" w:space="0" w:color="auto"/>
              <w:right w:val="single" w:sz="8" w:space="0" w:color="auto"/>
            </w:tcBorders>
            <w:shd w:val="clear" w:color="auto" w:fill="auto"/>
            <w:vAlign w:val="center"/>
            <w:hideMark/>
          </w:tcPr>
          <w:p w14:paraId="53C22769"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105,392</w:t>
            </w:r>
          </w:p>
        </w:tc>
        <w:tc>
          <w:tcPr>
            <w:tcW w:w="1311" w:type="pct"/>
            <w:tcBorders>
              <w:top w:val="nil"/>
              <w:left w:val="nil"/>
              <w:bottom w:val="single" w:sz="8" w:space="0" w:color="auto"/>
              <w:right w:val="single" w:sz="8" w:space="0" w:color="auto"/>
            </w:tcBorders>
            <w:shd w:val="clear" w:color="auto" w:fill="auto"/>
            <w:vAlign w:val="center"/>
            <w:hideMark/>
          </w:tcPr>
          <w:p w14:paraId="5A6EBD76"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0.64</w:t>
            </w:r>
          </w:p>
        </w:tc>
      </w:tr>
      <w:tr w:rsidR="00DA0658" w:rsidRPr="009C58C4" w14:paraId="778D5998" w14:textId="77777777" w:rsidTr="00DA0658">
        <w:trPr>
          <w:trHeight w:val="300"/>
        </w:trPr>
        <w:tc>
          <w:tcPr>
            <w:tcW w:w="1066" w:type="pct"/>
            <w:tcBorders>
              <w:top w:val="nil"/>
              <w:left w:val="single" w:sz="8" w:space="0" w:color="auto"/>
              <w:bottom w:val="single" w:sz="8" w:space="0" w:color="auto"/>
              <w:right w:val="single" w:sz="8" w:space="0" w:color="auto"/>
            </w:tcBorders>
            <w:shd w:val="clear" w:color="auto" w:fill="auto"/>
            <w:vAlign w:val="center"/>
            <w:hideMark/>
          </w:tcPr>
          <w:p w14:paraId="445AADDF"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2020</w:t>
            </w:r>
          </w:p>
        </w:tc>
        <w:tc>
          <w:tcPr>
            <w:tcW w:w="1312" w:type="pct"/>
            <w:tcBorders>
              <w:top w:val="nil"/>
              <w:left w:val="nil"/>
              <w:bottom w:val="single" w:sz="8" w:space="0" w:color="auto"/>
              <w:right w:val="single" w:sz="8" w:space="0" w:color="auto"/>
            </w:tcBorders>
            <w:shd w:val="clear" w:color="auto" w:fill="auto"/>
            <w:vAlign w:val="center"/>
            <w:hideMark/>
          </w:tcPr>
          <w:p w14:paraId="65CD26FD"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143,713</w:t>
            </w:r>
          </w:p>
        </w:tc>
        <w:tc>
          <w:tcPr>
            <w:tcW w:w="1311" w:type="pct"/>
            <w:tcBorders>
              <w:top w:val="nil"/>
              <w:left w:val="nil"/>
              <w:bottom w:val="single" w:sz="8" w:space="0" w:color="auto"/>
              <w:right w:val="single" w:sz="8" w:space="0" w:color="auto"/>
            </w:tcBorders>
            <w:shd w:val="clear" w:color="auto" w:fill="auto"/>
            <w:vAlign w:val="center"/>
            <w:hideMark/>
          </w:tcPr>
          <w:p w14:paraId="0A5DB618"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105,718</w:t>
            </w:r>
          </w:p>
        </w:tc>
        <w:tc>
          <w:tcPr>
            <w:tcW w:w="1311" w:type="pct"/>
            <w:tcBorders>
              <w:top w:val="nil"/>
              <w:left w:val="nil"/>
              <w:bottom w:val="single" w:sz="8" w:space="0" w:color="auto"/>
              <w:right w:val="single" w:sz="8" w:space="0" w:color="auto"/>
            </w:tcBorders>
            <w:shd w:val="clear" w:color="auto" w:fill="auto"/>
            <w:vAlign w:val="center"/>
            <w:hideMark/>
          </w:tcPr>
          <w:p w14:paraId="481F65B3"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0.74</w:t>
            </w:r>
          </w:p>
        </w:tc>
      </w:tr>
      <w:tr w:rsidR="00DA0658" w:rsidRPr="009C58C4" w14:paraId="6B964E10" w14:textId="77777777" w:rsidTr="00DA0658">
        <w:trPr>
          <w:trHeight w:val="300"/>
        </w:trPr>
        <w:tc>
          <w:tcPr>
            <w:tcW w:w="1066" w:type="pct"/>
            <w:tcBorders>
              <w:top w:val="nil"/>
              <w:left w:val="single" w:sz="8" w:space="0" w:color="auto"/>
              <w:bottom w:val="single" w:sz="8" w:space="0" w:color="auto"/>
              <w:right w:val="single" w:sz="8" w:space="0" w:color="auto"/>
            </w:tcBorders>
            <w:shd w:val="clear" w:color="auto" w:fill="auto"/>
            <w:vAlign w:val="center"/>
            <w:hideMark/>
          </w:tcPr>
          <w:p w14:paraId="04B306B2"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2021</w:t>
            </w:r>
          </w:p>
        </w:tc>
        <w:tc>
          <w:tcPr>
            <w:tcW w:w="1312" w:type="pct"/>
            <w:tcBorders>
              <w:top w:val="nil"/>
              <w:left w:val="nil"/>
              <w:bottom w:val="single" w:sz="8" w:space="0" w:color="auto"/>
              <w:right w:val="single" w:sz="8" w:space="0" w:color="auto"/>
            </w:tcBorders>
            <w:shd w:val="clear" w:color="auto" w:fill="auto"/>
            <w:vAlign w:val="center"/>
            <w:hideMark/>
          </w:tcPr>
          <w:p w14:paraId="6314927C"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167,570</w:t>
            </w:r>
          </w:p>
        </w:tc>
        <w:tc>
          <w:tcPr>
            <w:tcW w:w="1311" w:type="pct"/>
            <w:tcBorders>
              <w:top w:val="nil"/>
              <w:left w:val="nil"/>
              <w:bottom w:val="single" w:sz="8" w:space="0" w:color="auto"/>
              <w:right w:val="single" w:sz="8" w:space="0" w:color="auto"/>
            </w:tcBorders>
            <w:shd w:val="clear" w:color="auto" w:fill="auto"/>
            <w:vAlign w:val="center"/>
            <w:hideMark/>
          </w:tcPr>
          <w:p w14:paraId="27448540"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110,200</w:t>
            </w:r>
          </w:p>
        </w:tc>
        <w:tc>
          <w:tcPr>
            <w:tcW w:w="1311" w:type="pct"/>
            <w:tcBorders>
              <w:top w:val="nil"/>
              <w:left w:val="nil"/>
              <w:bottom w:val="single" w:sz="8" w:space="0" w:color="auto"/>
              <w:right w:val="single" w:sz="8" w:space="0" w:color="auto"/>
            </w:tcBorders>
            <w:shd w:val="clear" w:color="auto" w:fill="auto"/>
            <w:vAlign w:val="center"/>
            <w:hideMark/>
          </w:tcPr>
          <w:p w14:paraId="0AB8B8CD"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0.66</w:t>
            </w:r>
          </w:p>
        </w:tc>
      </w:tr>
      <w:tr w:rsidR="00DA0658" w:rsidRPr="009C58C4" w14:paraId="66EAD0C9" w14:textId="77777777" w:rsidTr="00DA0658">
        <w:trPr>
          <w:trHeight w:val="300"/>
        </w:trPr>
        <w:tc>
          <w:tcPr>
            <w:tcW w:w="1066" w:type="pct"/>
            <w:tcBorders>
              <w:top w:val="nil"/>
              <w:left w:val="single" w:sz="8" w:space="0" w:color="auto"/>
              <w:bottom w:val="single" w:sz="8" w:space="0" w:color="auto"/>
              <w:right w:val="single" w:sz="8" w:space="0" w:color="auto"/>
            </w:tcBorders>
            <w:shd w:val="clear" w:color="auto" w:fill="auto"/>
            <w:vAlign w:val="center"/>
            <w:hideMark/>
          </w:tcPr>
          <w:p w14:paraId="003DA17F"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2022</w:t>
            </w:r>
          </w:p>
        </w:tc>
        <w:tc>
          <w:tcPr>
            <w:tcW w:w="1312" w:type="pct"/>
            <w:tcBorders>
              <w:top w:val="nil"/>
              <w:left w:val="nil"/>
              <w:bottom w:val="single" w:sz="8" w:space="0" w:color="auto"/>
              <w:right w:val="single" w:sz="8" w:space="0" w:color="auto"/>
            </w:tcBorders>
            <w:shd w:val="clear" w:color="auto" w:fill="auto"/>
            <w:vAlign w:val="center"/>
            <w:hideMark/>
          </w:tcPr>
          <w:p w14:paraId="576924FB"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135,405</w:t>
            </w:r>
          </w:p>
        </w:tc>
        <w:tc>
          <w:tcPr>
            <w:tcW w:w="1311" w:type="pct"/>
            <w:tcBorders>
              <w:top w:val="nil"/>
              <w:left w:val="nil"/>
              <w:bottom w:val="single" w:sz="8" w:space="0" w:color="auto"/>
              <w:right w:val="single" w:sz="8" w:space="0" w:color="auto"/>
            </w:tcBorders>
            <w:shd w:val="clear" w:color="auto" w:fill="auto"/>
            <w:vAlign w:val="center"/>
            <w:hideMark/>
          </w:tcPr>
          <w:p w14:paraId="77BC9297"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124,484</w:t>
            </w:r>
          </w:p>
        </w:tc>
        <w:tc>
          <w:tcPr>
            <w:tcW w:w="1311" w:type="pct"/>
            <w:tcBorders>
              <w:top w:val="nil"/>
              <w:left w:val="nil"/>
              <w:bottom w:val="single" w:sz="8" w:space="0" w:color="auto"/>
              <w:right w:val="single" w:sz="8" w:space="0" w:color="auto"/>
            </w:tcBorders>
            <w:shd w:val="clear" w:color="auto" w:fill="auto"/>
            <w:vAlign w:val="center"/>
            <w:hideMark/>
          </w:tcPr>
          <w:p w14:paraId="1850982E"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0.91</w:t>
            </w:r>
          </w:p>
        </w:tc>
      </w:tr>
      <w:tr w:rsidR="00DA0658" w:rsidRPr="009C58C4" w14:paraId="097408B3" w14:textId="77777777" w:rsidTr="00DA0658">
        <w:trPr>
          <w:trHeight w:val="300"/>
        </w:trPr>
        <w:tc>
          <w:tcPr>
            <w:tcW w:w="1066" w:type="pct"/>
            <w:tcBorders>
              <w:top w:val="nil"/>
              <w:left w:val="single" w:sz="8" w:space="0" w:color="auto"/>
              <w:bottom w:val="single" w:sz="8" w:space="0" w:color="auto"/>
              <w:right w:val="single" w:sz="8" w:space="0" w:color="auto"/>
            </w:tcBorders>
            <w:shd w:val="clear" w:color="auto" w:fill="auto"/>
            <w:vAlign w:val="center"/>
            <w:hideMark/>
          </w:tcPr>
          <w:p w14:paraId="59589213"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2023</w:t>
            </w:r>
          </w:p>
        </w:tc>
        <w:tc>
          <w:tcPr>
            <w:tcW w:w="1312" w:type="pct"/>
            <w:tcBorders>
              <w:top w:val="nil"/>
              <w:left w:val="nil"/>
              <w:bottom w:val="single" w:sz="8" w:space="0" w:color="auto"/>
              <w:right w:val="single" w:sz="8" w:space="0" w:color="auto"/>
            </w:tcBorders>
            <w:shd w:val="clear" w:color="auto" w:fill="auto"/>
            <w:vAlign w:val="center"/>
            <w:hideMark/>
          </w:tcPr>
          <w:p w14:paraId="35E8C1B0"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143,566</w:t>
            </w:r>
          </w:p>
        </w:tc>
        <w:tc>
          <w:tcPr>
            <w:tcW w:w="1311" w:type="pct"/>
            <w:tcBorders>
              <w:top w:val="nil"/>
              <w:left w:val="nil"/>
              <w:bottom w:val="single" w:sz="8" w:space="0" w:color="auto"/>
              <w:right w:val="single" w:sz="8" w:space="0" w:color="auto"/>
            </w:tcBorders>
            <w:shd w:val="clear" w:color="auto" w:fill="auto"/>
            <w:vAlign w:val="center"/>
            <w:hideMark/>
          </w:tcPr>
          <w:p w14:paraId="3D5B4E29"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145,308</w:t>
            </w:r>
          </w:p>
        </w:tc>
        <w:tc>
          <w:tcPr>
            <w:tcW w:w="1311" w:type="pct"/>
            <w:tcBorders>
              <w:top w:val="nil"/>
              <w:left w:val="nil"/>
              <w:bottom w:val="single" w:sz="8" w:space="0" w:color="auto"/>
              <w:right w:val="single" w:sz="8" w:space="0" w:color="auto"/>
            </w:tcBorders>
            <w:shd w:val="clear" w:color="auto" w:fill="auto"/>
            <w:vAlign w:val="center"/>
            <w:hideMark/>
          </w:tcPr>
          <w:p w14:paraId="72D250D6"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1.01</w:t>
            </w:r>
          </w:p>
        </w:tc>
      </w:tr>
    </w:tbl>
    <w:p w14:paraId="3C03BAEF" w14:textId="29704742" w:rsidR="00FB3164" w:rsidRPr="009C58C4" w:rsidRDefault="00FB3164" w:rsidP="006A5714">
      <w:pPr>
        <w:tabs>
          <w:tab w:val="left" w:pos="1482"/>
          <w:tab w:val="left" w:pos="4119"/>
        </w:tabs>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ab/>
      </w:r>
      <w:r w:rsidR="00712A52" w:rsidRPr="009C58C4">
        <w:rPr>
          <w:rFonts w:ascii="Times New Roman" w:hAnsi="Times New Roman" w:cs="Times New Roman"/>
          <w:sz w:val="24"/>
          <w:szCs w:val="24"/>
        </w:rPr>
        <w:tab/>
      </w:r>
    </w:p>
    <w:p w14:paraId="0CF1E545" w14:textId="090F93FA" w:rsidR="00645FCB" w:rsidRPr="009C58C4" w:rsidRDefault="00645FCB" w:rsidP="006A5714">
      <w:pPr>
        <w:tabs>
          <w:tab w:val="left" w:pos="4119"/>
        </w:tabs>
        <w:spacing w:after="0" w:line="360" w:lineRule="auto"/>
        <w:ind w:firstLine="720"/>
        <w:jc w:val="center"/>
        <w:rPr>
          <w:rFonts w:ascii="Times New Roman" w:hAnsi="Times New Roman" w:cs="Times New Roman"/>
          <w:b/>
          <w:bCs/>
          <w:sz w:val="24"/>
          <w:szCs w:val="24"/>
        </w:rPr>
      </w:pPr>
      <w:r w:rsidRPr="009C58C4">
        <w:rPr>
          <w:rFonts w:ascii="Times New Roman" w:hAnsi="Times New Roman" w:cs="Times New Roman"/>
          <w:b/>
          <w:bCs/>
          <w:sz w:val="24"/>
          <w:szCs w:val="24"/>
        </w:rPr>
        <w:t>Samsung Inc.</w:t>
      </w:r>
    </w:p>
    <w:p w14:paraId="434F6F87" w14:textId="77777777" w:rsidR="00CA7930" w:rsidRPr="009C58C4" w:rsidRDefault="00CA7930" w:rsidP="006A5714">
      <w:pPr>
        <w:spacing w:after="0" w:line="360" w:lineRule="auto"/>
        <w:rPr>
          <w:rFonts w:ascii="Times New Roman" w:hAnsi="Times New Roman" w:cs="Times New Roman"/>
          <w:sz w:val="24"/>
          <w:szCs w:val="24"/>
        </w:rPr>
      </w:pPr>
    </w:p>
    <w:tbl>
      <w:tblPr>
        <w:tblpPr w:leftFromText="180" w:rightFromText="180" w:vertAnchor="text" w:horzAnchor="margin" w:tblpY="-107"/>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1"/>
        <w:gridCol w:w="2710"/>
        <w:gridCol w:w="2558"/>
        <w:gridCol w:w="2251"/>
      </w:tblGrid>
      <w:tr w:rsidR="00DA0658" w:rsidRPr="009C58C4" w14:paraId="1F8E0EE8" w14:textId="77777777" w:rsidTr="00DA0658">
        <w:trPr>
          <w:trHeight w:val="1070"/>
        </w:trPr>
        <w:tc>
          <w:tcPr>
            <w:tcW w:w="979" w:type="pct"/>
            <w:shd w:val="clear" w:color="auto" w:fill="auto"/>
            <w:vAlign w:val="center"/>
            <w:hideMark/>
          </w:tcPr>
          <w:p w14:paraId="3ADEA9F9" w14:textId="77777777" w:rsidR="00DA0658" w:rsidRPr="009C58C4" w:rsidRDefault="00DA0658"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Year</w:t>
            </w:r>
          </w:p>
        </w:tc>
        <w:tc>
          <w:tcPr>
            <w:tcW w:w="1449" w:type="pct"/>
            <w:shd w:val="clear" w:color="auto" w:fill="auto"/>
            <w:vAlign w:val="center"/>
            <w:hideMark/>
          </w:tcPr>
          <w:p w14:paraId="0B2B7A2B" w14:textId="77777777" w:rsidR="00DA0658" w:rsidRPr="009C58C4" w:rsidRDefault="00DA0658"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Current Assets (USD thousands)</w:t>
            </w:r>
          </w:p>
        </w:tc>
        <w:tc>
          <w:tcPr>
            <w:tcW w:w="1368" w:type="pct"/>
            <w:shd w:val="clear" w:color="auto" w:fill="auto"/>
            <w:vAlign w:val="center"/>
            <w:hideMark/>
          </w:tcPr>
          <w:p w14:paraId="1DFA8CC1" w14:textId="77777777" w:rsidR="00DA0658" w:rsidRPr="009C58C4" w:rsidRDefault="00DA0658"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Current Liabilities (USD thousands)</w:t>
            </w:r>
          </w:p>
        </w:tc>
        <w:tc>
          <w:tcPr>
            <w:tcW w:w="1204" w:type="pct"/>
            <w:shd w:val="clear" w:color="auto" w:fill="auto"/>
            <w:vAlign w:val="center"/>
            <w:hideMark/>
          </w:tcPr>
          <w:p w14:paraId="2FF68661" w14:textId="77777777" w:rsidR="00DA0658" w:rsidRPr="009C58C4" w:rsidRDefault="00DA0658"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Current Ratio</w:t>
            </w:r>
          </w:p>
        </w:tc>
      </w:tr>
      <w:tr w:rsidR="00DA0658" w:rsidRPr="009C58C4" w14:paraId="646EE03B" w14:textId="77777777" w:rsidTr="00DA0658">
        <w:trPr>
          <w:trHeight w:val="300"/>
        </w:trPr>
        <w:tc>
          <w:tcPr>
            <w:tcW w:w="979" w:type="pct"/>
            <w:shd w:val="clear" w:color="auto" w:fill="auto"/>
            <w:vAlign w:val="center"/>
            <w:hideMark/>
          </w:tcPr>
          <w:p w14:paraId="27DEA1B1" w14:textId="77777777" w:rsidR="00DA0658" w:rsidRPr="009C58C4" w:rsidRDefault="00DA0658" w:rsidP="006A5714">
            <w:pPr>
              <w:spacing w:after="0" w:line="360" w:lineRule="auto"/>
              <w:ind w:firstLine="720"/>
              <w:jc w:val="right"/>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2023</w:t>
            </w:r>
          </w:p>
        </w:tc>
        <w:tc>
          <w:tcPr>
            <w:tcW w:w="1449" w:type="pct"/>
            <w:shd w:val="clear" w:color="auto" w:fill="auto"/>
            <w:vAlign w:val="center"/>
            <w:hideMark/>
          </w:tcPr>
          <w:p w14:paraId="22EDBAC0"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150,014,208</w:t>
            </w:r>
          </w:p>
        </w:tc>
        <w:tc>
          <w:tcPr>
            <w:tcW w:w="1368" w:type="pct"/>
            <w:shd w:val="clear" w:color="auto" w:fill="auto"/>
            <w:vAlign w:val="center"/>
            <w:hideMark/>
          </w:tcPr>
          <w:p w14:paraId="15221B1D"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57,972,815</w:t>
            </w:r>
          </w:p>
        </w:tc>
        <w:tc>
          <w:tcPr>
            <w:tcW w:w="1204" w:type="pct"/>
            <w:shd w:val="clear" w:color="auto" w:fill="auto"/>
            <w:vAlign w:val="center"/>
            <w:hideMark/>
          </w:tcPr>
          <w:p w14:paraId="5876E653" w14:textId="77777777" w:rsidR="00DA0658" w:rsidRPr="009C58C4" w:rsidRDefault="00DA0658"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2.59</w:t>
            </w:r>
          </w:p>
        </w:tc>
      </w:tr>
    </w:tbl>
    <w:p w14:paraId="0968B04E" w14:textId="01522D8C" w:rsidR="005E5956" w:rsidRPr="009C58C4" w:rsidRDefault="005E5956"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lastRenderedPageBreak/>
        <w:t xml:space="preserve">Comparing current ratio of the Apple Inc with that of Samsung Inc help in understanding the liquidity position or financial health of both these firms. Apple’s Current ratio has seen an upward trend from 0. 64 in 2019 to 1. 01 in 2023. This improvement shows that over the years Apple has strengthened its liquidity over the years, whereas earlier the current liabilities surpassed its current assets to the current state whereby its assets are slightly greater than its liabilities. The rise to a figure higher than one indicates that Apple is well placed in terms of liquidity to meet its near-term commitments, which is an indication of sound liquidity management. </w:t>
      </w:r>
    </w:p>
    <w:p w14:paraId="294C261B" w14:textId="10404B59" w:rsidR="00645FCB" w:rsidRPr="009C58C4" w:rsidRDefault="005E5956"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Here, on the other hand, Samsung’s current ratio stands at 2. 59 in 2023 is almost five times more than Apple’s indicating a much stronger liquidity for Samsung. Hence Samsung’s ratio reveals that the current assets to its current liabilities are well balanced and exceeded two imply a strong ability to meet short term financial obligations with adequate investment in future growth prospects. Although there is an improvement in the ratio of Apple, it is still a bit low while the one of Samsung is even higher, which means that this company has better protection from the liquidity risks. This comparative analysis also shows that Samsung has more financial elasticity and is less aggressive in managing its liquidity compared to Apple which per its performance, has a relatively improved but still constricted liquidity buffer.</w:t>
      </w:r>
    </w:p>
    <w:p w14:paraId="2AB48ED8" w14:textId="23A73D41" w:rsidR="003C70FB" w:rsidRPr="009C58C4" w:rsidRDefault="00645FCB" w:rsidP="006A5714">
      <w:pPr>
        <w:pStyle w:val="ListParagraph"/>
        <w:numPr>
          <w:ilvl w:val="0"/>
          <w:numId w:val="2"/>
        </w:numPr>
        <w:spacing w:after="0" w:line="360" w:lineRule="auto"/>
        <w:rPr>
          <w:rFonts w:ascii="Times New Roman" w:hAnsi="Times New Roman" w:cs="Times New Roman"/>
          <w:sz w:val="24"/>
          <w:szCs w:val="24"/>
        </w:rPr>
      </w:pPr>
      <w:r w:rsidRPr="009C58C4">
        <w:rPr>
          <w:rFonts w:ascii="Times New Roman" w:hAnsi="Times New Roman" w:cs="Times New Roman"/>
          <w:b/>
          <w:bCs/>
          <w:sz w:val="24"/>
          <w:szCs w:val="24"/>
        </w:rPr>
        <w:t>Cash Ratio</w:t>
      </w:r>
    </w:p>
    <w:p w14:paraId="5B3908FA" w14:textId="518B4821" w:rsidR="007B60B6" w:rsidRPr="009C58C4" w:rsidRDefault="00E537BF"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The cash ratio is one of the liquidity ratios and it reflects the ability of the company to pay off </w:t>
      </w:r>
      <w:proofErr w:type="gramStart"/>
      <w:r w:rsidRPr="009C58C4">
        <w:rPr>
          <w:rFonts w:ascii="Times New Roman" w:hAnsi="Times New Roman" w:cs="Times New Roman"/>
          <w:sz w:val="24"/>
          <w:szCs w:val="24"/>
        </w:rPr>
        <w:t>it</w:t>
      </w:r>
      <w:proofErr w:type="gramEnd"/>
      <w:r w:rsidRPr="009C58C4">
        <w:rPr>
          <w:rFonts w:ascii="Times New Roman" w:hAnsi="Times New Roman" w:cs="Times New Roman"/>
          <w:sz w:val="24"/>
          <w:szCs w:val="24"/>
        </w:rPr>
        <w:t xml:space="preserve"> short term liabilities by using the most liquid of the assets, cash and cash equivalents. This is far less than the current ratio or the quick ratio, since it only takes into account the absolute most liquid of assets.</w:t>
      </w:r>
    </w:p>
    <w:p w14:paraId="5060CEF1" w14:textId="678B0483" w:rsidR="003C70FB" w:rsidRPr="009C58C4" w:rsidRDefault="00645FCB" w:rsidP="006A5714">
      <w:pPr>
        <w:spacing w:after="0" w:line="360" w:lineRule="auto"/>
        <w:ind w:firstLine="720"/>
        <w:jc w:val="center"/>
        <w:rPr>
          <w:rFonts w:ascii="Times New Roman" w:hAnsi="Times New Roman" w:cs="Times New Roman"/>
          <w:i/>
          <w:iCs/>
          <w:sz w:val="24"/>
          <w:szCs w:val="24"/>
        </w:rPr>
      </w:pPr>
      <w:r w:rsidRPr="009C58C4">
        <w:rPr>
          <w:rFonts w:ascii="Times New Roman" w:hAnsi="Times New Roman" w:cs="Times New Roman"/>
          <w:i/>
          <w:iCs/>
          <w:sz w:val="24"/>
          <w:szCs w:val="24"/>
        </w:rPr>
        <w:t>Apple Inc.</w:t>
      </w:r>
    </w:p>
    <w:tbl>
      <w:tblPr>
        <w:tblpPr w:leftFromText="180" w:rightFromText="180" w:vertAnchor="text" w:horzAnchor="margin" w:tblpY="-53"/>
        <w:tblOverlap w:val="never"/>
        <w:tblW w:w="467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6"/>
        <w:gridCol w:w="2380"/>
        <w:gridCol w:w="2649"/>
        <w:gridCol w:w="2172"/>
      </w:tblGrid>
      <w:tr w:rsidR="00527123" w:rsidRPr="009C58C4" w14:paraId="7E7A7ACB" w14:textId="77777777" w:rsidTr="00527123">
        <w:trPr>
          <w:trHeight w:val="1152"/>
        </w:trPr>
        <w:tc>
          <w:tcPr>
            <w:tcW w:w="879" w:type="pct"/>
            <w:shd w:val="clear" w:color="auto" w:fill="auto"/>
            <w:vAlign w:val="center"/>
            <w:hideMark/>
          </w:tcPr>
          <w:p w14:paraId="12969B43" w14:textId="77777777" w:rsidR="00645FCB" w:rsidRPr="009C58C4" w:rsidRDefault="00645FCB"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Year</w:t>
            </w:r>
          </w:p>
        </w:tc>
        <w:tc>
          <w:tcPr>
            <w:tcW w:w="1362" w:type="pct"/>
            <w:shd w:val="clear" w:color="auto" w:fill="auto"/>
            <w:vAlign w:val="center"/>
            <w:hideMark/>
          </w:tcPr>
          <w:p w14:paraId="36CF155C" w14:textId="77777777" w:rsidR="00645FCB" w:rsidRPr="009C58C4" w:rsidRDefault="00645FCB"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Cash and Cash Equivalents ($m)</w:t>
            </w:r>
          </w:p>
        </w:tc>
        <w:tc>
          <w:tcPr>
            <w:tcW w:w="1516" w:type="pct"/>
            <w:shd w:val="clear" w:color="auto" w:fill="auto"/>
            <w:vAlign w:val="center"/>
            <w:hideMark/>
          </w:tcPr>
          <w:p w14:paraId="417330DB" w14:textId="77777777" w:rsidR="00645FCB" w:rsidRPr="009C58C4" w:rsidRDefault="00645FCB"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Current Liabilities ($m)</w:t>
            </w:r>
          </w:p>
        </w:tc>
        <w:tc>
          <w:tcPr>
            <w:tcW w:w="1244" w:type="pct"/>
            <w:shd w:val="clear" w:color="auto" w:fill="auto"/>
            <w:vAlign w:val="center"/>
            <w:hideMark/>
          </w:tcPr>
          <w:p w14:paraId="7B261181" w14:textId="77777777" w:rsidR="00645FCB" w:rsidRPr="009C58C4" w:rsidRDefault="00645FCB"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Cash Ratio</w:t>
            </w:r>
          </w:p>
        </w:tc>
      </w:tr>
      <w:tr w:rsidR="00527123" w:rsidRPr="009C58C4" w14:paraId="46A77FC2" w14:textId="77777777" w:rsidTr="00527123">
        <w:trPr>
          <w:trHeight w:val="288"/>
        </w:trPr>
        <w:tc>
          <w:tcPr>
            <w:tcW w:w="879" w:type="pct"/>
            <w:shd w:val="clear" w:color="auto" w:fill="auto"/>
            <w:vAlign w:val="center"/>
            <w:hideMark/>
          </w:tcPr>
          <w:p w14:paraId="3BC5C48B"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2019</w:t>
            </w:r>
          </w:p>
        </w:tc>
        <w:tc>
          <w:tcPr>
            <w:tcW w:w="1362" w:type="pct"/>
            <w:shd w:val="clear" w:color="auto" w:fill="auto"/>
            <w:vAlign w:val="center"/>
            <w:hideMark/>
          </w:tcPr>
          <w:p w14:paraId="2D11D9A5"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48,844</w:t>
            </w:r>
          </w:p>
        </w:tc>
        <w:tc>
          <w:tcPr>
            <w:tcW w:w="1516" w:type="pct"/>
            <w:shd w:val="clear" w:color="auto" w:fill="auto"/>
            <w:vAlign w:val="center"/>
            <w:hideMark/>
          </w:tcPr>
          <w:p w14:paraId="20D75DEB"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105,718</w:t>
            </w:r>
          </w:p>
        </w:tc>
        <w:tc>
          <w:tcPr>
            <w:tcW w:w="1244" w:type="pct"/>
            <w:shd w:val="clear" w:color="auto" w:fill="auto"/>
            <w:vAlign w:val="center"/>
            <w:hideMark/>
          </w:tcPr>
          <w:p w14:paraId="013AC516"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0.46</w:t>
            </w:r>
          </w:p>
        </w:tc>
      </w:tr>
      <w:tr w:rsidR="00527123" w:rsidRPr="009C58C4" w14:paraId="65AC7B0F" w14:textId="77777777" w:rsidTr="00527123">
        <w:trPr>
          <w:trHeight w:val="288"/>
        </w:trPr>
        <w:tc>
          <w:tcPr>
            <w:tcW w:w="879" w:type="pct"/>
            <w:shd w:val="clear" w:color="auto" w:fill="auto"/>
            <w:vAlign w:val="center"/>
            <w:hideMark/>
          </w:tcPr>
          <w:p w14:paraId="22DD1A1C"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2020</w:t>
            </w:r>
          </w:p>
        </w:tc>
        <w:tc>
          <w:tcPr>
            <w:tcW w:w="1362" w:type="pct"/>
            <w:shd w:val="clear" w:color="auto" w:fill="auto"/>
            <w:vAlign w:val="center"/>
            <w:hideMark/>
          </w:tcPr>
          <w:p w14:paraId="173F60F1"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38,016</w:t>
            </w:r>
          </w:p>
        </w:tc>
        <w:tc>
          <w:tcPr>
            <w:tcW w:w="1516" w:type="pct"/>
            <w:shd w:val="clear" w:color="auto" w:fill="auto"/>
            <w:vAlign w:val="center"/>
            <w:hideMark/>
          </w:tcPr>
          <w:p w14:paraId="7576BCF0" w14:textId="77777777" w:rsidR="00645FCB" w:rsidRPr="009C58C4" w:rsidRDefault="00645FCB" w:rsidP="006A5714">
            <w:pPr>
              <w:spacing w:after="0" w:line="360" w:lineRule="auto"/>
              <w:ind w:firstLine="720"/>
              <w:jc w:val="center"/>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 xml:space="preserve">  105,392</w:t>
            </w:r>
          </w:p>
        </w:tc>
        <w:tc>
          <w:tcPr>
            <w:tcW w:w="1244" w:type="pct"/>
            <w:shd w:val="clear" w:color="auto" w:fill="auto"/>
            <w:vAlign w:val="center"/>
            <w:hideMark/>
          </w:tcPr>
          <w:p w14:paraId="673B36A6"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0.36</w:t>
            </w:r>
          </w:p>
        </w:tc>
      </w:tr>
      <w:tr w:rsidR="00527123" w:rsidRPr="009C58C4" w14:paraId="26F085A9" w14:textId="77777777" w:rsidTr="00527123">
        <w:trPr>
          <w:trHeight w:val="288"/>
        </w:trPr>
        <w:tc>
          <w:tcPr>
            <w:tcW w:w="879" w:type="pct"/>
            <w:shd w:val="clear" w:color="auto" w:fill="auto"/>
            <w:vAlign w:val="center"/>
            <w:hideMark/>
          </w:tcPr>
          <w:p w14:paraId="24F9D8D9"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2021</w:t>
            </w:r>
          </w:p>
        </w:tc>
        <w:tc>
          <w:tcPr>
            <w:tcW w:w="1362" w:type="pct"/>
            <w:shd w:val="clear" w:color="auto" w:fill="auto"/>
            <w:vAlign w:val="center"/>
            <w:hideMark/>
          </w:tcPr>
          <w:p w14:paraId="2000D3FA"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34,452</w:t>
            </w:r>
          </w:p>
        </w:tc>
        <w:tc>
          <w:tcPr>
            <w:tcW w:w="1516" w:type="pct"/>
            <w:shd w:val="clear" w:color="auto" w:fill="auto"/>
            <w:vAlign w:val="center"/>
            <w:hideMark/>
          </w:tcPr>
          <w:p w14:paraId="5AD0DAD0"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110,200</w:t>
            </w:r>
          </w:p>
        </w:tc>
        <w:tc>
          <w:tcPr>
            <w:tcW w:w="1244" w:type="pct"/>
            <w:shd w:val="clear" w:color="auto" w:fill="auto"/>
            <w:vAlign w:val="center"/>
            <w:hideMark/>
          </w:tcPr>
          <w:p w14:paraId="196731DC"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0.31</w:t>
            </w:r>
          </w:p>
        </w:tc>
      </w:tr>
      <w:tr w:rsidR="00527123" w:rsidRPr="009C58C4" w14:paraId="28FB80A9" w14:textId="77777777" w:rsidTr="00527123">
        <w:trPr>
          <w:trHeight w:val="288"/>
        </w:trPr>
        <w:tc>
          <w:tcPr>
            <w:tcW w:w="879" w:type="pct"/>
            <w:shd w:val="clear" w:color="auto" w:fill="auto"/>
            <w:vAlign w:val="center"/>
            <w:hideMark/>
          </w:tcPr>
          <w:p w14:paraId="74447BD5"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2022</w:t>
            </w:r>
          </w:p>
        </w:tc>
        <w:tc>
          <w:tcPr>
            <w:tcW w:w="1362" w:type="pct"/>
            <w:shd w:val="clear" w:color="auto" w:fill="auto"/>
            <w:vAlign w:val="center"/>
            <w:hideMark/>
          </w:tcPr>
          <w:p w14:paraId="024F999C"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23,646</w:t>
            </w:r>
          </w:p>
        </w:tc>
        <w:tc>
          <w:tcPr>
            <w:tcW w:w="1516" w:type="pct"/>
            <w:shd w:val="clear" w:color="auto" w:fill="auto"/>
            <w:vAlign w:val="center"/>
            <w:hideMark/>
          </w:tcPr>
          <w:p w14:paraId="42C4B9A2"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153,982</w:t>
            </w:r>
          </w:p>
        </w:tc>
        <w:tc>
          <w:tcPr>
            <w:tcW w:w="1244" w:type="pct"/>
            <w:shd w:val="clear" w:color="auto" w:fill="auto"/>
            <w:vAlign w:val="center"/>
            <w:hideMark/>
          </w:tcPr>
          <w:p w14:paraId="10124C08"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0.15</w:t>
            </w:r>
          </w:p>
        </w:tc>
      </w:tr>
      <w:tr w:rsidR="00527123" w:rsidRPr="009C58C4" w14:paraId="01627EC2" w14:textId="77777777" w:rsidTr="00527123">
        <w:trPr>
          <w:trHeight w:val="288"/>
        </w:trPr>
        <w:tc>
          <w:tcPr>
            <w:tcW w:w="879" w:type="pct"/>
            <w:shd w:val="clear" w:color="auto" w:fill="auto"/>
            <w:vAlign w:val="center"/>
            <w:hideMark/>
          </w:tcPr>
          <w:p w14:paraId="53839E3F"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2023</w:t>
            </w:r>
          </w:p>
        </w:tc>
        <w:tc>
          <w:tcPr>
            <w:tcW w:w="1362" w:type="pct"/>
            <w:shd w:val="clear" w:color="auto" w:fill="auto"/>
            <w:vAlign w:val="center"/>
            <w:hideMark/>
          </w:tcPr>
          <w:p w14:paraId="7B5AC255"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29,965</w:t>
            </w:r>
          </w:p>
        </w:tc>
        <w:tc>
          <w:tcPr>
            <w:tcW w:w="1516" w:type="pct"/>
            <w:shd w:val="clear" w:color="auto" w:fill="auto"/>
            <w:vAlign w:val="center"/>
            <w:hideMark/>
          </w:tcPr>
          <w:p w14:paraId="63DE22D9"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145,308</w:t>
            </w:r>
          </w:p>
        </w:tc>
        <w:tc>
          <w:tcPr>
            <w:tcW w:w="1244" w:type="pct"/>
            <w:shd w:val="clear" w:color="auto" w:fill="auto"/>
            <w:vAlign w:val="center"/>
            <w:hideMark/>
          </w:tcPr>
          <w:p w14:paraId="5BEBD54B"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0.21</w:t>
            </w:r>
          </w:p>
        </w:tc>
      </w:tr>
    </w:tbl>
    <w:p w14:paraId="00099D9C" w14:textId="4AA1A3F1" w:rsidR="00B62596" w:rsidRPr="009C58C4" w:rsidRDefault="00B62596" w:rsidP="006A5714">
      <w:pPr>
        <w:tabs>
          <w:tab w:val="left" w:pos="1771"/>
        </w:tabs>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lastRenderedPageBreak/>
        <w:tab/>
      </w:r>
    </w:p>
    <w:tbl>
      <w:tblPr>
        <w:tblpPr w:leftFromText="180" w:rightFromText="180" w:vertAnchor="text" w:horzAnchor="margin" w:tblpY="445"/>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0"/>
        <w:gridCol w:w="2768"/>
        <w:gridCol w:w="2603"/>
        <w:gridCol w:w="1999"/>
      </w:tblGrid>
      <w:tr w:rsidR="00645FCB" w:rsidRPr="009C58C4" w14:paraId="4C470BFC" w14:textId="77777777" w:rsidTr="00645FCB">
        <w:trPr>
          <w:trHeight w:val="588"/>
        </w:trPr>
        <w:tc>
          <w:tcPr>
            <w:tcW w:w="1059" w:type="pct"/>
            <w:shd w:val="clear" w:color="auto" w:fill="auto"/>
            <w:vAlign w:val="center"/>
            <w:hideMark/>
          </w:tcPr>
          <w:p w14:paraId="24825014" w14:textId="77777777" w:rsidR="00645FCB" w:rsidRPr="009C58C4" w:rsidRDefault="00645FCB" w:rsidP="006A5714">
            <w:pPr>
              <w:spacing w:after="0" w:line="360" w:lineRule="auto"/>
              <w:ind w:firstLine="720"/>
              <w:jc w:val="center"/>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Year</w:t>
            </w:r>
          </w:p>
        </w:tc>
        <w:tc>
          <w:tcPr>
            <w:tcW w:w="1480" w:type="pct"/>
            <w:shd w:val="clear" w:color="auto" w:fill="auto"/>
            <w:vAlign w:val="center"/>
            <w:hideMark/>
          </w:tcPr>
          <w:p w14:paraId="3646CF8E" w14:textId="77777777" w:rsidR="00645FCB" w:rsidRPr="009C58C4" w:rsidRDefault="00645FCB"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Cash and Cash Equivalents ($m)</w:t>
            </w:r>
          </w:p>
        </w:tc>
        <w:tc>
          <w:tcPr>
            <w:tcW w:w="1392" w:type="pct"/>
            <w:shd w:val="clear" w:color="auto" w:fill="auto"/>
            <w:vAlign w:val="center"/>
            <w:hideMark/>
          </w:tcPr>
          <w:p w14:paraId="55954E94" w14:textId="77777777" w:rsidR="00645FCB" w:rsidRPr="009C58C4" w:rsidRDefault="00645FCB"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Current Liabilities ($m)</w:t>
            </w:r>
          </w:p>
        </w:tc>
        <w:tc>
          <w:tcPr>
            <w:tcW w:w="1069" w:type="pct"/>
            <w:shd w:val="clear" w:color="auto" w:fill="auto"/>
            <w:vAlign w:val="center"/>
            <w:hideMark/>
          </w:tcPr>
          <w:p w14:paraId="5BF4755B" w14:textId="77777777" w:rsidR="00645FCB" w:rsidRPr="009C58C4" w:rsidRDefault="00645FCB" w:rsidP="006A5714">
            <w:pPr>
              <w:spacing w:after="0" w:line="360" w:lineRule="auto"/>
              <w:rPr>
                <w:rFonts w:ascii="Times New Roman" w:eastAsia="Times New Roman" w:hAnsi="Times New Roman" w:cs="Times New Roman"/>
                <w:b/>
                <w:bCs/>
                <w:color w:val="000000"/>
                <w:kern w:val="0"/>
                <w:sz w:val="24"/>
                <w:szCs w:val="24"/>
                <w:lang w:bidi="ar-SA"/>
                <w14:ligatures w14:val="none"/>
              </w:rPr>
            </w:pPr>
            <w:r w:rsidRPr="009C58C4">
              <w:rPr>
                <w:rFonts w:ascii="Times New Roman" w:eastAsia="Times New Roman" w:hAnsi="Times New Roman" w:cs="Times New Roman"/>
                <w:b/>
                <w:bCs/>
                <w:color w:val="000000"/>
                <w:kern w:val="0"/>
                <w:sz w:val="24"/>
                <w:szCs w:val="24"/>
                <w:lang w:bidi="ar-SA"/>
                <w14:ligatures w14:val="none"/>
              </w:rPr>
              <w:t>Cash Ratio</w:t>
            </w:r>
          </w:p>
        </w:tc>
      </w:tr>
      <w:tr w:rsidR="00645FCB" w:rsidRPr="009C58C4" w14:paraId="40F70D58" w14:textId="77777777" w:rsidTr="00645FCB">
        <w:trPr>
          <w:trHeight w:val="300"/>
        </w:trPr>
        <w:tc>
          <w:tcPr>
            <w:tcW w:w="1059" w:type="pct"/>
            <w:shd w:val="clear" w:color="auto" w:fill="auto"/>
            <w:noWrap/>
            <w:vAlign w:val="bottom"/>
            <w:hideMark/>
          </w:tcPr>
          <w:p w14:paraId="5CA399E9"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2023</w:t>
            </w:r>
          </w:p>
        </w:tc>
        <w:tc>
          <w:tcPr>
            <w:tcW w:w="1480" w:type="pct"/>
            <w:shd w:val="clear" w:color="auto" w:fill="auto"/>
            <w:noWrap/>
            <w:vAlign w:val="bottom"/>
            <w:hideMark/>
          </w:tcPr>
          <w:p w14:paraId="0B5477E8"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52,890,158</w:t>
            </w:r>
          </w:p>
        </w:tc>
        <w:tc>
          <w:tcPr>
            <w:tcW w:w="1392" w:type="pct"/>
            <w:shd w:val="clear" w:color="auto" w:fill="auto"/>
            <w:noWrap/>
            <w:vAlign w:val="bottom"/>
            <w:hideMark/>
          </w:tcPr>
          <w:p w14:paraId="4288C736"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8,666,757</w:t>
            </w:r>
          </w:p>
        </w:tc>
        <w:tc>
          <w:tcPr>
            <w:tcW w:w="1069" w:type="pct"/>
            <w:shd w:val="clear" w:color="auto" w:fill="auto"/>
            <w:noWrap/>
            <w:vAlign w:val="bottom"/>
            <w:hideMark/>
          </w:tcPr>
          <w:p w14:paraId="144F4AD8" w14:textId="77777777" w:rsidR="00645FCB" w:rsidRPr="009C58C4" w:rsidRDefault="00645FCB" w:rsidP="006A5714">
            <w:pPr>
              <w:spacing w:after="0" w:line="360" w:lineRule="auto"/>
              <w:ind w:firstLine="720"/>
              <w:jc w:val="right"/>
              <w:rPr>
                <w:rFonts w:ascii="Times New Roman" w:eastAsia="Times New Roman" w:hAnsi="Times New Roman" w:cs="Times New Roman"/>
                <w:color w:val="000000"/>
                <w:kern w:val="0"/>
                <w:sz w:val="24"/>
                <w:szCs w:val="24"/>
                <w:lang w:bidi="ar-SA"/>
                <w14:ligatures w14:val="none"/>
              </w:rPr>
            </w:pPr>
            <w:r w:rsidRPr="009C58C4">
              <w:rPr>
                <w:rFonts w:ascii="Times New Roman" w:eastAsia="Times New Roman" w:hAnsi="Times New Roman" w:cs="Times New Roman"/>
                <w:color w:val="000000"/>
                <w:kern w:val="0"/>
                <w:sz w:val="24"/>
                <w:szCs w:val="24"/>
                <w:lang w:bidi="ar-SA"/>
                <w14:ligatures w14:val="none"/>
              </w:rPr>
              <w:t>6</w:t>
            </w:r>
          </w:p>
        </w:tc>
      </w:tr>
    </w:tbl>
    <w:p w14:paraId="2815C59B" w14:textId="7455076E" w:rsidR="00D03B3F" w:rsidRPr="009C58C4" w:rsidRDefault="00645FCB" w:rsidP="006A5714">
      <w:pPr>
        <w:tabs>
          <w:tab w:val="left" w:pos="1265"/>
        </w:tabs>
        <w:spacing w:after="0" w:line="360" w:lineRule="auto"/>
        <w:ind w:firstLine="720"/>
        <w:jc w:val="center"/>
        <w:rPr>
          <w:rFonts w:ascii="Times New Roman" w:hAnsi="Times New Roman" w:cs="Times New Roman"/>
          <w:i/>
          <w:iCs/>
          <w:sz w:val="24"/>
          <w:szCs w:val="24"/>
        </w:rPr>
      </w:pPr>
      <w:r w:rsidRPr="009C58C4">
        <w:rPr>
          <w:rFonts w:ascii="Times New Roman" w:hAnsi="Times New Roman" w:cs="Times New Roman"/>
          <w:i/>
          <w:iCs/>
          <w:sz w:val="24"/>
          <w:szCs w:val="24"/>
        </w:rPr>
        <w:t>Samsung Inc.</w:t>
      </w:r>
    </w:p>
    <w:p w14:paraId="2635011C" w14:textId="77777777" w:rsidR="00527123" w:rsidRPr="009C58C4" w:rsidRDefault="00527123" w:rsidP="006A5714">
      <w:pPr>
        <w:spacing w:after="0" w:line="360" w:lineRule="auto"/>
        <w:ind w:firstLine="720"/>
        <w:rPr>
          <w:rFonts w:ascii="Times New Roman" w:hAnsi="Times New Roman" w:cs="Times New Roman"/>
          <w:sz w:val="24"/>
          <w:szCs w:val="24"/>
        </w:rPr>
      </w:pPr>
    </w:p>
    <w:p w14:paraId="2215F145" w14:textId="675AECA2" w:rsidR="007B60B6" w:rsidRPr="009C58C4" w:rsidRDefault="007B60B6"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Apple Inc.'s cash ratio analysis reveals a trend of decreasing liquidity over the past five years. In 2019, Apple had a cash ratio of 0.46, indicating that the company had 46 cents of cash for every dollar of current liabilities. This ratio declined to 0.21 in 2023, reflecting a reduced capacity to cover its short-term obligations with cash. The decrease in Apple’s cash ratio, particularly the significant drop from 0.46 in 2019 to 0.15 in 2022, suggests that the company has increasingly invested its cash into growth opportunities and other assets rather than maintaining high liquidity. This strategic choice aligns with Apple's focus on expansion and long-term value creation, though it does result in a lower immediate liquidity position.</w:t>
      </w:r>
    </w:p>
    <w:p w14:paraId="2708F44B" w14:textId="1791E139" w:rsidR="007B60B6" w:rsidRPr="009C58C4" w:rsidRDefault="007B60B6"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In contrast, Samsung's cash ratio for 2023 is remarkably high at 6. This indicates that Samsung has six dollars of cash available for every dollar of current liabilities, showcasing an extraordinarily conservative approach to liquidity management. Samsung's high cash ratio signifies a strong focus on maintaining substantial cash reserves, which can be advantageous for addressing unforeseen expenses or seizing strategic investment opportunities without needing to raise additional capital. This cautious approach contrasts with Apple's more aggressive investment strategy, reflecting a different risk tolerance and management style.</w:t>
      </w:r>
    </w:p>
    <w:p w14:paraId="431467E7" w14:textId="530087B5" w:rsidR="003B115A" w:rsidRPr="009C58C4" w:rsidRDefault="007B60B6"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While Apple's fluctuating cash ratio indicates a willingness to invest in growth and innovation, potentially leading to higher returns but also increased short-term risk, Samsung's high cash ratio suggests a preference for stability and liquidity. Samsung’s strategy reduces risk but may limit potential for rapid growth compared to Apple's approach. Both strategies have their merits, with Apple's approach potentially offering higher returns through aggressive investment and Samsung’s providing a buffer against economic uncertainties and operational risks.</w:t>
      </w:r>
    </w:p>
    <w:p w14:paraId="5663159A" w14:textId="23CFF4E4" w:rsidR="00527123" w:rsidRPr="009C58C4" w:rsidRDefault="00527123" w:rsidP="006A5714">
      <w:pPr>
        <w:spacing w:after="0" w:line="360" w:lineRule="auto"/>
        <w:ind w:firstLine="720"/>
        <w:rPr>
          <w:rFonts w:ascii="Times New Roman" w:hAnsi="Times New Roman" w:cs="Times New Roman"/>
          <w:b/>
          <w:bCs/>
          <w:sz w:val="24"/>
          <w:szCs w:val="24"/>
        </w:rPr>
      </w:pPr>
      <w:r w:rsidRPr="009C58C4">
        <w:rPr>
          <w:rFonts w:ascii="Times New Roman" w:hAnsi="Times New Roman" w:cs="Times New Roman"/>
          <w:b/>
          <w:bCs/>
          <w:sz w:val="24"/>
          <w:szCs w:val="24"/>
        </w:rPr>
        <w:t>Recommendations on Apple’s Financial Management</w:t>
      </w:r>
    </w:p>
    <w:p w14:paraId="4DCE9D75" w14:textId="3BAC65D8" w:rsidR="000705D7" w:rsidRPr="009C58C4" w:rsidRDefault="000705D7"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Based on a detailed analysis of Apple's financial performance and its comparison with Samsung Electronics, several recommendations can be made to further enhance Apple's financial management:</w:t>
      </w:r>
    </w:p>
    <w:p w14:paraId="0A7B6C3F" w14:textId="46DC9F7E" w:rsidR="000705D7" w:rsidRPr="009C58C4" w:rsidRDefault="000705D7"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lastRenderedPageBreak/>
        <w:t>1. Enhance Liquidity Management:</w:t>
      </w:r>
    </w:p>
    <w:p w14:paraId="5E46E74F" w14:textId="7E114DAD" w:rsidR="000705D7" w:rsidRPr="009C58C4" w:rsidRDefault="000705D7"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While Apple has made notable improvements in its current ratio, reaching 1.01 in 2023, it still lags behind Samsung, which has a significantly higher current ratio of 2.59. To bolster its liquidity position, Apple should consider maintaining a higher proportion of liquid assets. This could involve reallocating a portion of its investments into cash reserves or highly liquid assets. By doing so, Apple can better cushion against short-term financial pressures and unexpected expenses, while still pursuing its aggressive growth strategies.</w:t>
      </w:r>
    </w:p>
    <w:p w14:paraId="378ED6C1" w14:textId="7A9C81EF" w:rsidR="000705D7" w:rsidRPr="009C58C4" w:rsidRDefault="000705D7"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t>2. Optimize Cash Utilization:</w:t>
      </w:r>
    </w:p>
    <w:p w14:paraId="670E1859" w14:textId="05A74BBD" w:rsidR="000705D7" w:rsidRPr="009C58C4" w:rsidRDefault="000705D7"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Apple’s cash ratio has decreased from 0.46 in 2019 to 0.21 in 2023, reflecting a reduced ability to cover short-term liabilities with cash. This trend suggests a strategic shift towards investing cash in growth opportunities. However, Apple might benefit from reassessing its cash management strategy to strike a balance between investment and liquidity. Maintaining an optimal cash reserve can provide more flexibility for seizing strategic opportunities and managing potential risks without compromising financial stability.</w:t>
      </w:r>
    </w:p>
    <w:p w14:paraId="22C905D8" w14:textId="5DB5FD2D" w:rsidR="000705D7" w:rsidRPr="009C58C4" w:rsidRDefault="000705D7"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t>3. Focus on Cost Management:</w:t>
      </w:r>
    </w:p>
    <w:p w14:paraId="22BB2020" w14:textId="54EF9155" w:rsidR="000705D7" w:rsidRPr="009C58C4" w:rsidRDefault="000705D7"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Despite Apple’s high gross margin of 44.23%, indicating effective cost management and premium pricing power, there’s always room for improvement. Apple should continue to explore ways to further reduce production costs while maintaining product quality. This might involve leveraging technological advancements, renegotiating supplier contracts, or streamlining production processes. By enhancing cost efficiency, Apple can potentially increase its already impressive margins and sustain its competitive edge.</w:t>
      </w:r>
    </w:p>
    <w:p w14:paraId="7FCC34C0" w14:textId="37037972" w:rsidR="000705D7" w:rsidRPr="009C58C4" w:rsidRDefault="000705D7"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t>4. Diversify Revenue Streams:</w:t>
      </w:r>
    </w:p>
    <w:p w14:paraId="13F2B4C4" w14:textId="6982AB39" w:rsidR="000705D7" w:rsidRPr="009C58C4" w:rsidRDefault="000705D7"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Apple’s strong gross and net profit margins are largely driven by its premium product offerings and high-margin services. To mitigate risks associated with over-reliance on a few product lines, Apple should consider diversifying its revenue streams. This could involve investing in emerging technologies, expanding into new markets, or developing innovative products and services. Diversification can provide additional growth avenues and reduce the impact of market fluctuations on overall profitability.</w:t>
      </w:r>
    </w:p>
    <w:p w14:paraId="610D9194" w14:textId="47D1EE58" w:rsidR="000705D7" w:rsidRPr="009C58C4" w:rsidRDefault="000705D7"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t>5. Improve Profitability through Strategic Pricing:</w:t>
      </w:r>
    </w:p>
    <w:p w14:paraId="1095B03E" w14:textId="58A5BE4E" w:rsidR="000705D7" w:rsidRPr="009C58C4" w:rsidRDefault="000705D7"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Apple’s high gross margin reflects its successful premium pricing strategy. To sustain this advantage, Apple should continually assess its pricing strategies in response to market </w:t>
      </w:r>
      <w:r w:rsidRPr="009C58C4">
        <w:rPr>
          <w:rFonts w:ascii="Times New Roman" w:hAnsi="Times New Roman" w:cs="Times New Roman"/>
          <w:sz w:val="24"/>
          <w:szCs w:val="24"/>
        </w:rPr>
        <w:lastRenderedPageBreak/>
        <w:t>conditions and consumer preferences. Implementing dynamic pricing models, based on market demand and competitor pricing, can help Apple optimize its revenue and maintain its profit margins.</w:t>
      </w:r>
    </w:p>
    <w:p w14:paraId="5996F5CA" w14:textId="5CA832A9" w:rsidR="000705D7" w:rsidRPr="009C58C4" w:rsidRDefault="000705D7" w:rsidP="006A5714">
      <w:pPr>
        <w:spacing w:after="0" w:line="360" w:lineRule="auto"/>
        <w:ind w:firstLine="720"/>
        <w:rPr>
          <w:rFonts w:ascii="Times New Roman" w:hAnsi="Times New Roman" w:cs="Times New Roman"/>
          <w:i/>
          <w:iCs/>
          <w:sz w:val="24"/>
          <w:szCs w:val="24"/>
        </w:rPr>
      </w:pPr>
      <w:r w:rsidRPr="009C58C4">
        <w:rPr>
          <w:rFonts w:ascii="Times New Roman" w:hAnsi="Times New Roman" w:cs="Times New Roman"/>
          <w:i/>
          <w:iCs/>
          <w:sz w:val="24"/>
          <w:szCs w:val="24"/>
        </w:rPr>
        <w:t>6. Benchmark Against Competitors:</w:t>
      </w:r>
    </w:p>
    <w:p w14:paraId="79A66F80" w14:textId="6124B7A2" w:rsidR="000705D7" w:rsidRPr="009C58C4" w:rsidRDefault="000705D7"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   Regularly benchmarking financial performance against key competitors, such as Samsung, can provide valuable insights into areas for improvement. Apple should continually monitor industry trends and competitor strategies to ensure it remains competitive. This includes evaluating Samsung’s cost management practices and liquidity strategies to identify best practices that could be adapted to Apple’s operations.</w:t>
      </w:r>
    </w:p>
    <w:p w14:paraId="4B01FF1B" w14:textId="78DDD2A4" w:rsidR="00066463" w:rsidRPr="009C58C4" w:rsidRDefault="000705D7"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By implementing these recommendations, Apple can strengthen its financial position, enhance profitability, and ensure long-term growth and stability.</w:t>
      </w:r>
    </w:p>
    <w:p w14:paraId="70E6D3E3" w14:textId="625BA479" w:rsidR="000705D7" w:rsidRPr="009C58C4" w:rsidRDefault="000705D7" w:rsidP="006A5714">
      <w:pPr>
        <w:spacing w:line="360" w:lineRule="auto"/>
        <w:rPr>
          <w:rFonts w:ascii="Times New Roman" w:hAnsi="Times New Roman" w:cs="Times New Roman"/>
          <w:sz w:val="24"/>
          <w:szCs w:val="24"/>
        </w:rPr>
      </w:pPr>
      <w:r w:rsidRPr="009C58C4">
        <w:rPr>
          <w:rFonts w:ascii="Times New Roman" w:hAnsi="Times New Roman" w:cs="Times New Roman"/>
          <w:sz w:val="24"/>
          <w:szCs w:val="24"/>
        </w:rPr>
        <w:br w:type="page"/>
      </w:r>
    </w:p>
    <w:p w14:paraId="70C19D48" w14:textId="70DC9585" w:rsidR="000705D7" w:rsidRPr="009C58C4" w:rsidRDefault="000705D7" w:rsidP="006A5714">
      <w:pPr>
        <w:spacing w:after="0" w:line="360" w:lineRule="auto"/>
        <w:ind w:firstLine="720"/>
        <w:jc w:val="center"/>
        <w:rPr>
          <w:rFonts w:ascii="Times New Roman" w:hAnsi="Times New Roman" w:cs="Times New Roman"/>
          <w:b/>
          <w:bCs/>
          <w:sz w:val="24"/>
          <w:szCs w:val="24"/>
        </w:rPr>
      </w:pPr>
      <w:r w:rsidRPr="009C58C4">
        <w:rPr>
          <w:rFonts w:ascii="Times New Roman" w:hAnsi="Times New Roman" w:cs="Times New Roman"/>
          <w:b/>
          <w:bCs/>
          <w:sz w:val="24"/>
          <w:szCs w:val="24"/>
        </w:rPr>
        <w:lastRenderedPageBreak/>
        <w:t>Part C (Investment Appraisal)</w:t>
      </w:r>
    </w:p>
    <w:p w14:paraId="5960F54B" w14:textId="43920181" w:rsidR="00AE500C" w:rsidRPr="009C58C4" w:rsidRDefault="00AE500C"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Question 1. </w:t>
      </w:r>
    </w:p>
    <w:p w14:paraId="07050AA1" w14:textId="77777777" w:rsidR="00AE500C" w:rsidRPr="009C58C4" w:rsidRDefault="00AE500C" w:rsidP="006A5714">
      <w:pPr>
        <w:spacing w:before="240" w:line="360" w:lineRule="auto"/>
        <w:rPr>
          <w:rFonts w:ascii="Times New Roman" w:hAnsi="Times New Roman" w:cs="Times New Roman"/>
          <w:sz w:val="24"/>
          <w:szCs w:val="24"/>
        </w:rPr>
      </w:pPr>
      <w:r w:rsidRPr="009C58C4">
        <w:rPr>
          <w:rFonts w:ascii="Times New Roman" w:hAnsi="Times New Roman" w:cs="Times New Roman"/>
          <w:b/>
          <w:sz w:val="24"/>
          <w:szCs w:val="24"/>
        </w:rPr>
        <w:t>1. Payback Period (PBP)</w:t>
      </w:r>
    </w:p>
    <w:p w14:paraId="22B979B2" w14:textId="77777777" w:rsidR="00AE500C" w:rsidRPr="009C58C4" w:rsidRDefault="00AE500C" w:rsidP="006A5714">
      <w:pPr>
        <w:spacing w:before="240" w:line="360" w:lineRule="auto"/>
        <w:rPr>
          <w:rFonts w:ascii="Times New Roman" w:hAnsi="Times New Roman" w:cs="Times New Roman"/>
          <w:sz w:val="24"/>
          <w:szCs w:val="24"/>
        </w:rPr>
      </w:pPr>
      <w:r w:rsidRPr="009C58C4">
        <w:rPr>
          <w:rFonts w:ascii="Times New Roman" w:hAnsi="Times New Roman" w:cs="Times New Roman"/>
          <w:b/>
          <w:sz w:val="24"/>
          <w:szCs w:val="24"/>
        </w:rPr>
        <w:t>For Project A:</w:t>
      </w:r>
    </w:p>
    <w:p w14:paraId="407E5A89" w14:textId="77777777" w:rsidR="00AE500C" w:rsidRPr="009C58C4" w:rsidRDefault="00AE500C" w:rsidP="006A5714">
      <w:pPr>
        <w:numPr>
          <w:ilvl w:val="0"/>
          <w:numId w:val="4"/>
        </w:numPr>
        <w:spacing w:after="120" w:line="360" w:lineRule="auto"/>
        <w:rPr>
          <w:rFonts w:ascii="Times New Roman" w:hAnsi="Times New Roman" w:cs="Times New Roman"/>
          <w:sz w:val="24"/>
          <w:szCs w:val="24"/>
        </w:rPr>
      </w:pPr>
      <w:r w:rsidRPr="009C58C4">
        <w:rPr>
          <w:rFonts w:ascii="Times New Roman" w:hAnsi="Times New Roman" w:cs="Times New Roman"/>
          <w:b/>
          <w:sz w:val="24"/>
          <w:szCs w:val="24"/>
        </w:rPr>
        <w:t>Year 0:</w:t>
      </w:r>
      <w:r w:rsidRPr="009C58C4">
        <w:rPr>
          <w:rFonts w:ascii="Times New Roman" w:hAnsi="Times New Roman" w:cs="Times New Roman"/>
          <w:sz w:val="24"/>
          <w:szCs w:val="24"/>
        </w:rPr>
        <w:t xml:space="preserve"> -80</w:t>
      </w:r>
    </w:p>
    <w:p w14:paraId="4A640E70" w14:textId="77777777" w:rsidR="00AE500C" w:rsidRPr="009C58C4" w:rsidRDefault="00AE500C" w:rsidP="006A5714">
      <w:pPr>
        <w:numPr>
          <w:ilvl w:val="0"/>
          <w:numId w:val="4"/>
        </w:numPr>
        <w:spacing w:after="120" w:line="360" w:lineRule="auto"/>
        <w:rPr>
          <w:rFonts w:ascii="Times New Roman" w:hAnsi="Times New Roman" w:cs="Times New Roman"/>
          <w:sz w:val="24"/>
          <w:szCs w:val="24"/>
        </w:rPr>
      </w:pPr>
      <w:r w:rsidRPr="009C58C4">
        <w:rPr>
          <w:rFonts w:ascii="Times New Roman" w:hAnsi="Times New Roman" w:cs="Times New Roman"/>
          <w:b/>
          <w:sz w:val="24"/>
          <w:szCs w:val="24"/>
        </w:rPr>
        <w:t>Year 1:</w:t>
      </w:r>
      <w:r w:rsidRPr="009C58C4">
        <w:rPr>
          <w:rFonts w:ascii="Times New Roman" w:hAnsi="Times New Roman" w:cs="Times New Roman"/>
          <w:sz w:val="24"/>
          <w:szCs w:val="24"/>
        </w:rPr>
        <w:t xml:space="preserve"> -80 + 25 = -55</w:t>
      </w:r>
    </w:p>
    <w:p w14:paraId="7B8AC244" w14:textId="77777777" w:rsidR="00AE500C" w:rsidRPr="009C58C4" w:rsidRDefault="00AE500C" w:rsidP="006A5714">
      <w:pPr>
        <w:numPr>
          <w:ilvl w:val="0"/>
          <w:numId w:val="4"/>
        </w:numPr>
        <w:spacing w:after="120" w:line="360" w:lineRule="auto"/>
        <w:rPr>
          <w:rFonts w:ascii="Times New Roman" w:hAnsi="Times New Roman" w:cs="Times New Roman"/>
          <w:sz w:val="24"/>
          <w:szCs w:val="24"/>
        </w:rPr>
      </w:pPr>
      <w:r w:rsidRPr="009C58C4">
        <w:rPr>
          <w:rFonts w:ascii="Times New Roman" w:hAnsi="Times New Roman" w:cs="Times New Roman"/>
          <w:b/>
          <w:sz w:val="24"/>
          <w:szCs w:val="24"/>
        </w:rPr>
        <w:t>Year 2:</w:t>
      </w:r>
      <w:r w:rsidRPr="009C58C4">
        <w:rPr>
          <w:rFonts w:ascii="Times New Roman" w:hAnsi="Times New Roman" w:cs="Times New Roman"/>
          <w:sz w:val="24"/>
          <w:szCs w:val="24"/>
        </w:rPr>
        <w:t xml:space="preserve"> -55 + 25 = -30</w:t>
      </w:r>
    </w:p>
    <w:p w14:paraId="154B93E8" w14:textId="77777777" w:rsidR="00AE500C" w:rsidRPr="009C58C4" w:rsidRDefault="00AE500C" w:rsidP="006A5714">
      <w:pPr>
        <w:numPr>
          <w:ilvl w:val="0"/>
          <w:numId w:val="4"/>
        </w:numPr>
        <w:spacing w:after="120" w:line="360" w:lineRule="auto"/>
        <w:rPr>
          <w:rFonts w:ascii="Times New Roman" w:hAnsi="Times New Roman" w:cs="Times New Roman"/>
          <w:sz w:val="24"/>
          <w:szCs w:val="24"/>
        </w:rPr>
      </w:pPr>
      <w:r w:rsidRPr="009C58C4">
        <w:rPr>
          <w:rFonts w:ascii="Times New Roman" w:hAnsi="Times New Roman" w:cs="Times New Roman"/>
          <w:b/>
          <w:sz w:val="24"/>
          <w:szCs w:val="24"/>
        </w:rPr>
        <w:t>Year 3:</w:t>
      </w:r>
      <w:r w:rsidRPr="009C58C4">
        <w:rPr>
          <w:rFonts w:ascii="Times New Roman" w:hAnsi="Times New Roman" w:cs="Times New Roman"/>
          <w:sz w:val="24"/>
          <w:szCs w:val="24"/>
        </w:rPr>
        <w:t xml:space="preserve"> -30 + 20 = -10</w:t>
      </w:r>
    </w:p>
    <w:p w14:paraId="0F75DFA9" w14:textId="77777777" w:rsidR="00AE500C" w:rsidRPr="009C58C4" w:rsidRDefault="00AE500C" w:rsidP="006A5714">
      <w:pPr>
        <w:numPr>
          <w:ilvl w:val="0"/>
          <w:numId w:val="4"/>
        </w:numPr>
        <w:spacing w:after="120" w:line="360" w:lineRule="auto"/>
        <w:rPr>
          <w:rFonts w:ascii="Times New Roman" w:hAnsi="Times New Roman" w:cs="Times New Roman"/>
          <w:sz w:val="24"/>
          <w:szCs w:val="24"/>
        </w:rPr>
      </w:pPr>
      <w:r w:rsidRPr="009C58C4">
        <w:rPr>
          <w:rFonts w:ascii="Times New Roman" w:hAnsi="Times New Roman" w:cs="Times New Roman"/>
          <w:b/>
          <w:sz w:val="24"/>
          <w:szCs w:val="24"/>
        </w:rPr>
        <w:t>Year 4:</w:t>
      </w:r>
      <w:r w:rsidRPr="009C58C4">
        <w:rPr>
          <w:rFonts w:ascii="Times New Roman" w:hAnsi="Times New Roman" w:cs="Times New Roman"/>
          <w:sz w:val="24"/>
          <w:szCs w:val="24"/>
        </w:rPr>
        <w:t xml:space="preserve"> -10 + 55 = 45</w:t>
      </w:r>
    </w:p>
    <w:p w14:paraId="38120899" w14:textId="77777777" w:rsidR="00AE500C" w:rsidRPr="009C58C4" w:rsidRDefault="00AE500C" w:rsidP="006A5714">
      <w:pPr>
        <w:spacing w:after="240" w:line="360" w:lineRule="auto"/>
        <w:rPr>
          <w:rFonts w:ascii="Times New Roman" w:hAnsi="Times New Roman" w:cs="Times New Roman"/>
          <w:sz w:val="24"/>
          <w:szCs w:val="24"/>
        </w:rPr>
      </w:pPr>
      <w:r w:rsidRPr="009C58C4">
        <w:rPr>
          <w:rFonts w:ascii="Times New Roman" w:hAnsi="Times New Roman" w:cs="Times New Roman"/>
          <w:sz w:val="24"/>
          <w:szCs w:val="24"/>
        </w:rPr>
        <w:t>The payback occurs between year 3 and 4. The exact payback period is calculated as:</w:t>
      </w:r>
    </w:p>
    <w:p w14:paraId="26E0A3E2" w14:textId="77777777" w:rsidR="00AE500C" w:rsidRPr="009C58C4" w:rsidRDefault="00AE500C" w:rsidP="006A5714">
      <w:pPr>
        <w:spacing w:after="240" w:line="360" w:lineRule="auto"/>
        <w:rPr>
          <w:rFonts w:ascii="Times New Roman" w:hAnsi="Times New Roman" w:cs="Times New Roman"/>
          <w:sz w:val="24"/>
          <w:szCs w:val="24"/>
        </w:rPr>
      </w:pPr>
      <m:oMathPara>
        <m:oMath>
          <m:r>
            <m:rPr>
              <m:nor/>
            </m:rPr>
            <w:rPr>
              <w:rFonts w:ascii="Times New Roman" w:hAnsi="Times New Roman" w:cs="Times New Roman"/>
              <w:sz w:val="24"/>
              <w:szCs w:val="24"/>
            </w:rPr>
            <m:t>PBP for A</m:t>
          </m:r>
          <m:r>
            <m:rPr>
              <m:sty m:val="p"/>
            </m:rPr>
            <w:rPr>
              <w:rFonts w:ascii="Cambria Math" w:hAnsi="Cambria Math" w:cs="Times New Roman"/>
              <w:sz w:val="24"/>
              <w:szCs w:val="24"/>
            </w:rPr>
            <m:t>=3+</m:t>
          </m:r>
          <m:f>
            <m:fPr>
              <m:ctrlPr>
                <w:rPr>
                  <w:rFonts w:ascii="Cambria Math" w:hAnsi="Cambria Math" w:cs="Times New Roman"/>
                  <w:sz w:val="24"/>
                  <w:szCs w:val="24"/>
                </w:rPr>
              </m:ctrlPr>
            </m:fPr>
            <m:num>
              <m:r>
                <m:rPr>
                  <m:sty m:val="p"/>
                </m:rPr>
                <w:rPr>
                  <w:rFonts w:ascii="Cambria Math" w:hAnsi="Cambria Math" w:cs="Times New Roman"/>
                  <w:sz w:val="24"/>
                  <w:szCs w:val="24"/>
                </w:rPr>
                <m:t>10</m:t>
              </m:r>
            </m:num>
            <m:den>
              <m:r>
                <m:rPr>
                  <m:sty m:val="p"/>
                </m:rPr>
                <w:rPr>
                  <w:rFonts w:ascii="Cambria Math" w:hAnsi="Cambria Math" w:cs="Times New Roman"/>
                  <w:sz w:val="24"/>
                  <w:szCs w:val="24"/>
                </w:rPr>
                <m:t>55</m:t>
              </m:r>
            </m:den>
          </m:f>
          <m:r>
            <m:rPr>
              <m:sty m:val="p"/>
            </m:rPr>
            <w:rPr>
              <w:rFonts w:ascii="Cambria Math" w:hAnsi="Cambria Math" w:cs="Times New Roman"/>
              <w:sz w:val="24"/>
              <w:szCs w:val="24"/>
            </w:rPr>
            <m:t>=3.18</m:t>
          </m:r>
          <m:r>
            <m:rPr>
              <m:nor/>
            </m:rPr>
            <w:rPr>
              <w:rFonts w:ascii="Times New Roman" w:hAnsi="Times New Roman" w:cs="Times New Roman"/>
              <w:sz w:val="24"/>
              <w:szCs w:val="24"/>
            </w:rPr>
            <m:t> years</m:t>
          </m:r>
        </m:oMath>
      </m:oMathPara>
    </w:p>
    <w:p w14:paraId="12FBE7D3" w14:textId="77777777" w:rsidR="00AE500C" w:rsidRPr="009C58C4" w:rsidRDefault="00AE500C" w:rsidP="006A5714">
      <w:pPr>
        <w:spacing w:before="240" w:line="360" w:lineRule="auto"/>
        <w:rPr>
          <w:rFonts w:ascii="Times New Roman" w:hAnsi="Times New Roman" w:cs="Times New Roman"/>
          <w:sz w:val="24"/>
          <w:szCs w:val="24"/>
        </w:rPr>
      </w:pPr>
      <w:r w:rsidRPr="009C58C4">
        <w:rPr>
          <w:rFonts w:ascii="Times New Roman" w:hAnsi="Times New Roman" w:cs="Times New Roman"/>
          <w:b/>
          <w:sz w:val="24"/>
          <w:szCs w:val="24"/>
        </w:rPr>
        <w:t>For Project B:</w:t>
      </w:r>
    </w:p>
    <w:p w14:paraId="64F95182" w14:textId="77777777" w:rsidR="00AE500C" w:rsidRPr="009C58C4" w:rsidRDefault="00AE500C" w:rsidP="006A5714">
      <w:pPr>
        <w:numPr>
          <w:ilvl w:val="0"/>
          <w:numId w:val="5"/>
        </w:numPr>
        <w:spacing w:after="120" w:line="360" w:lineRule="auto"/>
        <w:rPr>
          <w:rFonts w:ascii="Times New Roman" w:hAnsi="Times New Roman" w:cs="Times New Roman"/>
          <w:sz w:val="24"/>
          <w:szCs w:val="24"/>
        </w:rPr>
      </w:pPr>
      <w:r w:rsidRPr="009C58C4">
        <w:rPr>
          <w:rFonts w:ascii="Times New Roman" w:hAnsi="Times New Roman" w:cs="Times New Roman"/>
          <w:b/>
          <w:sz w:val="24"/>
          <w:szCs w:val="24"/>
        </w:rPr>
        <w:t>Year 0:</w:t>
      </w:r>
      <w:r w:rsidRPr="009C58C4">
        <w:rPr>
          <w:rFonts w:ascii="Times New Roman" w:hAnsi="Times New Roman" w:cs="Times New Roman"/>
          <w:sz w:val="24"/>
          <w:szCs w:val="24"/>
        </w:rPr>
        <w:t xml:space="preserve"> -75</w:t>
      </w:r>
    </w:p>
    <w:p w14:paraId="4BB8C97C" w14:textId="77777777" w:rsidR="00AE500C" w:rsidRPr="009C58C4" w:rsidRDefault="00AE500C" w:rsidP="006A5714">
      <w:pPr>
        <w:numPr>
          <w:ilvl w:val="0"/>
          <w:numId w:val="5"/>
        </w:numPr>
        <w:spacing w:after="120" w:line="360" w:lineRule="auto"/>
        <w:rPr>
          <w:rFonts w:ascii="Times New Roman" w:hAnsi="Times New Roman" w:cs="Times New Roman"/>
          <w:sz w:val="24"/>
          <w:szCs w:val="24"/>
        </w:rPr>
      </w:pPr>
      <w:r w:rsidRPr="009C58C4">
        <w:rPr>
          <w:rFonts w:ascii="Times New Roman" w:hAnsi="Times New Roman" w:cs="Times New Roman"/>
          <w:b/>
          <w:sz w:val="24"/>
          <w:szCs w:val="24"/>
        </w:rPr>
        <w:t>Year 1:</w:t>
      </w:r>
      <w:r w:rsidRPr="009C58C4">
        <w:rPr>
          <w:rFonts w:ascii="Times New Roman" w:hAnsi="Times New Roman" w:cs="Times New Roman"/>
          <w:sz w:val="24"/>
          <w:szCs w:val="24"/>
        </w:rPr>
        <w:t xml:space="preserve"> -75 + 50 = -25</w:t>
      </w:r>
    </w:p>
    <w:p w14:paraId="0B166B0C" w14:textId="77777777" w:rsidR="00AE500C" w:rsidRPr="009C58C4" w:rsidRDefault="00AE500C" w:rsidP="006A5714">
      <w:pPr>
        <w:numPr>
          <w:ilvl w:val="0"/>
          <w:numId w:val="5"/>
        </w:numPr>
        <w:spacing w:after="120" w:line="360" w:lineRule="auto"/>
        <w:rPr>
          <w:rFonts w:ascii="Times New Roman" w:hAnsi="Times New Roman" w:cs="Times New Roman"/>
          <w:sz w:val="24"/>
          <w:szCs w:val="24"/>
        </w:rPr>
      </w:pPr>
      <w:r w:rsidRPr="009C58C4">
        <w:rPr>
          <w:rFonts w:ascii="Times New Roman" w:hAnsi="Times New Roman" w:cs="Times New Roman"/>
          <w:b/>
          <w:sz w:val="24"/>
          <w:szCs w:val="24"/>
        </w:rPr>
        <w:t>Year 2:</w:t>
      </w:r>
      <w:r w:rsidRPr="009C58C4">
        <w:rPr>
          <w:rFonts w:ascii="Times New Roman" w:hAnsi="Times New Roman" w:cs="Times New Roman"/>
          <w:sz w:val="24"/>
          <w:szCs w:val="24"/>
        </w:rPr>
        <w:t xml:space="preserve"> -25 + 20 = -5</w:t>
      </w:r>
    </w:p>
    <w:p w14:paraId="76156C65" w14:textId="77777777" w:rsidR="00AE500C" w:rsidRPr="009C58C4" w:rsidRDefault="00AE500C" w:rsidP="006A5714">
      <w:pPr>
        <w:numPr>
          <w:ilvl w:val="0"/>
          <w:numId w:val="5"/>
        </w:numPr>
        <w:spacing w:after="120" w:line="360" w:lineRule="auto"/>
        <w:rPr>
          <w:rFonts w:ascii="Times New Roman" w:hAnsi="Times New Roman" w:cs="Times New Roman"/>
          <w:sz w:val="24"/>
          <w:szCs w:val="24"/>
        </w:rPr>
      </w:pPr>
      <w:r w:rsidRPr="009C58C4">
        <w:rPr>
          <w:rFonts w:ascii="Times New Roman" w:hAnsi="Times New Roman" w:cs="Times New Roman"/>
          <w:b/>
          <w:sz w:val="24"/>
          <w:szCs w:val="24"/>
        </w:rPr>
        <w:t>Year 3:</w:t>
      </w:r>
      <w:r w:rsidRPr="009C58C4">
        <w:rPr>
          <w:rFonts w:ascii="Times New Roman" w:hAnsi="Times New Roman" w:cs="Times New Roman"/>
          <w:sz w:val="24"/>
          <w:szCs w:val="24"/>
        </w:rPr>
        <w:t xml:space="preserve"> -5 + 20 = 15</w:t>
      </w:r>
    </w:p>
    <w:p w14:paraId="2EEC5202" w14:textId="77777777" w:rsidR="00AE500C" w:rsidRPr="009C58C4" w:rsidRDefault="00AE500C" w:rsidP="006A5714">
      <w:pPr>
        <w:spacing w:after="240" w:line="360" w:lineRule="auto"/>
        <w:rPr>
          <w:rFonts w:ascii="Times New Roman" w:hAnsi="Times New Roman" w:cs="Times New Roman"/>
          <w:sz w:val="24"/>
          <w:szCs w:val="24"/>
        </w:rPr>
      </w:pPr>
      <w:r w:rsidRPr="009C58C4">
        <w:rPr>
          <w:rFonts w:ascii="Times New Roman" w:hAnsi="Times New Roman" w:cs="Times New Roman"/>
          <w:sz w:val="24"/>
          <w:szCs w:val="24"/>
        </w:rPr>
        <w:t>The payback occurs between year 2 and 3. The exact payback period is calculated as:</w:t>
      </w:r>
    </w:p>
    <w:p w14:paraId="3B12DF2F" w14:textId="77777777" w:rsidR="00AE500C" w:rsidRPr="009C58C4" w:rsidRDefault="00AE500C" w:rsidP="006A5714">
      <w:pPr>
        <w:spacing w:after="240" w:line="360" w:lineRule="auto"/>
        <w:rPr>
          <w:rFonts w:ascii="Times New Roman" w:hAnsi="Times New Roman" w:cs="Times New Roman"/>
          <w:sz w:val="24"/>
          <w:szCs w:val="24"/>
        </w:rPr>
      </w:pPr>
      <m:oMathPara>
        <m:oMath>
          <m:r>
            <m:rPr>
              <m:nor/>
            </m:rPr>
            <w:rPr>
              <w:rFonts w:ascii="Times New Roman" w:hAnsi="Times New Roman" w:cs="Times New Roman"/>
              <w:sz w:val="24"/>
              <w:szCs w:val="24"/>
            </w:rPr>
            <m:t>PBP for B</m:t>
          </m:r>
          <m:r>
            <m:rPr>
              <m:sty m:val="p"/>
            </m:rPr>
            <w:rPr>
              <w:rFonts w:ascii="Cambria Math" w:hAnsi="Cambria Math" w:cs="Times New Roman"/>
              <w:sz w:val="24"/>
              <w:szCs w:val="24"/>
            </w:rPr>
            <m:t>=2+</m:t>
          </m:r>
          <m:f>
            <m:fPr>
              <m:ctrlPr>
                <w:rPr>
                  <w:rFonts w:ascii="Cambria Math" w:hAnsi="Cambria Math" w:cs="Times New Roman"/>
                  <w:sz w:val="24"/>
                  <w:szCs w:val="24"/>
                </w:rPr>
              </m:ctrlPr>
            </m:fPr>
            <m:num>
              <m:r>
                <m:rPr>
                  <m:sty m:val="p"/>
                </m:rPr>
                <w:rPr>
                  <w:rFonts w:ascii="Cambria Math" w:hAnsi="Cambria Math" w:cs="Times New Roman"/>
                  <w:sz w:val="24"/>
                  <w:szCs w:val="24"/>
                </w:rPr>
                <m:t>5</m:t>
              </m:r>
            </m:num>
            <m:den>
              <m:r>
                <m:rPr>
                  <m:sty m:val="p"/>
                </m:rPr>
                <w:rPr>
                  <w:rFonts w:ascii="Cambria Math" w:hAnsi="Cambria Math" w:cs="Times New Roman"/>
                  <w:sz w:val="24"/>
                  <w:szCs w:val="24"/>
                </w:rPr>
                <m:t>20</m:t>
              </m:r>
            </m:den>
          </m:f>
          <m:r>
            <m:rPr>
              <m:sty m:val="p"/>
            </m:rPr>
            <w:rPr>
              <w:rFonts w:ascii="Cambria Math" w:hAnsi="Cambria Math" w:cs="Times New Roman"/>
              <w:sz w:val="24"/>
              <w:szCs w:val="24"/>
            </w:rPr>
            <m:t>=2.25</m:t>
          </m:r>
          <m:r>
            <m:rPr>
              <m:nor/>
            </m:rPr>
            <w:rPr>
              <w:rFonts w:ascii="Times New Roman" w:hAnsi="Times New Roman" w:cs="Times New Roman"/>
              <w:sz w:val="24"/>
              <w:szCs w:val="24"/>
            </w:rPr>
            <m:t> years</m:t>
          </m:r>
        </m:oMath>
      </m:oMathPara>
    </w:p>
    <w:p w14:paraId="5E08DA5A" w14:textId="77777777" w:rsidR="00AE500C" w:rsidRPr="009C58C4" w:rsidRDefault="00AE500C" w:rsidP="006A5714">
      <w:pPr>
        <w:spacing w:before="240" w:line="360" w:lineRule="auto"/>
        <w:rPr>
          <w:rFonts w:ascii="Times New Roman" w:hAnsi="Times New Roman" w:cs="Times New Roman"/>
          <w:sz w:val="24"/>
          <w:szCs w:val="24"/>
        </w:rPr>
      </w:pPr>
      <w:r w:rsidRPr="009C58C4">
        <w:rPr>
          <w:rFonts w:ascii="Times New Roman" w:hAnsi="Times New Roman" w:cs="Times New Roman"/>
          <w:b/>
          <w:sz w:val="24"/>
          <w:szCs w:val="24"/>
        </w:rPr>
        <w:t>2. Accounting Rate of Return (ARR)</w:t>
      </w:r>
    </w:p>
    <w:p w14:paraId="6A71DE78" w14:textId="77777777" w:rsidR="00AE500C" w:rsidRPr="009C58C4" w:rsidRDefault="00AE500C" w:rsidP="006A5714">
      <w:pPr>
        <w:spacing w:before="240" w:line="360" w:lineRule="auto"/>
        <w:rPr>
          <w:rFonts w:ascii="Times New Roman" w:hAnsi="Times New Roman" w:cs="Times New Roman"/>
          <w:sz w:val="24"/>
          <w:szCs w:val="24"/>
        </w:rPr>
      </w:pPr>
      <w:r w:rsidRPr="009C58C4">
        <w:rPr>
          <w:rFonts w:ascii="Times New Roman" w:hAnsi="Times New Roman" w:cs="Times New Roman"/>
          <w:b/>
          <w:sz w:val="24"/>
          <w:szCs w:val="24"/>
        </w:rPr>
        <w:t>For Project A:</w:t>
      </w:r>
    </w:p>
    <w:p w14:paraId="2D7084F3" w14:textId="77777777" w:rsidR="00AE500C" w:rsidRPr="009C58C4" w:rsidRDefault="00AE500C" w:rsidP="006A5714">
      <w:pPr>
        <w:spacing w:after="240" w:line="360" w:lineRule="auto"/>
        <w:rPr>
          <w:rFonts w:ascii="Times New Roman" w:hAnsi="Times New Roman" w:cs="Times New Roman"/>
          <w:sz w:val="24"/>
          <w:szCs w:val="24"/>
        </w:rPr>
      </w:pPr>
      <m:oMathPara>
        <m:oMath>
          <m:r>
            <m:rPr>
              <m:nor/>
            </m:rPr>
            <w:rPr>
              <w:rFonts w:ascii="Times New Roman" w:hAnsi="Times New Roman" w:cs="Times New Roman"/>
              <w:sz w:val="24"/>
              <w:szCs w:val="24"/>
            </w:rPr>
            <m:t>Total Cash Flow</m:t>
          </m:r>
          <m:r>
            <m:rPr>
              <m:sty m:val="p"/>
            </m:rPr>
            <w:rPr>
              <w:rFonts w:ascii="Cambria Math" w:hAnsi="Cambria Math" w:cs="Times New Roman"/>
              <w:sz w:val="24"/>
              <w:szCs w:val="24"/>
            </w:rPr>
            <m:t>=25+25+20+55=125</m:t>
          </m:r>
          <m:box>
            <m:boxPr>
              <m:ctrlPr>
                <w:rPr>
                  <w:rFonts w:ascii="Cambria Math" w:hAnsi="Cambria Math" w:cs="Times New Roman"/>
                  <w:sz w:val="24"/>
                  <w:szCs w:val="24"/>
                </w:rPr>
              </m:ctrlPr>
            </m:boxPr>
            <m:e>
              <m:r>
                <m:rPr>
                  <m:sty m:val="p"/>
                </m:rPr>
                <w:rPr>
                  <w:rFonts w:ascii="Cambria Math" w:hAnsi="Cambria Math" w:cs="Times New Roman"/>
                  <w:sz w:val="24"/>
                  <w:szCs w:val="24"/>
                </w:rPr>
                <m:t xml:space="preserve"> </m:t>
              </m:r>
            </m:e>
          </m:box>
          <m:r>
            <m:rPr>
              <m:nor/>
            </m:rPr>
            <w:rPr>
              <w:rFonts w:ascii="Times New Roman" w:hAnsi="Times New Roman" w:cs="Times New Roman"/>
              <w:sz w:val="24"/>
              <w:szCs w:val="24"/>
            </w:rPr>
            <m:t>million</m:t>
          </m:r>
        </m:oMath>
      </m:oMathPara>
    </w:p>
    <w:p w14:paraId="50A93292" w14:textId="77777777" w:rsidR="00AE500C" w:rsidRPr="009C58C4" w:rsidRDefault="00AE500C" w:rsidP="006A5714">
      <w:pPr>
        <w:spacing w:after="240" w:line="360" w:lineRule="auto"/>
        <w:rPr>
          <w:rFonts w:ascii="Times New Roman" w:hAnsi="Times New Roman" w:cs="Times New Roman"/>
          <w:sz w:val="24"/>
          <w:szCs w:val="24"/>
        </w:rPr>
      </w:pPr>
      <m:oMathPara>
        <m:oMath>
          <m:r>
            <m:rPr>
              <m:nor/>
            </m:rPr>
            <w:rPr>
              <w:rFonts w:ascii="Times New Roman" w:hAnsi="Times New Roman" w:cs="Times New Roman"/>
              <w:sz w:val="24"/>
              <w:szCs w:val="24"/>
            </w:rPr>
            <w:lastRenderedPageBreak/>
            <m:t>Average Annual Cash Flow</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125</m:t>
              </m:r>
            </m:num>
            <m:den>
              <m:r>
                <m:rPr>
                  <m:sty m:val="p"/>
                </m:rPr>
                <w:rPr>
                  <w:rFonts w:ascii="Cambria Math" w:hAnsi="Cambria Math" w:cs="Times New Roman"/>
                  <w:sz w:val="24"/>
                  <w:szCs w:val="24"/>
                </w:rPr>
                <m:t>4</m:t>
              </m:r>
            </m:den>
          </m:f>
          <m:r>
            <m:rPr>
              <m:sty m:val="p"/>
            </m:rPr>
            <w:rPr>
              <w:rFonts w:ascii="Cambria Math" w:hAnsi="Cambria Math" w:cs="Times New Roman"/>
              <w:sz w:val="24"/>
              <w:szCs w:val="24"/>
            </w:rPr>
            <m:t>=31.25</m:t>
          </m:r>
          <m:box>
            <m:boxPr>
              <m:ctrlPr>
                <w:rPr>
                  <w:rFonts w:ascii="Cambria Math" w:hAnsi="Cambria Math" w:cs="Times New Roman"/>
                  <w:sz w:val="24"/>
                  <w:szCs w:val="24"/>
                </w:rPr>
              </m:ctrlPr>
            </m:boxPr>
            <m:e>
              <m:r>
                <m:rPr>
                  <m:sty m:val="p"/>
                </m:rPr>
                <w:rPr>
                  <w:rFonts w:ascii="Cambria Math" w:hAnsi="Cambria Math" w:cs="Times New Roman"/>
                  <w:sz w:val="24"/>
                  <w:szCs w:val="24"/>
                </w:rPr>
                <m:t xml:space="preserve"> </m:t>
              </m:r>
            </m:e>
          </m:box>
          <m:r>
            <m:rPr>
              <m:nor/>
            </m:rPr>
            <w:rPr>
              <w:rFonts w:ascii="Times New Roman" w:hAnsi="Times New Roman" w:cs="Times New Roman"/>
              <w:sz w:val="24"/>
              <w:szCs w:val="24"/>
            </w:rPr>
            <m:t>million</m:t>
          </m:r>
        </m:oMath>
      </m:oMathPara>
    </w:p>
    <w:p w14:paraId="0605F225" w14:textId="77777777" w:rsidR="00AE500C" w:rsidRPr="009C58C4" w:rsidRDefault="00AE500C" w:rsidP="006A5714">
      <w:pPr>
        <w:spacing w:after="240" w:line="360" w:lineRule="auto"/>
        <w:rPr>
          <w:rFonts w:ascii="Times New Roman" w:hAnsi="Times New Roman" w:cs="Times New Roman"/>
          <w:sz w:val="24"/>
          <w:szCs w:val="24"/>
        </w:rPr>
      </w:pPr>
      <m:oMathPara>
        <m:oMath>
          <m:r>
            <m:rPr>
              <m:nor/>
            </m:rPr>
            <w:rPr>
              <w:rFonts w:ascii="Times New Roman" w:hAnsi="Times New Roman" w:cs="Times New Roman"/>
              <w:sz w:val="24"/>
              <w:szCs w:val="24"/>
            </w:rPr>
            <m:t>ARR for A</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31.25</m:t>
              </m:r>
            </m:num>
            <m:den>
              <m:r>
                <m:rPr>
                  <m:sty m:val="p"/>
                </m:rPr>
                <w:rPr>
                  <w:rFonts w:ascii="Cambria Math" w:hAnsi="Cambria Math" w:cs="Times New Roman"/>
                  <w:sz w:val="24"/>
                  <w:szCs w:val="24"/>
                </w:rPr>
                <m:t>80</m:t>
              </m:r>
            </m:den>
          </m:f>
          <m:r>
            <m:rPr>
              <m:sty m:val="p"/>
            </m:rPr>
            <w:rPr>
              <w:rFonts w:ascii="Cambria Math" w:hAnsi="Cambria Math" w:cs="Times New Roman"/>
              <w:sz w:val="24"/>
              <w:szCs w:val="24"/>
            </w:rPr>
            <m:t>×100=39.06%</m:t>
          </m:r>
        </m:oMath>
      </m:oMathPara>
    </w:p>
    <w:p w14:paraId="2D272685" w14:textId="77777777" w:rsidR="00AE500C" w:rsidRPr="009C58C4" w:rsidRDefault="00AE500C" w:rsidP="006A5714">
      <w:pPr>
        <w:spacing w:before="240" w:line="360" w:lineRule="auto"/>
        <w:rPr>
          <w:rFonts w:ascii="Times New Roman" w:hAnsi="Times New Roman" w:cs="Times New Roman"/>
          <w:sz w:val="24"/>
          <w:szCs w:val="24"/>
        </w:rPr>
      </w:pPr>
      <w:r w:rsidRPr="009C58C4">
        <w:rPr>
          <w:rFonts w:ascii="Times New Roman" w:hAnsi="Times New Roman" w:cs="Times New Roman"/>
          <w:b/>
          <w:sz w:val="24"/>
          <w:szCs w:val="24"/>
        </w:rPr>
        <w:t>For Project B:</w:t>
      </w:r>
    </w:p>
    <w:p w14:paraId="51FD952E" w14:textId="77777777" w:rsidR="00AE500C" w:rsidRPr="009C58C4" w:rsidRDefault="00AE500C" w:rsidP="006A5714">
      <w:pPr>
        <w:spacing w:after="240" w:line="360" w:lineRule="auto"/>
        <w:rPr>
          <w:rFonts w:ascii="Times New Roman" w:hAnsi="Times New Roman" w:cs="Times New Roman"/>
          <w:sz w:val="24"/>
          <w:szCs w:val="24"/>
        </w:rPr>
      </w:pPr>
      <m:oMathPara>
        <m:oMath>
          <m:r>
            <m:rPr>
              <m:nor/>
            </m:rPr>
            <w:rPr>
              <w:rFonts w:ascii="Times New Roman" w:hAnsi="Times New Roman" w:cs="Times New Roman"/>
              <w:sz w:val="24"/>
              <w:szCs w:val="24"/>
            </w:rPr>
            <m:t>Total Cash Flow</m:t>
          </m:r>
          <m:r>
            <m:rPr>
              <m:sty m:val="p"/>
            </m:rPr>
            <w:rPr>
              <w:rFonts w:ascii="Cambria Math" w:hAnsi="Cambria Math" w:cs="Times New Roman"/>
              <w:sz w:val="24"/>
              <w:szCs w:val="24"/>
            </w:rPr>
            <m:t>=50+20+20+20=110</m:t>
          </m:r>
          <m:box>
            <m:boxPr>
              <m:ctrlPr>
                <w:rPr>
                  <w:rFonts w:ascii="Cambria Math" w:hAnsi="Cambria Math" w:cs="Times New Roman"/>
                  <w:sz w:val="24"/>
                  <w:szCs w:val="24"/>
                </w:rPr>
              </m:ctrlPr>
            </m:boxPr>
            <m:e>
              <m:r>
                <m:rPr>
                  <m:sty m:val="p"/>
                </m:rPr>
                <w:rPr>
                  <w:rFonts w:ascii="Cambria Math" w:hAnsi="Cambria Math" w:cs="Times New Roman"/>
                  <w:sz w:val="24"/>
                  <w:szCs w:val="24"/>
                </w:rPr>
                <m:t xml:space="preserve"> </m:t>
              </m:r>
            </m:e>
          </m:box>
          <m:r>
            <m:rPr>
              <m:nor/>
            </m:rPr>
            <w:rPr>
              <w:rFonts w:ascii="Times New Roman" w:hAnsi="Times New Roman" w:cs="Times New Roman"/>
              <w:sz w:val="24"/>
              <w:szCs w:val="24"/>
            </w:rPr>
            <m:t>million</m:t>
          </m:r>
        </m:oMath>
      </m:oMathPara>
    </w:p>
    <w:p w14:paraId="0850EFE3" w14:textId="77777777" w:rsidR="00AE500C" w:rsidRPr="009C58C4" w:rsidRDefault="00AE500C" w:rsidP="006A5714">
      <w:pPr>
        <w:spacing w:after="240" w:line="360" w:lineRule="auto"/>
        <w:rPr>
          <w:rFonts w:ascii="Times New Roman" w:hAnsi="Times New Roman" w:cs="Times New Roman"/>
          <w:sz w:val="24"/>
          <w:szCs w:val="24"/>
        </w:rPr>
      </w:pPr>
      <m:oMathPara>
        <m:oMath>
          <m:r>
            <m:rPr>
              <m:nor/>
            </m:rPr>
            <w:rPr>
              <w:rFonts w:ascii="Times New Roman" w:hAnsi="Times New Roman" w:cs="Times New Roman"/>
              <w:sz w:val="24"/>
              <w:szCs w:val="24"/>
            </w:rPr>
            <m:t>Average Annual Cash Flow</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110</m:t>
              </m:r>
            </m:num>
            <m:den>
              <m:r>
                <m:rPr>
                  <m:sty m:val="p"/>
                </m:rPr>
                <w:rPr>
                  <w:rFonts w:ascii="Cambria Math" w:hAnsi="Cambria Math" w:cs="Times New Roman"/>
                  <w:sz w:val="24"/>
                  <w:szCs w:val="24"/>
                </w:rPr>
                <m:t>4</m:t>
              </m:r>
            </m:den>
          </m:f>
          <m:r>
            <m:rPr>
              <m:sty m:val="p"/>
            </m:rPr>
            <w:rPr>
              <w:rFonts w:ascii="Cambria Math" w:hAnsi="Cambria Math" w:cs="Times New Roman"/>
              <w:sz w:val="24"/>
              <w:szCs w:val="24"/>
            </w:rPr>
            <m:t>=27.5</m:t>
          </m:r>
          <m:box>
            <m:boxPr>
              <m:ctrlPr>
                <w:rPr>
                  <w:rFonts w:ascii="Cambria Math" w:hAnsi="Cambria Math" w:cs="Times New Roman"/>
                  <w:sz w:val="24"/>
                  <w:szCs w:val="24"/>
                </w:rPr>
              </m:ctrlPr>
            </m:boxPr>
            <m:e>
              <m:r>
                <m:rPr>
                  <m:sty m:val="p"/>
                </m:rPr>
                <w:rPr>
                  <w:rFonts w:ascii="Cambria Math" w:hAnsi="Cambria Math" w:cs="Times New Roman"/>
                  <w:sz w:val="24"/>
                  <w:szCs w:val="24"/>
                </w:rPr>
                <m:t xml:space="preserve"> </m:t>
              </m:r>
            </m:e>
          </m:box>
          <m:r>
            <m:rPr>
              <m:nor/>
            </m:rPr>
            <w:rPr>
              <w:rFonts w:ascii="Times New Roman" w:hAnsi="Times New Roman" w:cs="Times New Roman"/>
              <w:sz w:val="24"/>
              <w:szCs w:val="24"/>
            </w:rPr>
            <m:t>million</m:t>
          </m:r>
        </m:oMath>
      </m:oMathPara>
    </w:p>
    <w:p w14:paraId="240F99B4" w14:textId="77777777" w:rsidR="00AE500C" w:rsidRPr="009C58C4" w:rsidRDefault="00AE500C" w:rsidP="006A5714">
      <w:pPr>
        <w:spacing w:after="240" w:line="360" w:lineRule="auto"/>
        <w:rPr>
          <w:rFonts w:ascii="Times New Roman" w:hAnsi="Times New Roman" w:cs="Times New Roman"/>
          <w:sz w:val="24"/>
          <w:szCs w:val="24"/>
        </w:rPr>
      </w:pPr>
      <m:oMathPara>
        <m:oMath>
          <m:r>
            <m:rPr>
              <m:nor/>
            </m:rPr>
            <w:rPr>
              <w:rFonts w:ascii="Times New Roman" w:hAnsi="Times New Roman" w:cs="Times New Roman"/>
              <w:sz w:val="24"/>
              <w:szCs w:val="24"/>
            </w:rPr>
            <m:t>ARR for B</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27.5</m:t>
              </m:r>
            </m:num>
            <m:den>
              <m:r>
                <m:rPr>
                  <m:sty m:val="p"/>
                </m:rPr>
                <w:rPr>
                  <w:rFonts w:ascii="Cambria Math" w:hAnsi="Cambria Math" w:cs="Times New Roman"/>
                  <w:sz w:val="24"/>
                  <w:szCs w:val="24"/>
                </w:rPr>
                <m:t>75</m:t>
              </m:r>
            </m:den>
          </m:f>
          <m:r>
            <m:rPr>
              <m:sty m:val="p"/>
            </m:rPr>
            <w:rPr>
              <w:rFonts w:ascii="Cambria Math" w:hAnsi="Cambria Math" w:cs="Times New Roman"/>
              <w:sz w:val="24"/>
              <w:szCs w:val="24"/>
            </w:rPr>
            <m:t>×100=36.67%</m:t>
          </m:r>
        </m:oMath>
      </m:oMathPara>
    </w:p>
    <w:p w14:paraId="058857C0" w14:textId="77777777" w:rsidR="00AE500C" w:rsidRPr="009C58C4" w:rsidRDefault="00AE500C" w:rsidP="006A5714">
      <w:pPr>
        <w:spacing w:before="240" w:line="360" w:lineRule="auto"/>
        <w:rPr>
          <w:rFonts w:ascii="Times New Roman" w:hAnsi="Times New Roman" w:cs="Times New Roman"/>
          <w:sz w:val="24"/>
          <w:szCs w:val="24"/>
        </w:rPr>
      </w:pPr>
      <w:r w:rsidRPr="009C58C4">
        <w:rPr>
          <w:rFonts w:ascii="Times New Roman" w:hAnsi="Times New Roman" w:cs="Times New Roman"/>
          <w:b/>
          <w:sz w:val="24"/>
          <w:szCs w:val="24"/>
        </w:rPr>
        <w:t>3. Net Present Value (NPV)</w:t>
      </w:r>
    </w:p>
    <w:p w14:paraId="5A9B0D8E" w14:textId="77777777" w:rsidR="00AE500C" w:rsidRPr="009C58C4" w:rsidRDefault="00AE500C" w:rsidP="006A5714">
      <w:pPr>
        <w:spacing w:after="240" w:line="360" w:lineRule="auto"/>
        <w:rPr>
          <w:rFonts w:ascii="Times New Roman" w:hAnsi="Times New Roman" w:cs="Times New Roman"/>
          <w:sz w:val="24"/>
          <w:szCs w:val="24"/>
        </w:rPr>
      </w:pPr>
      <w:r w:rsidRPr="009C58C4">
        <w:rPr>
          <w:rFonts w:ascii="Times New Roman" w:hAnsi="Times New Roman" w:cs="Times New Roman"/>
          <w:sz w:val="24"/>
          <w:szCs w:val="24"/>
        </w:rPr>
        <w:t>The NPV is the sum of the present values (PVs) of all cash flows associated with the project, discounted at the cost of capital (9.75%).</w:t>
      </w:r>
    </w:p>
    <w:p w14:paraId="0963F241" w14:textId="77777777" w:rsidR="00AE500C" w:rsidRPr="009C58C4" w:rsidRDefault="00AE500C" w:rsidP="006A5714">
      <w:pPr>
        <w:spacing w:after="240" w:line="360" w:lineRule="auto"/>
        <w:rPr>
          <w:rFonts w:ascii="Times New Roman" w:hAnsi="Times New Roman" w:cs="Times New Roman"/>
          <w:sz w:val="24"/>
          <w:szCs w:val="24"/>
        </w:rPr>
      </w:pPr>
      <w:r w:rsidRPr="009C58C4">
        <w:rPr>
          <w:rFonts w:ascii="Times New Roman" w:hAnsi="Times New Roman" w:cs="Times New Roman"/>
          <w:sz w:val="24"/>
          <w:szCs w:val="24"/>
        </w:rPr>
        <w:t>The formula for NPV is:</w:t>
      </w:r>
    </w:p>
    <w:p w14:paraId="5A517025" w14:textId="77777777" w:rsidR="00AE500C" w:rsidRPr="009C58C4" w:rsidRDefault="00AE500C" w:rsidP="006A5714">
      <w:pPr>
        <w:spacing w:after="240" w:line="360" w:lineRule="auto"/>
        <w:rPr>
          <w:rFonts w:ascii="Times New Roman" w:hAnsi="Times New Roman" w:cs="Times New Roman"/>
          <w:sz w:val="24"/>
          <w:szCs w:val="24"/>
        </w:rPr>
      </w:pPr>
      <m:oMathPara>
        <m:oMath>
          <m:r>
            <m:rPr>
              <m:nor/>
            </m:rPr>
            <w:rPr>
              <w:rFonts w:ascii="Times New Roman" w:hAnsi="Times New Roman" w:cs="Times New Roman"/>
              <w:sz w:val="24"/>
              <w:szCs w:val="24"/>
            </w:rPr>
            <m:t>NPV</m:t>
          </m:r>
          <m:r>
            <m:rPr>
              <m:sty m:val="p"/>
            </m:rPr>
            <w:rPr>
              <w:rFonts w:ascii="Cambria Math" w:hAnsi="Cambria Math" w:cs="Times New Roman"/>
              <w:sz w:val="24"/>
              <w:szCs w:val="24"/>
            </w:rPr>
            <m:t>=</m:t>
          </m:r>
          <m:nary>
            <m:naryPr>
              <m:chr m:val="∑"/>
              <m:limLoc m:val="undOvr"/>
              <m:subHide m:val="1"/>
              <m:supHide m:val="1"/>
              <m:ctrlPr>
                <w:rPr>
                  <w:rFonts w:ascii="Cambria Math" w:hAnsi="Cambria Math" w:cs="Times New Roman"/>
                  <w:sz w:val="24"/>
                  <w:szCs w:val="24"/>
                </w:rPr>
              </m:ctrlPr>
            </m:naryPr>
            <m:sub/>
            <m:sup/>
            <m:e>
              <m:r>
                <w:rPr>
                  <w:rFonts w:ascii="Cambria Math" w:hAnsi="Cambria Math" w:cs="Times New Roman"/>
                  <w:sz w:val="24"/>
                  <w:szCs w:val="24"/>
                </w:rPr>
                <m:t xml:space="preserve"> </m:t>
              </m:r>
            </m:e>
          </m:nary>
          <m:f>
            <m:fPr>
              <m:ctrlPr>
                <w:rPr>
                  <w:rFonts w:ascii="Cambria Math" w:hAnsi="Cambria Math" w:cs="Times New Roman"/>
                  <w:sz w:val="24"/>
                  <w:szCs w:val="24"/>
                </w:rPr>
              </m:ctrlPr>
            </m:fPr>
            <m:num>
              <m:r>
                <m:rPr>
                  <m:nor/>
                </m:rPr>
                <w:rPr>
                  <w:rFonts w:ascii="Times New Roman" w:hAnsi="Times New Roman" w:cs="Times New Roman"/>
                  <w:sz w:val="24"/>
                  <w:szCs w:val="24"/>
                </w:rPr>
                <m:t>Cash Flow in Year </m:t>
              </m:r>
              <m:r>
                <w:rPr>
                  <w:rFonts w:ascii="Cambria Math" w:hAnsi="Cambria Math" w:cs="Times New Roman"/>
                  <w:sz w:val="24"/>
                  <w:szCs w:val="24"/>
                </w:rPr>
                <m:t>n</m:t>
              </m:r>
            </m:num>
            <m:den>
              <m:r>
                <m:rPr>
                  <m:sty m:val="p"/>
                </m:rPr>
                <w:rPr>
                  <w:rFonts w:ascii="Cambria Math" w:hAnsi="Cambria Math" w:cs="Times New Roman"/>
                  <w:sz w:val="24"/>
                  <w:szCs w:val="24"/>
                </w:rPr>
                <m:t>(1+</m:t>
              </m:r>
              <m:r>
                <w:rPr>
                  <w:rFonts w:ascii="Cambria Math" w:hAnsi="Cambria Math" w:cs="Times New Roman"/>
                  <w:sz w:val="24"/>
                  <w:szCs w:val="24"/>
                </w:rPr>
                <m:t>r</m:t>
              </m:r>
              <m:sSup>
                <m:sSupPr>
                  <m:ctrlPr>
                    <w:rPr>
                      <w:rFonts w:ascii="Cambria Math" w:hAnsi="Cambria Math" w:cs="Times New Roman"/>
                      <w:sz w:val="24"/>
                      <w:szCs w:val="24"/>
                    </w:rPr>
                  </m:ctrlPr>
                </m:sSupPr>
                <m:e>
                  <m:r>
                    <m:rPr>
                      <m:sty m:val="p"/>
                    </m:rPr>
                    <w:rPr>
                      <w:rFonts w:ascii="Cambria Math" w:hAnsi="Cambria Math" w:cs="Times New Roman"/>
                      <w:sz w:val="24"/>
                      <w:szCs w:val="24"/>
                    </w:rPr>
                    <m:t>)</m:t>
                  </m:r>
                </m:e>
                <m:sup>
                  <m:r>
                    <w:rPr>
                      <w:rFonts w:ascii="Cambria Math" w:hAnsi="Cambria Math" w:cs="Times New Roman"/>
                      <w:sz w:val="24"/>
                      <w:szCs w:val="24"/>
                    </w:rPr>
                    <m:t>n</m:t>
                  </m:r>
                </m:sup>
              </m:sSup>
            </m:den>
          </m:f>
          <m:r>
            <m:rPr>
              <m:sty m:val="p"/>
            </m:rPr>
            <w:rPr>
              <w:rFonts w:ascii="Cambria Math" w:hAnsi="Cambria Math" w:cs="Times New Roman"/>
              <w:sz w:val="24"/>
              <w:szCs w:val="24"/>
            </w:rPr>
            <m:t>-</m:t>
          </m:r>
          <m:r>
            <m:rPr>
              <m:nor/>
            </m:rPr>
            <w:rPr>
              <w:rFonts w:ascii="Times New Roman" w:hAnsi="Times New Roman" w:cs="Times New Roman"/>
              <w:sz w:val="24"/>
              <w:szCs w:val="24"/>
            </w:rPr>
            <m:t>Initial Investment</m:t>
          </m:r>
        </m:oMath>
      </m:oMathPara>
    </w:p>
    <w:p w14:paraId="01480EB1" w14:textId="77777777" w:rsidR="00AE500C" w:rsidRPr="009C58C4" w:rsidRDefault="00AE500C" w:rsidP="006A5714">
      <w:pPr>
        <w:spacing w:after="240" w:line="360" w:lineRule="auto"/>
        <w:rPr>
          <w:rFonts w:ascii="Times New Roman" w:hAnsi="Times New Roman" w:cs="Times New Roman"/>
          <w:sz w:val="24"/>
          <w:szCs w:val="24"/>
        </w:rPr>
      </w:pPr>
      <w:r w:rsidRPr="009C58C4">
        <w:rPr>
          <w:rFonts w:ascii="Times New Roman" w:hAnsi="Times New Roman" w:cs="Times New Roman"/>
          <w:sz w:val="24"/>
          <w:szCs w:val="24"/>
        </w:rPr>
        <w:t xml:space="preserve">Where </w:t>
      </w:r>
      <m:oMath>
        <m:r>
          <w:rPr>
            <w:rFonts w:ascii="Cambria Math" w:hAnsi="Cambria Math" w:cs="Times New Roman"/>
            <w:sz w:val="24"/>
            <w:szCs w:val="24"/>
          </w:rPr>
          <m:t>r</m:t>
        </m:r>
      </m:oMath>
      <w:r w:rsidRPr="009C58C4">
        <w:rPr>
          <w:rFonts w:ascii="Times New Roman" w:hAnsi="Times New Roman" w:cs="Times New Roman"/>
          <w:sz w:val="24"/>
          <w:szCs w:val="24"/>
        </w:rPr>
        <w:t xml:space="preserve"> is the discount rate (9.75%</w:t>
      </w:r>
      <w:proofErr w:type="gramStart"/>
      <w:r w:rsidRPr="009C58C4">
        <w:rPr>
          <w:rFonts w:ascii="Times New Roman" w:hAnsi="Times New Roman" w:cs="Times New Roman"/>
          <w:sz w:val="24"/>
          <w:szCs w:val="24"/>
        </w:rPr>
        <w:t>).</w:t>
      </w:r>
      <w:proofErr w:type="gramEnd"/>
    </w:p>
    <w:p w14:paraId="44684835" w14:textId="77777777" w:rsidR="00AE500C" w:rsidRPr="009C58C4" w:rsidRDefault="00AE500C" w:rsidP="006A5714">
      <w:pPr>
        <w:spacing w:before="240" w:line="360" w:lineRule="auto"/>
        <w:rPr>
          <w:rFonts w:ascii="Times New Roman" w:hAnsi="Times New Roman" w:cs="Times New Roman"/>
          <w:sz w:val="24"/>
          <w:szCs w:val="24"/>
        </w:rPr>
      </w:pPr>
      <w:r w:rsidRPr="009C58C4">
        <w:rPr>
          <w:rFonts w:ascii="Times New Roman" w:hAnsi="Times New Roman" w:cs="Times New Roman"/>
          <w:b/>
          <w:sz w:val="24"/>
          <w:szCs w:val="24"/>
        </w:rPr>
        <w:t>For Project A:</w:t>
      </w:r>
    </w:p>
    <w:p w14:paraId="6FA70406" w14:textId="77777777" w:rsidR="00AE500C" w:rsidRPr="009C58C4" w:rsidRDefault="000A7D1A" w:rsidP="006A5714">
      <w:pPr>
        <w:spacing w:after="240" w:line="360" w:lineRule="auto"/>
        <w:rPr>
          <w:rFonts w:ascii="Times New Roman" w:hAnsi="Times New Roman" w:cs="Times New Roman"/>
          <w:sz w:val="24"/>
          <w:szCs w:val="24"/>
        </w:rPr>
      </w:pPr>
      <m:oMathPara>
        <m:oMath>
          <m:m>
            <m:mPr>
              <m:plcHide m:val="1"/>
              <m:cGpRule m:val="4"/>
              <m:mcs>
                <m:mc>
                  <m:mcPr>
                    <m:count m:val="1"/>
                    <m:mcJc m:val="right"/>
                  </m:mcPr>
                </m:mc>
                <m:mc>
                  <m:mcPr>
                    <m:count m:val="1"/>
                    <m:mcJc m:val="left"/>
                  </m:mcPr>
                </m:mc>
              </m:mcs>
              <m:ctrlPr>
                <w:rPr>
                  <w:rFonts w:ascii="Cambria Math" w:hAnsi="Cambria Math" w:cs="Times New Roman"/>
                  <w:i/>
                  <w:sz w:val="24"/>
                  <w:szCs w:val="24"/>
                </w:rPr>
              </m:ctrlPr>
            </m:mPr>
            <m:mr>
              <m:e>
                <m:r>
                  <m:rPr>
                    <m:nor/>
                  </m:rPr>
                  <w:rPr>
                    <w:rFonts w:ascii="Times New Roman" w:hAnsi="Times New Roman" w:cs="Times New Roman"/>
                    <w:sz w:val="24"/>
                    <w:szCs w:val="24"/>
                  </w:rPr>
                  <m:t>NPV for A</m:t>
                </m:r>
              </m:e>
              <m:e>
                <m:r>
                  <w:rPr>
                    <w:rFonts w:ascii="Cambria Math" w:hAnsi="Cambria Math" w:cs="Times New Roman"/>
                    <w:sz w:val="24"/>
                    <w:szCs w:val="24"/>
                  </w:rPr>
                  <m:t xml:space="preserve"> </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25</m:t>
                    </m:r>
                  </m:num>
                  <m:den>
                    <m:r>
                      <m:rPr>
                        <m:sty m:val="p"/>
                      </m:rPr>
                      <w:rPr>
                        <w:rFonts w:ascii="Cambria Math" w:hAnsi="Cambria Math" w:cs="Times New Roman"/>
                        <w:sz w:val="24"/>
                        <w:szCs w:val="24"/>
                      </w:rPr>
                      <m:t>(1.0975</m:t>
                    </m:r>
                    <m:sSup>
                      <m:sSupPr>
                        <m:ctrlPr>
                          <w:rPr>
                            <w:rFonts w:ascii="Cambria Math" w:hAnsi="Cambria Math" w:cs="Times New Roman"/>
                            <w:sz w:val="24"/>
                            <w:szCs w:val="24"/>
                          </w:rPr>
                        </m:ctrlPr>
                      </m:sSupPr>
                      <m:e>
                        <m:r>
                          <m:rPr>
                            <m:sty m:val="p"/>
                          </m:rPr>
                          <w:rPr>
                            <w:rFonts w:ascii="Cambria Math" w:hAnsi="Cambria Math" w:cs="Times New Roman"/>
                            <w:sz w:val="24"/>
                            <w:szCs w:val="24"/>
                          </w:rPr>
                          <m:t>)</m:t>
                        </m:r>
                      </m:e>
                      <m:sup>
                        <m:r>
                          <m:rPr>
                            <m:sty m:val="p"/>
                          </m:rPr>
                          <w:rPr>
                            <w:rFonts w:ascii="Cambria Math" w:hAnsi="Cambria Math" w:cs="Times New Roman"/>
                            <w:sz w:val="24"/>
                            <w:szCs w:val="24"/>
                          </w:rPr>
                          <m:t>1</m:t>
                        </m:r>
                      </m:sup>
                    </m:sSup>
                  </m:den>
                </m:f>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25</m:t>
                    </m:r>
                  </m:num>
                  <m:den>
                    <m:r>
                      <m:rPr>
                        <m:sty m:val="p"/>
                      </m:rPr>
                      <w:rPr>
                        <w:rFonts w:ascii="Cambria Math" w:hAnsi="Cambria Math" w:cs="Times New Roman"/>
                        <w:sz w:val="24"/>
                        <w:szCs w:val="24"/>
                      </w:rPr>
                      <m:t>(1.0975</m:t>
                    </m:r>
                    <m:sSup>
                      <m:sSupPr>
                        <m:ctrlPr>
                          <w:rPr>
                            <w:rFonts w:ascii="Cambria Math" w:hAnsi="Cambria Math" w:cs="Times New Roman"/>
                            <w:sz w:val="24"/>
                            <w:szCs w:val="24"/>
                          </w:rPr>
                        </m:ctrlPr>
                      </m:sSupPr>
                      <m:e>
                        <m:r>
                          <m:rPr>
                            <m:sty m:val="p"/>
                          </m:rPr>
                          <w:rPr>
                            <w:rFonts w:ascii="Cambria Math" w:hAnsi="Cambria Math" w:cs="Times New Roman"/>
                            <w:sz w:val="24"/>
                            <w:szCs w:val="24"/>
                          </w:rPr>
                          <m:t>)</m:t>
                        </m:r>
                      </m:e>
                      <m:sup>
                        <m:r>
                          <m:rPr>
                            <m:sty m:val="p"/>
                          </m:rPr>
                          <w:rPr>
                            <w:rFonts w:ascii="Cambria Math" w:hAnsi="Cambria Math" w:cs="Times New Roman"/>
                            <w:sz w:val="24"/>
                            <w:szCs w:val="24"/>
                          </w:rPr>
                          <m:t>2</m:t>
                        </m:r>
                      </m:sup>
                    </m:sSup>
                  </m:den>
                </m:f>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20</m:t>
                    </m:r>
                  </m:num>
                  <m:den>
                    <m:r>
                      <m:rPr>
                        <m:sty m:val="p"/>
                      </m:rPr>
                      <w:rPr>
                        <w:rFonts w:ascii="Cambria Math" w:hAnsi="Cambria Math" w:cs="Times New Roman"/>
                        <w:sz w:val="24"/>
                        <w:szCs w:val="24"/>
                      </w:rPr>
                      <m:t>(1.0975</m:t>
                    </m:r>
                    <m:sSup>
                      <m:sSupPr>
                        <m:ctrlPr>
                          <w:rPr>
                            <w:rFonts w:ascii="Cambria Math" w:hAnsi="Cambria Math" w:cs="Times New Roman"/>
                            <w:sz w:val="24"/>
                            <w:szCs w:val="24"/>
                          </w:rPr>
                        </m:ctrlPr>
                      </m:sSupPr>
                      <m:e>
                        <m:r>
                          <m:rPr>
                            <m:sty m:val="p"/>
                          </m:rPr>
                          <w:rPr>
                            <w:rFonts w:ascii="Cambria Math" w:hAnsi="Cambria Math" w:cs="Times New Roman"/>
                            <w:sz w:val="24"/>
                            <w:szCs w:val="24"/>
                          </w:rPr>
                          <m:t>)</m:t>
                        </m:r>
                      </m:e>
                      <m:sup>
                        <m:r>
                          <m:rPr>
                            <m:sty m:val="p"/>
                          </m:rPr>
                          <w:rPr>
                            <w:rFonts w:ascii="Cambria Math" w:hAnsi="Cambria Math" w:cs="Times New Roman"/>
                            <w:sz w:val="24"/>
                            <w:szCs w:val="24"/>
                          </w:rPr>
                          <m:t>3</m:t>
                        </m:r>
                      </m:sup>
                    </m:sSup>
                  </m:den>
                </m:f>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55</m:t>
                    </m:r>
                  </m:num>
                  <m:den>
                    <m:r>
                      <m:rPr>
                        <m:sty m:val="p"/>
                      </m:rPr>
                      <w:rPr>
                        <w:rFonts w:ascii="Cambria Math" w:hAnsi="Cambria Math" w:cs="Times New Roman"/>
                        <w:sz w:val="24"/>
                        <w:szCs w:val="24"/>
                      </w:rPr>
                      <m:t>(1.0975</m:t>
                    </m:r>
                    <m:sSup>
                      <m:sSupPr>
                        <m:ctrlPr>
                          <w:rPr>
                            <w:rFonts w:ascii="Cambria Math" w:hAnsi="Cambria Math" w:cs="Times New Roman"/>
                            <w:sz w:val="24"/>
                            <w:szCs w:val="24"/>
                          </w:rPr>
                        </m:ctrlPr>
                      </m:sSupPr>
                      <m:e>
                        <m:r>
                          <m:rPr>
                            <m:sty m:val="p"/>
                          </m:rPr>
                          <w:rPr>
                            <w:rFonts w:ascii="Cambria Math" w:hAnsi="Cambria Math" w:cs="Times New Roman"/>
                            <w:sz w:val="24"/>
                            <w:szCs w:val="24"/>
                          </w:rPr>
                          <m:t>)</m:t>
                        </m:r>
                      </m:e>
                      <m:sup>
                        <m:r>
                          <m:rPr>
                            <m:sty m:val="p"/>
                          </m:rPr>
                          <w:rPr>
                            <w:rFonts w:ascii="Cambria Math" w:hAnsi="Cambria Math" w:cs="Times New Roman"/>
                            <w:sz w:val="24"/>
                            <w:szCs w:val="24"/>
                          </w:rPr>
                          <m:t>4</m:t>
                        </m:r>
                      </m:sup>
                    </m:sSup>
                  </m:den>
                </m:f>
                <m:r>
                  <m:rPr>
                    <m:sty m:val="p"/>
                  </m:rPr>
                  <w:rPr>
                    <w:rFonts w:ascii="Cambria Math" w:hAnsi="Cambria Math" w:cs="Times New Roman"/>
                    <w:sz w:val="24"/>
                    <w:szCs w:val="24"/>
                  </w:rPr>
                  <m:t>-80</m:t>
                </m:r>
              </m:e>
            </m:mr>
            <m:mr>
              <m:e/>
              <m:e>
                <m:r>
                  <w:rPr>
                    <w:rFonts w:ascii="Cambria Math" w:hAnsi="Cambria Math" w:cs="Times New Roman"/>
                    <w:sz w:val="24"/>
                    <w:szCs w:val="24"/>
                  </w:rPr>
                  <m:t xml:space="preserve"> </m:t>
                </m:r>
                <m:r>
                  <m:rPr>
                    <m:sty m:val="p"/>
                  </m:rPr>
                  <w:rPr>
                    <w:rFonts w:ascii="Cambria Math" w:hAnsi="Cambria Math" w:cs="Times New Roman"/>
                    <w:sz w:val="24"/>
                    <w:szCs w:val="24"/>
                  </w:rPr>
                  <m:t>=22.79+20.75+15.13+37.07-80</m:t>
                </m:r>
              </m:e>
            </m:mr>
            <m:mr>
              <m:e/>
              <m:e>
                <m:r>
                  <w:rPr>
                    <w:rFonts w:ascii="Cambria Math" w:hAnsi="Cambria Math" w:cs="Times New Roman"/>
                    <w:sz w:val="24"/>
                    <w:szCs w:val="24"/>
                  </w:rPr>
                  <m:t xml:space="preserve"> </m:t>
                </m:r>
                <m:r>
                  <m:rPr>
                    <m:sty m:val="p"/>
                  </m:rPr>
                  <w:rPr>
                    <w:rFonts w:ascii="Cambria Math" w:hAnsi="Cambria Math" w:cs="Times New Roman"/>
                    <w:sz w:val="24"/>
                    <w:szCs w:val="24"/>
                  </w:rPr>
                  <m:t>=15.74</m:t>
                </m:r>
                <m:box>
                  <m:boxPr>
                    <m:ctrlPr>
                      <w:rPr>
                        <w:rFonts w:ascii="Cambria Math" w:hAnsi="Cambria Math" w:cs="Times New Roman"/>
                        <w:sz w:val="24"/>
                        <w:szCs w:val="24"/>
                      </w:rPr>
                    </m:ctrlPr>
                  </m:boxPr>
                  <m:e>
                    <m:r>
                      <m:rPr>
                        <m:sty m:val="p"/>
                      </m:rPr>
                      <w:rPr>
                        <w:rFonts w:ascii="Cambria Math" w:hAnsi="Cambria Math" w:cs="Times New Roman"/>
                        <w:sz w:val="24"/>
                        <w:szCs w:val="24"/>
                      </w:rPr>
                      <m:t xml:space="preserve"> </m:t>
                    </m:r>
                  </m:e>
                </m:box>
                <m:r>
                  <m:rPr>
                    <m:nor/>
                  </m:rPr>
                  <w:rPr>
                    <w:rFonts w:ascii="Times New Roman" w:hAnsi="Times New Roman" w:cs="Times New Roman"/>
                    <w:sz w:val="24"/>
                    <w:szCs w:val="24"/>
                  </w:rPr>
                  <m:t>million</m:t>
                </m:r>
              </m:e>
            </m:mr>
          </m:m>
        </m:oMath>
      </m:oMathPara>
    </w:p>
    <w:p w14:paraId="75525FA0" w14:textId="77777777" w:rsidR="00AE500C" w:rsidRPr="009C58C4" w:rsidRDefault="00AE500C" w:rsidP="006A5714">
      <w:pPr>
        <w:spacing w:before="240" w:line="360" w:lineRule="auto"/>
        <w:rPr>
          <w:rFonts w:ascii="Times New Roman" w:hAnsi="Times New Roman" w:cs="Times New Roman"/>
          <w:sz w:val="24"/>
          <w:szCs w:val="24"/>
        </w:rPr>
      </w:pPr>
      <w:r w:rsidRPr="009C58C4">
        <w:rPr>
          <w:rFonts w:ascii="Times New Roman" w:hAnsi="Times New Roman" w:cs="Times New Roman"/>
          <w:b/>
          <w:sz w:val="24"/>
          <w:szCs w:val="24"/>
        </w:rPr>
        <w:t>For Project B:</w:t>
      </w:r>
    </w:p>
    <w:p w14:paraId="742B6A4B" w14:textId="77777777" w:rsidR="00AE500C" w:rsidRPr="009C58C4" w:rsidRDefault="000A7D1A" w:rsidP="006A5714">
      <w:pPr>
        <w:spacing w:after="240" w:line="360" w:lineRule="auto"/>
        <w:rPr>
          <w:rFonts w:ascii="Times New Roman" w:hAnsi="Times New Roman" w:cs="Times New Roman"/>
          <w:sz w:val="24"/>
          <w:szCs w:val="24"/>
        </w:rPr>
      </w:pPr>
      <m:oMathPara>
        <m:oMath>
          <m:m>
            <m:mPr>
              <m:plcHide m:val="1"/>
              <m:cGpRule m:val="4"/>
              <m:mcs>
                <m:mc>
                  <m:mcPr>
                    <m:count m:val="1"/>
                    <m:mcJc m:val="right"/>
                  </m:mcPr>
                </m:mc>
                <m:mc>
                  <m:mcPr>
                    <m:count m:val="1"/>
                    <m:mcJc m:val="left"/>
                  </m:mcPr>
                </m:mc>
              </m:mcs>
              <m:ctrlPr>
                <w:rPr>
                  <w:rFonts w:ascii="Cambria Math" w:hAnsi="Cambria Math" w:cs="Times New Roman"/>
                  <w:i/>
                  <w:sz w:val="24"/>
                  <w:szCs w:val="24"/>
                </w:rPr>
              </m:ctrlPr>
            </m:mPr>
            <m:mr>
              <m:e>
                <m:r>
                  <m:rPr>
                    <m:nor/>
                  </m:rPr>
                  <w:rPr>
                    <w:rFonts w:ascii="Times New Roman" w:hAnsi="Times New Roman" w:cs="Times New Roman"/>
                    <w:sz w:val="24"/>
                    <w:szCs w:val="24"/>
                  </w:rPr>
                  <m:t>NPV for B</m:t>
                </m:r>
              </m:e>
              <m:e>
                <m:r>
                  <w:rPr>
                    <w:rFonts w:ascii="Cambria Math" w:hAnsi="Cambria Math" w:cs="Times New Roman"/>
                    <w:sz w:val="24"/>
                    <w:szCs w:val="24"/>
                  </w:rPr>
                  <m:t xml:space="preserve"> </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50</m:t>
                    </m:r>
                  </m:num>
                  <m:den>
                    <m:r>
                      <m:rPr>
                        <m:sty m:val="p"/>
                      </m:rPr>
                      <w:rPr>
                        <w:rFonts w:ascii="Cambria Math" w:hAnsi="Cambria Math" w:cs="Times New Roman"/>
                        <w:sz w:val="24"/>
                        <w:szCs w:val="24"/>
                      </w:rPr>
                      <m:t>(1.0975</m:t>
                    </m:r>
                    <m:sSup>
                      <m:sSupPr>
                        <m:ctrlPr>
                          <w:rPr>
                            <w:rFonts w:ascii="Cambria Math" w:hAnsi="Cambria Math" w:cs="Times New Roman"/>
                            <w:sz w:val="24"/>
                            <w:szCs w:val="24"/>
                          </w:rPr>
                        </m:ctrlPr>
                      </m:sSupPr>
                      <m:e>
                        <m:r>
                          <m:rPr>
                            <m:sty m:val="p"/>
                          </m:rPr>
                          <w:rPr>
                            <w:rFonts w:ascii="Cambria Math" w:hAnsi="Cambria Math" w:cs="Times New Roman"/>
                            <w:sz w:val="24"/>
                            <w:szCs w:val="24"/>
                          </w:rPr>
                          <m:t>)</m:t>
                        </m:r>
                      </m:e>
                      <m:sup>
                        <m:r>
                          <m:rPr>
                            <m:sty m:val="p"/>
                          </m:rPr>
                          <w:rPr>
                            <w:rFonts w:ascii="Cambria Math" w:hAnsi="Cambria Math" w:cs="Times New Roman"/>
                            <w:sz w:val="24"/>
                            <w:szCs w:val="24"/>
                          </w:rPr>
                          <m:t>1</m:t>
                        </m:r>
                      </m:sup>
                    </m:sSup>
                  </m:den>
                </m:f>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20</m:t>
                    </m:r>
                  </m:num>
                  <m:den>
                    <m:r>
                      <m:rPr>
                        <m:sty m:val="p"/>
                      </m:rPr>
                      <w:rPr>
                        <w:rFonts w:ascii="Cambria Math" w:hAnsi="Cambria Math" w:cs="Times New Roman"/>
                        <w:sz w:val="24"/>
                        <w:szCs w:val="24"/>
                      </w:rPr>
                      <m:t>(1.0975</m:t>
                    </m:r>
                    <m:sSup>
                      <m:sSupPr>
                        <m:ctrlPr>
                          <w:rPr>
                            <w:rFonts w:ascii="Cambria Math" w:hAnsi="Cambria Math" w:cs="Times New Roman"/>
                            <w:sz w:val="24"/>
                            <w:szCs w:val="24"/>
                          </w:rPr>
                        </m:ctrlPr>
                      </m:sSupPr>
                      <m:e>
                        <m:r>
                          <m:rPr>
                            <m:sty m:val="p"/>
                          </m:rPr>
                          <w:rPr>
                            <w:rFonts w:ascii="Cambria Math" w:hAnsi="Cambria Math" w:cs="Times New Roman"/>
                            <w:sz w:val="24"/>
                            <w:szCs w:val="24"/>
                          </w:rPr>
                          <m:t>)</m:t>
                        </m:r>
                      </m:e>
                      <m:sup>
                        <m:r>
                          <m:rPr>
                            <m:sty m:val="p"/>
                          </m:rPr>
                          <w:rPr>
                            <w:rFonts w:ascii="Cambria Math" w:hAnsi="Cambria Math" w:cs="Times New Roman"/>
                            <w:sz w:val="24"/>
                            <w:szCs w:val="24"/>
                          </w:rPr>
                          <m:t>2</m:t>
                        </m:r>
                      </m:sup>
                    </m:sSup>
                  </m:den>
                </m:f>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20</m:t>
                    </m:r>
                  </m:num>
                  <m:den>
                    <m:r>
                      <m:rPr>
                        <m:sty m:val="p"/>
                      </m:rPr>
                      <w:rPr>
                        <w:rFonts w:ascii="Cambria Math" w:hAnsi="Cambria Math" w:cs="Times New Roman"/>
                        <w:sz w:val="24"/>
                        <w:szCs w:val="24"/>
                      </w:rPr>
                      <m:t>(1.0975</m:t>
                    </m:r>
                    <m:sSup>
                      <m:sSupPr>
                        <m:ctrlPr>
                          <w:rPr>
                            <w:rFonts w:ascii="Cambria Math" w:hAnsi="Cambria Math" w:cs="Times New Roman"/>
                            <w:sz w:val="24"/>
                            <w:szCs w:val="24"/>
                          </w:rPr>
                        </m:ctrlPr>
                      </m:sSupPr>
                      <m:e>
                        <m:r>
                          <m:rPr>
                            <m:sty m:val="p"/>
                          </m:rPr>
                          <w:rPr>
                            <w:rFonts w:ascii="Cambria Math" w:hAnsi="Cambria Math" w:cs="Times New Roman"/>
                            <w:sz w:val="24"/>
                            <w:szCs w:val="24"/>
                          </w:rPr>
                          <m:t>)</m:t>
                        </m:r>
                      </m:e>
                      <m:sup>
                        <m:r>
                          <m:rPr>
                            <m:sty m:val="p"/>
                          </m:rPr>
                          <w:rPr>
                            <w:rFonts w:ascii="Cambria Math" w:hAnsi="Cambria Math" w:cs="Times New Roman"/>
                            <w:sz w:val="24"/>
                            <w:szCs w:val="24"/>
                          </w:rPr>
                          <m:t>3</m:t>
                        </m:r>
                      </m:sup>
                    </m:sSup>
                  </m:den>
                </m:f>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20</m:t>
                    </m:r>
                  </m:num>
                  <m:den>
                    <m:r>
                      <m:rPr>
                        <m:sty m:val="p"/>
                      </m:rPr>
                      <w:rPr>
                        <w:rFonts w:ascii="Cambria Math" w:hAnsi="Cambria Math" w:cs="Times New Roman"/>
                        <w:sz w:val="24"/>
                        <w:szCs w:val="24"/>
                      </w:rPr>
                      <m:t>(1.0975</m:t>
                    </m:r>
                    <m:sSup>
                      <m:sSupPr>
                        <m:ctrlPr>
                          <w:rPr>
                            <w:rFonts w:ascii="Cambria Math" w:hAnsi="Cambria Math" w:cs="Times New Roman"/>
                            <w:sz w:val="24"/>
                            <w:szCs w:val="24"/>
                          </w:rPr>
                        </m:ctrlPr>
                      </m:sSupPr>
                      <m:e>
                        <m:r>
                          <m:rPr>
                            <m:sty m:val="p"/>
                          </m:rPr>
                          <w:rPr>
                            <w:rFonts w:ascii="Cambria Math" w:hAnsi="Cambria Math" w:cs="Times New Roman"/>
                            <w:sz w:val="24"/>
                            <w:szCs w:val="24"/>
                          </w:rPr>
                          <m:t>)</m:t>
                        </m:r>
                      </m:e>
                      <m:sup>
                        <m:r>
                          <m:rPr>
                            <m:sty m:val="p"/>
                          </m:rPr>
                          <w:rPr>
                            <w:rFonts w:ascii="Cambria Math" w:hAnsi="Cambria Math" w:cs="Times New Roman"/>
                            <w:sz w:val="24"/>
                            <w:szCs w:val="24"/>
                          </w:rPr>
                          <m:t>4</m:t>
                        </m:r>
                      </m:sup>
                    </m:sSup>
                  </m:den>
                </m:f>
                <m:r>
                  <m:rPr>
                    <m:sty m:val="p"/>
                  </m:rPr>
                  <w:rPr>
                    <w:rFonts w:ascii="Cambria Math" w:hAnsi="Cambria Math" w:cs="Times New Roman"/>
                    <w:sz w:val="24"/>
                    <w:szCs w:val="24"/>
                  </w:rPr>
                  <m:t>-75</m:t>
                </m:r>
              </m:e>
            </m:mr>
            <m:mr>
              <m:e/>
              <m:e>
                <m:r>
                  <w:rPr>
                    <w:rFonts w:ascii="Cambria Math" w:hAnsi="Cambria Math" w:cs="Times New Roman"/>
                    <w:sz w:val="24"/>
                    <w:szCs w:val="24"/>
                  </w:rPr>
                  <m:t xml:space="preserve"> </m:t>
                </m:r>
                <m:r>
                  <m:rPr>
                    <m:sty m:val="p"/>
                  </m:rPr>
                  <w:rPr>
                    <w:rFonts w:ascii="Cambria Math" w:hAnsi="Cambria Math" w:cs="Times New Roman"/>
                    <w:sz w:val="24"/>
                    <w:szCs w:val="24"/>
                  </w:rPr>
                  <m:t>=45.56+16.59+15.13+13.78-75</m:t>
                </m:r>
              </m:e>
            </m:mr>
            <m:mr>
              <m:e/>
              <m:e>
                <m:r>
                  <w:rPr>
                    <w:rFonts w:ascii="Cambria Math" w:hAnsi="Cambria Math" w:cs="Times New Roman"/>
                    <w:sz w:val="24"/>
                    <w:szCs w:val="24"/>
                  </w:rPr>
                  <m:t xml:space="preserve"> </m:t>
                </m:r>
                <m:r>
                  <m:rPr>
                    <m:sty m:val="p"/>
                  </m:rPr>
                  <w:rPr>
                    <w:rFonts w:ascii="Cambria Math" w:hAnsi="Cambria Math" w:cs="Times New Roman"/>
                    <w:sz w:val="24"/>
                    <w:szCs w:val="24"/>
                  </w:rPr>
                  <m:t>=16.06</m:t>
                </m:r>
                <m:box>
                  <m:boxPr>
                    <m:ctrlPr>
                      <w:rPr>
                        <w:rFonts w:ascii="Cambria Math" w:hAnsi="Cambria Math" w:cs="Times New Roman"/>
                        <w:sz w:val="24"/>
                        <w:szCs w:val="24"/>
                      </w:rPr>
                    </m:ctrlPr>
                  </m:boxPr>
                  <m:e>
                    <m:r>
                      <m:rPr>
                        <m:sty m:val="p"/>
                      </m:rPr>
                      <w:rPr>
                        <w:rFonts w:ascii="Cambria Math" w:hAnsi="Cambria Math" w:cs="Times New Roman"/>
                        <w:sz w:val="24"/>
                        <w:szCs w:val="24"/>
                      </w:rPr>
                      <m:t xml:space="preserve"> </m:t>
                    </m:r>
                  </m:e>
                </m:box>
                <m:r>
                  <m:rPr>
                    <m:nor/>
                  </m:rPr>
                  <w:rPr>
                    <w:rFonts w:ascii="Times New Roman" w:hAnsi="Times New Roman" w:cs="Times New Roman"/>
                    <w:sz w:val="24"/>
                    <w:szCs w:val="24"/>
                  </w:rPr>
                  <m:t>million</m:t>
                </m:r>
              </m:e>
            </m:mr>
          </m:m>
        </m:oMath>
      </m:oMathPara>
    </w:p>
    <w:p w14:paraId="53ED3EF7" w14:textId="2A99EB63" w:rsidR="00AE500C" w:rsidRPr="009C58C4" w:rsidRDefault="00AE500C"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lastRenderedPageBreak/>
        <w:t>Project A and Project B both present viable investment opportunities, but they differ significantly in terms of their financial metrics. Project A has a slightly longer Payback Period (PBP) of 3.18 years compared to Project B's 2.25 years. This indicates that Project B recovers its initial investment faster, which could be advantageous for a company prioritizing liquidity or a quick return on investment.  The Accounting Rate of Return (ARR) for Project A is 39.06%, which is marginally higher than Project B's ARR of 36.67%. This suggests that Project A offers a better return on average annual profits relative to the initial investment. However, the difference is minimal, implying that both projects are nearly equally attractive in terms of profitability. When considering the Net Present Value (NPV), which takes into account the time value of money, Project B edges out Project A with an NPV of £16.06 million compared to £15.74 million for Project A. Despite the slight advantage in NPV, both projects generate a positive NPV, meaning they both add value to the company and should theoretically be pursued.</w:t>
      </w:r>
    </w:p>
    <w:p w14:paraId="4E5D3561" w14:textId="77777777" w:rsidR="00AE500C" w:rsidRPr="009C58C4" w:rsidRDefault="00AE500C"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Both projects have their strengths: Project B is slightly better in terms of NPV and has a faster payback period, making it less risky and more attractive in the short term. However, Project A offers a marginally higher ARR, indicating that it could be more profitable over time.</w:t>
      </w:r>
    </w:p>
    <w:p w14:paraId="68D5BBD4" w14:textId="7BA67948" w:rsidR="00AE500C" w:rsidRPr="009C58C4" w:rsidRDefault="00AE500C" w:rsidP="006A5714">
      <w:pPr>
        <w:spacing w:after="0" w:line="360" w:lineRule="auto"/>
        <w:ind w:firstLine="720"/>
        <w:rPr>
          <w:rFonts w:ascii="Times New Roman" w:hAnsi="Times New Roman" w:cs="Times New Roman"/>
          <w:b/>
          <w:bCs/>
          <w:sz w:val="24"/>
          <w:szCs w:val="24"/>
        </w:rPr>
      </w:pPr>
      <w:r w:rsidRPr="009C58C4">
        <w:rPr>
          <w:rFonts w:ascii="Times New Roman" w:hAnsi="Times New Roman" w:cs="Times New Roman"/>
          <w:b/>
          <w:bCs/>
          <w:sz w:val="24"/>
          <w:szCs w:val="24"/>
        </w:rPr>
        <w:t>Conclusion</w:t>
      </w:r>
    </w:p>
    <w:p w14:paraId="665EF1B8" w14:textId="1114B905" w:rsidR="000705D7" w:rsidRPr="009C58C4" w:rsidRDefault="00AE500C"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Given these factors, </w:t>
      </w:r>
      <w:r w:rsidRPr="009C58C4">
        <w:rPr>
          <w:rFonts w:ascii="Times New Roman" w:hAnsi="Times New Roman" w:cs="Times New Roman"/>
          <w:b/>
          <w:bCs/>
          <w:sz w:val="24"/>
          <w:szCs w:val="24"/>
        </w:rPr>
        <w:t>Project B</w:t>
      </w:r>
      <w:r w:rsidRPr="009C58C4">
        <w:rPr>
          <w:rFonts w:ascii="Times New Roman" w:hAnsi="Times New Roman" w:cs="Times New Roman"/>
          <w:sz w:val="24"/>
          <w:szCs w:val="24"/>
        </w:rPr>
        <w:t xml:space="preserve"> is recommended as the preferred option. It not only recovers the initial investment faster but also offers a slightly higher NPV, making it a less risky and more attractive investment. However, if the company’s strategic focus is on maximizing long-term profitability, Project A should not be dismissed, as it has a competitive ARR and a solid NPV, making it a viable alternative.</w:t>
      </w:r>
    </w:p>
    <w:p w14:paraId="630AB122" w14:textId="6F0B1E28" w:rsidR="009C7830" w:rsidRPr="009C58C4" w:rsidRDefault="009C7830" w:rsidP="006A5714">
      <w:pPr>
        <w:spacing w:after="0" w:line="360" w:lineRule="auto"/>
        <w:ind w:firstLine="720"/>
        <w:rPr>
          <w:rFonts w:ascii="Times New Roman" w:hAnsi="Times New Roman" w:cs="Times New Roman"/>
          <w:b/>
          <w:bCs/>
          <w:sz w:val="24"/>
          <w:szCs w:val="24"/>
        </w:rPr>
      </w:pPr>
      <w:r w:rsidRPr="009C58C4">
        <w:rPr>
          <w:rFonts w:ascii="Times New Roman" w:hAnsi="Times New Roman" w:cs="Times New Roman"/>
          <w:b/>
          <w:bCs/>
          <w:sz w:val="24"/>
          <w:szCs w:val="24"/>
        </w:rPr>
        <w:t>Question 2</w:t>
      </w:r>
    </w:p>
    <w:p w14:paraId="21439D7D" w14:textId="2085ABC7" w:rsidR="009C7830" w:rsidRPr="009C58C4" w:rsidRDefault="009C7830" w:rsidP="006A5714">
      <w:pPr>
        <w:spacing w:after="0" w:line="360" w:lineRule="auto"/>
        <w:ind w:firstLine="720"/>
        <w:rPr>
          <w:rFonts w:ascii="Times New Roman" w:hAnsi="Times New Roman" w:cs="Times New Roman"/>
          <w:b/>
          <w:bCs/>
          <w:sz w:val="24"/>
          <w:szCs w:val="24"/>
        </w:rPr>
      </w:pPr>
      <w:r w:rsidRPr="009C58C4">
        <w:rPr>
          <w:rFonts w:ascii="Times New Roman" w:hAnsi="Times New Roman" w:cs="Times New Roman"/>
          <w:b/>
          <w:bCs/>
          <w:sz w:val="24"/>
          <w:szCs w:val="24"/>
        </w:rPr>
        <w:t xml:space="preserve"> Advantages and Shortcomings of Investment Appraisal Techniques</w:t>
      </w:r>
    </w:p>
    <w:p w14:paraId="4D9F1D9C" w14:textId="32AA0362" w:rsidR="009C7830" w:rsidRPr="009C58C4" w:rsidRDefault="009C7830"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Investment appraisal techniques like Payback Period (PBP), Accounting Rate of Return (ARR), and Net Present Value (NPV) are crucial in assessing the viability of capital projects. Each technique offers unique advantages but also has notable shortcomings. The Payback Period (PBP) is appreciated for its simplicity and ease of use, making it popular among managers who require quick decision-making tools (</w:t>
      </w:r>
      <w:r w:rsidR="00B33005" w:rsidRPr="009C58C4">
        <w:rPr>
          <w:rFonts w:ascii="Times New Roman" w:hAnsi="Times New Roman" w:cs="Times New Roman"/>
          <w:color w:val="222222"/>
          <w:kern w:val="0"/>
          <w:sz w:val="24"/>
          <w:szCs w:val="24"/>
          <w:shd w:val="clear" w:color="auto" w:fill="FFFFFF"/>
          <w14:ligatures w14:val="none"/>
        </w:rPr>
        <w:t>Siziba, &amp; Hall, 2021</w:t>
      </w:r>
      <w:r w:rsidRPr="009C58C4">
        <w:rPr>
          <w:rFonts w:ascii="Times New Roman" w:hAnsi="Times New Roman" w:cs="Times New Roman"/>
          <w:sz w:val="24"/>
          <w:szCs w:val="24"/>
        </w:rPr>
        <w:t>). It effectively measures how quickly an investment can be recouped, which is particularly beneficial for liquidity-focused businesses or in high-risk environments. However, the PBP method has significant drawbacks, primarily its failure to consider the time value of money (</w:t>
      </w:r>
      <w:r w:rsidR="00B33005" w:rsidRPr="009C58C4">
        <w:rPr>
          <w:rFonts w:ascii="Times New Roman" w:hAnsi="Times New Roman" w:cs="Times New Roman"/>
          <w:color w:val="222222"/>
          <w:kern w:val="0"/>
          <w:sz w:val="24"/>
          <w:szCs w:val="24"/>
          <w:shd w:val="clear" w:color="auto" w:fill="FFFFFF"/>
          <w14:ligatures w14:val="none"/>
        </w:rPr>
        <w:t>John, 2019</w:t>
      </w:r>
      <w:r w:rsidRPr="009C58C4">
        <w:rPr>
          <w:rFonts w:ascii="Times New Roman" w:hAnsi="Times New Roman" w:cs="Times New Roman"/>
          <w:sz w:val="24"/>
          <w:szCs w:val="24"/>
        </w:rPr>
        <w:t xml:space="preserve">). This oversight can lead to suboptimal </w:t>
      </w:r>
      <w:r w:rsidRPr="009C58C4">
        <w:rPr>
          <w:rFonts w:ascii="Times New Roman" w:hAnsi="Times New Roman" w:cs="Times New Roman"/>
          <w:sz w:val="24"/>
          <w:szCs w:val="24"/>
        </w:rPr>
        <w:lastRenderedPageBreak/>
        <w:t>decisions, especially in long-term projects where later cash flows are undervalued. Additionally, PBP ignores any cash flows that occur after the payback period, potentially missing out on the full profitability picture of an investment.</w:t>
      </w:r>
    </w:p>
    <w:p w14:paraId="63E639A6" w14:textId="483A2226" w:rsidR="009C7830" w:rsidRPr="009C58C4" w:rsidRDefault="009C7830"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The Accounting Rate of Return (ARR) focuses on profitability by comparing average annual profits to the initial investment, making it a useful tool for profit-oriented evaluations (</w:t>
      </w:r>
      <w:r w:rsidR="00B33005" w:rsidRPr="009C58C4">
        <w:rPr>
          <w:rFonts w:ascii="Times New Roman" w:hAnsi="Times New Roman" w:cs="Times New Roman"/>
          <w:color w:val="222222"/>
          <w:kern w:val="0"/>
          <w:sz w:val="24"/>
          <w:szCs w:val="24"/>
          <w:shd w:val="clear" w:color="auto" w:fill="FFFFFF"/>
          <w14:ligatures w14:val="none"/>
        </w:rPr>
        <w:t>John, 2019</w:t>
      </w:r>
      <w:r w:rsidRPr="009C58C4">
        <w:rPr>
          <w:rFonts w:ascii="Times New Roman" w:hAnsi="Times New Roman" w:cs="Times New Roman"/>
          <w:sz w:val="24"/>
          <w:szCs w:val="24"/>
        </w:rPr>
        <w:t>). It is easy to calculate and understand, providing a straightforward percentage that can be compared with a company’s required rate of return or other investment opportunities. However, ARR shares the same shortcoming as PBP in that it does not account for the time value of money, which can lead to inaccuracies in long-term project evaluations. Additionally, because ARR relies on accounting profits, it is susceptible to manipulation through non-cash items like depreciation, which may not reflect the true economic benefits of the investment (</w:t>
      </w:r>
      <w:r w:rsidR="00B33005" w:rsidRPr="009C58C4">
        <w:rPr>
          <w:rFonts w:ascii="Times New Roman" w:hAnsi="Times New Roman" w:cs="Times New Roman"/>
          <w:color w:val="222222"/>
          <w:kern w:val="0"/>
          <w:sz w:val="24"/>
          <w:szCs w:val="24"/>
          <w:shd w:val="clear" w:color="auto" w:fill="FFFFFF"/>
          <w14:ligatures w14:val="none"/>
        </w:rPr>
        <w:t>Lai &amp; Locatelli, 2021</w:t>
      </w:r>
      <w:r w:rsidRPr="009C58C4">
        <w:rPr>
          <w:rFonts w:ascii="Times New Roman" w:hAnsi="Times New Roman" w:cs="Times New Roman"/>
          <w:sz w:val="24"/>
          <w:szCs w:val="24"/>
        </w:rPr>
        <w:t>).</w:t>
      </w:r>
    </w:p>
    <w:p w14:paraId="123E8CD2" w14:textId="484B0206" w:rsidR="009C7830" w:rsidRPr="009C58C4" w:rsidRDefault="009C7830"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 xml:space="preserve">The Net Present Value (NPV) method is widely regarded as the most reliable of the three techniques, primarily because it incorporates the time value of money into its calculations </w:t>
      </w:r>
      <w:r w:rsidR="00B33005" w:rsidRPr="009C58C4">
        <w:rPr>
          <w:rFonts w:ascii="Times New Roman" w:hAnsi="Times New Roman" w:cs="Times New Roman"/>
          <w:sz w:val="24"/>
          <w:szCs w:val="24"/>
        </w:rPr>
        <w:t>(</w:t>
      </w:r>
      <w:r w:rsidR="00B33005" w:rsidRPr="009C58C4">
        <w:rPr>
          <w:rFonts w:ascii="Times New Roman" w:hAnsi="Times New Roman" w:cs="Times New Roman"/>
          <w:color w:val="222222"/>
          <w:kern w:val="0"/>
          <w:sz w:val="24"/>
          <w:szCs w:val="24"/>
          <w:shd w:val="clear" w:color="auto" w:fill="FFFFFF"/>
          <w14:ligatures w14:val="none"/>
        </w:rPr>
        <w:t>Siziba &amp; Hall, 2021</w:t>
      </w:r>
      <w:r w:rsidRPr="009C58C4">
        <w:rPr>
          <w:rFonts w:ascii="Times New Roman" w:hAnsi="Times New Roman" w:cs="Times New Roman"/>
          <w:sz w:val="24"/>
          <w:szCs w:val="24"/>
        </w:rPr>
        <w:t>). By discounting future cash flows to their present value, NPV provides a more accurate measure of a project’s potential to create value for the firm. This method is aligned with the goal of maximizing shareholder wealth, as it directly measures the net increase in value an investment would bring to the company. However, the NPV method is also more complex and requires precise estimates of future cash flows and the appropriate discount rate. The sensitivity of NPV to these assumptions means that small errors in forecasting can lead to significant variations in the calculated NPV, potentially skewing decision-making (</w:t>
      </w:r>
      <w:r w:rsidR="00B33005" w:rsidRPr="009C58C4">
        <w:rPr>
          <w:rFonts w:ascii="Times New Roman" w:hAnsi="Times New Roman" w:cs="Times New Roman"/>
          <w:color w:val="222222"/>
          <w:kern w:val="0"/>
          <w:sz w:val="24"/>
          <w:szCs w:val="24"/>
          <w:shd w:val="clear" w:color="auto" w:fill="FFFFFF"/>
          <w14:ligatures w14:val="none"/>
        </w:rPr>
        <w:t>John, 2019</w:t>
      </w:r>
      <w:r w:rsidRPr="009C58C4">
        <w:rPr>
          <w:rFonts w:ascii="Times New Roman" w:hAnsi="Times New Roman" w:cs="Times New Roman"/>
          <w:sz w:val="24"/>
          <w:szCs w:val="24"/>
        </w:rPr>
        <w:t>).</w:t>
      </w:r>
    </w:p>
    <w:p w14:paraId="04ACFCE7" w14:textId="77777777" w:rsidR="009C7830" w:rsidRPr="009C58C4" w:rsidRDefault="009C7830" w:rsidP="006A5714">
      <w:pPr>
        <w:spacing w:after="0" w:line="360" w:lineRule="auto"/>
        <w:ind w:firstLine="720"/>
        <w:rPr>
          <w:rFonts w:ascii="Times New Roman" w:hAnsi="Times New Roman" w:cs="Times New Roman"/>
          <w:sz w:val="24"/>
          <w:szCs w:val="24"/>
        </w:rPr>
      </w:pPr>
    </w:p>
    <w:p w14:paraId="69C55F9E" w14:textId="0D089B4A" w:rsidR="009C7830" w:rsidRPr="009C58C4" w:rsidRDefault="009C7830" w:rsidP="006A5714">
      <w:pPr>
        <w:spacing w:after="0" w:line="360" w:lineRule="auto"/>
        <w:ind w:firstLine="720"/>
        <w:rPr>
          <w:rFonts w:ascii="Times New Roman" w:hAnsi="Times New Roman" w:cs="Times New Roman"/>
          <w:b/>
          <w:bCs/>
          <w:sz w:val="24"/>
          <w:szCs w:val="24"/>
        </w:rPr>
      </w:pPr>
      <w:r w:rsidRPr="009C58C4">
        <w:rPr>
          <w:rFonts w:ascii="Times New Roman" w:hAnsi="Times New Roman" w:cs="Times New Roman"/>
          <w:b/>
          <w:bCs/>
          <w:sz w:val="24"/>
          <w:szCs w:val="24"/>
        </w:rPr>
        <w:t xml:space="preserve"> Non-Financial Factors in Investment Decisions</w:t>
      </w:r>
    </w:p>
    <w:p w14:paraId="091D8536" w14:textId="34FB103B" w:rsidR="009C7830" w:rsidRPr="009C58C4" w:rsidRDefault="009C7830"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While financial metrics like PBP, ARR, and NPV are critical in evaluating capital projects, they do not capture the full range of factors that can influence the success of an investment. Strategic alignment is a key non-financial consideration. Projects that align with a company’s long-term strategic goals, even if they do not have the highest financial returns, may be favored because they support the overall direction and growth of the business (</w:t>
      </w:r>
      <w:r w:rsidR="00B33005" w:rsidRPr="009C58C4">
        <w:rPr>
          <w:rFonts w:ascii="Times New Roman" w:hAnsi="Times New Roman" w:cs="Times New Roman"/>
          <w:color w:val="222222"/>
          <w:kern w:val="0"/>
          <w:sz w:val="24"/>
          <w:szCs w:val="24"/>
          <w:shd w:val="clear" w:color="auto" w:fill="FFFFFF"/>
          <w14:ligatures w14:val="none"/>
        </w:rPr>
        <w:t xml:space="preserve">Kristi, &amp; </w:t>
      </w:r>
      <w:proofErr w:type="spellStart"/>
      <w:r w:rsidR="00B33005" w:rsidRPr="009C58C4">
        <w:rPr>
          <w:rFonts w:ascii="Times New Roman" w:hAnsi="Times New Roman" w:cs="Times New Roman"/>
          <w:color w:val="222222"/>
          <w:kern w:val="0"/>
          <w:sz w:val="24"/>
          <w:szCs w:val="24"/>
          <w:shd w:val="clear" w:color="auto" w:fill="FFFFFF"/>
          <w14:ligatures w14:val="none"/>
        </w:rPr>
        <w:t>Yanto</w:t>
      </w:r>
      <w:proofErr w:type="spellEnd"/>
      <w:r w:rsidR="00B33005" w:rsidRPr="009C58C4">
        <w:rPr>
          <w:rFonts w:ascii="Times New Roman" w:hAnsi="Times New Roman" w:cs="Times New Roman"/>
          <w:color w:val="222222"/>
          <w:kern w:val="0"/>
          <w:sz w:val="24"/>
          <w:szCs w:val="24"/>
          <w:shd w:val="clear" w:color="auto" w:fill="FFFFFF"/>
          <w14:ligatures w14:val="none"/>
        </w:rPr>
        <w:t>, 2020</w:t>
      </w:r>
      <w:r w:rsidRPr="009C58C4">
        <w:rPr>
          <w:rFonts w:ascii="Times New Roman" w:hAnsi="Times New Roman" w:cs="Times New Roman"/>
          <w:sz w:val="24"/>
          <w:szCs w:val="24"/>
        </w:rPr>
        <w:t>). For example, a project that helps a company enter a new market or develop a new technology might be prioritized, despite having a lower NPV compared to other investments.</w:t>
      </w:r>
    </w:p>
    <w:p w14:paraId="391B33FE" w14:textId="0370288A" w:rsidR="009C7830" w:rsidRPr="009C58C4" w:rsidRDefault="009C7830"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lastRenderedPageBreak/>
        <w:t>Environmental and social impact are increasingly important in today’s business environment. Companies are under growing pressure from stakeholders to invest in projects that contribute positively to society and the environment. Investments in sustainable technologies or projects that reduce carbon footprints, for instance, may be chosen for their long-term benefits to the company’s reputation and compliance with environmental regulations, even if their financial returns are modest (</w:t>
      </w:r>
      <w:r w:rsidR="00B33005" w:rsidRPr="009C58C4">
        <w:rPr>
          <w:rFonts w:ascii="Times New Roman" w:hAnsi="Times New Roman" w:cs="Times New Roman"/>
          <w:color w:val="222222"/>
          <w:kern w:val="0"/>
          <w:sz w:val="24"/>
          <w:szCs w:val="24"/>
          <w:shd w:val="clear" w:color="auto" w:fill="FFFFFF"/>
          <w14:ligatures w14:val="none"/>
        </w:rPr>
        <w:t>Zhang, &amp; Zheng, 2020</w:t>
      </w:r>
      <w:r w:rsidRPr="009C58C4">
        <w:rPr>
          <w:rFonts w:ascii="Times New Roman" w:hAnsi="Times New Roman" w:cs="Times New Roman"/>
          <w:sz w:val="24"/>
          <w:szCs w:val="24"/>
        </w:rPr>
        <w:t>).</w:t>
      </w:r>
    </w:p>
    <w:p w14:paraId="63A65AA2" w14:textId="5246FE6B" w:rsidR="005E5956" w:rsidRPr="009C58C4" w:rsidRDefault="009C7830" w:rsidP="006A5714">
      <w:pPr>
        <w:spacing w:after="0" w:line="360" w:lineRule="auto"/>
        <w:ind w:firstLine="720"/>
        <w:rPr>
          <w:rFonts w:ascii="Times New Roman" w:hAnsi="Times New Roman" w:cs="Times New Roman"/>
          <w:sz w:val="24"/>
          <w:szCs w:val="24"/>
        </w:rPr>
      </w:pPr>
      <w:r w:rsidRPr="009C58C4">
        <w:rPr>
          <w:rFonts w:ascii="Times New Roman" w:hAnsi="Times New Roman" w:cs="Times New Roman"/>
          <w:sz w:val="24"/>
          <w:szCs w:val="24"/>
        </w:rPr>
        <w:t>Regulatory and legal compliance is another critical non-financial factor. Projects must adhere to relevant laws and regulations, and those that carry legal risks or are likely to face regulatory hurdles may be less attractive, regardless of their financial metrics. Furthermore, the reputation and brand image of the company can be significantly affected by its investment decisions</w:t>
      </w:r>
      <w:r w:rsidR="00B33005" w:rsidRPr="009C58C4">
        <w:rPr>
          <w:rFonts w:ascii="Times New Roman" w:hAnsi="Times New Roman" w:cs="Times New Roman"/>
          <w:sz w:val="24"/>
          <w:szCs w:val="24"/>
        </w:rPr>
        <w:t xml:space="preserve"> (</w:t>
      </w:r>
      <w:r w:rsidR="00B33005" w:rsidRPr="009C58C4">
        <w:rPr>
          <w:rFonts w:ascii="Times New Roman" w:hAnsi="Times New Roman" w:cs="Times New Roman"/>
          <w:color w:val="222222"/>
          <w:kern w:val="0"/>
          <w:sz w:val="24"/>
          <w:szCs w:val="24"/>
          <w:shd w:val="clear" w:color="auto" w:fill="FFFFFF"/>
          <w14:ligatures w14:val="none"/>
        </w:rPr>
        <w:t xml:space="preserve">Sukharev, &amp; </w:t>
      </w:r>
      <w:proofErr w:type="spellStart"/>
      <w:r w:rsidR="00B33005" w:rsidRPr="009C58C4">
        <w:rPr>
          <w:rFonts w:ascii="Times New Roman" w:hAnsi="Times New Roman" w:cs="Times New Roman"/>
          <w:color w:val="222222"/>
          <w:kern w:val="0"/>
          <w:sz w:val="24"/>
          <w:szCs w:val="24"/>
          <w:shd w:val="clear" w:color="auto" w:fill="FFFFFF"/>
          <w14:ligatures w14:val="none"/>
        </w:rPr>
        <w:t>Voronchikhina</w:t>
      </w:r>
      <w:proofErr w:type="spellEnd"/>
      <w:r w:rsidR="00B33005" w:rsidRPr="009C58C4">
        <w:rPr>
          <w:rFonts w:ascii="Times New Roman" w:hAnsi="Times New Roman" w:cs="Times New Roman"/>
          <w:color w:val="222222"/>
          <w:kern w:val="0"/>
          <w:sz w:val="24"/>
          <w:szCs w:val="24"/>
          <w:shd w:val="clear" w:color="auto" w:fill="FFFFFF"/>
          <w14:ligatures w14:val="none"/>
        </w:rPr>
        <w:t>, 2020)</w:t>
      </w:r>
      <w:r w:rsidRPr="009C58C4">
        <w:rPr>
          <w:rFonts w:ascii="Times New Roman" w:hAnsi="Times New Roman" w:cs="Times New Roman"/>
          <w:sz w:val="24"/>
          <w:szCs w:val="24"/>
        </w:rPr>
        <w:t>. Projects that enhance a company’s brand, improve customer loyalty, or contribute to a positive public image may be pursued even if their financial benefits are not immediately apparent.</w:t>
      </w:r>
    </w:p>
    <w:p w14:paraId="731A883B" w14:textId="77777777" w:rsidR="005E5956" w:rsidRPr="009C58C4" w:rsidRDefault="005E5956" w:rsidP="006A5714">
      <w:pPr>
        <w:spacing w:line="360" w:lineRule="auto"/>
        <w:rPr>
          <w:rFonts w:ascii="Times New Roman" w:hAnsi="Times New Roman" w:cs="Times New Roman"/>
          <w:sz w:val="24"/>
          <w:szCs w:val="24"/>
        </w:rPr>
      </w:pPr>
      <w:r w:rsidRPr="009C58C4">
        <w:rPr>
          <w:rFonts w:ascii="Times New Roman" w:hAnsi="Times New Roman" w:cs="Times New Roman"/>
          <w:sz w:val="24"/>
          <w:szCs w:val="24"/>
        </w:rPr>
        <w:br w:type="page"/>
      </w:r>
    </w:p>
    <w:p w14:paraId="78245A0C" w14:textId="1E81B3F2" w:rsidR="009C7830" w:rsidRPr="009C58C4" w:rsidRDefault="005E5956" w:rsidP="006A5714">
      <w:pPr>
        <w:spacing w:after="0" w:line="360" w:lineRule="auto"/>
        <w:ind w:firstLine="720"/>
        <w:jc w:val="center"/>
        <w:rPr>
          <w:rFonts w:ascii="Times New Roman" w:hAnsi="Times New Roman" w:cs="Times New Roman"/>
          <w:sz w:val="24"/>
          <w:szCs w:val="24"/>
        </w:rPr>
      </w:pPr>
      <w:r w:rsidRPr="009C58C4">
        <w:rPr>
          <w:rFonts w:ascii="Times New Roman" w:hAnsi="Times New Roman" w:cs="Times New Roman"/>
          <w:sz w:val="24"/>
          <w:szCs w:val="24"/>
        </w:rPr>
        <w:lastRenderedPageBreak/>
        <w:t>Reference</w:t>
      </w:r>
    </w:p>
    <w:p w14:paraId="67267DD9"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Apple Inc., 2023a. Company History. [online] Available at: https://www.apple.com/about/ [Accessed 12 August 2024].</w:t>
      </w:r>
    </w:p>
    <w:p w14:paraId="4AB6D3A9"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Apple Inc., 2023b. Business Model. [online] Available at: https://www.apple.com/business/ [Accessed 12 August 2024].</w:t>
      </w:r>
    </w:p>
    <w:p w14:paraId="62E2CE76"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Apple Inc., 2023c. Annual Report 2022. [online] Available at: https://www.apple.com/investor/ [Accessed 12 August 2024].</w:t>
      </w:r>
    </w:p>
    <w:p w14:paraId="32177D6E"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Apple Inc., 2023d. Service Expansion. [online] Available at: https://www.apple.com/services/ [Accessed 12 August 2024].</w:t>
      </w:r>
    </w:p>
    <w:p w14:paraId="4A33A267"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BBC News, 2021. Apple and Epic Games Battle. [online] Available at: https://www.bbc.com/news/technology-57952616 [Accessed 12 August 2024].</w:t>
      </w:r>
    </w:p>
    <w:p w14:paraId="39EA2129"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Forbes, 2023. Apple’s Major Competitors. [online] Available at: https://www.forbes.com/companies/apple/ [Accessed 12 August 2024].</w:t>
      </w:r>
    </w:p>
    <w:p w14:paraId="6606F044" w14:textId="77777777" w:rsidR="006A5714" w:rsidRPr="009C58C4" w:rsidRDefault="006A5714" w:rsidP="006A5714">
      <w:pPr>
        <w:spacing w:after="0" w:line="360" w:lineRule="auto"/>
        <w:ind w:left="720" w:hanging="720"/>
        <w:rPr>
          <w:rFonts w:ascii="Times New Roman" w:hAnsi="Times New Roman" w:cs="Times New Roman"/>
          <w:sz w:val="24"/>
          <w:szCs w:val="24"/>
        </w:rPr>
      </w:pPr>
      <w:proofErr w:type="spellStart"/>
      <w:r w:rsidRPr="009C58C4">
        <w:rPr>
          <w:rFonts w:ascii="Times New Roman" w:hAnsi="Times New Roman" w:cs="Times New Roman"/>
          <w:color w:val="222222"/>
          <w:sz w:val="24"/>
          <w:szCs w:val="24"/>
          <w:shd w:val="clear" w:color="auto" w:fill="FFFFFF"/>
        </w:rPr>
        <w:t>Fridson</w:t>
      </w:r>
      <w:proofErr w:type="spellEnd"/>
      <w:r w:rsidRPr="009C58C4">
        <w:rPr>
          <w:rFonts w:ascii="Times New Roman" w:hAnsi="Times New Roman" w:cs="Times New Roman"/>
          <w:color w:val="222222"/>
          <w:sz w:val="24"/>
          <w:szCs w:val="24"/>
          <w:shd w:val="clear" w:color="auto" w:fill="FFFFFF"/>
        </w:rPr>
        <w:t>, M. S., &amp; Alvarez, F. (2022). </w:t>
      </w:r>
      <w:r w:rsidRPr="009C58C4">
        <w:rPr>
          <w:rFonts w:ascii="Times New Roman" w:hAnsi="Times New Roman" w:cs="Times New Roman"/>
          <w:i/>
          <w:iCs/>
          <w:color w:val="222222"/>
          <w:sz w:val="24"/>
          <w:szCs w:val="24"/>
          <w:shd w:val="clear" w:color="auto" w:fill="FFFFFF"/>
        </w:rPr>
        <w:t>Financial statement analysis: a practitioner's guide</w:t>
      </w:r>
      <w:r w:rsidRPr="009C58C4">
        <w:rPr>
          <w:rFonts w:ascii="Times New Roman" w:hAnsi="Times New Roman" w:cs="Times New Roman"/>
          <w:color w:val="222222"/>
          <w:sz w:val="24"/>
          <w:szCs w:val="24"/>
          <w:shd w:val="clear" w:color="auto" w:fill="FFFFFF"/>
        </w:rPr>
        <w:t>. John Wiley &amp; Sons.</w:t>
      </w:r>
    </w:p>
    <w:p w14:paraId="333C60C2" w14:textId="19F60BDA" w:rsidR="006A5714" w:rsidRPr="009C58C4" w:rsidRDefault="000A7D1A" w:rsidP="006A5714">
      <w:pPr>
        <w:spacing w:after="0" w:line="360" w:lineRule="auto"/>
        <w:ind w:left="720" w:hanging="720"/>
        <w:rPr>
          <w:rFonts w:ascii="Times New Roman" w:hAnsi="Times New Roman" w:cs="Times New Roman"/>
          <w:sz w:val="24"/>
          <w:szCs w:val="24"/>
        </w:rPr>
      </w:pPr>
      <w:hyperlink r:id="rId7" w:history="1">
        <w:r w:rsidR="006A5714" w:rsidRPr="009C58C4">
          <w:rPr>
            <w:rStyle w:val="Hyperlink"/>
            <w:rFonts w:ascii="Times New Roman" w:hAnsi="Times New Roman" w:cs="Times New Roman"/>
            <w:sz w:val="24"/>
            <w:szCs w:val="24"/>
          </w:rPr>
          <w:t>https://www.apple.com/newsroom/pdfs/fy2024-q3/FY24_Q3_Consolidated_Financial_Statements.pdf</w:t>
        </w:r>
      </w:hyperlink>
      <w:r w:rsidR="006A5714" w:rsidRPr="009C58C4">
        <w:rPr>
          <w:rFonts w:ascii="Times New Roman" w:hAnsi="Times New Roman" w:cs="Times New Roman"/>
          <w:sz w:val="24"/>
          <w:szCs w:val="24"/>
        </w:rPr>
        <w:t xml:space="preserve"> </w:t>
      </w:r>
    </w:p>
    <w:p w14:paraId="2E58B637" w14:textId="77777777" w:rsidR="006A5714" w:rsidRPr="009C58C4" w:rsidRDefault="006A5714" w:rsidP="006A5714">
      <w:pPr>
        <w:spacing w:after="0" w:line="360" w:lineRule="auto"/>
        <w:ind w:left="720" w:hanging="720"/>
        <w:rPr>
          <w:rFonts w:ascii="Times New Roman" w:hAnsi="Times New Roman" w:cs="Times New Roman"/>
          <w:color w:val="222222"/>
          <w:sz w:val="24"/>
          <w:szCs w:val="24"/>
          <w:shd w:val="clear" w:color="auto" w:fill="FFFFFF"/>
        </w:rPr>
      </w:pPr>
      <w:r w:rsidRPr="009C58C4">
        <w:rPr>
          <w:rFonts w:ascii="Times New Roman" w:hAnsi="Times New Roman" w:cs="Times New Roman"/>
          <w:color w:val="222222"/>
          <w:sz w:val="24"/>
          <w:szCs w:val="24"/>
          <w:shd w:val="clear" w:color="auto" w:fill="FFFFFF"/>
        </w:rPr>
        <w:t>John, A. (2019). Capital budgeting techniques: estimation of internal rate of returns. </w:t>
      </w:r>
      <w:r w:rsidRPr="009C58C4">
        <w:rPr>
          <w:rFonts w:ascii="Times New Roman" w:hAnsi="Times New Roman" w:cs="Times New Roman"/>
          <w:i/>
          <w:iCs/>
          <w:color w:val="222222"/>
          <w:sz w:val="24"/>
          <w:szCs w:val="24"/>
          <w:shd w:val="clear" w:color="auto" w:fill="FFFFFF"/>
        </w:rPr>
        <w:t>Asian Journal of Economics, Business and Accounting</w:t>
      </w:r>
      <w:r w:rsidRPr="009C58C4">
        <w:rPr>
          <w:rFonts w:ascii="Times New Roman" w:hAnsi="Times New Roman" w:cs="Times New Roman"/>
          <w:color w:val="222222"/>
          <w:sz w:val="24"/>
          <w:szCs w:val="24"/>
          <w:shd w:val="clear" w:color="auto" w:fill="FFFFFF"/>
        </w:rPr>
        <w:t>, </w:t>
      </w:r>
      <w:r w:rsidRPr="009C58C4">
        <w:rPr>
          <w:rFonts w:ascii="Times New Roman" w:hAnsi="Times New Roman" w:cs="Times New Roman"/>
          <w:i/>
          <w:iCs/>
          <w:color w:val="222222"/>
          <w:sz w:val="24"/>
          <w:szCs w:val="24"/>
          <w:shd w:val="clear" w:color="auto" w:fill="FFFFFF"/>
        </w:rPr>
        <w:t>13</w:t>
      </w:r>
      <w:r w:rsidRPr="009C58C4">
        <w:rPr>
          <w:rFonts w:ascii="Times New Roman" w:hAnsi="Times New Roman" w:cs="Times New Roman"/>
          <w:color w:val="222222"/>
          <w:sz w:val="24"/>
          <w:szCs w:val="24"/>
          <w:shd w:val="clear" w:color="auto" w:fill="FFFFFF"/>
        </w:rPr>
        <w:t>(2), 1-10.</w:t>
      </w:r>
    </w:p>
    <w:p w14:paraId="1C531740" w14:textId="77777777" w:rsidR="006A5714" w:rsidRPr="009C58C4" w:rsidRDefault="006A5714" w:rsidP="006A5714">
      <w:pPr>
        <w:spacing w:after="0" w:line="360" w:lineRule="auto"/>
        <w:ind w:left="720" w:hanging="720"/>
        <w:rPr>
          <w:rFonts w:ascii="Times New Roman" w:hAnsi="Times New Roman" w:cs="Times New Roman"/>
          <w:color w:val="222222"/>
          <w:sz w:val="24"/>
          <w:szCs w:val="24"/>
          <w:shd w:val="clear" w:color="auto" w:fill="FFFFFF"/>
        </w:rPr>
      </w:pPr>
      <w:r w:rsidRPr="009C58C4">
        <w:rPr>
          <w:rFonts w:ascii="Times New Roman" w:hAnsi="Times New Roman" w:cs="Times New Roman"/>
          <w:color w:val="222222"/>
          <w:sz w:val="24"/>
          <w:szCs w:val="24"/>
          <w:shd w:val="clear" w:color="auto" w:fill="FFFFFF"/>
        </w:rPr>
        <w:t xml:space="preserve">Kristi, N. M., &amp; </w:t>
      </w:r>
      <w:proofErr w:type="spellStart"/>
      <w:r w:rsidRPr="009C58C4">
        <w:rPr>
          <w:rFonts w:ascii="Times New Roman" w:hAnsi="Times New Roman" w:cs="Times New Roman"/>
          <w:color w:val="222222"/>
          <w:sz w:val="24"/>
          <w:szCs w:val="24"/>
          <w:shd w:val="clear" w:color="auto" w:fill="FFFFFF"/>
        </w:rPr>
        <w:t>Yanto</w:t>
      </w:r>
      <w:proofErr w:type="spellEnd"/>
      <w:r w:rsidRPr="009C58C4">
        <w:rPr>
          <w:rFonts w:ascii="Times New Roman" w:hAnsi="Times New Roman" w:cs="Times New Roman"/>
          <w:color w:val="222222"/>
          <w:sz w:val="24"/>
          <w:szCs w:val="24"/>
          <w:shd w:val="clear" w:color="auto" w:fill="FFFFFF"/>
        </w:rPr>
        <w:t>, H. (2020). The effect of financial and non-financial factors on firm value. </w:t>
      </w:r>
      <w:r w:rsidRPr="009C58C4">
        <w:rPr>
          <w:rFonts w:ascii="Times New Roman" w:hAnsi="Times New Roman" w:cs="Times New Roman"/>
          <w:i/>
          <w:iCs/>
          <w:color w:val="222222"/>
          <w:sz w:val="24"/>
          <w:szCs w:val="24"/>
          <w:shd w:val="clear" w:color="auto" w:fill="FFFFFF"/>
        </w:rPr>
        <w:t>Accounting Analysis Journal</w:t>
      </w:r>
      <w:r w:rsidRPr="009C58C4">
        <w:rPr>
          <w:rFonts w:ascii="Times New Roman" w:hAnsi="Times New Roman" w:cs="Times New Roman"/>
          <w:color w:val="222222"/>
          <w:sz w:val="24"/>
          <w:szCs w:val="24"/>
          <w:shd w:val="clear" w:color="auto" w:fill="FFFFFF"/>
        </w:rPr>
        <w:t>, </w:t>
      </w:r>
      <w:r w:rsidRPr="009C58C4">
        <w:rPr>
          <w:rFonts w:ascii="Times New Roman" w:hAnsi="Times New Roman" w:cs="Times New Roman"/>
          <w:i/>
          <w:iCs/>
          <w:color w:val="222222"/>
          <w:sz w:val="24"/>
          <w:szCs w:val="24"/>
          <w:shd w:val="clear" w:color="auto" w:fill="FFFFFF"/>
        </w:rPr>
        <w:t>9</w:t>
      </w:r>
      <w:r w:rsidRPr="009C58C4">
        <w:rPr>
          <w:rFonts w:ascii="Times New Roman" w:hAnsi="Times New Roman" w:cs="Times New Roman"/>
          <w:color w:val="222222"/>
          <w:sz w:val="24"/>
          <w:szCs w:val="24"/>
          <w:shd w:val="clear" w:color="auto" w:fill="FFFFFF"/>
        </w:rPr>
        <w:t>(2), 131-137.</w:t>
      </w:r>
    </w:p>
    <w:p w14:paraId="3AAFBFBA" w14:textId="77777777" w:rsidR="006A5714" w:rsidRPr="009C58C4" w:rsidRDefault="006A5714" w:rsidP="006A5714">
      <w:pPr>
        <w:spacing w:after="0" w:line="360" w:lineRule="auto"/>
        <w:ind w:left="720" w:hanging="720"/>
        <w:rPr>
          <w:rFonts w:ascii="Times New Roman" w:hAnsi="Times New Roman" w:cs="Times New Roman"/>
          <w:color w:val="222222"/>
          <w:sz w:val="24"/>
          <w:szCs w:val="24"/>
          <w:shd w:val="clear" w:color="auto" w:fill="FFFFFF"/>
        </w:rPr>
      </w:pPr>
      <w:r w:rsidRPr="009C58C4">
        <w:rPr>
          <w:rFonts w:ascii="Times New Roman" w:hAnsi="Times New Roman" w:cs="Times New Roman"/>
          <w:color w:val="222222"/>
          <w:sz w:val="24"/>
          <w:szCs w:val="24"/>
          <w:shd w:val="clear" w:color="auto" w:fill="FFFFFF"/>
        </w:rPr>
        <w:t>Lai, C. S., &amp; Locatelli, G. (2021). Economic and financial appraisal of novel large-scale energy storage technologies. </w:t>
      </w:r>
      <w:r w:rsidRPr="009C58C4">
        <w:rPr>
          <w:rFonts w:ascii="Times New Roman" w:hAnsi="Times New Roman" w:cs="Times New Roman"/>
          <w:i/>
          <w:iCs/>
          <w:color w:val="222222"/>
          <w:sz w:val="24"/>
          <w:szCs w:val="24"/>
          <w:shd w:val="clear" w:color="auto" w:fill="FFFFFF"/>
        </w:rPr>
        <w:t>Energy</w:t>
      </w:r>
      <w:r w:rsidRPr="009C58C4">
        <w:rPr>
          <w:rFonts w:ascii="Times New Roman" w:hAnsi="Times New Roman" w:cs="Times New Roman"/>
          <w:color w:val="222222"/>
          <w:sz w:val="24"/>
          <w:szCs w:val="24"/>
          <w:shd w:val="clear" w:color="auto" w:fill="FFFFFF"/>
        </w:rPr>
        <w:t>, </w:t>
      </w:r>
      <w:r w:rsidRPr="009C58C4">
        <w:rPr>
          <w:rFonts w:ascii="Times New Roman" w:hAnsi="Times New Roman" w:cs="Times New Roman"/>
          <w:i/>
          <w:iCs/>
          <w:color w:val="222222"/>
          <w:sz w:val="24"/>
          <w:szCs w:val="24"/>
          <w:shd w:val="clear" w:color="auto" w:fill="FFFFFF"/>
        </w:rPr>
        <w:t>214</w:t>
      </w:r>
      <w:r w:rsidRPr="009C58C4">
        <w:rPr>
          <w:rFonts w:ascii="Times New Roman" w:hAnsi="Times New Roman" w:cs="Times New Roman"/>
          <w:color w:val="222222"/>
          <w:sz w:val="24"/>
          <w:szCs w:val="24"/>
          <w:shd w:val="clear" w:color="auto" w:fill="FFFFFF"/>
        </w:rPr>
        <w:t>, 118954.</w:t>
      </w:r>
    </w:p>
    <w:p w14:paraId="035B155F"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part B</w:t>
      </w:r>
    </w:p>
    <w:p w14:paraId="584F85F9" w14:textId="77777777" w:rsidR="006A5714" w:rsidRPr="009C58C4" w:rsidRDefault="006A5714" w:rsidP="006A5714">
      <w:pPr>
        <w:spacing w:after="0" w:line="360" w:lineRule="auto"/>
        <w:ind w:left="720" w:hanging="720"/>
        <w:rPr>
          <w:rFonts w:ascii="Times New Roman" w:hAnsi="Times New Roman" w:cs="Times New Roman"/>
          <w:color w:val="222222"/>
          <w:sz w:val="24"/>
          <w:szCs w:val="24"/>
          <w:shd w:val="clear" w:color="auto" w:fill="FFFFFF"/>
        </w:rPr>
      </w:pPr>
      <w:r w:rsidRPr="009C58C4">
        <w:rPr>
          <w:rFonts w:ascii="Times New Roman" w:hAnsi="Times New Roman" w:cs="Times New Roman"/>
          <w:color w:val="222222"/>
          <w:sz w:val="24"/>
          <w:szCs w:val="24"/>
          <w:shd w:val="clear" w:color="auto" w:fill="FFFFFF"/>
        </w:rPr>
        <w:t>Siziba, S., &amp; Hall, J. H. (2021). The evolution of the application of capital budgeting techniques in enterprises. </w:t>
      </w:r>
      <w:r w:rsidRPr="009C58C4">
        <w:rPr>
          <w:rFonts w:ascii="Times New Roman" w:hAnsi="Times New Roman" w:cs="Times New Roman"/>
          <w:i/>
          <w:iCs/>
          <w:color w:val="222222"/>
          <w:sz w:val="24"/>
          <w:szCs w:val="24"/>
          <w:shd w:val="clear" w:color="auto" w:fill="FFFFFF"/>
        </w:rPr>
        <w:t>Global finance journal</w:t>
      </w:r>
      <w:r w:rsidRPr="009C58C4">
        <w:rPr>
          <w:rFonts w:ascii="Times New Roman" w:hAnsi="Times New Roman" w:cs="Times New Roman"/>
          <w:color w:val="222222"/>
          <w:sz w:val="24"/>
          <w:szCs w:val="24"/>
          <w:shd w:val="clear" w:color="auto" w:fill="FFFFFF"/>
        </w:rPr>
        <w:t>, </w:t>
      </w:r>
      <w:r w:rsidRPr="009C58C4">
        <w:rPr>
          <w:rFonts w:ascii="Times New Roman" w:hAnsi="Times New Roman" w:cs="Times New Roman"/>
          <w:i/>
          <w:iCs/>
          <w:color w:val="222222"/>
          <w:sz w:val="24"/>
          <w:szCs w:val="24"/>
          <w:shd w:val="clear" w:color="auto" w:fill="FFFFFF"/>
        </w:rPr>
        <w:t>47</w:t>
      </w:r>
      <w:r w:rsidRPr="009C58C4">
        <w:rPr>
          <w:rFonts w:ascii="Times New Roman" w:hAnsi="Times New Roman" w:cs="Times New Roman"/>
          <w:color w:val="222222"/>
          <w:sz w:val="24"/>
          <w:szCs w:val="24"/>
          <w:shd w:val="clear" w:color="auto" w:fill="FFFFFF"/>
        </w:rPr>
        <w:t>, 100504.</w:t>
      </w:r>
    </w:p>
    <w:p w14:paraId="7DD37E97"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Statista, 2023. Market Share of Apple. [online] Available at: https://www.statista.com/statistics/272429/market-share-held-by-apple-in-the-smartphone-market-worldwide/ [Accessed 12 August 2024].</w:t>
      </w:r>
    </w:p>
    <w:p w14:paraId="35AC5E98"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Stephen H. Penman (2021). Financial Statement Analysis and Security Valuation; McGraw-Hill Education. 6th Edition</w:t>
      </w:r>
    </w:p>
    <w:p w14:paraId="30B5AAE3" w14:textId="77777777" w:rsidR="006A5714" w:rsidRPr="009C58C4" w:rsidRDefault="006A5714" w:rsidP="006A5714">
      <w:pPr>
        <w:spacing w:after="0" w:line="360" w:lineRule="auto"/>
        <w:ind w:left="720" w:hanging="720"/>
        <w:rPr>
          <w:rFonts w:ascii="Times New Roman" w:hAnsi="Times New Roman" w:cs="Times New Roman"/>
          <w:color w:val="222222"/>
          <w:sz w:val="24"/>
          <w:szCs w:val="24"/>
          <w:shd w:val="clear" w:color="auto" w:fill="FFFFFF"/>
        </w:rPr>
      </w:pPr>
      <w:r w:rsidRPr="009C58C4">
        <w:rPr>
          <w:rFonts w:ascii="Times New Roman" w:hAnsi="Times New Roman" w:cs="Times New Roman"/>
          <w:color w:val="222222"/>
          <w:sz w:val="24"/>
          <w:szCs w:val="24"/>
          <w:shd w:val="clear" w:color="auto" w:fill="FFFFFF"/>
        </w:rPr>
        <w:lastRenderedPageBreak/>
        <w:t xml:space="preserve">Sukharev, O., &amp; </w:t>
      </w:r>
      <w:proofErr w:type="spellStart"/>
      <w:r w:rsidRPr="009C58C4">
        <w:rPr>
          <w:rFonts w:ascii="Times New Roman" w:hAnsi="Times New Roman" w:cs="Times New Roman"/>
          <w:color w:val="222222"/>
          <w:sz w:val="24"/>
          <w:szCs w:val="24"/>
          <w:shd w:val="clear" w:color="auto" w:fill="FFFFFF"/>
        </w:rPr>
        <w:t>Voronchikhina</w:t>
      </w:r>
      <w:proofErr w:type="spellEnd"/>
      <w:r w:rsidRPr="009C58C4">
        <w:rPr>
          <w:rFonts w:ascii="Times New Roman" w:hAnsi="Times New Roman" w:cs="Times New Roman"/>
          <w:color w:val="222222"/>
          <w:sz w:val="24"/>
          <w:szCs w:val="24"/>
          <w:shd w:val="clear" w:color="auto" w:fill="FFFFFF"/>
        </w:rPr>
        <w:t>, E. (2020). Financial and non-financial investments: Comparative econometric analysis of the impact on economic dynamics. </w:t>
      </w:r>
      <w:r w:rsidRPr="009C58C4">
        <w:rPr>
          <w:rFonts w:ascii="Times New Roman" w:hAnsi="Times New Roman" w:cs="Times New Roman"/>
          <w:i/>
          <w:iCs/>
          <w:color w:val="222222"/>
          <w:sz w:val="24"/>
          <w:szCs w:val="24"/>
          <w:shd w:val="clear" w:color="auto" w:fill="FFFFFF"/>
        </w:rPr>
        <w:t>Quantitative Finance and Economics</w:t>
      </w:r>
      <w:r w:rsidRPr="009C58C4">
        <w:rPr>
          <w:rFonts w:ascii="Times New Roman" w:hAnsi="Times New Roman" w:cs="Times New Roman"/>
          <w:color w:val="222222"/>
          <w:sz w:val="24"/>
          <w:szCs w:val="24"/>
          <w:shd w:val="clear" w:color="auto" w:fill="FFFFFF"/>
        </w:rPr>
        <w:t>, </w:t>
      </w:r>
      <w:r w:rsidRPr="009C58C4">
        <w:rPr>
          <w:rFonts w:ascii="Times New Roman" w:hAnsi="Times New Roman" w:cs="Times New Roman"/>
          <w:i/>
          <w:iCs/>
          <w:color w:val="222222"/>
          <w:sz w:val="24"/>
          <w:szCs w:val="24"/>
          <w:shd w:val="clear" w:color="auto" w:fill="FFFFFF"/>
        </w:rPr>
        <w:t>4</w:t>
      </w:r>
      <w:r w:rsidRPr="009C58C4">
        <w:rPr>
          <w:rFonts w:ascii="Times New Roman" w:hAnsi="Times New Roman" w:cs="Times New Roman"/>
          <w:color w:val="222222"/>
          <w:sz w:val="24"/>
          <w:szCs w:val="24"/>
          <w:shd w:val="clear" w:color="auto" w:fill="FFFFFF"/>
        </w:rPr>
        <w:t>(3), 382-411.</w:t>
      </w:r>
    </w:p>
    <w:p w14:paraId="44698CBF"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 xml:space="preserve">TechCrunch, 2022. Apple Acquires </w:t>
      </w:r>
      <w:proofErr w:type="spellStart"/>
      <w:r w:rsidRPr="009C58C4">
        <w:rPr>
          <w:rFonts w:ascii="Times New Roman" w:hAnsi="Times New Roman" w:cs="Times New Roman"/>
          <w:sz w:val="24"/>
          <w:szCs w:val="24"/>
        </w:rPr>
        <w:t>NextVR</w:t>
      </w:r>
      <w:proofErr w:type="spellEnd"/>
      <w:r w:rsidRPr="009C58C4">
        <w:rPr>
          <w:rFonts w:ascii="Times New Roman" w:hAnsi="Times New Roman" w:cs="Times New Roman"/>
          <w:sz w:val="24"/>
          <w:szCs w:val="24"/>
        </w:rPr>
        <w:t>. [online] Available at: https://techcrunch.com/2022/01/14/apple-acquires-nextvr/ [Accessed 12 August 2024].</w:t>
      </w:r>
    </w:p>
    <w:p w14:paraId="204963C4" w14:textId="77777777" w:rsidR="006A5714" w:rsidRPr="009C58C4" w:rsidRDefault="006A5714" w:rsidP="006A5714">
      <w:pPr>
        <w:spacing w:after="0" w:line="360" w:lineRule="auto"/>
        <w:ind w:left="720" w:hanging="720"/>
        <w:rPr>
          <w:rFonts w:ascii="Times New Roman" w:hAnsi="Times New Roman" w:cs="Times New Roman"/>
          <w:sz w:val="24"/>
          <w:szCs w:val="24"/>
        </w:rPr>
      </w:pPr>
      <w:r w:rsidRPr="009C58C4">
        <w:rPr>
          <w:rFonts w:ascii="Times New Roman" w:hAnsi="Times New Roman" w:cs="Times New Roman"/>
          <w:sz w:val="24"/>
          <w:szCs w:val="24"/>
        </w:rPr>
        <w:t xml:space="preserve">The Guardian, 2021. Jony </w:t>
      </w:r>
      <w:proofErr w:type="spellStart"/>
      <w:r w:rsidRPr="009C58C4">
        <w:rPr>
          <w:rFonts w:ascii="Times New Roman" w:hAnsi="Times New Roman" w:cs="Times New Roman"/>
          <w:sz w:val="24"/>
          <w:szCs w:val="24"/>
        </w:rPr>
        <w:t>Ive</w:t>
      </w:r>
      <w:proofErr w:type="spellEnd"/>
      <w:r w:rsidRPr="009C58C4">
        <w:rPr>
          <w:rFonts w:ascii="Times New Roman" w:hAnsi="Times New Roman" w:cs="Times New Roman"/>
          <w:sz w:val="24"/>
          <w:szCs w:val="24"/>
        </w:rPr>
        <w:t xml:space="preserve"> Departs Apple. [online] Available at: https://www.theguardian.com/technology/2021/jul/01/jony-ive-apple-departure [Accessed 12 August 2024].</w:t>
      </w:r>
    </w:p>
    <w:p w14:paraId="3A850AA7" w14:textId="77777777" w:rsidR="006A5714" w:rsidRPr="006A5714" w:rsidRDefault="006A5714" w:rsidP="006A5714">
      <w:pPr>
        <w:spacing w:after="0" w:line="360" w:lineRule="auto"/>
        <w:ind w:left="720" w:hanging="720"/>
        <w:rPr>
          <w:rFonts w:ascii="Times New Roman" w:hAnsi="Times New Roman" w:cs="Times New Roman"/>
          <w:color w:val="222222"/>
          <w:sz w:val="24"/>
          <w:szCs w:val="24"/>
          <w:shd w:val="clear" w:color="auto" w:fill="FFFFFF"/>
        </w:rPr>
      </w:pPr>
      <w:r w:rsidRPr="009C58C4">
        <w:rPr>
          <w:rFonts w:ascii="Times New Roman" w:hAnsi="Times New Roman" w:cs="Times New Roman"/>
          <w:color w:val="222222"/>
          <w:sz w:val="24"/>
          <w:szCs w:val="24"/>
          <w:shd w:val="clear" w:color="auto" w:fill="FFFFFF"/>
        </w:rPr>
        <w:t>Zhang, C., &amp; Zheng, N. (2020). The financial investment decision of non-financial firms in China. </w:t>
      </w:r>
      <w:r w:rsidRPr="009C58C4">
        <w:rPr>
          <w:rFonts w:ascii="Times New Roman" w:hAnsi="Times New Roman" w:cs="Times New Roman"/>
          <w:i/>
          <w:iCs/>
          <w:color w:val="222222"/>
          <w:sz w:val="24"/>
          <w:szCs w:val="24"/>
          <w:shd w:val="clear" w:color="auto" w:fill="FFFFFF"/>
        </w:rPr>
        <w:t>The North American Journal of Economics and Finance</w:t>
      </w:r>
      <w:r w:rsidRPr="009C58C4">
        <w:rPr>
          <w:rFonts w:ascii="Times New Roman" w:hAnsi="Times New Roman" w:cs="Times New Roman"/>
          <w:color w:val="222222"/>
          <w:sz w:val="24"/>
          <w:szCs w:val="24"/>
          <w:shd w:val="clear" w:color="auto" w:fill="FFFFFF"/>
        </w:rPr>
        <w:t>, </w:t>
      </w:r>
      <w:r w:rsidRPr="009C58C4">
        <w:rPr>
          <w:rFonts w:ascii="Times New Roman" w:hAnsi="Times New Roman" w:cs="Times New Roman"/>
          <w:i/>
          <w:iCs/>
          <w:color w:val="222222"/>
          <w:sz w:val="24"/>
          <w:szCs w:val="24"/>
          <w:shd w:val="clear" w:color="auto" w:fill="FFFFFF"/>
        </w:rPr>
        <w:t>53</w:t>
      </w:r>
      <w:r w:rsidRPr="009C58C4">
        <w:rPr>
          <w:rFonts w:ascii="Times New Roman" w:hAnsi="Times New Roman" w:cs="Times New Roman"/>
          <w:color w:val="222222"/>
          <w:sz w:val="24"/>
          <w:szCs w:val="24"/>
          <w:shd w:val="clear" w:color="auto" w:fill="FFFFFF"/>
        </w:rPr>
        <w:t>, 101215.</w:t>
      </w:r>
    </w:p>
    <w:sectPr w:rsidR="006A5714" w:rsidRPr="006A57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AE276" w14:textId="77777777" w:rsidR="000A7D1A" w:rsidRDefault="000A7D1A" w:rsidP="004A738E">
      <w:pPr>
        <w:spacing w:after="0" w:line="240" w:lineRule="auto"/>
      </w:pPr>
      <w:r>
        <w:separator/>
      </w:r>
    </w:p>
  </w:endnote>
  <w:endnote w:type="continuationSeparator" w:id="0">
    <w:p w14:paraId="6978E644" w14:textId="77777777" w:rsidR="000A7D1A" w:rsidRDefault="000A7D1A" w:rsidP="004A73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51AA0" w14:textId="77777777" w:rsidR="000A7D1A" w:rsidRDefault="000A7D1A" w:rsidP="004A738E">
      <w:pPr>
        <w:spacing w:after="0" w:line="240" w:lineRule="auto"/>
      </w:pPr>
      <w:r>
        <w:separator/>
      </w:r>
    </w:p>
  </w:footnote>
  <w:footnote w:type="continuationSeparator" w:id="0">
    <w:p w14:paraId="73BD0467" w14:textId="77777777" w:rsidR="000A7D1A" w:rsidRDefault="000A7D1A" w:rsidP="004A73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02278"/>
    <w:multiLevelType w:val="hybridMultilevel"/>
    <w:tmpl w:val="FFD08048"/>
    <w:lvl w:ilvl="0" w:tplc="FFFFFFFF">
      <w:start w:val="1"/>
      <w:numFmt w:val="bullet"/>
      <w:lvlText w:val=""/>
      <w:lvlJc w:val="left"/>
      <w:pPr>
        <w:tabs>
          <w:tab w:val="num" w:pos="720"/>
        </w:tabs>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B472DBE"/>
    <w:multiLevelType w:val="hybridMultilevel"/>
    <w:tmpl w:val="BB7C2F42"/>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B4F4F33"/>
    <w:multiLevelType w:val="hybridMultilevel"/>
    <w:tmpl w:val="35704FD0"/>
    <w:lvl w:ilvl="0" w:tplc="403C9996">
      <w:start w:val="1"/>
      <w:numFmt w:val="decimal"/>
      <w:lvlText w:val="%1."/>
      <w:lvlJc w:val="left"/>
      <w:pPr>
        <w:ind w:left="1440" w:hanging="360"/>
      </w:pPr>
      <w:rPr>
        <w:b/>
        <w:bCs/>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51BB4B04"/>
    <w:multiLevelType w:val="hybridMultilevel"/>
    <w:tmpl w:val="57605B0A"/>
    <w:lvl w:ilvl="0" w:tplc="FFFFFFFF">
      <w:start w:val="1"/>
      <w:numFmt w:val="bullet"/>
      <w:lvlText w:val=""/>
      <w:lvlJc w:val="left"/>
      <w:pPr>
        <w:tabs>
          <w:tab w:val="num" w:pos="720"/>
        </w:tabs>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69814D5A"/>
    <w:multiLevelType w:val="hybridMultilevel"/>
    <w:tmpl w:val="9E18655C"/>
    <w:lvl w:ilvl="0" w:tplc="C22C9F3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815"/>
    <w:rsid w:val="000024D3"/>
    <w:rsid w:val="00012CF9"/>
    <w:rsid w:val="00066463"/>
    <w:rsid w:val="000705D7"/>
    <w:rsid w:val="00074695"/>
    <w:rsid w:val="00092E83"/>
    <w:rsid w:val="000A7D1A"/>
    <w:rsid w:val="001D0511"/>
    <w:rsid w:val="00291562"/>
    <w:rsid w:val="002E24AF"/>
    <w:rsid w:val="00321314"/>
    <w:rsid w:val="00322653"/>
    <w:rsid w:val="003440F0"/>
    <w:rsid w:val="003B0D0B"/>
    <w:rsid w:val="003B115A"/>
    <w:rsid w:val="003C70FB"/>
    <w:rsid w:val="004A738E"/>
    <w:rsid w:val="00517EC3"/>
    <w:rsid w:val="00522DDC"/>
    <w:rsid w:val="00527123"/>
    <w:rsid w:val="00543633"/>
    <w:rsid w:val="00587B8C"/>
    <w:rsid w:val="005E5956"/>
    <w:rsid w:val="00645FCB"/>
    <w:rsid w:val="006931A3"/>
    <w:rsid w:val="006A5714"/>
    <w:rsid w:val="006B0FA3"/>
    <w:rsid w:val="006B7E9C"/>
    <w:rsid w:val="006C7088"/>
    <w:rsid w:val="00710A42"/>
    <w:rsid w:val="00712A52"/>
    <w:rsid w:val="00777851"/>
    <w:rsid w:val="00790A20"/>
    <w:rsid w:val="007B60B6"/>
    <w:rsid w:val="007E21BD"/>
    <w:rsid w:val="008E4949"/>
    <w:rsid w:val="0090310D"/>
    <w:rsid w:val="009307C4"/>
    <w:rsid w:val="00931241"/>
    <w:rsid w:val="009703E9"/>
    <w:rsid w:val="009753C8"/>
    <w:rsid w:val="009B0B0F"/>
    <w:rsid w:val="009C58C4"/>
    <w:rsid w:val="009C7830"/>
    <w:rsid w:val="00A02693"/>
    <w:rsid w:val="00AE500C"/>
    <w:rsid w:val="00B33005"/>
    <w:rsid w:val="00B536BB"/>
    <w:rsid w:val="00B62596"/>
    <w:rsid w:val="00BB6C86"/>
    <w:rsid w:val="00C719C6"/>
    <w:rsid w:val="00CA497F"/>
    <w:rsid w:val="00CA7930"/>
    <w:rsid w:val="00D03B3F"/>
    <w:rsid w:val="00D60807"/>
    <w:rsid w:val="00D66A44"/>
    <w:rsid w:val="00D96448"/>
    <w:rsid w:val="00DA0658"/>
    <w:rsid w:val="00E13869"/>
    <w:rsid w:val="00E537BF"/>
    <w:rsid w:val="00E90F52"/>
    <w:rsid w:val="00EC2ECF"/>
    <w:rsid w:val="00EE1713"/>
    <w:rsid w:val="00EF3A95"/>
    <w:rsid w:val="00FB3164"/>
    <w:rsid w:val="00FD585B"/>
    <w:rsid w:val="00FE196D"/>
    <w:rsid w:val="00FE6815"/>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95519"/>
  <w15:chartTrackingRefBased/>
  <w15:docId w15:val="{8F380156-BA19-4D3D-A20A-34098386B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8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815"/>
    <w:pPr>
      <w:ind w:left="720"/>
      <w:contextualSpacing/>
    </w:pPr>
  </w:style>
  <w:style w:type="paragraph" w:styleId="NormalWeb">
    <w:name w:val="Normal (Web)"/>
    <w:basedOn w:val="Normal"/>
    <w:uiPriority w:val="99"/>
    <w:semiHidden/>
    <w:unhideWhenUsed/>
    <w:rsid w:val="00A02693"/>
    <w:rPr>
      <w:rFonts w:ascii="Times New Roman" w:hAnsi="Times New Roman" w:cs="Angsana New"/>
      <w:sz w:val="24"/>
      <w:szCs w:val="30"/>
    </w:rPr>
  </w:style>
  <w:style w:type="paragraph" w:styleId="Header">
    <w:name w:val="header"/>
    <w:basedOn w:val="Normal"/>
    <w:link w:val="HeaderChar"/>
    <w:uiPriority w:val="99"/>
    <w:unhideWhenUsed/>
    <w:rsid w:val="004A73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38E"/>
  </w:style>
  <w:style w:type="paragraph" w:styleId="Footer">
    <w:name w:val="footer"/>
    <w:basedOn w:val="Normal"/>
    <w:link w:val="FooterChar"/>
    <w:uiPriority w:val="99"/>
    <w:unhideWhenUsed/>
    <w:rsid w:val="004A73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38E"/>
  </w:style>
  <w:style w:type="character" w:styleId="Hyperlink">
    <w:name w:val="Hyperlink"/>
    <w:basedOn w:val="DefaultParagraphFont"/>
    <w:uiPriority w:val="99"/>
    <w:unhideWhenUsed/>
    <w:rsid w:val="006A5714"/>
    <w:rPr>
      <w:color w:val="0563C1" w:themeColor="hyperlink"/>
      <w:u w:val="single"/>
    </w:rPr>
  </w:style>
  <w:style w:type="character" w:styleId="UnresolvedMention">
    <w:name w:val="Unresolved Mention"/>
    <w:basedOn w:val="DefaultParagraphFont"/>
    <w:uiPriority w:val="99"/>
    <w:semiHidden/>
    <w:unhideWhenUsed/>
    <w:rsid w:val="006A57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17056">
      <w:bodyDiv w:val="1"/>
      <w:marLeft w:val="0"/>
      <w:marRight w:val="0"/>
      <w:marTop w:val="0"/>
      <w:marBottom w:val="0"/>
      <w:divBdr>
        <w:top w:val="none" w:sz="0" w:space="0" w:color="auto"/>
        <w:left w:val="none" w:sz="0" w:space="0" w:color="auto"/>
        <w:bottom w:val="none" w:sz="0" w:space="0" w:color="auto"/>
        <w:right w:val="none" w:sz="0" w:space="0" w:color="auto"/>
      </w:divBdr>
    </w:div>
    <w:div w:id="365256144">
      <w:bodyDiv w:val="1"/>
      <w:marLeft w:val="0"/>
      <w:marRight w:val="0"/>
      <w:marTop w:val="0"/>
      <w:marBottom w:val="0"/>
      <w:divBdr>
        <w:top w:val="none" w:sz="0" w:space="0" w:color="auto"/>
        <w:left w:val="none" w:sz="0" w:space="0" w:color="auto"/>
        <w:bottom w:val="none" w:sz="0" w:space="0" w:color="auto"/>
        <w:right w:val="none" w:sz="0" w:space="0" w:color="auto"/>
      </w:divBdr>
    </w:div>
    <w:div w:id="932592590">
      <w:bodyDiv w:val="1"/>
      <w:marLeft w:val="0"/>
      <w:marRight w:val="0"/>
      <w:marTop w:val="0"/>
      <w:marBottom w:val="0"/>
      <w:divBdr>
        <w:top w:val="none" w:sz="0" w:space="0" w:color="auto"/>
        <w:left w:val="none" w:sz="0" w:space="0" w:color="auto"/>
        <w:bottom w:val="none" w:sz="0" w:space="0" w:color="auto"/>
        <w:right w:val="none" w:sz="0" w:space="0" w:color="auto"/>
      </w:divBdr>
    </w:div>
    <w:div w:id="1556892348">
      <w:bodyDiv w:val="1"/>
      <w:marLeft w:val="0"/>
      <w:marRight w:val="0"/>
      <w:marTop w:val="0"/>
      <w:marBottom w:val="0"/>
      <w:divBdr>
        <w:top w:val="none" w:sz="0" w:space="0" w:color="auto"/>
        <w:left w:val="none" w:sz="0" w:space="0" w:color="auto"/>
        <w:bottom w:val="none" w:sz="0" w:space="0" w:color="auto"/>
        <w:right w:val="none" w:sz="0" w:space="0" w:color="auto"/>
      </w:divBdr>
    </w:div>
    <w:div w:id="1584946481">
      <w:bodyDiv w:val="1"/>
      <w:marLeft w:val="0"/>
      <w:marRight w:val="0"/>
      <w:marTop w:val="0"/>
      <w:marBottom w:val="0"/>
      <w:divBdr>
        <w:top w:val="none" w:sz="0" w:space="0" w:color="auto"/>
        <w:left w:val="none" w:sz="0" w:space="0" w:color="auto"/>
        <w:bottom w:val="none" w:sz="0" w:space="0" w:color="auto"/>
        <w:right w:val="none" w:sz="0" w:space="0" w:color="auto"/>
      </w:divBdr>
    </w:div>
    <w:div w:id="1616715703">
      <w:bodyDiv w:val="1"/>
      <w:marLeft w:val="0"/>
      <w:marRight w:val="0"/>
      <w:marTop w:val="0"/>
      <w:marBottom w:val="0"/>
      <w:divBdr>
        <w:top w:val="none" w:sz="0" w:space="0" w:color="auto"/>
        <w:left w:val="none" w:sz="0" w:space="0" w:color="auto"/>
        <w:bottom w:val="none" w:sz="0" w:space="0" w:color="auto"/>
        <w:right w:val="none" w:sz="0" w:space="0" w:color="auto"/>
      </w:divBdr>
    </w:div>
    <w:div w:id="1949045110">
      <w:bodyDiv w:val="1"/>
      <w:marLeft w:val="0"/>
      <w:marRight w:val="0"/>
      <w:marTop w:val="0"/>
      <w:marBottom w:val="0"/>
      <w:divBdr>
        <w:top w:val="none" w:sz="0" w:space="0" w:color="auto"/>
        <w:left w:val="none" w:sz="0" w:space="0" w:color="auto"/>
        <w:bottom w:val="none" w:sz="0" w:space="0" w:color="auto"/>
        <w:right w:val="none" w:sz="0" w:space="0" w:color="auto"/>
      </w:divBdr>
    </w:div>
    <w:div w:id="2047875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pple.com/newsroom/pdfs/fy2024-q3/FY24_Q3_Consolidated_Financial_Statement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18</Pages>
  <Words>4617</Words>
  <Characters>26318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Badal Patel</dc:creator>
  <cp:keywords/>
  <dc:description/>
  <cp:lastModifiedBy>innocent clay</cp:lastModifiedBy>
  <cp:revision>4</cp:revision>
  <dcterms:created xsi:type="dcterms:W3CDTF">2024-08-21T08:49:00Z</dcterms:created>
  <dcterms:modified xsi:type="dcterms:W3CDTF">2024-08-21T12:30:00Z</dcterms:modified>
</cp:coreProperties>
</file>