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66B7093" w14:paraId="2D2C395A" wp14:textId="4F96E4E6">
      <w:pPr>
        <w:pStyle w:val="Title"/>
        <w:spacing w:before="2400" w:line="480" w:lineRule="auto"/>
        <w:ind w:firstLine="0"/>
        <w:jc w:val="center"/>
        <w:rPr>
          <w:rFonts w:ascii="Verdana Pro" w:hAnsi="Verdana Pro" w:eastAsia="Verdana Pro" w:cs="Verdana Pro"/>
          <w:b w:val="0"/>
          <w:bCs w:val="0"/>
          <w:i w:val="0"/>
          <w:iCs w:val="0"/>
          <w:caps w:val="0"/>
          <w:smallCaps w:val="0"/>
          <w:noProof w:val="0"/>
          <w:color w:val="000000" w:themeColor="text1" w:themeTint="FF" w:themeShade="FF"/>
          <w:sz w:val="24"/>
          <w:szCs w:val="24"/>
          <w:lang w:val="en-US"/>
        </w:rPr>
      </w:pPr>
      <w:r w:rsidRPr="366B7093" w:rsidR="4ACAD868">
        <w:rPr>
          <w:rFonts w:ascii="Verdana Pro" w:hAnsi="Verdana Pro" w:eastAsia="Verdana Pro" w:cs="Verdana Pro"/>
          <w:b w:val="0"/>
          <w:bCs w:val="0"/>
          <w:i w:val="0"/>
          <w:iCs w:val="0"/>
          <w:caps w:val="0"/>
          <w:smallCaps w:val="0"/>
          <w:strike w:val="0"/>
          <w:dstrike w:val="0"/>
          <w:noProof w:val="0"/>
          <w:color w:val="000000" w:themeColor="text1" w:themeTint="FF" w:themeShade="FF"/>
          <w:sz w:val="24"/>
          <w:szCs w:val="24"/>
          <w:u w:val="single"/>
          <w:lang w:val="en-US"/>
        </w:rPr>
        <w:t>Through the consideration of case law, evaluate the extent to which the courts are prepared to impose a duty of care in relation to the emergency services</w:t>
      </w:r>
    </w:p>
    <w:p xmlns:wp14="http://schemas.microsoft.com/office/word/2010/wordml" w:rsidP="366B7093" w14:paraId="3178CDC6" wp14:textId="78F3EB46">
      <w:pPr>
        <w:pStyle w:val="Title2"/>
        <w:spacing w:line="480" w:lineRule="auto"/>
        <w:ind w:firstLine="0"/>
        <w:jc w:val="center"/>
        <w:rPr>
          <w:rFonts w:ascii="Verdana Pro" w:hAnsi="Verdana Pro" w:eastAsia="Verdana Pro" w:cs="Verdana Pro"/>
          <w:b w:val="0"/>
          <w:bCs w:val="0"/>
          <w:i w:val="0"/>
          <w:iCs w:val="0"/>
          <w:caps w:val="0"/>
          <w:smallCaps w:val="0"/>
          <w:noProof w:val="0"/>
          <w:color w:val="000000" w:themeColor="text1" w:themeTint="FF" w:themeShade="FF"/>
          <w:sz w:val="24"/>
          <w:szCs w:val="24"/>
          <w:lang w:val="en-US"/>
        </w:rPr>
      </w:pPr>
      <w:r w:rsidRPr="366B7093" w:rsidR="4ACAD868">
        <w:rPr>
          <w:rFonts w:ascii="Verdana Pro" w:hAnsi="Verdana Pro" w:eastAsia="Verdana Pro" w:cs="Verdana Pro"/>
          <w:b w:val="0"/>
          <w:bCs w:val="0"/>
          <w:i w:val="0"/>
          <w:iCs w:val="0"/>
          <w:caps w:val="0"/>
          <w:smallCaps w:val="0"/>
          <w:strike w:val="0"/>
          <w:dstrike w:val="0"/>
          <w:noProof w:val="0"/>
          <w:color w:val="000000" w:themeColor="text1" w:themeTint="FF" w:themeShade="FF"/>
          <w:sz w:val="24"/>
          <w:szCs w:val="24"/>
          <w:u w:val="single"/>
          <w:lang w:val="en-US"/>
        </w:rPr>
        <w:t>Kyran Woods</w:t>
      </w:r>
    </w:p>
    <w:p xmlns:wp14="http://schemas.microsoft.com/office/word/2010/wordml" w:rsidP="366B7093" w14:paraId="2DB7312B" wp14:textId="2707D93E">
      <w:pPr>
        <w:pStyle w:val="NoSpacing"/>
        <w:spacing w:line="480" w:lineRule="auto"/>
        <w:ind w:firstLine="0"/>
        <w:rPr>
          <w:rFonts w:ascii="Californian FB" w:hAnsi="Californian FB" w:eastAsia="Californian FB" w:cs="Californian FB"/>
          <w:b w:val="0"/>
          <w:bCs w:val="0"/>
          <w:i w:val="0"/>
          <w:iCs w:val="0"/>
          <w:caps w:val="0"/>
          <w:smallCaps w:val="0"/>
          <w:noProof w:val="0"/>
          <w:color w:val="000000" w:themeColor="text1" w:themeTint="FF" w:themeShade="FF"/>
          <w:sz w:val="24"/>
          <w:szCs w:val="24"/>
          <w:lang w:val="en-US"/>
        </w:rPr>
      </w:pPr>
      <w:r w:rsidRPr="366B7093" w:rsidR="4ACAD868">
        <w:rPr>
          <w:rFonts w:ascii="Californian FB" w:hAnsi="Californian FB" w:eastAsia="Californian FB" w:cs="Californian FB"/>
          <w:b w:val="0"/>
          <w:bCs w:val="0"/>
          <w:i w:val="0"/>
          <w:iCs w:val="0"/>
          <w:caps w:val="0"/>
          <w:smallCaps w:val="0"/>
          <w:noProof w:val="0"/>
          <w:color w:val="000000" w:themeColor="text1" w:themeTint="FF" w:themeShade="FF"/>
          <w:sz w:val="24"/>
          <w:szCs w:val="24"/>
          <w:lang w:val="en-US"/>
        </w:rPr>
        <w:t xml:space="preserve">The English and Welsh legal system is comprised of two components common law and civil law. Tort law is generally made of the common law system in that it is largely based around civil wrongs and the law of negligence, leading to personal injury and the loss of earnings and such. Duty of care can have several meanings depending on the context of its use, such as legal duty of care and the professional duty of care. Duty of care laws impose that a person with a legal duty of care such as a hospital employee such as a nurse or doctor must act in the correct manner and that the practitioner gives the correct amount care and failure to do so can be considered as negligence and that they are liable for any injury or harm that may occur to a person within their care. Whereas professional duty of care is rooted in the fact that a reasonable man would do or not do. British emergency services network is comprised of police, fire and rescue and the ambulance service who are generally contacted via 999 or 112.  </w:t>
      </w:r>
    </w:p>
    <w:p xmlns:wp14="http://schemas.microsoft.com/office/word/2010/wordml" w:rsidP="366B7093" w14:paraId="43C82196" wp14:textId="3C30F382">
      <w:pPr>
        <w:pStyle w:val="NoSpacing"/>
        <w:spacing w:line="480" w:lineRule="auto"/>
        <w:ind w:firstLine="0"/>
        <w:rPr>
          <w:rFonts w:ascii="Californian FB" w:hAnsi="Californian FB" w:eastAsia="Californian FB" w:cs="Californian FB"/>
          <w:b w:val="0"/>
          <w:bCs w:val="0"/>
          <w:i w:val="0"/>
          <w:iCs w:val="0"/>
          <w:caps w:val="0"/>
          <w:smallCaps w:val="0"/>
          <w:noProof w:val="0"/>
          <w:color w:val="000000" w:themeColor="text1" w:themeTint="FF" w:themeShade="FF"/>
          <w:sz w:val="24"/>
          <w:szCs w:val="24"/>
          <w:lang w:val="en-US"/>
        </w:rPr>
      </w:pPr>
      <w:r w:rsidRPr="366B7093" w:rsidR="4ACAD868">
        <w:rPr>
          <w:rFonts w:ascii="Californian FB" w:hAnsi="Californian FB" w:eastAsia="Californian FB" w:cs="Californian FB"/>
          <w:b w:val="0"/>
          <w:bCs w:val="0"/>
          <w:i w:val="0"/>
          <w:iCs w:val="0"/>
          <w:caps w:val="0"/>
          <w:smallCaps w:val="0"/>
          <w:noProof w:val="0"/>
          <w:color w:val="000000" w:themeColor="text1" w:themeTint="FF" w:themeShade="FF"/>
          <w:sz w:val="24"/>
          <w:szCs w:val="24"/>
          <w:lang w:val="en-US"/>
        </w:rPr>
        <w:t xml:space="preserve">The UK courts deem that police are not liable for negligence leading to injury or worse for victims of crimes, such as Hill v Chief Constable of West Yorkshire, in which Ms Hill had sued the West Yorkshire police for negligence of duty for when her daughter was murdered by the ‘Yorkshire Ripper’. The courts found that police were immune from actions in negligence in response to a crime. </w:t>
      </w:r>
      <w:r w:rsidRPr="366B7093" w:rsidR="4ACAD868">
        <w:rPr>
          <w:rFonts w:ascii="Californian FB" w:hAnsi="Californian FB" w:eastAsia="Californian FB" w:cs="Californian FB"/>
          <w:b w:val="0"/>
          <w:bCs w:val="0"/>
          <w:i w:val="0"/>
          <w:iCs w:val="0"/>
          <w:caps w:val="0"/>
          <w:smallCaps w:val="0"/>
          <w:noProof w:val="0"/>
          <w:color w:val="000000" w:themeColor="text1" w:themeTint="FF" w:themeShade="FF"/>
          <w:sz w:val="16"/>
          <w:szCs w:val="16"/>
          <w:lang w:val="en-US"/>
        </w:rPr>
        <w:t xml:space="preserve">(Alternative law journal, 2017, Vol.42(1),p.29-34)   </w:t>
      </w:r>
      <w:r w:rsidRPr="366B7093" w:rsidR="4ACAD868">
        <w:rPr>
          <w:rFonts w:ascii="Californian FB" w:hAnsi="Californian FB" w:eastAsia="Californian FB" w:cs="Californian FB"/>
          <w:b w:val="0"/>
          <w:bCs w:val="0"/>
          <w:i w:val="0"/>
          <w:iCs w:val="0"/>
          <w:caps w:val="0"/>
          <w:smallCaps w:val="0"/>
          <w:noProof w:val="0"/>
          <w:color w:val="000000" w:themeColor="text1" w:themeTint="FF" w:themeShade="FF"/>
          <w:sz w:val="24"/>
          <w:szCs w:val="24"/>
          <w:lang w:val="en-US"/>
        </w:rPr>
        <w:t xml:space="preserve">This impacts how police have worked on cases in the future from this case as they’ve had a certain immunity from negligence in cases. The Hill principle has been challenged on numerous occasions such as Michael v Chief Commissioner of South Wales, where the principle has been upheld. The police also have been deemed to not have broken negligence towards people working as informants, in cases such as An informer v Chief Constable (2012) in which the informant had claimed that they had acted negligently leading to a financial loss, as the officer leading the case hadn’t informed of his involvement with the police. In other cases such as Swinney v CC Northumbria [1997] Mr and Mrs Swinney had aquired some information about the killing of police officer in which the documents with the information on the suspect had been stolen from a police car that had been left unattended. This led to threats of violence being thrust upon the couple. Thus, leading to a claim of negligence against the Northumbrian police for psychiatric injuries that they had suffered from this information being released into the public domain. The police do owe the public a certain level of care due to being in a position of power and control of the public, however they are under greater protection from the judicial system than that of the average citizen. In the case of Rigby v Chief Constable of Northamptonshire, states that the police had fired a gas cannister into a building to entrap the criminal, however they did not assess the potential danger that could occur such as a fire, the police also new that there was this risk of the fire and did not have the fire department available on hand to quell the fire in result of such occurrence. These officers who used the gas cannisters were found to be negligent in their actions regarding the use of gas as it was an unnecessary act with the risk of fire involved.  the human rights act of 1998 states that employers must have a duty of care over their employees, in that it is their duty to protect its employees' health, safety and welfare and the employers are supposed to do whatever is reasonably practicable to achieve this goal. Such as, Assessing the risks of the job in hand, providing the correct information about the risks involved, consulting employees on any health and safety issues that may be involved. The human rights act of 1998 impacts negligence and duty of care massively down to the fact it states that employers must provide certain things for the people that they have working for them. </w:t>
      </w:r>
      <w:r w:rsidRPr="366B7093" w:rsidR="4ACAD868">
        <w:rPr>
          <w:rFonts w:ascii="Californian FB" w:hAnsi="Californian FB" w:eastAsia="Californian FB" w:cs="Californian FB"/>
          <w:b w:val="0"/>
          <w:bCs w:val="0"/>
          <w:i w:val="0"/>
          <w:iCs w:val="0"/>
          <w:caps w:val="0"/>
          <w:smallCaps w:val="0"/>
          <w:noProof w:val="0"/>
          <w:color w:val="000000" w:themeColor="text1" w:themeTint="FF" w:themeShade="FF"/>
          <w:sz w:val="16"/>
          <w:szCs w:val="16"/>
          <w:lang w:val="en-US"/>
        </w:rPr>
        <w:t xml:space="preserve">(Employer’s responsibilities HSE) </w:t>
      </w:r>
      <w:r w:rsidRPr="366B7093" w:rsidR="4ACAD868">
        <w:rPr>
          <w:rFonts w:ascii="Californian FB" w:hAnsi="Californian FB" w:eastAsia="Californian FB" w:cs="Californian FB"/>
          <w:b w:val="0"/>
          <w:bCs w:val="0"/>
          <w:i w:val="0"/>
          <w:iCs w:val="0"/>
          <w:caps w:val="0"/>
          <w:smallCaps w:val="0"/>
          <w:noProof w:val="0"/>
          <w:color w:val="000000" w:themeColor="text1" w:themeTint="FF" w:themeShade="FF"/>
          <w:sz w:val="24"/>
          <w:szCs w:val="24"/>
          <w:lang w:val="en-US"/>
        </w:rPr>
        <w:t xml:space="preserve">With all these things in place for employees it allows them a greater chance to claim back any damages for loss of earnings that they may have had. Such was the case in Pape v Cumbria CC in which Pape had been hired as a cleaner for a number of years, however although cleaners were provided with rubber gloves, they had not been warned of potential danger that could occur from not wearing these gloves whilst being in consistent contact with these harsh chemicals. Pape ended up developing a serious skin condition due to not using the gloves. She was eventually awarded £57,983 GBP because that the council were under duty to warn employees of the harm that can be caused. The fire service classed as a category 1 responder has its responsibilities set out by the civil contingencies act 2004 and by the fire and rescue national framework. Which states that its main responsibilities are, extinguishing fires in their area, protection of life and property in the event of fires in their area, rescuing and protectiong people in the event of road traffic collisions and rescuing and protecting people in the event of other emergencies. This leads to speculation that the fire service has a duty of care to its residents in case of an emergency. </w:t>
      </w:r>
      <w:r w:rsidRPr="366B7093" w:rsidR="4ACAD868">
        <w:rPr>
          <w:rFonts w:ascii="Californian FB" w:hAnsi="Californian FB" w:eastAsia="Californian FB" w:cs="Californian FB"/>
          <w:b w:val="0"/>
          <w:bCs w:val="0"/>
          <w:i w:val="0"/>
          <w:iCs w:val="0"/>
          <w:caps w:val="0"/>
          <w:smallCaps w:val="0"/>
          <w:noProof w:val="0"/>
          <w:color w:val="000000" w:themeColor="text1" w:themeTint="FF" w:themeShade="FF"/>
          <w:sz w:val="16"/>
          <w:szCs w:val="16"/>
          <w:lang w:val="en-US"/>
        </w:rPr>
        <w:t xml:space="preserve">(Roles and responsibilities of fire &amp; rescue authorities)  </w:t>
      </w:r>
      <w:r w:rsidRPr="366B7093" w:rsidR="4ACAD868">
        <w:rPr>
          <w:rFonts w:ascii="Californian FB" w:hAnsi="Californian FB" w:eastAsia="Californian FB" w:cs="Californian FB"/>
          <w:b w:val="0"/>
          <w:bCs w:val="0"/>
          <w:i w:val="0"/>
          <w:iCs w:val="0"/>
          <w:caps w:val="0"/>
          <w:smallCaps w:val="0"/>
          <w:noProof w:val="0"/>
          <w:color w:val="000000" w:themeColor="text1" w:themeTint="FF" w:themeShade="FF"/>
          <w:sz w:val="24"/>
          <w:szCs w:val="24"/>
          <w:lang w:val="en-US"/>
        </w:rPr>
        <w:t xml:space="preserve"> Capital&amp; Counties plc v Hampshire County Council found that the fire brigades could be held liable for negligence in properties in properties in which they had turned off sprinkler systems which then later had caught fire and destroyed in the event. For another fire in which this fire brigade was concerned they had extinguished a fire at a property and had failed to successful ensure that the properties adjacent had suffered from fire damage, the judge held that they were not liable for the damage as they had only a duty of care to the building in which the fire was. The fire service essentially has a duty to ensure that the people in the area of their call out are safe and that they ensure that there is no large-scale damage to the buildings which are directly impacted by fires. The ambulance service and its responders must follow the NARUs The Duty of Care for Ambulance Responders guide in which it states that they have moral, legal and professional obligations to follow. Unlike the fire and rescue service and police which to not generally owe a legal duty of care except in certain circumstance, the ambulance service does have an established legal duty to provide an adequate standard of care within a reasonable timeframe and without unreasonable delay. The duty of care from the ambulance services begin at the moment of acceptance of the emergency call and the agreement to attend the emergency call. Medics must also perform to a reasonable standard of care that does not endanger the patient more than is medically necessary the care must also have to be supported by a reasonable body of medical opinion. Any delay in the speed of arrival of the ambulance service must be explained and justified to avoid any legal ramifications and liability, any failure to this duty could lead to a charge of clinical negligence. Due to the Human Rights Act article 2, 1998, public sector organisations do what they reasonably can to protect those who are at immediate and real risk of harm. There are, however, times when it is not reasonable and justifiable to not act immediately in the rescue of a patient, such as when the life of the rescuer could also be at risk by carrying out the rescue. Fohkor Chowdhury was someone who succumbed to a failed duty of care from an ambulance crew who failed to assess his condition correctly leading to his death due to cardiac arrest in his home 36 hours after the paramedic had responded to the call. A claim of medical negligence was put forward on behalf of the family in which the claim alleged, that there had been a failure to carry out a more detailed assessment of his condition, which would’ve led to his hospitalization, had he been taken to the hospital promptly his heart attack would've been diagnosed and would have received the correct treatment and most likely survived the cardiac arrest. The defendant themselves admitted to this breach of duty leading to a claim of a six-figure sum to the family. The laws should be reformed to follow a similar structure to that of the ambulance service in which they have a higher duty of care to the public than the police and fire service. It is undeniably reasonable that people in these roles are trusted more than the rest of the public to carry out these tasks so should be held in higher regard than that of a member of the public.  </w:t>
      </w:r>
    </w:p>
    <w:p xmlns:wp14="http://schemas.microsoft.com/office/word/2010/wordml" w:rsidP="366B7093" w14:paraId="0B400ACB" wp14:textId="010A88D1">
      <w:pPr>
        <w:pStyle w:val="NoSpacing"/>
        <w:spacing w:line="480" w:lineRule="auto"/>
        <w:ind w:firstLine="0"/>
        <w:rPr>
          <w:rFonts w:ascii="Californian FB" w:hAnsi="Californian FB" w:eastAsia="Californian FB" w:cs="Californian FB"/>
          <w:b w:val="0"/>
          <w:bCs w:val="0"/>
          <w:i w:val="0"/>
          <w:iCs w:val="0"/>
          <w:caps w:val="0"/>
          <w:smallCaps w:val="0"/>
          <w:noProof w:val="0"/>
          <w:color w:val="000000" w:themeColor="text1" w:themeTint="FF" w:themeShade="FF"/>
          <w:sz w:val="24"/>
          <w:szCs w:val="24"/>
          <w:lang w:val="en-US"/>
        </w:rPr>
      </w:pPr>
      <w:r w:rsidRPr="366B7093" w:rsidR="4ACAD868">
        <w:rPr>
          <w:rFonts w:ascii="Californian FB" w:hAnsi="Californian FB" w:eastAsia="Californian FB" w:cs="Californian FB"/>
          <w:b w:val="0"/>
          <w:bCs w:val="0"/>
          <w:i w:val="0"/>
          <w:iCs w:val="0"/>
          <w:caps w:val="0"/>
          <w:smallCaps w:val="0"/>
          <w:noProof w:val="0"/>
          <w:color w:val="000000" w:themeColor="text1" w:themeTint="FF" w:themeShade="FF"/>
          <w:sz w:val="24"/>
          <w:szCs w:val="24"/>
          <w:lang w:val="en-US"/>
        </w:rPr>
        <w:t xml:space="preserve">       To conclude this research, I believe that tort law should be held in higher regard when it comes to the shortcomings and evident failures of the emergency response teams as there are many cases where if it were a member of the public that had done some of these things that the police and such can relatively get away with there would be a large financial settlement that would have to be given out such as what happens within private companies when a product is defective or is not as what was advertised. With a decreased margin for error, it would lead to less damages caused by the services, thus, then increasing the support that the public would have in them. Tort law is also key in resolving civil issues between two parties which is vitally handy due to the fact that it removes a large strain off of criminal law leading to more time for police to do their due diligence. </w:t>
      </w:r>
    </w:p>
    <w:p xmlns:wp14="http://schemas.microsoft.com/office/word/2010/wordml" w:rsidP="366B7093" w14:paraId="40354CF9" wp14:textId="40969918">
      <w:pPr>
        <w:pStyle w:val="SectionTitle"/>
        <w:spacing w:line="480" w:lineRule="auto"/>
        <w:ind w:firstLine="0"/>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66B7093" w:rsidR="4ACAD8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References</w:t>
      </w:r>
    </w:p>
    <w:p xmlns:wp14="http://schemas.microsoft.com/office/word/2010/wordml" w:rsidP="366B7093" w14:paraId="7A08276C" wp14:textId="3AA618EA">
      <w:pPr>
        <w:spacing w:line="480"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366B7093" w14:paraId="5634597B" wp14:textId="418657DA">
      <w:pPr>
        <w:spacing w:line="480" w:lineRule="auto"/>
        <w:ind w:firstLine="720"/>
        <w:rPr>
          <w:rFonts w:ascii="Calibri" w:hAnsi="Calibri" w:eastAsia="Calibri" w:cs="Calibri"/>
          <w:b w:val="0"/>
          <w:bCs w:val="0"/>
          <w:i w:val="0"/>
          <w:iCs w:val="0"/>
          <w:caps w:val="0"/>
          <w:smallCaps w:val="0"/>
          <w:noProof w:val="0"/>
          <w:color w:val="000000" w:themeColor="text1" w:themeTint="FF" w:themeShade="FF"/>
          <w:sz w:val="20"/>
          <w:szCs w:val="20"/>
          <w:lang w:val="en-US"/>
        </w:rPr>
      </w:pPr>
      <w:hyperlink>
        <w:r w:rsidRPr="366B7093" w:rsidR="4ACAD868">
          <w:rPr>
            <w:rStyle w:val="Hyperlink"/>
            <w:rFonts w:ascii="Calibri" w:hAnsi="Calibri" w:eastAsia="Calibri" w:cs="Calibri"/>
            <w:b w:val="0"/>
            <w:bCs w:val="0"/>
            <w:i w:val="0"/>
            <w:iCs w:val="0"/>
            <w:caps w:val="0"/>
            <w:smallCaps w:val="0"/>
            <w:strike w:val="0"/>
            <w:dstrike w:val="0"/>
            <w:noProof w:val="0"/>
            <w:sz w:val="20"/>
            <w:szCs w:val="20"/>
            <w:lang w:val="en-US"/>
          </w:rPr>
          <w:t>www.local.gov.uk</w:t>
        </w:r>
      </w:hyperlink>
      <w:r w:rsidRPr="366B7093" w:rsidR="4ACAD868">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(n.d.). </w:t>
      </w:r>
      <w:r w:rsidRPr="366B7093" w:rsidR="4ACAD868">
        <w:rPr>
          <w:rFonts w:ascii="Calibri" w:hAnsi="Calibri" w:eastAsia="Calibri" w:cs="Calibri"/>
          <w:b w:val="0"/>
          <w:bCs w:val="0"/>
          <w:i w:val="1"/>
          <w:iCs w:val="1"/>
          <w:caps w:val="0"/>
          <w:smallCaps w:val="0"/>
          <w:noProof w:val="0"/>
          <w:color w:val="000000" w:themeColor="text1" w:themeTint="FF" w:themeShade="FF"/>
          <w:sz w:val="20"/>
          <w:szCs w:val="20"/>
          <w:lang w:val="en-US"/>
        </w:rPr>
        <w:t>Roles and responsibilities of fire &amp; rescue authorities | Local Government Association</w:t>
      </w:r>
      <w:r w:rsidRPr="366B7093" w:rsidR="4ACAD868">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[online] Available at: </w:t>
      </w:r>
      <w:hyperlink w:anchor=":~:text=There%20are%20four%20key%20responsibilities" r:id="R59af29d50f024b11">
        <w:r w:rsidRPr="366B7093" w:rsidR="4ACAD868">
          <w:rPr>
            <w:rStyle w:val="Hyperlink"/>
            <w:rFonts w:ascii="Calibri" w:hAnsi="Calibri" w:eastAsia="Calibri" w:cs="Calibri"/>
            <w:b w:val="0"/>
            <w:bCs w:val="0"/>
            <w:i w:val="0"/>
            <w:iCs w:val="0"/>
            <w:caps w:val="0"/>
            <w:smallCaps w:val="0"/>
            <w:strike w:val="0"/>
            <w:dstrike w:val="0"/>
            <w:noProof w:val="0"/>
            <w:sz w:val="20"/>
            <w:szCs w:val="20"/>
            <w:lang w:val="en-US"/>
          </w:rPr>
          <w:t>https://www.local.gov.uk/topics/fire-and-rescue/fire-role-models/roles-and-responsibilities-fire-rescue-authorities#:~:text=There%20are%20four%20key%20responsibilities</w:t>
        </w:r>
      </w:hyperlink>
      <w:r w:rsidRPr="366B7093" w:rsidR="4ACAD868">
        <w:rPr>
          <w:rFonts w:ascii="Calibri" w:hAnsi="Calibri" w:eastAsia="Calibri" w:cs="Calibri"/>
          <w:b w:val="0"/>
          <w:bCs w:val="0"/>
          <w:i w:val="0"/>
          <w:iCs w:val="0"/>
          <w:caps w:val="0"/>
          <w:smallCaps w:val="0"/>
          <w:noProof w:val="0"/>
          <w:color w:val="000000" w:themeColor="text1" w:themeTint="FF" w:themeShade="FF"/>
          <w:sz w:val="20"/>
          <w:szCs w:val="20"/>
          <w:lang w:val="en-US"/>
        </w:rPr>
        <w:t>.</w:t>
      </w:r>
    </w:p>
    <w:p xmlns:wp14="http://schemas.microsoft.com/office/word/2010/wordml" w:rsidP="366B7093" w14:paraId="2286C295" wp14:textId="7483688B">
      <w:pPr>
        <w:spacing w:line="480" w:lineRule="auto"/>
        <w:ind w:firstLine="720"/>
        <w:rPr>
          <w:rFonts w:ascii="Calibri" w:hAnsi="Calibri" w:eastAsia="Calibri" w:cs="Calibri"/>
          <w:b w:val="0"/>
          <w:bCs w:val="0"/>
          <w:i w:val="0"/>
          <w:iCs w:val="0"/>
          <w:caps w:val="0"/>
          <w:smallCaps w:val="0"/>
          <w:noProof w:val="0"/>
          <w:color w:val="000000" w:themeColor="text1" w:themeTint="FF" w:themeShade="FF"/>
          <w:sz w:val="20"/>
          <w:szCs w:val="20"/>
          <w:lang w:val="en-US"/>
        </w:rPr>
      </w:pPr>
    </w:p>
    <w:p xmlns:wp14="http://schemas.microsoft.com/office/word/2010/wordml" w:rsidP="366B7093" w14:paraId="52ABAB63" wp14:textId="706EEC75">
      <w:pPr>
        <w:spacing w:line="480" w:lineRule="auto"/>
        <w:ind w:firstLine="720"/>
        <w:rPr>
          <w:rFonts w:ascii="Calibri" w:hAnsi="Calibri" w:eastAsia="Calibri" w:cs="Calibri"/>
          <w:b w:val="0"/>
          <w:bCs w:val="0"/>
          <w:i w:val="0"/>
          <w:iCs w:val="0"/>
          <w:caps w:val="0"/>
          <w:smallCaps w:val="0"/>
          <w:noProof w:val="0"/>
          <w:color w:val="000000" w:themeColor="text1" w:themeTint="FF" w:themeShade="FF"/>
          <w:sz w:val="20"/>
          <w:szCs w:val="20"/>
          <w:lang w:val="en-US"/>
        </w:rPr>
      </w:pPr>
      <w:r w:rsidRPr="366B7093" w:rsidR="4ACAD868">
        <w:rPr>
          <w:rFonts w:ascii="Calibri" w:hAnsi="Calibri" w:eastAsia="Calibri" w:cs="Calibri"/>
          <w:b w:val="0"/>
          <w:bCs w:val="0"/>
          <w:i w:val="0"/>
          <w:iCs w:val="0"/>
          <w:caps w:val="0"/>
          <w:smallCaps w:val="0"/>
          <w:noProof w:val="0"/>
          <w:color w:val="000000" w:themeColor="text1" w:themeTint="FF" w:themeShade="FF"/>
          <w:sz w:val="20"/>
          <w:szCs w:val="20"/>
          <w:lang w:val="en-US"/>
        </w:rPr>
        <w:t xml:space="preserve">Legislation.gov.uk. (2012). </w:t>
      </w:r>
      <w:r w:rsidRPr="366B7093" w:rsidR="4ACAD868">
        <w:rPr>
          <w:rFonts w:ascii="Calibri" w:hAnsi="Calibri" w:eastAsia="Calibri" w:cs="Calibri"/>
          <w:b w:val="0"/>
          <w:bCs w:val="0"/>
          <w:i w:val="1"/>
          <w:iCs w:val="1"/>
          <w:caps w:val="0"/>
          <w:smallCaps w:val="0"/>
          <w:noProof w:val="0"/>
          <w:color w:val="000000" w:themeColor="text1" w:themeTint="FF" w:themeShade="FF"/>
          <w:sz w:val="20"/>
          <w:szCs w:val="20"/>
          <w:lang w:val="en-US"/>
        </w:rPr>
        <w:t>Civil Contingencies Act 2004</w:t>
      </w:r>
      <w:r w:rsidRPr="366B7093" w:rsidR="4ACAD868">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[online] Available at: </w:t>
      </w:r>
      <w:hyperlink r:id="R19ff041988094a64">
        <w:r w:rsidRPr="366B7093" w:rsidR="4ACAD868">
          <w:rPr>
            <w:rStyle w:val="Hyperlink"/>
            <w:rFonts w:ascii="Calibri" w:hAnsi="Calibri" w:eastAsia="Calibri" w:cs="Calibri"/>
            <w:b w:val="0"/>
            <w:bCs w:val="0"/>
            <w:i w:val="0"/>
            <w:iCs w:val="0"/>
            <w:caps w:val="0"/>
            <w:smallCaps w:val="0"/>
            <w:strike w:val="0"/>
            <w:dstrike w:val="0"/>
            <w:noProof w:val="0"/>
            <w:sz w:val="20"/>
            <w:szCs w:val="20"/>
            <w:lang w:val="en-US"/>
          </w:rPr>
          <w:t>https://www.legislation.gov.uk/ukpga/2004/36/section/2</w:t>
        </w:r>
      </w:hyperlink>
      <w:r w:rsidRPr="366B7093" w:rsidR="4ACAD868">
        <w:rPr>
          <w:rFonts w:ascii="Calibri" w:hAnsi="Calibri" w:eastAsia="Calibri" w:cs="Calibri"/>
          <w:b w:val="0"/>
          <w:bCs w:val="0"/>
          <w:i w:val="0"/>
          <w:iCs w:val="0"/>
          <w:caps w:val="0"/>
          <w:smallCaps w:val="0"/>
          <w:noProof w:val="0"/>
          <w:color w:val="000000" w:themeColor="text1" w:themeTint="FF" w:themeShade="FF"/>
          <w:sz w:val="20"/>
          <w:szCs w:val="20"/>
          <w:lang w:val="en-US"/>
        </w:rPr>
        <w:t>.</w:t>
      </w:r>
    </w:p>
    <w:p xmlns:wp14="http://schemas.microsoft.com/office/word/2010/wordml" w:rsidP="366B7093" w14:paraId="7C22E96D" wp14:textId="0F66409D">
      <w:pPr>
        <w:spacing w:line="480" w:lineRule="auto"/>
        <w:ind w:firstLine="720"/>
        <w:rPr>
          <w:rFonts w:ascii="Segoe UI" w:hAnsi="Segoe UI" w:eastAsia="Segoe UI" w:cs="Segoe UI"/>
          <w:b w:val="0"/>
          <w:bCs w:val="0"/>
          <w:i w:val="0"/>
          <w:iCs w:val="0"/>
          <w:caps w:val="0"/>
          <w:smallCaps w:val="0"/>
          <w:noProof w:val="0"/>
          <w:color w:val="000000" w:themeColor="text1" w:themeTint="FF" w:themeShade="FF"/>
          <w:sz w:val="20"/>
          <w:szCs w:val="20"/>
          <w:lang w:val="en-US"/>
        </w:rPr>
      </w:pPr>
      <w:r w:rsidRPr="366B7093" w:rsidR="4ACAD868">
        <w:rPr>
          <w:rFonts w:ascii="Segoe UI" w:hAnsi="Segoe UI" w:eastAsia="Segoe UI" w:cs="Segoe UI"/>
          <w:b w:val="0"/>
          <w:bCs w:val="0"/>
          <w:i w:val="0"/>
          <w:iCs w:val="0"/>
          <w:caps w:val="0"/>
          <w:smallCaps w:val="0"/>
          <w:noProof w:val="0"/>
          <w:color w:val="000000" w:themeColor="text1" w:themeTint="FF" w:themeShade="FF"/>
          <w:sz w:val="20"/>
          <w:szCs w:val="20"/>
          <w:lang w:val="en-US"/>
        </w:rPr>
        <w:t>‌</w:t>
      </w:r>
    </w:p>
    <w:p xmlns:wp14="http://schemas.microsoft.com/office/word/2010/wordml" w:rsidP="366B7093" w14:paraId="702C496B" wp14:textId="7435BCC2">
      <w:pPr>
        <w:spacing w:line="480" w:lineRule="auto"/>
        <w:ind w:firstLine="720"/>
        <w:rPr>
          <w:rFonts w:ascii="Calibri" w:hAnsi="Calibri" w:eastAsia="Calibri" w:cs="Calibri"/>
          <w:b w:val="0"/>
          <w:bCs w:val="0"/>
          <w:i w:val="0"/>
          <w:iCs w:val="0"/>
          <w:caps w:val="0"/>
          <w:smallCaps w:val="0"/>
          <w:noProof w:val="0"/>
          <w:color w:val="000000" w:themeColor="text1" w:themeTint="FF" w:themeShade="FF"/>
          <w:sz w:val="20"/>
          <w:szCs w:val="20"/>
          <w:lang w:val="en-US"/>
        </w:rPr>
      </w:pPr>
      <w:r w:rsidRPr="366B7093" w:rsidR="4ACAD868">
        <w:rPr>
          <w:rFonts w:ascii="Calibri" w:hAnsi="Calibri" w:eastAsia="Calibri" w:cs="Calibri"/>
          <w:b w:val="0"/>
          <w:bCs w:val="0"/>
          <w:i w:val="0"/>
          <w:iCs w:val="0"/>
          <w:caps w:val="0"/>
          <w:smallCaps w:val="0"/>
          <w:noProof w:val="0"/>
          <w:color w:val="000000" w:themeColor="text1" w:themeTint="FF" w:themeShade="FF"/>
          <w:sz w:val="20"/>
          <w:szCs w:val="20"/>
          <w:lang w:val="en-US"/>
        </w:rPr>
        <w:t xml:space="preserve">Fire and Rescue National Framework for England. (2018). [online] Available at: </w:t>
      </w:r>
      <w:hyperlink r:id="R1147e2396a5048d1">
        <w:r w:rsidRPr="366B7093" w:rsidR="4ACAD868">
          <w:rPr>
            <w:rStyle w:val="Hyperlink"/>
            <w:rFonts w:ascii="Calibri" w:hAnsi="Calibri" w:eastAsia="Calibri" w:cs="Calibri"/>
            <w:b w:val="0"/>
            <w:bCs w:val="0"/>
            <w:i w:val="0"/>
            <w:iCs w:val="0"/>
            <w:caps w:val="0"/>
            <w:smallCaps w:val="0"/>
            <w:strike w:val="0"/>
            <w:dstrike w:val="0"/>
            <w:noProof w:val="0"/>
            <w:sz w:val="20"/>
            <w:szCs w:val="20"/>
            <w:lang w:val="en-US"/>
          </w:rPr>
          <w:t>https://assets.publishing.service.gov.uk/government/uploads/system/uploads/attachment_data/file/705060/National_Framework_-_final_for_web.pdf</w:t>
        </w:r>
      </w:hyperlink>
      <w:r w:rsidRPr="366B7093" w:rsidR="4ACAD868">
        <w:rPr>
          <w:rFonts w:ascii="Calibri" w:hAnsi="Calibri" w:eastAsia="Calibri" w:cs="Calibri"/>
          <w:b w:val="0"/>
          <w:bCs w:val="0"/>
          <w:i w:val="0"/>
          <w:iCs w:val="0"/>
          <w:caps w:val="0"/>
          <w:smallCaps w:val="0"/>
          <w:noProof w:val="0"/>
          <w:color w:val="000000" w:themeColor="text1" w:themeTint="FF" w:themeShade="FF"/>
          <w:sz w:val="20"/>
          <w:szCs w:val="20"/>
          <w:lang w:val="en-US"/>
        </w:rPr>
        <w:t>.</w:t>
      </w:r>
    </w:p>
    <w:p xmlns:wp14="http://schemas.microsoft.com/office/word/2010/wordml" w:rsidP="366B7093" w14:paraId="30C9599A" wp14:textId="28BEC87C">
      <w:pPr>
        <w:spacing w:line="480" w:lineRule="auto"/>
        <w:ind w:firstLine="720"/>
        <w:rPr>
          <w:rFonts w:ascii="Segoe UI" w:hAnsi="Segoe UI" w:eastAsia="Segoe UI" w:cs="Segoe UI"/>
          <w:b w:val="0"/>
          <w:bCs w:val="0"/>
          <w:i w:val="0"/>
          <w:iCs w:val="0"/>
          <w:caps w:val="0"/>
          <w:smallCaps w:val="0"/>
          <w:noProof w:val="0"/>
          <w:color w:val="000000" w:themeColor="text1" w:themeTint="FF" w:themeShade="FF"/>
          <w:sz w:val="20"/>
          <w:szCs w:val="20"/>
          <w:lang w:val="en-US"/>
        </w:rPr>
      </w:pPr>
      <w:r w:rsidRPr="366B7093" w:rsidR="4ACAD868">
        <w:rPr>
          <w:rFonts w:ascii="Segoe UI" w:hAnsi="Segoe UI" w:eastAsia="Segoe UI" w:cs="Segoe UI"/>
          <w:b w:val="0"/>
          <w:bCs w:val="0"/>
          <w:i w:val="0"/>
          <w:iCs w:val="0"/>
          <w:caps w:val="0"/>
          <w:smallCaps w:val="0"/>
          <w:noProof w:val="0"/>
          <w:color w:val="000000" w:themeColor="text1" w:themeTint="FF" w:themeShade="FF"/>
          <w:sz w:val="20"/>
          <w:szCs w:val="20"/>
          <w:lang w:val="en-US"/>
        </w:rPr>
        <w:t>‌</w:t>
      </w:r>
    </w:p>
    <w:p xmlns:wp14="http://schemas.microsoft.com/office/word/2010/wordml" w:rsidP="366B7093" w14:paraId="5D971BDD" wp14:textId="626BD094">
      <w:pPr>
        <w:spacing w:line="480" w:lineRule="auto"/>
        <w:ind w:firstLine="720"/>
        <w:rPr>
          <w:rFonts w:ascii="Calibri" w:hAnsi="Calibri" w:eastAsia="Calibri" w:cs="Calibri"/>
          <w:b w:val="0"/>
          <w:bCs w:val="0"/>
          <w:i w:val="0"/>
          <w:iCs w:val="0"/>
          <w:caps w:val="0"/>
          <w:smallCaps w:val="0"/>
          <w:noProof w:val="0"/>
          <w:color w:val="000000" w:themeColor="text1" w:themeTint="FF" w:themeShade="FF"/>
          <w:sz w:val="20"/>
          <w:szCs w:val="20"/>
          <w:lang w:val="en-US"/>
        </w:rPr>
      </w:pPr>
      <w:r w:rsidRPr="366B7093" w:rsidR="4ACAD868">
        <w:rPr>
          <w:rFonts w:ascii="Calibri" w:hAnsi="Calibri" w:eastAsia="Calibri" w:cs="Calibri"/>
          <w:b w:val="0"/>
          <w:bCs w:val="0"/>
          <w:i w:val="0"/>
          <w:iCs w:val="0"/>
          <w:caps w:val="0"/>
          <w:smallCaps w:val="0"/>
          <w:noProof w:val="0"/>
          <w:color w:val="000000" w:themeColor="text1" w:themeTint="FF" w:themeShade="FF"/>
          <w:sz w:val="20"/>
          <w:szCs w:val="20"/>
          <w:lang w:val="en-US"/>
        </w:rPr>
        <w:t xml:space="preserve">International Commission of Jurists. (n.d.). </w:t>
      </w:r>
      <w:r w:rsidRPr="366B7093" w:rsidR="4ACAD868">
        <w:rPr>
          <w:rFonts w:ascii="Calibri" w:hAnsi="Calibri" w:eastAsia="Calibri" w:cs="Calibri"/>
          <w:b w:val="0"/>
          <w:bCs w:val="0"/>
          <w:i w:val="1"/>
          <w:iCs w:val="1"/>
          <w:caps w:val="0"/>
          <w:smallCaps w:val="0"/>
          <w:noProof w:val="0"/>
          <w:color w:val="000000" w:themeColor="text1" w:themeTint="FF" w:themeShade="FF"/>
          <w:sz w:val="20"/>
          <w:szCs w:val="20"/>
          <w:lang w:val="en-US"/>
        </w:rPr>
        <w:t>Pape v. Cumbria CC, [1992] I.C.R. 132</w:t>
      </w:r>
      <w:r w:rsidRPr="366B7093" w:rsidR="4ACAD868">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[online] Available at: </w:t>
      </w:r>
      <w:hyperlink r:id="R39e5d8ac383f4017">
        <w:r w:rsidRPr="366B7093" w:rsidR="4ACAD868">
          <w:rPr>
            <w:rStyle w:val="Hyperlink"/>
            <w:rFonts w:ascii="Calibri" w:hAnsi="Calibri" w:eastAsia="Calibri" w:cs="Calibri"/>
            <w:b w:val="0"/>
            <w:bCs w:val="0"/>
            <w:i w:val="0"/>
            <w:iCs w:val="0"/>
            <w:caps w:val="0"/>
            <w:smallCaps w:val="0"/>
            <w:strike w:val="0"/>
            <w:dstrike w:val="0"/>
            <w:noProof w:val="0"/>
            <w:sz w:val="20"/>
            <w:szCs w:val="20"/>
            <w:lang w:val="en-US"/>
          </w:rPr>
          <w:t>https://www.icj.org/escr_litigation/pape-v-cumbria-cc-1992-i-c-r-132/</w:t>
        </w:r>
      </w:hyperlink>
      <w:r w:rsidRPr="366B7093" w:rsidR="4ACAD868">
        <w:rPr>
          <w:rFonts w:ascii="Calibri" w:hAnsi="Calibri" w:eastAsia="Calibri" w:cs="Calibri"/>
          <w:b w:val="0"/>
          <w:bCs w:val="0"/>
          <w:i w:val="0"/>
          <w:iCs w:val="0"/>
          <w:caps w:val="0"/>
          <w:smallCaps w:val="0"/>
          <w:noProof w:val="0"/>
          <w:color w:val="000000" w:themeColor="text1" w:themeTint="FF" w:themeShade="FF"/>
          <w:sz w:val="20"/>
          <w:szCs w:val="20"/>
          <w:lang w:val="en-US"/>
        </w:rPr>
        <w:t>.</w:t>
      </w:r>
    </w:p>
    <w:p xmlns:wp14="http://schemas.microsoft.com/office/word/2010/wordml" w:rsidP="366B7093" w14:paraId="2BF6244D" wp14:textId="2E2CB291">
      <w:pPr>
        <w:spacing w:line="480" w:lineRule="auto"/>
        <w:ind w:firstLine="720"/>
        <w:rPr>
          <w:rFonts w:ascii="Segoe UI" w:hAnsi="Segoe UI" w:eastAsia="Segoe UI" w:cs="Segoe UI"/>
          <w:b w:val="0"/>
          <w:bCs w:val="0"/>
          <w:i w:val="0"/>
          <w:iCs w:val="0"/>
          <w:caps w:val="0"/>
          <w:smallCaps w:val="0"/>
          <w:noProof w:val="0"/>
          <w:color w:val="000000" w:themeColor="text1" w:themeTint="FF" w:themeShade="FF"/>
          <w:sz w:val="20"/>
          <w:szCs w:val="20"/>
          <w:lang w:val="en-US"/>
        </w:rPr>
      </w:pPr>
      <w:r w:rsidRPr="366B7093" w:rsidR="4ACAD868">
        <w:rPr>
          <w:rFonts w:ascii="Segoe UI" w:hAnsi="Segoe UI" w:eastAsia="Segoe UI" w:cs="Segoe UI"/>
          <w:b w:val="0"/>
          <w:bCs w:val="0"/>
          <w:i w:val="0"/>
          <w:iCs w:val="0"/>
          <w:caps w:val="0"/>
          <w:smallCaps w:val="0"/>
          <w:noProof w:val="0"/>
          <w:color w:val="000000" w:themeColor="text1" w:themeTint="FF" w:themeShade="FF"/>
          <w:sz w:val="20"/>
          <w:szCs w:val="20"/>
          <w:lang w:val="en-US"/>
        </w:rPr>
        <w:t>‌</w:t>
      </w:r>
    </w:p>
    <w:p xmlns:wp14="http://schemas.microsoft.com/office/word/2010/wordml" w:rsidP="366B7093" w14:paraId="1089032C" wp14:textId="59428211">
      <w:pPr>
        <w:spacing w:line="480" w:lineRule="auto"/>
        <w:ind w:firstLine="0"/>
        <w:rPr>
          <w:rFonts w:ascii="Calibri" w:hAnsi="Calibri" w:eastAsia="Calibri" w:cs="Calibri"/>
          <w:b w:val="0"/>
          <w:bCs w:val="0"/>
          <w:i w:val="0"/>
          <w:iCs w:val="0"/>
          <w:caps w:val="0"/>
          <w:smallCaps w:val="0"/>
          <w:noProof w:val="0"/>
          <w:color w:val="000000" w:themeColor="text1" w:themeTint="FF" w:themeShade="FF"/>
          <w:sz w:val="20"/>
          <w:szCs w:val="20"/>
          <w:lang w:val="en-US"/>
        </w:rPr>
      </w:pPr>
    </w:p>
    <w:p xmlns:wp14="http://schemas.microsoft.com/office/word/2010/wordml" w:rsidP="366B7093" w14:paraId="29472111" wp14:textId="5E20C1DD">
      <w:pPr>
        <w:spacing w:line="480" w:lineRule="auto"/>
        <w:ind w:firstLine="720"/>
        <w:rPr>
          <w:rFonts w:ascii="Calibri" w:hAnsi="Calibri" w:eastAsia="Calibri" w:cs="Calibri"/>
          <w:b w:val="0"/>
          <w:bCs w:val="0"/>
          <w:i w:val="0"/>
          <w:iCs w:val="0"/>
          <w:caps w:val="0"/>
          <w:smallCaps w:val="0"/>
          <w:noProof w:val="0"/>
          <w:color w:val="000000" w:themeColor="text1" w:themeTint="FF" w:themeShade="FF"/>
          <w:sz w:val="20"/>
          <w:szCs w:val="20"/>
          <w:lang w:val="en-US"/>
        </w:rPr>
      </w:pPr>
      <w:hyperlink>
        <w:r w:rsidRPr="366B7093" w:rsidR="4ACAD868">
          <w:rPr>
            <w:rStyle w:val="Hyperlink"/>
            <w:rFonts w:ascii="Calibri" w:hAnsi="Calibri" w:eastAsia="Calibri" w:cs="Calibri"/>
            <w:b w:val="0"/>
            <w:bCs w:val="0"/>
            <w:i w:val="0"/>
            <w:iCs w:val="0"/>
            <w:caps w:val="0"/>
            <w:smallCaps w:val="0"/>
            <w:strike w:val="0"/>
            <w:dstrike w:val="0"/>
            <w:noProof w:val="0"/>
            <w:sz w:val="20"/>
            <w:szCs w:val="20"/>
            <w:lang w:val="en-US"/>
          </w:rPr>
          <w:t>www.mind.org.uk</w:t>
        </w:r>
      </w:hyperlink>
      <w:r w:rsidRPr="366B7093" w:rsidR="4ACAD868">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(n.d.). </w:t>
      </w:r>
      <w:r w:rsidRPr="366B7093" w:rsidR="4ACAD868">
        <w:rPr>
          <w:rFonts w:ascii="Calibri" w:hAnsi="Calibri" w:eastAsia="Calibri" w:cs="Calibri"/>
          <w:b w:val="0"/>
          <w:bCs w:val="0"/>
          <w:i w:val="1"/>
          <w:iCs w:val="1"/>
          <w:caps w:val="0"/>
          <w:smallCaps w:val="0"/>
          <w:noProof w:val="0"/>
          <w:color w:val="000000" w:themeColor="text1" w:themeTint="FF" w:themeShade="FF"/>
          <w:sz w:val="20"/>
          <w:szCs w:val="20"/>
          <w:lang w:val="en-US"/>
        </w:rPr>
        <w:t>Overview</w:t>
      </w:r>
      <w:r w:rsidRPr="366B7093" w:rsidR="4ACAD868">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[online] Available at: </w:t>
      </w:r>
      <w:hyperlink r:id="R5221f014c2d04ae0">
        <w:r w:rsidRPr="366B7093" w:rsidR="4ACAD868">
          <w:rPr>
            <w:rStyle w:val="Hyperlink"/>
            <w:rFonts w:ascii="Calibri" w:hAnsi="Calibri" w:eastAsia="Calibri" w:cs="Calibri"/>
            <w:b w:val="0"/>
            <w:bCs w:val="0"/>
            <w:i w:val="0"/>
            <w:iCs w:val="0"/>
            <w:caps w:val="0"/>
            <w:smallCaps w:val="0"/>
            <w:strike w:val="0"/>
            <w:dstrike w:val="0"/>
            <w:noProof w:val="0"/>
            <w:sz w:val="20"/>
            <w:szCs w:val="20"/>
            <w:lang w:val="en-US"/>
          </w:rPr>
          <w:t>https://www.mind.org.uk/information-support/legal-rights/clinical-negligence/overview/</w:t>
        </w:r>
      </w:hyperlink>
      <w:r w:rsidRPr="366B7093" w:rsidR="4ACAD868">
        <w:rPr>
          <w:rFonts w:ascii="Calibri" w:hAnsi="Calibri" w:eastAsia="Calibri" w:cs="Calibri"/>
          <w:b w:val="0"/>
          <w:bCs w:val="0"/>
          <w:i w:val="0"/>
          <w:iCs w:val="0"/>
          <w:caps w:val="0"/>
          <w:smallCaps w:val="0"/>
          <w:noProof w:val="0"/>
          <w:color w:val="000000" w:themeColor="text1" w:themeTint="FF" w:themeShade="FF"/>
          <w:sz w:val="20"/>
          <w:szCs w:val="20"/>
          <w:lang w:val="en-US"/>
        </w:rPr>
        <w:t>.</w:t>
      </w:r>
    </w:p>
    <w:p xmlns:wp14="http://schemas.microsoft.com/office/word/2010/wordml" w:rsidP="366B7093" w14:paraId="1F6309F7" wp14:textId="2DD14FED">
      <w:pPr>
        <w:spacing w:line="480" w:lineRule="auto"/>
        <w:ind w:firstLine="720"/>
        <w:rPr>
          <w:rFonts w:ascii="Segoe UI" w:hAnsi="Segoe UI" w:eastAsia="Segoe UI" w:cs="Segoe UI"/>
          <w:b w:val="0"/>
          <w:bCs w:val="0"/>
          <w:i w:val="0"/>
          <w:iCs w:val="0"/>
          <w:caps w:val="0"/>
          <w:smallCaps w:val="0"/>
          <w:noProof w:val="0"/>
          <w:color w:val="000000" w:themeColor="text1" w:themeTint="FF" w:themeShade="FF"/>
          <w:sz w:val="20"/>
          <w:szCs w:val="20"/>
          <w:lang w:val="en-US"/>
        </w:rPr>
      </w:pPr>
      <w:r w:rsidRPr="366B7093" w:rsidR="4ACAD868">
        <w:rPr>
          <w:rFonts w:ascii="Segoe UI" w:hAnsi="Segoe UI" w:eastAsia="Segoe UI" w:cs="Segoe UI"/>
          <w:b w:val="0"/>
          <w:bCs w:val="0"/>
          <w:i w:val="0"/>
          <w:iCs w:val="0"/>
          <w:caps w:val="0"/>
          <w:smallCaps w:val="0"/>
          <w:noProof w:val="0"/>
          <w:color w:val="000000" w:themeColor="text1" w:themeTint="FF" w:themeShade="FF"/>
          <w:sz w:val="20"/>
          <w:szCs w:val="20"/>
          <w:lang w:val="en-US"/>
        </w:rPr>
        <w:t>‌</w:t>
      </w:r>
    </w:p>
    <w:p xmlns:wp14="http://schemas.microsoft.com/office/word/2010/wordml" w:rsidP="366B7093" w14:paraId="29C47FC1" wp14:textId="24E7508F">
      <w:pPr>
        <w:spacing w:line="480" w:lineRule="auto"/>
        <w:ind w:firstLine="720"/>
        <w:rPr>
          <w:rFonts w:ascii="Calibri" w:hAnsi="Calibri" w:eastAsia="Calibri" w:cs="Calibri"/>
          <w:b w:val="0"/>
          <w:bCs w:val="0"/>
          <w:i w:val="0"/>
          <w:iCs w:val="0"/>
          <w:caps w:val="0"/>
          <w:smallCaps w:val="0"/>
          <w:noProof w:val="0"/>
          <w:color w:val="000000" w:themeColor="text1" w:themeTint="FF" w:themeShade="FF"/>
          <w:sz w:val="20"/>
          <w:szCs w:val="20"/>
          <w:lang w:val="en-US"/>
        </w:rPr>
      </w:pPr>
      <w:r w:rsidRPr="366B7093" w:rsidR="4ACAD868">
        <w:rPr>
          <w:rFonts w:ascii="Calibri" w:hAnsi="Calibri" w:eastAsia="Calibri" w:cs="Calibri"/>
          <w:b w:val="0"/>
          <w:bCs w:val="0"/>
          <w:i w:val="0"/>
          <w:iCs w:val="0"/>
          <w:caps w:val="0"/>
          <w:smallCaps w:val="0"/>
          <w:noProof w:val="0"/>
          <w:color w:val="000000" w:themeColor="text1" w:themeTint="FF" w:themeShade="FF"/>
          <w:sz w:val="20"/>
          <w:szCs w:val="20"/>
          <w:lang w:val="en-US"/>
        </w:rPr>
        <w:t xml:space="preserve">NARU. (n.d.). </w:t>
      </w:r>
      <w:r w:rsidRPr="366B7093" w:rsidR="4ACAD868">
        <w:rPr>
          <w:rFonts w:ascii="Calibri" w:hAnsi="Calibri" w:eastAsia="Calibri" w:cs="Calibri"/>
          <w:b w:val="0"/>
          <w:bCs w:val="0"/>
          <w:i w:val="1"/>
          <w:iCs w:val="1"/>
          <w:caps w:val="0"/>
          <w:smallCaps w:val="0"/>
          <w:noProof w:val="0"/>
          <w:color w:val="000000" w:themeColor="text1" w:themeTint="FF" w:themeShade="FF"/>
          <w:sz w:val="20"/>
          <w:szCs w:val="20"/>
          <w:lang w:val="en-US"/>
        </w:rPr>
        <w:t>The Duty of Care for Ambulance Responders - April 2021</w:t>
      </w:r>
      <w:r w:rsidRPr="366B7093" w:rsidR="4ACAD868">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[online] Available at: </w:t>
      </w:r>
      <w:hyperlink r:id="R5886049ea22a4c74">
        <w:r w:rsidRPr="366B7093" w:rsidR="4ACAD868">
          <w:rPr>
            <w:rStyle w:val="Hyperlink"/>
            <w:rFonts w:ascii="Calibri" w:hAnsi="Calibri" w:eastAsia="Calibri" w:cs="Calibri"/>
            <w:b w:val="0"/>
            <w:bCs w:val="0"/>
            <w:i w:val="0"/>
            <w:iCs w:val="0"/>
            <w:caps w:val="0"/>
            <w:smallCaps w:val="0"/>
            <w:strike w:val="0"/>
            <w:dstrike w:val="0"/>
            <w:noProof w:val="0"/>
            <w:sz w:val="20"/>
            <w:szCs w:val="20"/>
            <w:lang w:val="en-US"/>
          </w:rPr>
          <w:t>https://naru.org.uk/documents/the-duty-of-care-for-ambulance-responders-april-2021/</w:t>
        </w:r>
      </w:hyperlink>
      <w:r w:rsidRPr="366B7093" w:rsidR="4ACAD868">
        <w:rPr>
          <w:rFonts w:ascii="Calibri" w:hAnsi="Calibri" w:eastAsia="Calibri" w:cs="Calibri"/>
          <w:b w:val="0"/>
          <w:bCs w:val="0"/>
          <w:i w:val="0"/>
          <w:iCs w:val="0"/>
          <w:caps w:val="0"/>
          <w:smallCaps w:val="0"/>
          <w:noProof w:val="0"/>
          <w:color w:val="000000" w:themeColor="text1" w:themeTint="FF" w:themeShade="FF"/>
          <w:sz w:val="20"/>
          <w:szCs w:val="20"/>
          <w:lang w:val="en-US"/>
        </w:rPr>
        <w:t>.</w:t>
      </w:r>
    </w:p>
    <w:p xmlns:wp14="http://schemas.microsoft.com/office/word/2010/wordml" w:rsidP="366B7093" w14:paraId="60C0EBFF" wp14:textId="6AD52B57">
      <w:pPr>
        <w:spacing w:line="480" w:lineRule="auto"/>
        <w:ind w:firstLine="720"/>
        <w:rPr>
          <w:rFonts w:ascii="Segoe UI" w:hAnsi="Segoe UI" w:eastAsia="Segoe UI" w:cs="Segoe UI"/>
          <w:b w:val="0"/>
          <w:bCs w:val="0"/>
          <w:i w:val="0"/>
          <w:iCs w:val="0"/>
          <w:caps w:val="0"/>
          <w:smallCaps w:val="0"/>
          <w:noProof w:val="0"/>
          <w:color w:val="000000" w:themeColor="text1" w:themeTint="FF" w:themeShade="FF"/>
          <w:sz w:val="20"/>
          <w:szCs w:val="20"/>
          <w:lang w:val="en-US"/>
        </w:rPr>
      </w:pPr>
      <w:r w:rsidRPr="366B7093" w:rsidR="4ACAD868">
        <w:rPr>
          <w:rFonts w:ascii="Segoe UI" w:hAnsi="Segoe UI" w:eastAsia="Segoe UI" w:cs="Segoe UI"/>
          <w:b w:val="0"/>
          <w:bCs w:val="0"/>
          <w:i w:val="0"/>
          <w:iCs w:val="0"/>
          <w:caps w:val="0"/>
          <w:smallCaps w:val="0"/>
          <w:noProof w:val="0"/>
          <w:color w:val="000000" w:themeColor="text1" w:themeTint="FF" w:themeShade="FF"/>
          <w:sz w:val="20"/>
          <w:szCs w:val="20"/>
          <w:lang w:val="en-US"/>
        </w:rPr>
        <w:t>‌</w:t>
      </w:r>
    </w:p>
    <w:p xmlns:wp14="http://schemas.microsoft.com/office/word/2010/wordml" w:rsidP="366B7093" w14:paraId="7CB79712" wp14:textId="58342396">
      <w:pPr>
        <w:spacing w:line="480" w:lineRule="auto"/>
        <w:ind w:firstLine="720"/>
        <w:rPr>
          <w:rFonts w:ascii="Calibri" w:hAnsi="Calibri" w:eastAsia="Calibri" w:cs="Calibri"/>
          <w:b w:val="0"/>
          <w:bCs w:val="0"/>
          <w:i w:val="0"/>
          <w:iCs w:val="0"/>
          <w:caps w:val="0"/>
          <w:smallCaps w:val="0"/>
          <w:noProof w:val="0"/>
          <w:color w:val="000000" w:themeColor="text1" w:themeTint="FF" w:themeShade="FF"/>
          <w:sz w:val="20"/>
          <w:szCs w:val="20"/>
          <w:lang w:val="en-US"/>
        </w:rPr>
      </w:pPr>
      <w:r w:rsidRPr="366B7093" w:rsidR="4ACAD868">
        <w:rPr>
          <w:rFonts w:ascii="Calibri" w:hAnsi="Calibri" w:eastAsia="Calibri" w:cs="Calibri"/>
          <w:b w:val="0"/>
          <w:bCs w:val="0"/>
          <w:i w:val="0"/>
          <w:iCs w:val="0"/>
          <w:caps w:val="0"/>
          <w:smallCaps w:val="0"/>
          <w:noProof w:val="0"/>
          <w:color w:val="000000" w:themeColor="text1" w:themeTint="FF" w:themeShade="FF"/>
          <w:sz w:val="20"/>
          <w:szCs w:val="20"/>
          <w:lang w:val="en-US"/>
        </w:rPr>
        <w:t xml:space="preserve">The Duty of Care for Ambulance Responders April 2021 Version 2.0 -OFFICIAL NARU DOCUMENT INFORMATION TABLE Full Title Version Document Type CMT Approval Date The Duty of Care for Ambulance Responders. (2021). [online] Available at: </w:t>
      </w:r>
      <w:hyperlink r:id="Rda776c3cd68a4359">
        <w:r w:rsidRPr="366B7093" w:rsidR="4ACAD868">
          <w:rPr>
            <w:rStyle w:val="Hyperlink"/>
            <w:rFonts w:ascii="Calibri" w:hAnsi="Calibri" w:eastAsia="Calibri" w:cs="Calibri"/>
            <w:b w:val="0"/>
            <w:bCs w:val="0"/>
            <w:i w:val="0"/>
            <w:iCs w:val="0"/>
            <w:caps w:val="0"/>
            <w:smallCaps w:val="0"/>
            <w:strike w:val="0"/>
            <w:dstrike w:val="0"/>
            <w:noProof w:val="0"/>
            <w:sz w:val="20"/>
            <w:szCs w:val="20"/>
            <w:lang w:val="en-US"/>
          </w:rPr>
          <w:t>https://naru.org.uk/wp-content/uploads/2021/09/DutyofCareBreifingNoteApril21.pdf</w:t>
        </w:r>
      </w:hyperlink>
      <w:r w:rsidRPr="366B7093" w:rsidR="4ACAD868">
        <w:rPr>
          <w:rFonts w:ascii="Calibri" w:hAnsi="Calibri" w:eastAsia="Calibri" w:cs="Calibri"/>
          <w:b w:val="0"/>
          <w:bCs w:val="0"/>
          <w:i w:val="0"/>
          <w:iCs w:val="0"/>
          <w:caps w:val="0"/>
          <w:smallCaps w:val="0"/>
          <w:noProof w:val="0"/>
          <w:color w:val="000000" w:themeColor="text1" w:themeTint="FF" w:themeShade="FF"/>
          <w:sz w:val="20"/>
          <w:szCs w:val="20"/>
          <w:lang w:val="en-US"/>
        </w:rPr>
        <w:t>.</w:t>
      </w:r>
    </w:p>
    <w:p xmlns:wp14="http://schemas.microsoft.com/office/word/2010/wordml" w:rsidP="366B7093" w14:paraId="22DB16F5" wp14:textId="05734DC7">
      <w:pPr>
        <w:spacing w:line="480" w:lineRule="auto"/>
        <w:ind w:firstLine="720"/>
        <w:rPr>
          <w:rFonts w:ascii="Segoe UI" w:hAnsi="Segoe UI" w:eastAsia="Segoe UI" w:cs="Segoe UI"/>
          <w:b w:val="0"/>
          <w:bCs w:val="0"/>
          <w:i w:val="0"/>
          <w:iCs w:val="0"/>
          <w:caps w:val="0"/>
          <w:smallCaps w:val="0"/>
          <w:noProof w:val="0"/>
          <w:color w:val="000000" w:themeColor="text1" w:themeTint="FF" w:themeShade="FF"/>
          <w:sz w:val="20"/>
          <w:szCs w:val="20"/>
          <w:lang w:val="en-US"/>
        </w:rPr>
      </w:pPr>
      <w:r w:rsidRPr="366B7093" w:rsidR="4ACAD868">
        <w:rPr>
          <w:rFonts w:ascii="Segoe UI" w:hAnsi="Segoe UI" w:eastAsia="Segoe UI" w:cs="Segoe UI"/>
          <w:b w:val="0"/>
          <w:bCs w:val="0"/>
          <w:i w:val="0"/>
          <w:iCs w:val="0"/>
          <w:caps w:val="0"/>
          <w:smallCaps w:val="0"/>
          <w:noProof w:val="0"/>
          <w:color w:val="000000" w:themeColor="text1" w:themeTint="FF" w:themeShade="FF"/>
          <w:sz w:val="20"/>
          <w:szCs w:val="20"/>
          <w:lang w:val="en-US"/>
        </w:rPr>
        <w:t>‌</w:t>
      </w:r>
    </w:p>
    <w:p xmlns:wp14="http://schemas.microsoft.com/office/word/2010/wordml" w:rsidP="366B7093" w14:paraId="5C54D3C3" wp14:textId="3FF6EC7D">
      <w:pPr>
        <w:spacing w:line="480" w:lineRule="auto"/>
        <w:ind w:firstLine="720"/>
        <w:rPr>
          <w:rFonts w:ascii="Calibri" w:hAnsi="Calibri" w:eastAsia="Calibri" w:cs="Calibri"/>
          <w:b w:val="0"/>
          <w:bCs w:val="0"/>
          <w:i w:val="0"/>
          <w:iCs w:val="0"/>
          <w:caps w:val="0"/>
          <w:smallCaps w:val="0"/>
          <w:noProof w:val="0"/>
          <w:color w:val="000000" w:themeColor="text1" w:themeTint="FF" w:themeShade="FF"/>
          <w:sz w:val="20"/>
          <w:szCs w:val="20"/>
          <w:lang w:val="en-US"/>
        </w:rPr>
      </w:pPr>
      <w:r w:rsidRPr="366B7093" w:rsidR="4ACAD868">
        <w:rPr>
          <w:rFonts w:ascii="Calibri" w:hAnsi="Calibri" w:eastAsia="Calibri" w:cs="Calibri"/>
          <w:b w:val="0"/>
          <w:bCs w:val="0"/>
          <w:i w:val="0"/>
          <w:iCs w:val="0"/>
          <w:caps w:val="0"/>
          <w:smallCaps w:val="0"/>
          <w:noProof w:val="0"/>
          <w:color w:val="000000" w:themeColor="text1" w:themeTint="FF" w:themeShade="FF"/>
          <w:sz w:val="20"/>
          <w:szCs w:val="20"/>
          <w:lang w:val="en-US"/>
        </w:rPr>
        <w:t xml:space="preserve">Fieldfisher. (n.d.). </w:t>
      </w:r>
      <w:r w:rsidRPr="366B7093" w:rsidR="4ACAD868">
        <w:rPr>
          <w:rFonts w:ascii="Calibri" w:hAnsi="Calibri" w:eastAsia="Calibri" w:cs="Calibri"/>
          <w:b w:val="0"/>
          <w:bCs w:val="0"/>
          <w:i w:val="1"/>
          <w:iCs w:val="1"/>
          <w:caps w:val="0"/>
          <w:smallCaps w:val="0"/>
          <w:noProof w:val="0"/>
          <w:color w:val="000000" w:themeColor="text1" w:themeTint="FF" w:themeShade="FF"/>
          <w:sz w:val="20"/>
          <w:szCs w:val="20"/>
          <w:lang w:val="en-US"/>
        </w:rPr>
        <w:t>Six-figure claim for death of father mistreated by paramedics</w:t>
      </w:r>
      <w:r w:rsidRPr="366B7093" w:rsidR="4ACAD868">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[online] Available at: </w:t>
      </w:r>
      <w:hyperlink r:id="Rd79d4c2c916e47be">
        <w:r w:rsidRPr="366B7093" w:rsidR="4ACAD868">
          <w:rPr>
            <w:rStyle w:val="Hyperlink"/>
            <w:rFonts w:ascii="Calibri" w:hAnsi="Calibri" w:eastAsia="Calibri" w:cs="Calibri"/>
            <w:b w:val="0"/>
            <w:bCs w:val="0"/>
            <w:i w:val="0"/>
            <w:iCs w:val="0"/>
            <w:caps w:val="0"/>
            <w:smallCaps w:val="0"/>
            <w:strike w:val="0"/>
            <w:dstrike w:val="0"/>
            <w:noProof w:val="0"/>
            <w:sz w:val="20"/>
            <w:szCs w:val="20"/>
            <w:lang w:val="en-US"/>
          </w:rPr>
          <w:t>https://www.fieldfisher.com/en/injury-claims/case-studies/six-figure-sum-recovered-for-family-of-man-who-died-36-hours-after-3-paramedics-failed-to-take-him-to-hospital</w:t>
        </w:r>
      </w:hyperlink>
      <w:r w:rsidRPr="366B7093" w:rsidR="4ACAD868">
        <w:rPr>
          <w:rFonts w:ascii="Calibri" w:hAnsi="Calibri" w:eastAsia="Calibri" w:cs="Calibri"/>
          <w:b w:val="0"/>
          <w:bCs w:val="0"/>
          <w:i w:val="0"/>
          <w:iCs w:val="0"/>
          <w:caps w:val="0"/>
          <w:smallCaps w:val="0"/>
          <w:noProof w:val="0"/>
          <w:color w:val="000000" w:themeColor="text1" w:themeTint="FF" w:themeShade="FF"/>
          <w:sz w:val="20"/>
          <w:szCs w:val="20"/>
          <w:lang w:val="en-US"/>
        </w:rPr>
        <w:t>.</w:t>
      </w:r>
    </w:p>
    <w:p xmlns:wp14="http://schemas.microsoft.com/office/word/2010/wordml" w:rsidP="366B7093" w14:paraId="434C2533" wp14:textId="36EA20B9">
      <w:pPr>
        <w:spacing w:line="480" w:lineRule="auto"/>
        <w:ind w:firstLine="720"/>
        <w:rPr>
          <w:rFonts w:ascii="Segoe UI" w:hAnsi="Segoe UI" w:eastAsia="Segoe UI" w:cs="Segoe UI"/>
          <w:b w:val="0"/>
          <w:bCs w:val="0"/>
          <w:i w:val="0"/>
          <w:iCs w:val="0"/>
          <w:caps w:val="0"/>
          <w:smallCaps w:val="0"/>
          <w:noProof w:val="0"/>
          <w:color w:val="000000" w:themeColor="text1" w:themeTint="FF" w:themeShade="FF"/>
          <w:sz w:val="20"/>
          <w:szCs w:val="20"/>
          <w:lang w:val="en-US"/>
        </w:rPr>
      </w:pPr>
      <w:r w:rsidRPr="366B7093" w:rsidR="4ACAD868">
        <w:rPr>
          <w:rFonts w:ascii="Segoe UI" w:hAnsi="Segoe UI" w:eastAsia="Segoe UI" w:cs="Segoe UI"/>
          <w:b w:val="0"/>
          <w:bCs w:val="0"/>
          <w:i w:val="0"/>
          <w:iCs w:val="0"/>
          <w:caps w:val="0"/>
          <w:smallCaps w:val="0"/>
          <w:noProof w:val="0"/>
          <w:color w:val="000000" w:themeColor="text1" w:themeTint="FF" w:themeShade="FF"/>
          <w:sz w:val="20"/>
          <w:szCs w:val="20"/>
          <w:lang w:val="en-US"/>
        </w:rPr>
        <w:t>‌</w:t>
      </w:r>
    </w:p>
    <w:p xmlns:wp14="http://schemas.microsoft.com/office/word/2010/wordml" w:rsidP="366B7093" w14:paraId="37C1317C" wp14:textId="26C61B30">
      <w:pPr>
        <w:spacing w:line="480" w:lineRule="auto"/>
        <w:ind w:firstLine="720"/>
        <w:rPr>
          <w:rFonts w:ascii="Calibri" w:hAnsi="Calibri" w:eastAsia="Calibri" w:cs="Calibri"/>
          <w:b w:val="0"/>
          <w:bCs w:val="0"/>
          <w:i w:val="0"/>
          <w:iCs w:val="0"/>
          <w:caps w:val="0"/>
          <w:smallCaps w:val="0"/>
          <w:noProof w:val="0"/>
          <w:color w:val="000000" w:themeColor="text1" w:themeTint="FF" w:themeShade="FF"/>
          <w:sz w:val="20"/>
          <w:szCs w:val="20"/>
          <w:lang w:val="en-US"/>
        </w:rPr>
      </w:pPr>
      <w:r w:rsidRPr="366B7093" w:rsidR="4ACAD868">
        <w:rPr>
          <w:rFonts w:ascii="Calibri" w:hAnsi="Calibri" w:eastAsia="Calibri" w:cs="Calibri"/>
          <w:b w:val="0"/>
          <w:bCs w:val="0"/>
          <w:i w:val="0"/>
          <w:iCs w:val="0"/>
          <w:caps w:val="0"/>
          <w:smallCaps w:val="0"/>
          <w:noProof w:val="0"/>
          <w:color w:val="000000" w:themeColor="text1" w:themeTint="FF" w:themeShade="FF"/>
          <w:sz w:val="20"/>
          <w:szCs w:val="20"/>
          <w:lang w:val="en-US"/>
        </w:rPr>
        <w:t xml:space="preserve">HSE (2019). </w:t>
      </w:r>
      <w:r w:rsidRPr="366B7093" w:rsidR="4ACAD868">
        <w:rPr>
          <w:rFonts w:ascii="Calibri" w:hAnsi="Calibri" w:eastAsia="Calibri" w:cs="Calibri"/>
          <w:b w:val="0"/>
          <w:bCs w:val="0"/>
          <w:i w:val="1"/>
          <w:iCs w:val="1"/>
          <w:caps w:val="0"/>
          <w:smallCaps w:val="0"/>
          <w:noProof w:val="0"/>
          <w:color w:val="000000" w:themeColor="text1" w:themeTint="FF" w:themeShade="FF"/>
          <w:sz w:val="20"/>
          <w:szCs w:val="20"/>
          <w:lang w:val="en-US"/>
        </w:rPr>
        <w:t>Employer’s responsibilities: Workers’ Health and Safety</w:t>
      </w:r>
      <w:r w:rsidRPr="366B7093" w:rsidR="4ACAD868">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[online] Hse.gov.uk. Available at: </w:t>
      </w:r>
      <w:hyperlink r:id="R5614eee60dec4fc6">
        <w:r w:rsidRPr="366B7093" w:rsidR="4ACAD868">
          <w:rPr>
            <w:rStyle w:val="Hyperlink"/>
            <w:rFonts w:ascii="Calibri" w:hAnsi="Calibri" w:eastAsia="Calibri" w:cs="Calibri"/>
            <w:b w:val="0"/>
            <w:bCs w:val="0"/>
            <w:i w:val="0"/>
            <w:iCs w:val="0"/>
            <w:caps w:val="0"/>
            <w:smallCaps w:val="0"/>
            <w:strike w:val="0"/>
            <w:dstrike w:val="0"/>
            <w:noProof w:val="0"/>
            <w:sz w:val="20"/>
            <w:szCs w:val="20"/>
            <w:lang w:val="en-US"/>
          </w:rPr>
          <w:t>https://www.hse.gov.uk/workers/employers.htm</w:t>
        </w:r>
      </w:hyperlink>
      <w:r w:rsidRPr="366B7093" w:rsidR="4ACAD868">
        <w:rPr>
          <w:rFonts w:ascii="Calibri" w:hAnsi="Calibri" w:eastAsia="Calibri" w:cs="Calibri"/>
          <w:b w:val="0"/>
          <w:bCs w:val="0"/>
          <w:i w:val="0"/>
          <w:iCs w:val="0"/>
          <w:caps w:val="0"/>
          <w:smallCaps w:val="0"/>
          <w:noProof w:val="0"/>
          <w:color w:val="000000" w:themeColor="text1" w:themeTint="FF" w:themeShade="FF"/>
          <w:sz w:val="20"/>
          <w:szCs w:val="20"/>
          <w:lang w:val="en-US"/>
        </w:rPr>
        <w:t>.</w:t>
      </w:r>
    </w:p>
    <w:p xmlns:wp14="http://schemas.microsoft.com/office/word/2010/wordml" w:rsidP="366B7093" w14:paraId="594604E6" wp14:textId="00BC70B5">
      <w:pPr>
        <w:spacing w:line="480" w:lineRule="auto"/>
        <w:ind w:firstLine="720"/>
        <w:rPr>
          <w:rFonts w:ascii="Segoe UI" w:hAnsi="Segoe UI" w:eastAsia="Segoe UI" w:cs="Segoe UI"/>
          <w:b w:val="0"/>
          <w:bCs w:val="0"/>
          <w:i w:val="0"/>
          <w:iCs w:val="0"/>
          <w:caps w:val="0"/>
          <w:smallCaps w:val="0"/>
          <w:noProof w:val="0"/>
          <w:color w:val="000000" w:themeColor="text1" w:themeTint="FF" w:themeShade="FF"/>
          <w:sz w:val="20"/>
          <w:szCs w:val="20"/>
          <w:lang w:val="en-US"/>
        </w:rPr>
      </w:pPr>
      <w:r w:rsidRPr="366B7093" w:rsidR="4ACAD868">
        <w:rPr>
          <w:rFonts w:ascii="Segoe UI" w:hAnsi="Segoe UI" w:eastAsia="Segoe UI" w:cs="Segoe UI"/>
          <w:b w:val="0"/>
          <w:bCs w:val="0"/>
          <w:i w:val="0"/>
          <w:iCs w:val="0"/>
          <w:caps w:val="0"/>
          <w:smallCaps w:val="0"/>
          <w:noProof w:val="0"/>
          <w:color w:val="000000" w:themeColor="text1" w:themeTint="FF" w:themeShade="FF"/>
          <w:sz w:val="20"/>
          <w:szCs w:val="20"/>
          <w:lang w:val="en-US"/>
        </w:rPr>
        <w:t>‌</w:t>
      </w:r>
    </w:p>
    <w:p xmlns:wp14="http://schemas.microsoft.com/office/word/2010/wordml" w:rsidP="366B7093" w14:paraId="0558B8A5" wp14:textId="4792E256">
      <w:pPr>
        <w:spacing w:line="480" w:lineRule="auto"/>
        <w:ind w:firstLine="720"/>
        <w:rPr>
          <w:rFonts w:ascii="Calibri" w:hAnsi="Calibri" w:eastAsia="Calibri" w:cs="Calibri"/>
          <w:b w:val="0"/>
          <w:bCs w:val="0"/>
          <w:i w:val="0"/>
          <w:iCs w:val="0"/>
          <w:caps w:val="0"/>
          <w:smallCaps w:val="0"/>
          <w:noProof w:val="0"/>
          <w:color w:val="000000" w:themeColor="text1" w:themeTint="FF" w:themeShade="FF"/>
          <w:sz w:val="20"/>
          <w:szCs w:val="20"/>
          <w:lang w:val="en-US"/>
        </w:rPr>
      </w:pPr>
      <w:r w:rsidRPr="366B7093" w:rsidR="4ACAD868">
        <w:rPr>
          <w:rFonts w:ascii="Calibri" w:hAnsi="Calibri" w:eastAsia="Calibri" w:cs="Calibri"/>
          <w:b w:val="0"/>
          <w:bCs w:val="0"/>
          <w:i w:val="0"/>
          <w:iCs w:val="0"/>
          <w:caps w:val="0"/>
          <w:smallCaps w:val="0"/>
          <w:noProof w:val="0"/>
          <w:color w:val="000000" w:themeColor="text1" w:themeTint="FF" w:themeShade="FF"/>
          <w:sz w:val="20"/>
          <w:szCs w:val="20"/>
          <w:lang w:val="en-US"/>
        </w:rPr>
        <w:t xml:space="preserve">GOV.uk (1998). </w:t>
      </w:r>
      <w:r w:rsidRPr="366B7093" w:rsidR="4ACAD868">
        <w:rPr>
          <w:rFonts w:ascii="Calibri" w:hAnsi="Calibri" w:eastAsia="Calibri" w:cs="Calibri"/>
          <w:b w:val="0"/>
          <w:bCs w:val="0"/>
          <w:i w:val="1"/>
          <w:iCs w:val="1"/>
          <w:caps w:val="0"/>
          <w:smallCaps w:val="0"/>
          <w:noProof w:val="0"/>
          <w:color w:val="000000" w:themeColor="text1" w:themeTint="FF" w:themeShade="FF"/>
          <w:sz w:val="20"/>
          <w:szCs w:val="20"/>
          <w:lang w:val="en-US"/>
        </w:rPr>
        <w:t>Human Rights Act 1998</w:t>
      </w:r>
      <w:r w:rsidRPr="366B7093" w:rsidR="4ACAD868">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[online] legislation.gov.uk. Available at: </w:t>
      </w:r>
      <w:hyperlink r:id="Rc357925d5e244a1b">
        <w:r w:rsidRPr="366B7093" w:rsidR="4ACAD868">
          <w:rPr>
            <w:rStyle w:val="Hyperlink"/>
            <w:rFonts w:ascii="Calibri" w:hAnsi="Calibri" w:eastAsia="Calibri" w:cs="Calibri"/>
            <w:b w:val="0"/>
            <w:bCs w:val="0"/>
            <w:i w:val="0"/>
            <w:iCs w:val="0"/>
            <w:caps w:val="0"/>
            <w:smallCaps w:val="0"/>
            <w:strike w:val="0"/>
            <w:dstrike w:val="0"/>
            <w:noProof w:val="0"/>
            <w:sz w:val="20"/>
            <w:szCs w:val="20"/>
            <w:lang w:val="en-US"/>
          </w:rPr>
          <w:t>https://www.legislation.gov.uk/ukpga/1998/42/contents</w:t>
        </w:r>
      </w:hyperlink>
      <w:r w:rsidRPr="366B7093" w:rsidR="4ACAD868">
        <w:rPr>
          <w:rFonts w:ascii="Calibri" w:hAnsi="Calibri" w:eastAsia="Calibri" w:cs="Calibri"/>
          <w:b w:val="0"/>
          <w:bCs w:val="0"/>
          <w:i w:val="0"/>
          <w:iCs w:val="0"/>
          <w:caps w:val="0"/>
          <w:smallCaps w:val="0"/>
          <w:noProof w:val="0"/>
          <w:color w:val="000000" w:themeColor="text1" w:themeTint="FF" w:themeShade="FF"/>
          <w:sz w:val="20"/>
          <w:szCs w:val="20"/>
          <w:lang w:val="en-US"/>
        </w:rPr>
        <w:t>.</w:t>
      </w:r>
    </w:p>
    <w:p xmlns:wp14="http://schemas.microsoft.com/office/word/2010/wordml" w:rsidP="366B7093" w14:paraId="408927B4" wp14:textId="5FF47250">
      <w:pPr>
        <w:spacing w:line="480" w:lineRule="auto"/>
        <w:ind w:firstLine="720"/>
        <w:rPr>
          <w:rFonts w:ascii="Segoe UI" w:hAnsi="Segoe UI" w:eastAsia="Segoe UI" w:cs="Segoe UI"/>
          <w:b w:val="0"/>
          <w:bCs w:val="0"/>
          <w:i w:val="0"/>
          <w:iCs w:val="0"/>
          <w:caps w:val="0"/>
          <w:smallCaps w:val="0"/>
          <w:noProof w:val="0"/>
          <w:color w:val="000000" w:themeColor="text1" w:themeTint="FF" w:themeShade="FF"/>
          <w:sz w:val="20"/>
          <w:szCs w:val="20"/>
          <w:lang w:val="en-US"/>
        </w:rPr>
      </w:pPr>
      <w:r w:rsidRPr="366B7093" w:rsidR="4ACAD868">
        <w:rPr>
          <w:rFonts w:ascii="Segoe UI" w:hAnsi="Segoe UI" w:eastAsia="Segoe UI" w:cs="Segoe UI"/>
          <w:b w:val="0"/>
          <w:bCs w:val="0"/>
          <w:i w:val="0"/>
          <w:iCs w:val="0"/>
          <w:caps w:val="0"/>
          <w:smallCaps w:val="0"/>
          <w:noProof w:val="0"/>
          <w:color w:val="000000" w:themeColor="text1" w:themeTint="FF" w:themeShade="FF"/>
          <w:sz w:val="20"/>
          <w:szCs w:val="20"/>
          <w:lang w:val="en-US"/>
        </w:rPr>
        <w:t>‌</w:t>
      </w:r>
    </w:p>
    <w:p xmlns:wp14="http://schemas.microsoft.com/office/word/2010/wordml" w:rsidP="366B7093" w14:paraId="3C434274" wp14:textId="25220FD3">
      <w:pPr>
        <w:spacing w:line="480" w:lineRule="auto"/>
        <w:ind w:firstLine="720"/>
        <w:rPr>
          <w:rFonts w:ascii="Calibri" w:hAnsi="Calibri" w:eastAsia="Calibri" w:cs="Calibri"/>
          <w:b w:val="0"/>
          <w:bCs w:val="0"/>
          <w:i w:val="0"/>
          <w:iCs w:val="0"/>
          <w:caps w:val="0"/>
          <w:smallCaps w:val="0"/>
          <w:noProof w:val="0"/>
          <w:color w:val="000000" w:themeColor="text1" w:themeTint="FF" w:themeShade="FF"/>
          <w:sz w:val="20"/>
          <w:szCs w:val="20"/>
          <w:lang w:val="en-US"/>
        </w:rPr>
      </w:pPr>
      <w:hyperlink r:id="R049534e863414cec">
        <w:r w:rsidRPr="366B7093" w:rsidR="4ACAD868">
          <w:rPr>
            <w:rStyle w:val="Hyperlink"/>
            <w:rFonts w:ascii="Calibri" w:hAnsi="Calibri" w:eastAsia="Calibri" w:cs="Calibri"/>
            <w:b w:val="0"/>
            <w:bCs w:val="0"/>
            <w:i w:val="0"/>
            <w:iCs w:val="0"/>
            <w:caps w:val="0"/>
            <w:smallCaps w:val="0"/>
            <w:strike w:val="0"/>
            <w:dstrike w:val="0"/>
            <w:noProof w:val="0"/>
            <w:sz w:val="20"/>
            <w:szCs w:val="20"/>
            <w:lang w:val="en-US"/>
          </w:rPr>
          <w:t>https://www.16i.co.uk</w:t>
        </w:r>
      </w:hyperlink>
      <w:r w:rsidRPr="366B7093" w:rsidR="4ACAD868">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16i- (n.d.). </w:t>
      </w:r>
      <w:r w:rsidRPr="366B7093" w:rsidR="4ACAD868">
        <w:rPr>
          <w:rFonts w:ascii="Calibri" w:hAnsi="Calibri" w:eastAsia="Calibri" w:cs="Calibri"/>
          <w:b w:val="0"/>
          <w:bCs w:val="0"/>
          <w:i w:val="1"/>
          <w:iCs w:val="1"/>
          <w:caps w:val="0"/>
          <w:smallCaps w:val="0"/>
          <w:noProof w:val="0"/>
          <w:color w:val="000000" w:themeColor="text1" w:themeTint="FF" w:themeShade="FF"/>
          <w:sz w:val="20"/>
          <w:szCs w:val="20"/>
          <w:lang w:val="en-US"/>
        </w:rPr>
        <w:t>Duty of Care Owed by Police Clarified by Supreme Court – With a Sting in the Tail?</w:t>
      </w:r>
      <w:r w:rsidRPr="366B7093" w:rsidR="4ACAD868">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[online] DAC Beachcroft. Available at: </w:t>
      </w:r>
      <w:hyperlink r:id="R9ced8d2ea6474646">
        <w:r w:rsidRPr="366B7093" w:rsidR="4ACAD868">
          <w:rPr>
            <w:rStyle w:val="Hyperlink"/>
            <w:rFonts w:ascii="Calibri" w:hAnsi="Calibri" w:eastAsia="Calibri" w:cs="Calibri"/>
            <w:b w:val="0"/>
            <w:bCs w:val="0"/>
            <w:i w:val="0"/>
            <w:iCs w:val="0"/>
            <w:caps w:val="0"/>
            <w:smallCaps w:val="0"/>
            <w:strike w:val="0"/>
            <w:dstrike w:val="0"/>
            <w:noProof w:val="0"/>
            <w:sz w:val="20"/>
            <w:szCs w:val="20"/>
            <w:lang w:val="en-US"/>
          </w:rPr>
          <w:t>https://www.dacbeachcroft.com/en/gb/articles/2018/february/duty-of-care-owed-by-police-clarified-by-supreme-court-with-a-sting-in-the-tail/</w:t>
        </w:r>
      </w:hyperlink>
      <w:r w:rsidRPr="366B7093" w:rsidR="4ACAD868">
        <w:rPr>
          <w:rFonts w:ascii="Calibri" w:hAnsi="Calibri" w:eastAsia="Calibri" w:cs="Calibri"/>
          <w:b w:val="0"/>
          <w:bCs w:val="0"/>
          <w:i w:val="0"/>
          <w:iCs w:val="0"/>
          <w:caps w:val="0"/>
          <w:smallCaps w:val="0"/>
          <w:noProof w:val="0"/>
          <w:color w:val="000000" w:themeColor="text1" w:themeTint="FF" w:themeShade="FF"/>
          <w:sz w:val="20"/>
          <w:szCs w:val="20"/>
          <w:lang w:val="en-US"/>
        </w:rPr>
        <w:t>.</w:t>
      </w:r>
    </w:p>
    <w:p xmlns:wp14="http://schemas.microsoft.com/office/word/2010/wordml" w:rsidP="366B7093" w14:paraId="670BDD44" wp14:textId="2EF60D64">
      <w:pPr>
        <w:spacing w:line="480" w:lineRule="auto"/>
        <w:ind w:firstLine="720"/>
        <w:rPr>
          <w:rFonts w:ascii="Segoe UI" w:hAnsi="Segoe UI" w:eastAsia="Segoe UI" w:cs="Segoe UI"/>
          <w:b w:val="0"/>
          <w:bCs w:val="0"/>
          <w:i w:val="0"/>
          <w:iCs w:val="0"/>
          <w:caps w:val="0"/>
          <w:smallCaps w:val="0"/>
          <w:noProof w:val="0"/>
          <w:color w:val="000000" w:themeColor="text1" w:themeTint="FF" w:themeShade="FF"/>
          <w:sz w:val="20"/>
          <w:szCs w:val="20"/>
          <w:lang w:val="en-US"/>
        </w:rPr>
      </w:pPr>
      <w:r w:rsidRPr="366B7093" w:rsidR="4ACAD868">
        <w:rPr>
          <w:rFonts w:ascii="Segoe UI" w:hAnsi="Segoe UI" w:eastAsia="Segoe UI" w:cs="Segoe UI"/>
          <w:b w:val="0"/>
          <w:bCs w:val="0"/>
          <w:i w:val="0"/>
          <w:iCs w:val="0"/>
          <w:caps w:val="0"/>
          <w:smallCaps w:val="0"/>
          <w:noProof w:val="0"/>
          <w:color w:val="000000" w:themeColor="text1" w:themeTint="FF" w:themeShade="FF"/>
          <w:sz w:val="20"/>
          <w:szCs w:val="20"/>
          <w:lang w:val="en-US"/>
        </w:rPr>
        <w:t>‌</w:t>
      </w:r>
    </w:p>
    <w:p xmlns:wp14="http://schemas.microsoft.com/office/word/2010/wordml" w:rsidP="366B7093" w14:paraId="350458E1" wp14:textId="2F96B928">
      <w:pPr>
        <w:spacing w:line="480" w:lineRule="auto"/>
        <w:ind w:firstLine="720"/>
        <w:rPr>
          <w:rFonts w:ascii="Calibri" w:hAnsi="Calibri" w:eastAsia="Calibri" w:cs="Calibri"/>
          <w:b w:val="0"/>
          <w:bCs w:val="0"/>
          <w:i w:val="0"/>
          <w:iCs w:val="0"/>
          <w:caps w:val="0"/>
          <w:smallCaps w:val="0"/>
          <w:noProof w:val="0"/>
          <w:color w:val="000000" w:themeColor="text1" w:themeTint="FF" w:themeShade="FF"/>
          <w:sz w:val="20"/>
          <w:szCs w:val="20"/>
          <w:lang w:val="en-US"/>
        </w:rPr>
      </w:pPr>
      <w:r w:rsidRPr="366B7093" w:rsidR="4ACAD868">
        <w:rPr>
          <w:rFonts w:ascii="Calibri" w:hAnsi="Calibri" w:eastAsia="Calibri" w:cs="Calibri"/>
          <w:b w:val="0"/>
          <w:bCs w:val="0"/>
          <w:i w:val="0"/>
          <w:iCs w:val="0"/>
          <w:caps w:val="0"/>
          <w:smallCaps w:val="0"/>
          <w:noProof w:val="0"/>
          <w:color w:val="000000" w:themeColor="text1" w:themeTint="FF" w:themeShade="FF"/>
          <w:sz w:val="20"/>
          <w:szCs w:val="20"/>
          <w:lang w:val="en-US"/>
        </w:rPr>
        <w:t xml:space="preserve">dls (2021). </w:t>
      </w:r>
      <w:r w:rsidRPr="366B7093" w:rsidR="4ACAD868">
        <w:rPr>
          <w:rFonts w:ascii="Calibri" w:hAnsi="Calibri" w:eastAsia="Calibri" w:cs="Calibri"/>
          <w:b w:val="0"/>
          <w:bCs w:val="0"/>
          <w:i w:val="1"/>
          <w:iCs w:val="1"/>
          <w:caps w:val="0"/>
          <w:smallCaps w:val="0"/>
          <w:noProof w:val="0"/>
          <w:color w:val="000000" w:themeColor="text1" w:themeTint="FF" w:themeShade="FF"/>
          <w:sz w:val="20"/>
          <w:szCs w:val="20"/>
          <w:lang w:val="en-US"/>
        </w:rPr>
        <w:t>An Informer v A Chief Constable: CA 29 Feb 2012</w:t>
      </w:r>
      <w:r w:rsidRPr="366B7093" w:rsidR="4ACAD868">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[online] swarb.co.uk. Available at: </w:t>
      </w:r>
      <w:hyperlink r:id="R8b29a1c01c794f0d">
        <w:r w:rsidRPr="366B7093" w:rsidR="4ACAD868">
          <w:rPr>
            <w:rStyle w:val="Hyperlink"/>
            <w:rFonts w:ascii="Calibri" w:hAnsi="Calibri" w:eastAsia="Calibri" w:cs="Calibri"/>
            <w:b w:val="0"/>
            <w:bCs w:val="0"/>
            <w:i w:val="0"/>
            <w:iCs w:val="0"/>
            <w:caps w:val="0"/>
            <w:smallCaps w:val="0"/>
            <w:strike w:val="0"/>
            <w:dstrike w:val="0"/>
            <w:noProof w:val="0"/>
            <w:sz w:val="20"/>
            <w:szCs w:val="20"/>
            <w:lang w:val="en-US"/>
          </w:rPr>
          <w:t>https://swarb.co.uk/an-informer-v-a-chief-constable-ca-29-feb-2012/</w:t>
        </w:r>
      </w:hyperlink>
      <w:r w:rsidRPr="366B7093" w:rsidR="4ACAD868">
        <w:rPr>
          <w:rFonts w:ascii="Calibri" w:hAnsi="Calibri" w:eastAsia="Calibri" w:cs="Calibri"/>
          <w:b w:val="0"/>
          <w:bCs w:val="0"/>
          <w:i w:val="0"/>
          <w:iCs w:val="0"/>
          <w:caps w:val="0"/>
          <w:smallCaps w:val="0"/>
          <w:noProof w:val="0"/>
          <w:color w:val="000000" w:themeColor="text1" w:themeTint="FF" w:themeShade="FF"/>
          <w:sz w:val="20"/>
          <w:szCs w:val="20"/>
          <w:lang w:val="en-US"/>
        </w:rPr>
        <w:t>.</w:t>
      </w:r>
    </w:p>
    <w:p xmlns:wp14="http://schemas.microsoft.com/office/word/2010/wordml" w:rsidP="366B7093" w14:paraId="7C4487BA" wp14:textId="26BF42A1">
      <w:pPr>
        <w:spacing w:line="480" w:lineRule="auto"/>
        <w:ind w:firstLine="720"/>
        <w:rPr>
          <w:rFonts w:ascii="Segoe UI" w:hAnsi="Segoe UI" w:eastAsia="Segoe UI" w:cs="Segoe UI"/>
          <w:b w:val="0"/>
          <w:bCs w:val="0"/>
          <w:i w:val="0"/>
          <w:iCs w:val="0"/>
          <w:caps w:val="0"/>
          <w:smallCaps w:val="0"/>
          <w:noProof w:val="0"/>
          <w:color w:val="000000" w:themeColor="text1" w:themeTint="FF" w:themeShade="FF"/>
          <w:sz w:val="20"/>
          <w:szCs w:val="20"/>
          <w:lang w:val="en-US"/>
        </w:rPr>
      </w:pPr>
      <w:r w:rsidRPr="366B7093" w:rsidR="4ACAD868">
        <w:rPr>
          <w:rFonts w:ascii="Segoe UI" w:hAnsi="Segoe UI" w:eastAsia="Segoe UI" w:cs="Segoe UI"/>
          <w:b w:val="0"/>
          <w:bCs w:val="0"/>
          <w:i w:val="0"/>
          <w:iCs w:val="0"/>
          <w:caps w:val="0"/>
          <w:smallCaps w:val="0"/>
          <w:noProof w:val="0"/>
          <w:color w:val="000000" w:themeColor="text1" w:themeTint="FF" w:themeShade="FF"/>
          <w:sz w:val="20"/>
          <w:szCs w:val="20"/>
          <w:lang w:val="en-US"/>
        </w:rPr>
        <w:t>‌</w:t>
      </w:r>
    </w:p>
    <w:p xmlns:wp14="http://schemas.microsoft.com/office/word/2010/wordml" w:rsidP="366B7093" w14:paraId="720BF04D" wp14:textId="26AC8662">
      <w:pPr>
        <w:spacing w:line="480" w:lineRule="auto"/>
        <w:ind w:firstLine="720"/>
        <w:rPr>
          <w:rFonts w:ascii="Calibri" w:hAnsi="Calibri" w:eastAsia="Calibri" w:cs="Calibri"/>
          <w:b w:val="0"/>
          <w:bCs w:val="0"/>
          <w:i w:val="0"/>
          <w:iCs w:val="0"/>
          <w:caps w:val="0"/>
          <w:smallCaps w:val="0"/>
          <w:noProof w:val="0"/>
          <w:color w:val="000000" w:themeColor="text1" w:themeTint="FF" w:themeShade="FF"/>
          <w:sz w:val="20"/>
          <w:szCs w:val="20"/>
          <w:lang w:val="en-US"/>
        </w:rPr>
      </w:pPr>
      <w:hyperlink>
        <w:r w:rsidRPr="366B7093" w:rsidR="4ACAD868">
          <w:rPr>
            <w:rStyle w:val="Hyperlink"/>
            <w:rFonts w:ascii="Calibri" w:hAnsi="Calibri" w:eastAsia="Calibri" w:cs="Calibri"/>
            <w:b w:val="0"/>
            <w:bCs w:val="0"/>
            <w:i w:val="0"/>
            <w:iCs w:val="0"/>
            <w:caps w:val="0"/>
            <w:smallCaps w:val="0"/>
            <w:strike w:val="0"/>
            <w:dstrike w:val="0"/>
            <w:noProof w:val="0"/>
            <w:sz w:val="20"/>
            <w:szCs w:val="20"/>
            <w:lang w:val="en-US"/>
          </w:rPr>
          <w:t>www.iclr.co.uk</w:t>
        </w:r>
      </w:hyperlink>
      <w:r w:rsidRPr="366B7093" w:rsidR="4ACAD868">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(n.d.). </w:t>
      </w:r>
      <w:r w:rsidRPr="366B7093" w:rsidR="4ACAD868">
        <w:rPr>
          <w:rFonts w:ascii="Calibri" w:hAnsi="Calibri" w:eastAsia="Calibri" w:cs="Calibri"/>
          <w:b w:val="0"/>
          <w:bCs w:val="0"/>
          <w:i w:val="1"/>
          <w:iCs w:val="1"/>
          <w:caps w:val="0"/>
          <w:smallCaps w:val="0"/>
          <w:noProof w:val="0"/>
          <w:color w:val="000000" w:themeColor="text1" w:themeTint="FF" w:themeShade="FF"/>
          <w:sz w:val="20"/>
          <w:szCs w:val="20"/>
          <w:lang w:val="en-US"/>
        </w:rPr>
        <w:t>ICLR</w:t>
      </w:r>
      <w:r w:rsidRPr="366B7093" w:rsidR="4ACAD868">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[online] Available at: </w:t>
      </w:r>
      <w:hyperlink r:id="R244e76926fa04639">
        <w:r w:rsidRPr="366B7093" w:rsidR="4ACAD868">
          <w:rPr>
            <w:rStyle w:val="Hyperlink"/>
            <w:rFonts w:ascii="Calibri" w:hAnsi="Calibri" w:eastAsia="Calibri" w:cs="Calibri"/>
            <w:b w:val="0"/>
            <w:bCs w:val="0"/>
            <w:i w:val="0"/>
            <w:iCs w:val="0"/>
            <w:caps w:val="0"/>
            <w:smallCaps w:val="0"/>
            <w:strike w:val="0"/>
            <w:dstrike w:val="0"/>
            <w:noProof w:val="0"/>
            <w:sz w:val="20"/>
            <w:szCs w:val="20"/>
            <w:lang w:val="en-US"/>
          </w:rPr>
          <w:t>https://www.iclr.co.uk/document/1981001883/casereport_13598/html</w:t>
        </w:r>
      </w:hyperlink>
      <w:r w:rsidRPr="366B7093" w:rsidR="4ACAD868">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[Accessed 11 Nov. 2022].</w:t>
      </w:r>
    </w:p>
    <w:p xmlns:wp14="http://schemas.microsoft.com/office/word/2010/wordml" w:rsidP="366B7093" w14:paraId="39B1EC20" wp14:textId="0FC03188">
      <w:pPr>
        <w:spacing w:line="480" w:lineRule="auto"/>
        <w:ind w:firstLine="720"/>
        <w:rPr>
          <w:rFonts w:ascii="Segoe UI" w:hAnsi="Segoe UI" w:eastAsia="Segoe UI" w:cs="Segoe UI"/>
          <w:b w:val="0"/>
          <w:bCs w:val="0"/>
          <w:i w:val="0"/>
          <w:iCs w:val="0"/>
          <w:caps w:val="0"/>
          <w:smallCaps w:val="0"/>
          <w:noProof w:val="0"/>
          <w:color w:val="000000" w:themeColor="text1" w:themeTint="FF" w:themeShade="FF"/>
          <w:sz w:val="20"/>
          <w:szCs w:val="20"/>
          <w:lang w:val="en-US"/>
        </w:rPr>
      </w:pPr>
      <w:r w:rsidRPr="366B7093" w:rsidR="4ACAD868">
        <w:rPr>
          <w:rFonts w:ascii="Segoe UI" w:hAnsi="Segoe UI" w:eastAsia="Segoe UI" w:cs="Segoe UI"/>
          <w:b w:val="0"/>
          <w:bCs w:val="0"/>
          <w:i w:val="0"/>
          <w:iCs w:val="0"/>
          <w:caps w:val="0"/>
          <w:smallCaps w:val="0"/>
          <w:noProof w:val="0"/>
          <w:color w:val="000000" w:themeColor="text1" w:themeTint="FF" w:themeShade="FF"/>
          <w:sz w:val="20"/>
          <w:szCs w:val="20"/>
          <w:lang w:val="en-US"/>
        </w:rPr>
        <w:t>‌</w:t>
      </w:r>
    </w:p>
    <w:p xmlns:wp14="http://schemas.microsoft.com/office/word/2010/wordml" w:rsidP="366B7093" w14:paraId="6067A74D" wp14:textId="3B88151E">
      <w:pPr>
        <w:spacing w:line="480" w:lineRule="auto"/>
        <w:ind w:firstLine="720"/>
        <w:rPr>
          <w:rFonts w:ascii="Calibri" w:hAnsi="Calibri" w:eastAsia="Calibri" w:cs="Calibri"/>
          <w:b w:val="0"/>
          <w:bCs w:val="0"/>
          <w:i w:val="0"/>
          <w:iCs w:val="0"/>
          <w:caps w:val="0"/>
          <w:smallCaps w:val="0"/>
          <w:noProof w:val="0"/>
          <w:color w:val="000000" w:themeColor="text1" w:themeTint="FF" w:themeShade="FF"/>
          <w:sz w:val="20"/>
          <w:szCs w:val="20"/>
          <w:lang w:val="en-US"/>
        </w:rPr>
      </w:pPr>
      <w:r w:rsidRPr="366B7093" w:rsidR="4ACAD868">
        <w:rPr>
          <w:rFonts w:ascii="Calibri" w:hAnsi="Calibri" w:eastAsia="Calibri" w:cs="Calibri"/>
          <w:b w:val="0"/>
          <w:bCs w:val="0"/>
          <w:i w:val="0"/>
          <w:iCs w:val="0"/>
          <w:caps w:val="0"/>
          <w:smallCaps w:val="0"/>
          <w:noProof w:val="0"/>
          <w:color w:val="000000" w:themeColor="text1" w:themeTint="FF" w:themeShade="FF"/>
          <w:sz w:val="20"/>
          <w:szCs w:val="20"/>
          <w:lang w:val="en-US"/>
        </w:rPr>
        <w:t xml:space="preserve">Vallins, N. (2017). Police responses to family violence: Recasting a duty of care. </w:t>
      </w:r>
      <w:r w:rsidRPr="366B7093" w:rsidR="4ACAD868">
        <w:rPr>
          <w:rFonts w:ascii="Calibri" w:hAnsi="Calibri" w:eastAsia="Calibri" w:cs="Calibri"/>
          <w:b w:val="0"/>
          <w:bCs w:val="0"/>
          <w:i w:val="1"/>
          <w:iCs w:val="1"/>
          <w:caps w:val="0"/>
          <w:smallCaps w:val="0"/>
          <w:noProof w:val="0"/>
          <w:color w:val="000000" w:themeColor="text1" w:themeTint="FF" w:themeShade="FF"/>
          <w:sz w:val="20"/>
          <w:szCs w:val="20"/>
          <w:lang w:val="en-US"/>
        </w:rPr>
        <w:t>Alternative Law Journal</w:t>
      </w:r>
      <w:r w:rsidRPr="366B7093" w:rsidR="4ACAD868">
        <w:rPr>
          <w:rFonts w:ascii="Calibri" w:hAnsi="Calibri" w:eastAsia="Calibri" w:cs="Calibri"/>
          <w:b w:val="0"/>
          <w:bCs w:val="0"/>
          <w:i w:val="0"/>
          <w:iCs w:val="0"/>
          <w:caps w:val="0"/>
          <w:smallCaps w:val="0"/>
          <w:noProof w:val="0"/>
          <w:color w:val="000000" w:themeColor="text1" w:themeTint="FF" w:themeShade="FF"/>
          <w:sz w:val="20"/>
          <w:szCs w:val="20"/>
          <w:lang w:val="en-US"/>
        </w:rPr>
        <w:t>, 42(1), pp.29–34. doi:10.1177/1037969x17694781.</w:t>
      </w:r>
    </w:p>
    <w:p xmlns:wp14="http://schemas.microsoft.com/office/word/2010/wordml" w:rsidP="366B7093" w14:paraId="31F897D3" wp14:textId="38129832">
      <w:pPr>
        <w:spacing w:line="480" w:lineRule="auto"/>
        <w:ind w:firstLine="720"/>
        <w:rPr>
          <w:rFonts w:ascii="Segoe UI" w:hAnsi="Segoe UI" w:eastAsia="Segoe UI" w:cs="Segoe UI"/>
          <w:b w:val="0"/>
          <w:bCs w:val="0"/>
          <w:i w:val="0"/>
          <w:iCs w:val="0"/>
          <w:caps w:val="0"/>
          <w:smallCaps w:val="0"/>
          <w:noProof w:val="0"/>
          <w:color w:val="000000" w:themeColor="text1" w:themeTint="FF" w:themeShade="FF"/>
          <w:sz w:val="20"/>
          <w:szCs w:val="20"/>
          <w:lang w:val="en-US"/>
        </w:rPr>
      </w:pPr>
      <w:r w:rsidRPr="366B7093" w:rsidR="4ACAD868">
        <w:rPr>
          <w:rFonts w:ascii="Segoe UI" w:hAnsi="Segoe UI" w:eastAsia="Segoe UI" w:cs="Segoe UI"/>
          <w:b w:val="0"/>
          <w:bCs w:val="0"/>
          <w:i w:val="0"/>
          <w:iCs w:val="0"/>
          <w:caps w:val="0"/>
          <w:smallCaps w:val="0"/>
          <w:noProof w:val="0"/>
          <w:color w:val="000000" w:themeColor="text1" w:themeTint="FF" w:themeShade="FF"/>
          <w:sz w:val="20"/>
          <w:szCs w:val="20"/>
          <w:lang w:val="en-US"/>
        </w:rPr>
        <w:t>‌</w:t>
      </w:r>
    </w:p>
    <w:p xmlns:wp14="http://schemas.microsoft.com/office/word/2010/wordml" w:rsidP="366B7093" w14:paraId="62F0B4CF" wp14:textId="272F5263">
      <w:pPr>
        <w:spacing w:line="480" w:lineRule="auto"/>
        <w:ind w:firstLine="720"/>
        <w:rPr>
          <w:rFonts w:ascii="Calibri" w:hAnsi="Calibri" w:eastAsia="Calibri" w:cs="Calibri"/>
          <w:b w:val="0"/>
          <w:bCs w:val="0"/>
          <w:i w:val="0"/>
          <w:iCs w:val="0"/>
          <w:caps w:val="0"/>
          <w:smallCaps w:val="0"/>
          <w:noProof w:val="0"/>
          <w:color w:val="000000" w:themeColor="text1" w:themeTint="FF" w:themeShade="FF"/>
          <w:sz w:val="20"/>
          <w:szCs w:val="20"/>
          <w:lang w:val="en-US"/>
        </w:rPr>
      </w:pPr>
      <w:r w:rsidRPr="366B7093" w:rsidR="4ACAD868">
        <w:rPr>
          <w:rFonts w:ascii="Calibri" w:hAnsi="Calibri" w:eastAsia="Calibri" w:cs="Calibri"/>
          <w:b w:val="0"/>
          <w:bCs w:val="0"/>
          <w:i w:val="0"/>
          <w:iCs w:val="0"/>
          <w:caps w:val="0"/>
          <w:smallCaps w:val="0"/>
          <w:noProof w:val="0"/>
          <w:color w:val="000000" w:themeColor="text1" w:themeTint="FF" w:themeShade="FF"/>
          <w:sz w:val="20"/>
          <w:szCs w:val="20"/>
          <w:lang w:val="en-US"/>
        </w:rPr>
        <w:t xml:space="preserve">Proneg.co.uk. (n.d.). </w:t>
      </w:r>
      <w:r w:rsidRPr="366B7093" w:rsidR="4ACAD868">
        <w:rPr>
          <w:rFonts w:ascii="Calibri" w:hAnsi="Calibri" w:eastAsia="Calibri" w:cs="Calibri"/>
          <w:b w:val="0"/>
          <w:bCs w:val="0"/>
          <w:i w:val="1"/>
          <w:iCs w:val="1"/>
          <w:caps w:val="0"/>
          <w:smallCaps w:val="0"/>
          <w:noProof w:val="0"/>
          <w:color w:val="000000" w:themeColor="text1" w:themeTint="FF" w:themeShade="FF"/>
          <w:sz w:val="20"/>
          <w:szCs w:val="20"/>
          <w:lang w:val="en-US"/>
        </w:rPr>
        <w:t>Solicitors Negligence ‘Duty of Care’ Claim - Professional Negligence Solicitors</w:t>
      </w:r>
      <w:r w:rsidRPr="366B7093" w:rsidR="4ACAD868">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[online] Available at: </w:t>
      </w:r>
      <w:hyperlink r:id="R973a9255862d447f">
        <w:r w:rsidRPr="366B7093" w:rsidR="4ACAD868">
          <w:rPr>
            <w:rStyle w:val="Hyperlink"/>
            <w:rFonts w:ascii="Calibri" w:hAnsi="Calibri" w:eastAsia="Calibri" w:cs="Calibri"/>
            <w:b w:val="0"/>
            <w:bCs w:val="0"/>
            <w:i w:val="0"/>
            <w:iCs w:val="0"/>
            <w:caps w:val="0"/>
            <w:smallCaps w:val="0"/>
            <w:strike w:val="0"/>
            <w:dstrike w:val="0"/>
            <w:noProof w:val="0"/>
            <w:sz w:val="20"/>
            <w:szCs w:val="20"/>
            <w:lang w:val="en-US"/>
          </w:rPr>
          <w:t>https://www.proneg.co.uk/professional-negligence-duty-of-care/</w:t>
        </w:r>
      </w:hyperlink>
      <w:r w:rsidRPr="366B7093" w:rsidR="4ACAD868">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[Accessed 11 Nov. 2022].</w:t>
      </w:r>
    </w:p>
    <w:p xmlns:wp14="http://schemas.microsoft.com/office/word/2010/wordml" w:rsidP="366B7093" w14:paraId="7989A67A" wp14:textId="502DB88C">
      <w:pPr>
        <w:spacing w:line="480" w:lineRule="auto"/>
        <w:ind w:firstLine="720"/>
        <w:rPr>
          <w:rFonts w:ascii="Segoe UI" w:hAnsi="Segoe UI" w:eastAsia="Segoe UI" w:cs="Segoe UI"/>
          <w:b w:val="0"/>
          <w:bCs w:val="0"/>
          <w:i w:val="0"/>
          <w:iCs w:val="0"/>
          <w:caps w:val="0"/>
          <w:smallCaps w:val="0"/>
          <w:noProof w:val="0"/>
          <w:color w:val="000000" w:themeColor="text1" w:themeTint="FF" w:themeShade="FF"/>
          <w:sz w:val="20"/>
          <w:szCs w:val="20"/>
          <w:lang w:val="en-US"/>
        </w:rPr>
      </w:pPr>
      <w:r w:rsidRPr="366B7093" w:rsidR="4ACAD868">
        <w:rPr>
          <w:rFonts w:ascii="Segoe UI" w:hAnsi="Segoe UI" w:eastAsia="Segoe UI" w:cs="Segoe UI"/>
          <w:b w:val="0"/>
          <w:bCs w:val="0"/>
          <w:i w:val="0"/>
          <w:iCs w:val="0"/>
          <w:caps w:val="0"/>
          <w:smallCaps w:val="0"/>
          <w:noProof w:val="0"/>
          <w:color w:val="000000" w:themeColor="text1" w:themeTint="FF" w:themeShade="FF"/>
          <w:sz w:val="20"/>
          <w:szCs w:val="20"/>
          <w:lang w:val="en-US"/>
        </w:rPr>
        <w:t>‌</w:t>
      </w:r>
    </w:p>
    <w:p xmlns:wp14="http://schemas.microsoft.com/office/word/2010/wordml" w:rsidP="366B7093" w14:paraId="049C48A2" wp14:textId="7FA29B00">
      <w:pPr>
        <w:spacing w:line="480" w:lineRule="auto"/>
        <w:ind w:firstLine="720"/>
        <w:rPr>
          <w:rFonts w:ascii="Calibri" w:hAnsi="Calibri" w:eastAsia="Calibri" w:cs="Calibri"/>
          <w:b w:val="0"/>
          <w:bCs w:val="0"/>
          <w:i w:val="0"/>
          <w:iCs w:val="0"/>
          <w:caps w:val="0"/>
          <w:smallCaps w:val="0"/>
          <w:noProof w:val="0"/>
          <w:color w:val="000000" w:themeColor="text1" w:themeTint="FF" w:themeShade="FF"/>
          <w:sz w:val="20"/>
          <w:szCs w:val="20"/>
          <w:lang w:val="en-US"/>
        </w:rPr>
      </w:pPr>
      <w:r w:rsidRPr="366B7093" w:rsidR="4ACAD868">
        <w:rPr>
          <w:rFonts w:ascii="Calibri" w:hAnsi="Calibri" w:eastAsia="Calibri" w:cs="Calibri"/>
          <w:b w:val="0"/>
          <w:bCs w:val="0"/>
          <w:i w:val="0"/>
          <w:iCs w:val="0"/>
          <w:caps w:val="0"/>
          <w:smallCaps w:val="0"/>
          <w:noProof w:val="0"/>
          <w:color w:val="000000" w:themeColor="text1" w:themeTint="FF" w:themeShade="FF"/>
          <w:sz w:val="20"/>
          <w:szCs w:val="20"/>
          <w:lang w:val="en-US"/>
        </w:rPr>
        <w:t xml:space="preserve">Royal college of Nursing (2021). </w:t>
      </w:r>
      <w:r w:rsidRPr="366B7093" w:rsidR="4ACAD868">
        <w:rPr>
          <w:rFonts w:ascii="Calibri" w:hAnsi="Calibri" w:eastAsia="Calibri" w:cs="Calibri"/>
          <w:b w:val="0"/>
          <w:bCs w:val="0"/>
          <w:i w:val="1"/>
          <w:iCs w:val="1"/>
          <w:caps w:val="0"/>
          <w:smallCaps w:val="0"/>
          <w:noProof w:val="0"/>
          <w:color w:val="000000" w:themeColor="text1" w:themeTint="FF" w:themeShade="FF"/>
          <w:sz w:val="20"/>
          <w:szCs w:val="20"/>
          <w:lang w:val="en-US"/>
        </w:rPr>
        <w:t>Duty of care</w:t>
      </w:r>
      <w:r w:rsidRPr="366B7093" w:rsidR="4ACAD868">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[online] The Royal College of Nursing. Available at: </w:t>
      </w:r>
      <w:hyperlink r:id="R569ee791dde447a4">
        <w:r w:rsidRPr="366B7093" w:rsidR="4ACAD868">
          <w:rPr>
            <w:rStyle w:val="Hyperlink"/>
            <w:rFonts w:ascii="Calibri" w:hAnsi="Calibri" w:eastAsia="Calibri" w:cs="Calibri"/>
            <w:b w:val="0"/>
            <w:bCs w:val="0"/>
            <w:i w:val="0"/>
            <w:iCs w:val="0"/>
            <w:caps w:val="0"/>
            <w:smallCaps w:val="0"/>
            <w:strike w:val="0"/>
            <w:dstrike w:val="0"/>
            <w:noProof w:val="0"/>
            <w:sz w:val="20"/>
            <w:szCs w:val="20"/>
            <w:lang w:val="en-US"/>
          </w:rPr>
          <w:t>https://www.rcn.org.uk/get-help/rcn-advice/duty-of-care</w:t>
        </w:r>
      </w:hyperlink>
      <w:r w:rsidRPr="366B7093" w:rsidR="4ACAD868">
        <w:rPr>
          <w:rFonts w:ascii="Calibri" w:hAnsi="Calibri" w:eastAsia="Calibri" w:cs="Calibri"/>
          <w:b w:val="0"/>
          <w:bCs w:val="0"/>
          <w:i w:val="0"/>
          <w:iCs w:val="0"/>
          <w:caps w:val="0"/>
          <w:smallCaps w:val="0"/>
          <w:noProof w:val="0"/>
          <w:color w:val="000000" w:themeColor="text1" w:themeTint="FF" w:themeShade="FF"/>
          <w:sz w:val="20"/>
          <w:szCs w:val="20"/>
          <w:lang w:val="en-US"/>
        </w:rPr>
        <w:t>.</w:t>
      </w:r>
    </w:p>
    <w:p xmlns:wp14="http://schemas.microsoft.com/office/word/2010/wordml" w:rsidP="366B7093" w14:paraId="781DF875" wp14:textId="06E63619">
      <w:pPr>
        <w:spacing w:line="480" w:lineRule="auto"/>
        <w:ind w:firstLine="720"/>
        <w:rPr>
          <w:rFonts w:ascii="Segoe UI" w:hAnsi="Segoe UI" w:eastAsia="Segoe UI" w:cs="Segoe UI"/>
          <w:b w:val="0"/>
          <w:bCs w:val="0"/>
          <w:i w:val="0"/>
          <w:iCs w:val="0"/>
          <w:caps w:val="0"/>
          <w:smallCaps w:val="0"/>
          <w:noProof w:val="0"/>
          <w:color w:val="000000" w:themeColor="text1" w:themeTint="FF" w:themeShade="FF"/>
          <w:sz w:val="27"/>
          <w:szCs w:val="27"/>
          <w:lang w:val="en-US"/>
        </w:rPr>
      </w:pPr>
      <w:r w:rsidRPr="366B7093" w:rsidR="4ACAD868">
        <w:rPr>
          <w:rFonts w:ascii="Segoe UI" w:hAnsi="Segoe UI" w:eastAsia="Segoe UI" w:cs="Segoe UI"/>
          <w:b w:val="0"/>
          <w:bCs w:val="0"/>
          <w:i w:val="0"/>
          <w:iCs w:val="0"/>
          <w:caps w:val="0"/>
          <w:smallCaps w:val="0"/>
          <w:noProof w:val="0"/>
          <w:color w:val="000000" w:themeColor="text1" w:themeTint="FF" w:themeShade="FF"/>
          <w:sz w:val="27"/>
          <w:szCs w:val="27"/>
          <w:lang w:val="en-US"/>
        </w:rPr>
        <w:t>‌</w:t>
      </w:r>
    </w:p>
    <w:p xmlns:wp14="http://schemas.microsoft.com/office/word/2010/wordml" w:rsidP="366B7093" w14:paraId="2C078E63" wp14:textId="4DDDC6BE">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9E38400"/>
    <w:rsid w:val="366B7093"/>
    <w:rsid w:val="49E38400"/>
    <w:rsid w:val="4ACAD86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E38400"/>
  <w15:chartTrackingRefBased/>
  <w15:docId w15:val="{ECCD3C29-71B5-4C4C-956F-92292351ABA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SectionTitle" w:customStyle="true">
    <w:uiPriority w:val="2"/>
    <w:name w:val="Section Title"/>
    <w:basedOn w:val="Normal"/>
    <w:next w:val="Normal"/>
    <w:qFormat/>
    <w:rsid w:val="366B7093"/>
    <w:rPr>
      <w:rFonts w:ascii="Times New Roman" w:hAnsi="Times New Roman" w:eastAsia="" w:cs="" w:asciiTheme="majorAscii" w:hAnsiTheme="majorAscii" w:eastAsiaTheme="majorEastAsia" w:cstheme="majorBidi"/>
    </w:rPr>
    <w:pPr>
      <w:ind w:firstLine="0"/>
      <w:jc w:val="center"/>
      <w:outlineLvl w:val="0"/>
    </w:pPr>
  </w:style>
  <w:style w:type="paragraph" w:styleId="Title2" w:customStyle="true">
    <w:uiPriority w:val="1"/>
    <w:name w:val="Title 2"/>
    <w:basedOn w:val="Normal"/>
    <w:qFormat/>
    <w:rsid w:val="366B7093"/>
    <w:pPr>
      <w:ind w:firstLine="0"/>
      <w:jc w:val="center"/>
    </w:pPr>
  </w:style>
  <w:style xmlns:w14="http://schemas.microsoft.com/office/word/2010/wordml" xmlns:mc="http://schemas.openxmlformats.org/markup-compatibility/2006" xmlns:w="http://schemas.openxmlformats.org/wordprocessingml/2006/main" w:type="character" w:styleId="TitleChar" w:customStyle="1" mc:Ignorable="w14">
    <w:name xmlns:w="http://schemas.openxmlformats.org/wordprocessingml/2006/main" w:val="Title Char"/>
    <w:basedOn xmlns:w="http://schemas.openxmlformats.org/wordprocessingml/2006/main" w:val="DefaultParagraphFont"/>
    <w:link xmlns:w="http://schemas.openxmlformats.org/wordprocessingml/2006/main" w:val="Title"/>
    <w:uiPriority xmlns:w="http://schemas.openxmlformats.org/wordprocessingml/2006/main" w:val="10"/>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paragraph" w:styleId="Title" mc:Ignorable="w14">
    <w:name xmlns:w="http://schemas.openxmlformats.org/wordprocessingml/2006/main" w:val="Title"/>
    <w:basedOn xmlns:w="http://schemas.openxmlformats.org/wordprocessingml/2006/main" w:val="Normal"/>
    <w:next xmlns:w="http://schemas.openxmlformats.org/wordprocessingml/2006/main" w:val="Normal"/>
    <w:link xmlns:w="http://schemas.openxmlformats.org/wordprocessingml/2006/main" w:val="TitleChar"/>
    <w:uiPriority xmlns:w="http://schemas.openxmlformats.org/wordprocessingml/2006/main" w:val="10"/>
    <w:qFormat xmlns:w="http://schemas.openxmlformats.org/wordprocessingml/2006/main"/>
    <w:pPr xmlns:w="http://schemas.openxmlformats.org/wordprocessingml/2006/main">
      <w:spacing xmlns:w="http://schemas.openxmlformats.org/wordprocessingml/2006/main" w:after="0" w:line="240" w:lineRule="auto"/>
      <w:contextualSpacing xmlns:w="http://schemas.openxmlformats.org/wordprocessingml/2006/main"/>
    </w:pPr>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local.gov.uk/topics/fire-and-rescue/fire-role-models/roles-and-responsibilities-fire-rescue-authorities" TargetMode="External" Id="R59af29d50f024b11" /><Relationship Type="http://schemas.openxmlformats.org/officeDocument/2006/relationships/hyperlink" Target="https://www.legislation.gov.uk/ukpga/2004/36/section/2" TargetMode="External" Id="R19ff041988094a64" /><Relationship Type="http://schemas.openxmlformats.org/officeDocument/2006/relationships/hyperlink" Target="https://assets.publishing.service.gov.uk/government/uploads/system/uploads/attachment_data/file/705060/National_Framework_-_final_for_web.pdf" TargetMode="External" Id="R1147e2396a5048d1" /><Relationship Type="http://schemas.openxmlformats.org/officeDocument/2006/relationships/hyperlink" Target="https://www.icj.org/escr_litigation/pape-v-cumbria-cc-1992-i-c-r-132/" TargetMode="External" Id="R39e5d8ac383f4017" /><Relationship Type="http://schemas.openxmlformats.org/officeDocument/2006/relationships/hyperlink" Target="https://www.mind.org.uk/information-support/legal-rights/clinical-negligence/overview/" TargetMode="External" Id="R5221f014c2d04ae0" /><Relationship Type="http://schemas.openxmlformats.org/officeDocument/2006/relationships/hyperlink" Target="https://naru.org.uk/documents/the-duty-of-care-for-ambulance-responders-april-2021/" TargetMode="External" Id="R5886049ea22a4c74" /><Relationship Type="http://schemas.openxmlformats.org/officeDocument/2006/relationships/hyperlink" Target="https://naru.org.uk/wp-content/uploads/2021/09/DutyofCareBreifingNoteApril21.pdf" TargetMode="External" Id="Rda776c3cd68a4359" /><Relationship Type="http://schemas.openxmlformats.org/officeDocument/2006/relationships/hyperlink" Target="https://www.fieldfisher.com/en/injury-claims/case-studies/six-figure-sum-recovered-for-family-of-man-who-died-36-hours-after-3-paramedics-failed-to-take-him-to-hospital" TargetMode="External" Id="Rd79d4c2c916e47be" /><Relationship Type="http://schemas.openxmlformats.org/officeDocument/2006/relationships/hyperlink" Target="https://www.hse.gov.uk/workers/employers.htm" TargetMode="External" Id="R5614eee60dec4fc6" /><Relationship Type="http://schemas.openxmlformats.org/officeDocument/2006/relationships/hyperlink" Target="https://www.legislation.gov.uk/ukpga/1998/42/contents" TargetMode="External" Id="Rc357925d5e244a1b" /><Relationship Type="http://schemas.openxmlformats.org/officeDocument/2006/relationships/hyperlink" Target="https://www.16i.co.uk/" TargetMode="External" Id="R049534e863414cec" /><Relationship Type="http://schemas.openxmlformats.org/officeDocument/2006/relationships/hyperlink" Target="https://www.dacbeachcroft.com/en/gb/articles/2018/february/duty-of-care-owed-by-police-clarified-by-supreme-court-with-a-sting-in-the-tail/" TargetMode="External" Id="R9ced8d2ea6474646" /><Relationship Type="http://schemas.openxmlformats.org/officeDocument/2006/relationships/hyperlink" Target="https://swarb.co.uk/an-informer-v-a-chief-constable-ca-29-feb-2012/" TargetMode="External" Id="R8b29a1c01c794f0d" /><Relationship Type="http://schemas.openxmlformats.org/officeDocument/2006/relationships/hyperlink" Target="https://www.iclr.co.uk/document/1981001883/casereport_13598/html" TargetMode="External" Id="R244e76926fa04639" /><Relationship Type="http://schemas.openxmlformats.org/officeDocument/2006/relationships/hyperlink" Target="https://www.proneg.co.uk/professional-negligence-duty-of-care/" TargetMode="External" Id="R973a9255862d447f" /><Relationship Type="http://schemas.openxmlformats.org/officeDocument/2006/relationships/hyperlink" Target="https://www.rcn.org.uk/get-help/rcn-advice/duty-of-care" TargetMode="External" Id="R569ee791dde447a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2022-11-11T16:08:08.7367890Z</dcterms:created>
  <dcterms:modified xsi:type="dcterms:W3CDTF">2022-11-11T16:08:50.3583453Z</dcterms:modified>
  <dc:creator>Kyran Woods (2006771)</dc:creator>
  <lastModifiedBy>Kyran Woods (2006771)</lastModifiedBy>
</coreProperties>
</file>