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rFonts w:ascii="Verdana" w:cs="Verdana" w:eastAsia="Verdana" w:hAnsi="Verdana"/>
          <w:sz w:val="28"/>
          <w:szCs w:val="28"/>
        </w:rPr>
      </w:pPr>
      <w:r w:rsidDel="00000000" w:rsidR="00000000" w:rsidRPr="00000000">
        <w:rPr>
          <w:rFonts w:ascii="Verdana" w:cs="Verdana" w:eastAsia="Verdana" w:hAnsi="Verdana"/>
          <w:sz w:val="28"/>
          <w:szCs w:val="28"/>
          <w:rtl w:val="0"/>
        </w:rPr>
        <w:t xml:space="preserve">Molluscan Investigation: Interpreting Past Environments </w:t>
      </w:r>
    </w:p>
    <w:p w:rsidR="00000000" w:rsidDel="00000000" w:rsidP="00000000" w:rsidRDefault="00000000" w:rsidRPr="00000000" w14:paraId="00000002">
      <w:pPr>
        <w:rPr>
          <w:rFonts w:ascii="Verdana" w:cs="Verdana" w:eastAsia="Verdana" w:hAnsi="Verdana"/>
          <w:sz w:val="28"/>
          <w:szCs w:val="28"/>
        </w:rPr>
      </w:pPr>
      <w:r w:rsidDel="00000000" w:rsidR="00000000" w:rsidRPr="00000000">
        <w:rPr>
          <w:rtl w:val="0"/>
        </w:rPr>
      </w:r>
    </w:p>
    <w:p w:rsidR="00000000" w:rsidDel="00000000" w:rsidP="00000000" w:rsidRDefault="00000000" w:rsidRPr="00000000" w14:paraId="0000000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Molluscs are very helpful to archaeologists when it comes to interpreting what past environments were like. They are significantly important to them as different species of snails have varying vegetation habitats (Grant et al 2015, 126). This investigation will be looking at the molluscan evidence from Easton Down long barrow which is a site in Wiltshire, and will attempt to interpret the diagrams and suggest what they show about the past environment and the time period. All snails need the shade to survive, although some are more tolerant to the light than others which means that they can be classified into 3 different groups (Grant et al 2015,126). These groups are the: woodland species; intermediate species and finally open-country species. </w:t>
      </w:r>
    </w:p>
    <w:p w:rsidR="00000000" w:rsidDel="00000000" w:rsidP="00000000" w:rsidRDefault="00000000" w:rsidRPr="00000000" w14:paraId="00000004">
      <w:pPr>
        <w:rPr>
          <w:rFonts w:ascii="Verdana" w:cs="Verdana" w:eastAsia="Verdana" w:hAnsi="Verdana"/>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-423862</wp:posOffset>
                </wp:positionH>
                <wp:positionV relativeFrom="paragraph">
                  <wp:posOffset>304800</wp:posOffset>
                </wp:positionV>
                <wp:extent cx="6579579" cy="3682547"/>
                <wp:effectExtent b="0" l="0" r="0" t="0"/>
                <wp:wrapSquare wrapText="bothSides" distB="114300" distT="114300" distL="114300" distR="114300"/>
                <wp:docPr id="1" name=""/>
                <a:graphic>
                  <a:graphicData uri="http://schemas.microsoft.com/office/word/2010/wordprocessingGroup">
                    <wpg:wgp>
                      <wpg:cNvGrpSpPr/>
                      <wpg:grpSpPr>
                        <a:xfrm>
                          <a:off x="193675" y="136575"/>
                          <a:ext cx="6579579" cy="3682547"/>
                          <a:chOff x="193675" y="136575"/>
                          <a:chExt cx="8673825" cy="4848350"/>
                        </a:xfrm>
                      </wpg:grpSpPr>
                      <pic:pic>
                        <pic:nvPicPr>
                          <pic:cNvPr descr="Screenshot 2019-04-08 at 18.31.47.png" id="2" name="Shape 2"/>
                          <pic:cNvPicPr preferRelativeResize="0"/>
                        </pic:nvPicPr>
                        <pic:blipFill rotWithShape="1">
                          <a:blip r:embed="rId6">
                            <a:alphaModFix/>
                          </a:blip>
                          <a:srcRect b="8015" l="10631" r="12663" t="25579"/>
                          <a:stretch/>
                        </pic:blipFill>
                        <pic:spPr>
                          <a:xfrm>
                            <a:off x="193675" y="136575"/>
                            <a:ext cx="8654400" cy="4214300"/>
                          </a:xfrm>
                          <a:prstGeom prst="rect">
                            <a:avLst/>
                          </a:prstGeom>
                          <a:noFill/>
                          <a:ln>
                            <a:noFill/>
                          </a:ln>
                        </pic:spPr>
                      </pic:pic>
                      <wps:wsp>
                        <wps:cNvSpPr txBox="1"/>
                        <wps:cNvPr id="3" name="Shape 3"/>
                        <wps:spPr>
                          <a:xfrm>
                            <a:off x="195100" y="4360625"/>
                            <a:ext cx="8672400" cy="624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Figure 1: Molluscan diagram from Easton Down long barrow, Wiltshire (Whittle et al. 1993). Permission of The Prehistoric Society. </w:t>
                              </w:r>
                            </w:p>
                          </w:txbxContent>
                        </wps:txbx>
                        <wps:bodyPr anchorCtr="0" anchor="t" bIns="91425" lIns="91425" spcFirstLastPara="1" rIns="91425" wrap="square" tIns="91425"/>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-423862</wp:posOffset>
                </wp:positionH>
                <wp:positionV relativeFrom="paragraph">
                  <wp:posOffset>304800</wp:posOffset>
                </wp:positionV>
                <wp:extent cx="6579579" cy="3682547"/>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6579579" cy="3682547"/>
                        </a:xfrm>
                        <a:prstGeom prst="rect"/>
                        <a:ln/>
                      </pic:spPr>
                    </pic:pic>
                  </a:graphicData>
                </a:graphic>
              </wp:anchor>
            </w:drawing>
          </mc:Fallback>
        </mc:AlternateContent>
      </w:r>
    </w:p>
    <w:p w:rsidR="00000000" w:rsidDel="00000000" w:rsidP="00000000" w:rsidRDefault="00000000" w:rsidRPr="00000000" w14:paraId="00000005">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diagram shows the different species of mollusc that were found within the sample that was taken, the individual species are then split into the types of habitat that they live within. Firstly, from the diagram in figure 1 it can be seen that at the top of the pits that were dug there was a vast amount of intermediate species and open-country species. It then can be seen that the deeper the archaeologists dig the greater the density of woodland species start to emerge and the open area begin to thin out or disappear completely. However, there is a high density of the Carychium Irredentism (one of the woodland species) as you dig deeper into the pit where as some of the other woodland species are low in density and thin out the deeper down the archaeologists go. The amount of intermediate species fluctuates with a vast amount being found closer to the surface, although they never thin out or disappear compared to the open- country species.   </w:t>
      </w:r>
    </w:p>
    <w:p w:rsidR="00000000" w:rsidDel="00000000" w:rsidP="00000000" w:rsidRDefault="00000000" w:rsidRPr="00000000" w14:paraId="0000000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7">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question must be asked from this data how can it provide archaeologists with the information to interpret what the past environment was like?</w:t>
      </w:r>
    </w:p>
    <w:p w:rsidR="00000000" w:rsidDel="00000000" w:rsidP="00000000" w:rsidRDefault="00000000" w:rsidRPr="00000000" w14:paraId="00000008">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9">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Due to their varying vegetation habitats archaeologists can look at the data and gather lots of information. An example of this is the vast amount of woodland species the further you dig down into the sample must infer that the area was covered with forest and foliage otherwise this species would not be present. This particular species can possibly show archaeologists many other factors including the ground cover; if the woodland is closed canopy; if the environment has leaf litter; what the soil surface is like; and finally if there is any vegetated grassy sward (Allen 2017,15). </w:t>
      </w:r>
    </w:p>
    <w:p w:rsidR="00000000" w:rsidDel="00000000" w:rsidP="00000000" w:rsidRDefault="00000000" w:rsidRPr="00000000" w14:paraId="0000000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B">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open-country species can also provide archaeologists with a vast amount of information about the environment. As the name suggests this type of mollusc prefers there to more open areas than shady foliage, archaeologists can then infer when these particular molluscs appear that there are more clearings. These also suggest that there is evidence of clearing for settlements; can also show if these settlements as they can show evidence of dry short grassland which can also suggest grazed land which again shows settlement or trampled land; some molluscs can also suggest that the grassland is longer mesic which could possibly represent rough pasture/ open downland (Allen 2017,15). </w:t>
      </w:r>
    </w:p>
    <w:p w:rsidR="00000000" w:rsidDel="00000000" w:rsidP="00000000" w:rsidRDefault="00000000" w:rsidRPr="00000000" w14:paraId="0000000C">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D">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Finally the intermediate species will live in both environments but they can also show archaeologists a vast amount about and environment as well, these molluscs show up more in figure 1 as they can live in both environments. These can show that there was an onset of grazing possibly or pasture and sometimes trampled grassland (Allen 2017,15). </w:t>
      </w:r>
    </w:p>
    <w:p w:rsidR="00000000" w:rsidDel="00000000" w:rsidP="00000000" w:rsidRDefault="00000000" w:rsidRPr="00000000" w14:paraId="0000000E">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0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Looking at this evidence and the diagram (Figure 1), it is plausible that the environment was filled with woodland and foliage early on due to the high presence of the woodland species in the older parts of the sample. Although as time goes on it suggests that the area may have been cleared for settlement, pasture or grazing due to the influx of the open country species and the regular presence of the intermediate species. Although, these findings could possibly be compared to the pollen findings at the site which then could take climate change into account for these changes also. </w:t>
      </w:r>
    </w:p>
    <w:p w:rsidR="00000000" w:rsidDel="00000000" w:rsidP="00000000" w:rsidRDefault="00000000" w:rsidRPr="00000000" w14:paraId="00000010">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1">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As for the the time period this has all taken place can be inferred that this landscape may be a post- glacial landscape due to the fact that there is a high concentration of forest due to the amount of woodland species found, also there is the more evidence for sedentism as the introduction of the open-country species shows evidence of settlement and farming (Bates 2019). </w:t>
      </w:r>
    </w:p>
    <w:p w:rsidR="00000000" w:rsidDel="00000000" w:rsidP="00000000" w:rsidRDefault="00000000" w:rsidRPr="00000000" w14:paraId="00000012">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3">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Bibliography </w:t>
      </w:r>
    </w:p>
    <w:p w:rsidR="00000000" w:rsidDel="00000000" w:rsidP="00000000" w:rsidRDefault="00000000" w:rsidRPr="00000000" w14:paraId="00000014">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15">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Allen, M.J.(ed.)(2017). Molluscs in archaeology : methods, approaches, and applications. Oxbow books 2017: Oxford. </w:t>
      </w:r>
    </w:p>
    <w:p w:rsidR="00000000" w:rsidDel="00000000" w:rsidP="00000000" w:rsidRDefault="00000000" w:rsidRPr="00000000" w14:paraId="0000001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7">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Bates,M.(2019). Post Glacial Landscapes. Lecture. [Accessed 2 April 2019]. </w:t>
      </w:r>
    </w:p>
    <w:p w:rsidR="00000000" w:rsidDel="00000000" w:rsidP="00000000" w:rsidRDefault="00000000" w:rsidRPr="00000000" w14:paraId="00000018">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9">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Grant,J.Gorin,S.Fleming,N.(2015).</w:t>
      </w:r>
      <w:r w:rsidDel="00000000" w:rsidR="00000000" w:rsidRPr="00000000">
        <w:rPr>
          <w:rFonts w:ascii="Verdana" w:cs="Verdana" w:eastAsia="Verdana" w:hAnsi="Verdana"/>
          <w:i w:val="1"/>
          <w:sz w:val="24"/>
          <w:szCs w:val="24"/>
          <w:rtl w:val="0"/>
        </w:rPr>
        <w:t xml:space="preserve">The Archaeology Coursebook</w:t>
      </w:r>
      <w:r w:rsidDel="00000000" w:rsidR="00000000" w:rsidRPr="00000000">
        <w:rPr>
          <w:rFonts w:ascii="Verdana" w:cs="Verdana" w:eastAsia="Verdana" w:hAnsi="Verdana"/>
          <w:sz w:val="24"/>
          <w:szCs w:val="24"/>
          <w:rtl w:val="0"/>
        </w:rPr>
        <w:t xml:space="preserve">. Routledge, London and New York,pp 126. </w:t>
      </w:r>
    </w:p>
    <w:p w:rsidR="00000000" w:rsidDel="00000000" w:rsidP="00000000" w:rsidRDefault="00000000" w:rsidRPr="00000000" w14:paraId="0000001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B">
      <w:pPr>
        <w:jc w:val="left"/>
        <w:rPr/>
      </w:pPr>
      <w:r w:rsidDel="00000000" w:rsidR="00000000" w:rsidRPr="00000000">
        <w:rPr>
          <w:rtl w:val="0"/>
        </w:rPr>
      </w:r>
    </w:p>
    <w:sectPr>
      <w:pgSz w:h="16838" w:w="11906"/>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