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36419" w14:textId="46B96DF1" w:rsidR="001500B6" w:rsidRPr="002A6EFD" w:rsidRDefault="006A72C7">
      <w:pPr>
        <w:rPr>
          <w:b/>
          <w:bCs/>
          <w:sz w:val="24"/>
          <w:szCs w:val="24"/>
        </w:rPr>
      </w:pPr>
      <w:r w:rsidRPr="002A6EFD">
        <w:rPr>
          <w:b/>
          <w:bCs/>
          <w:sz w:val="24"/>
          <w:szCs w:val="24"/>
        </w:rPr>
        <w:t>Assignment 1</w:t>
      </w:r>
      <w:r w:rsidR="005B663D" w:rsidRPr="002A6EFD">
        <w:rPr>
          <w:b/>
          <w:bCs/>
          <w:sz w:val="24"/>
          <w:szCs w:val="24"/>
        </w:rPr>
        <w:t>2</w:t>
      </w:r>
    </w:p>
    <w:p w14:paraId="2CF0FCE2" w14:textId="380188BE" w:rsidR="006A72C7" w:rsidRPr="002A6EFD" w:rsidRDefault="006A72C7" w:rsidP="006A72C7">
      <w:pPr>
        <w:spacing w:after="0"/>
        <w:rPr>
          <w:b/>
          <w:bCs/>
          <w:sz w:val="24"/>
          <w:szCs w:val="24"/>
        </w:rPr>
      </w:pPr>
      <w:r w:rsidRPr="002A6EFD">
        <w:rPr>
          <w:b/>
          <w:bCs/>
          <w:sz w:val="24"/>
          <w:szCs w:val="24"/>
        </w:rPr>
        <w:t>Michael Leather</w:t>
      </w:r>
    </w:p>
    <w:p w14:paraId="2DE7B791" w14:textId="5C4F424F" w:rsidR="006A72C7" w:rsidRPr="002A6EFD" w:rsidRDefault="006A72C7" w:rsidP="006A72C7">
      <w:pPr>
        <w:spacing w:after="0"/>
        <w:rPr>
          <w:b/>
          <w:bCs/>
          <w:sz w:val="24"/>
          <w:szCs w:val="24"/>
        </w:rPr>
      </w:pPr>
      <w:r w:rsidRPr="002A6EFD">
        <w:rPr>
          <w:b/>
          <w:bCs/>
          <w:sz w:val="24"/>
          <w:szCs w:val="24"/>
        </w:rPr>
        <w:t>Level 4</w:t>
      </w:r>
    </w:p>
    <w:p w14:paraId="67AFA5AA" w14:textId="42A1F2C7" w:rsidR="006A72C7" w:rsidRDefault="006A72C7" w:rsidP="006A72C7">
      <w:pPr>
        <w:spacing w:after="0"/>
      </w:pPr>
      <w:r w:rsidRPr="002A6EFD">
        <w:rPr>
          <w:b/>
          <w:bCs/>
          <w:sz w:val="24"/>
          <w:szCs w:val="24"/>
        </w:rPr>
        <w:t>Cultures and Philosophies of Politics</w:t>
      </w:r>
    </w:p>
    <w:p w14:paraId="59EBA557" w14:textId="77777777" w:rsidR="006A72C7" w:rsidRDefault="006A72C7" w:rsidP="006A72C7">
      <w:pPr>
        <w:spacing w:after="0"/>
      </w:pPr>
    </w:p>
    <w:p w14:paraId="28B55CE6" w14:textId="77777777" w:rsidR="005B663D" w:rsidRDefault="005B663D" w:rsidP="005B663D">
      <w:pPr>
        <w:shd w:val="clear" w:color="auto" w:fill="FFFFFF"/>
        <w:rPr>
          <w:b/>
          <w:bCs/>
          <w:color w:val="000000"/>
          <w:sz w:val="24"/>
          <w:szCs w:val="24"/>
        </w:rPr>
      </w:pPr>
      <w:r w:rsidRPr="005B663D">
        <w:rPr>
          <w:b/>
          <w:bCs/>
          <w:color w:val="000000"/>
          <w:sz w:val="24"/>
          <w:szCs w:val="24"/>
        </w:rPr>
        <w:t>Do state of nature arguments provide a compelling justification for the existence of the state? </w:t>
      </w:r>
    </w:p>
    <w:p w14:paraId="786CDA79" w14:textId="3536C590" w:rsidR="00D82F71" w:rsidRDefault="008369DA" w:rsidP="005B663D">
      <w:pPr>
        <w:shd w:val="clear" w:color="auto" w:fill="FFFFFF"/>
        <w:rPr>
          <w:b/>
          <w:bCs/>
          <w:color w:val="000000"/>
          <w:sz w:val="24"/>
          <w:szCs w:val="24"/>
        </w:rPr>
      </w:pPr>
      <w:bookmarkStart w:id="0" w:name="_Hlk133902472"/>
      <w:r>
        <w:rPr>
          <w:b/>
          <w:bCs/>
          <w:color w:val="000000"/>
          <w:sz w:val="24"/>
          <w:szCs w:val="24"/>
        </w:rPr>
        <w:t xml:space="preserve">According To </w:t>
      </w:r>
      <w:r w:rsidR="00D82F71">
        <w:rPr>
          <w:b/>
          <w:bCs/>
          <w:color w:val="000000"/>
          <w:sz w:val="24"/>
          <w:szCs w:val="24"/>
        </w:rPr>
        <w:t>Hobbes</w:t>
      </w:r>
      <w:bookmarkEnd w:id="0"/>
    </w:p>
    <w:p w14:paraId="7D9355D8" w14:textId="77777777" w:rsidR="00B10AE1" w:rsidRDefault="002A6EFD" w:rsidP="00265557">
      <w:pPr>
        <w:shd w:val="clear" w:color="auto" w:fill="FFFFFF"/>
        <w:jc w:val="both"/>
        <w:rPr>
          <w:color w:val="000000"/>
        </w:rPr>
      </w:pPr>
      <w:r>
        <w:rPr>
          <w:color w:val="000000"/>
        </w:rPr>
        <w:t>On first reflections on the State of Nature’s existence, I assumed th</w:t>
      </w:r>
      <w:r w:rsidR="001F0E17" w:rsidRPr="000F7862">
        <w:rPr>
          <w:color w:val="000000"/>
        </w:rPr>
        <w:t>i</w:t>
      </w:r>
      <w:r w:rsidR="00B10AE1">
        <w:rPr>
          <w:color w:val="000000"/>
        </w:rPr>
        <w:t>s</w:t>
      </w:r>
      <w:r>
        <w:rPr>
          <w:color w:val="000000"/>
        </w:rPr>
        <w:t xml:space="preserve"> to be </w:t>
      </w:r>
      <w:r w:rsidR="001F0E17" w:rsidRPr="000F7862">
        <w:rPr>
          <w:color w:val="000000"/>
        </w:rPr>
        <w:t>a moot point!! How can we use a non-existence scenario to justify another. Thomas Hobbes</w:t>
      </w:r>
      <w:r w:rsidR="0000334A" w:rsidRPr="000F7862">
        <w:rPr>
          <w:color w:val="000000"/>
        </w:rPr>
        <w:t xml:space="preserve"> state of nature is a pointless thought experiment to assess what existence would be like if the state did not exist.</w:t>
      </w:r>
      <w:r w:rsidR="00DD11F7">
        <w:rPr>
          <w:color w:val="000000"/>
        </w:rPr>
        <w:t xml:space="preserve"> It would be synonymous with the question </w:t>
      </w:r>
      <w:r w:rsidR="00D82F71">
        <w:rPr>
          <w:color w:val="000000"/>
        </w:rPr>
        <w:t>“</w:t>
      </w:r>
      <w:r w:rsidR="00D82F71" w:rsidRPr="00D82F71">
        <w:rPr>
          <w:i/>
          <w:iCs/>
          <w:color w:val="000000"/>
        </w:rPr>
        <w:t>W</w:t>
      </w:r>
      <w:r w:rsidR="00DD11F7" w:rsidRPr="00D82F71">
        <w:rPr>
          <w:i/>
          <w:iCs/>
          <w:color w:val="000000"/>
        </w:rPr>
        <w:t>hat would life on earth be like if Martians existed</w:t>
      </w:r>
      <w:r w:rsidR="00D82F71" w:rsidRPr="00D82F71">
        <w:rPr>
          <w:i/>
          <w:iCs/>
          <w:color w:val="000000"/>
        </w:rPr>
        <w:t>?</w:t>
      </w:r>
      <w:r w:rsidR="00D82F71">
        <w:rPr>
          <w:color w:val="000000"/>
        </w:rPr>
        <w:t>”</w:t>
      </w:r>
      <w:r w:rsidR="00DD11F7">
        <w:rPr>
          <w:color w:val="000000"/>
        </w:rPr>
        <w:t>!!</w:t>
      </w:r>
      <w:r w:rsidR="0000334A" w:rsidRPr="000F7862">
        <w:rPr>
          <w:color w:val="000000"/>
        </w:rPr>
        <w:t xml:space="preserve"> It is </w:t>
      </w:r>
      <w:r w:rsidR="00516A70">
        <w:rPr>
          <w:color w:val="000000"/>
        </w:rPr>
        <w:t xml:space="preserve">also </w:t>
      </w:r>
      <w:r w:rsidR="0000334A" w:rsidRPr="000F7862">
        <w:rPr>
          <w:color w:val="000000"/>
        </w:rPr>
        <w:t>subconsciously bias as it was a theory that was borne out of a state of war</w:t>
      </w:r>
      <w:r w:rsidR="00D82F71">
        <w:rPr>
          <w:color w:val="000000"/>
        </w:rPr>
        <w:t xml:space="preserve"> in his own country</w:t>
      </w:r>
      <w:r w:rsidR="0000334A" w:rsidRPr="000F7862">
        <w:rPr>
          <w:color w:val="000000"/>
        </w:rPr>
        <w:t>, (English Civil War), that existed at the time where he was a royalist supporter who</w:t>
      </w:r>
      <w:r w:rsidR="00265557" w:rsidRPr="000F7862">
        <w:rPr>
          <w:color w:val="000000"/>
        </w:rPr>
        <w:t>, through fear of reprisals,</w:t>
      </w:r>
      <w:r w:rsidR="0000334A" w:rsidRPr="000F7862">
        <w:rPr>
          <w:color w:val="000000"/>
        </w:rPr>
        <w:t xml:space="preserve"> eventually fled to France</w:t>
      </w:r>
      <w:r w:rsidR="000F7862" w:rsidRPr="000F7862">
        <w:rPr>
          <w:rStyle w:val="FootnoteReference"/>
          <w:color w:val="000000"/>
        </w:rPr>
        <w:footnoteReference w:id="1"/>
      </w:r>
      <w:r w:rsidR="0000334A" w:rsidRPr="000F7862">
        <w:rPr>
          <w:color w:val="000000"/>
        </w:rPr>
        <w:t>.</w:t>
      </w:r>
    </w:p>
    <w:p w14:paraId="30142392" w14:textId="0CDA1AFB" w:rsidR="00907239" w:rsidRPr="000F7862" w:rsidRDefault="0000334A" w:rsidP="00265557">
      <w:pPr>
        <w:shd w:val="clear" w:color="auto" w:fill="FFFFFF"/>
        <w:jc w:val="both"/>
        <w:rPr>
          <w:color w:val="000000"/>
        </w:rPr>
      </w:pPr>
      <w:r w:rsidRPr="000F7862">
        <w:rPr>
          <w:color w:val="000000"/>
        </w:rPr>
        <w:t xml:space="preserve"> </w:t>
      </w:r>
      <w:r w:rsidR="00B10AE1">
        <w:rPr>
          <w:b/>
          <w:bCs/>
          <w:color w:val="000000"/>
          <w:sz w:val="24"/>
          <w:szCs w:val="24"/>
        </w:rPr>
        <w:t>According To Hobbes</w:t>
      </w:r>
    </w:p>
    <w:p w14:paraId="71171AF2" w14:textId="5F5FE9CF" w:rsidR="001F0E17" w:rsidRDefault="002A6EFD" w:rsidP="00265557">
      <w:pPr>
        <w:shd w:val="clear" w:color="auto" w:fill="FFFFFF"/>
        <w:jc w:val="both"/>
        <w:rPr>
          <w:color w:val="000000"/>
        </w:rPr>
      </w:pPr>
      <w:r>
        <w:rPr>
          <w:color w:val="000000"/>
        </w:rPr>
        <w:t>It is made on</w:t>
      </w:r>
      <w:r w:rsidR="0000334A" w:rsidRPr="000F7862">
        <w:rPr>
          <w:color w:val="000000"/>
        </w:rPr>
        <w:t xml:space="preserve"> assumptions about the human </w:t>
      </w:r>
      <w:r w:rsidR="00907239" w:rsidRPr="000F7862">
        <w:rPr>
          <w:color w:val="000000"/>
        </w:rPr>
        <w:t>p</w:t>
      </w:r>
      <w:r w:rsidR="0000334A" w:rsidRPr="000F7862">
        <w:rPr>
          <w:color w:val="000000"/>
        </w:rPr>
        <w:t xml:space="preserve">syche at the time </w:t>
      </w:r>
      <w:r w:rsidR="00A7286F" w:rsidRPr="000F7862">
        <w:rPr>
          <w:color w:val="000000"/>
        </w:rPr>
        <w:t xml:space="preserve">that </w:t>
      </w:r>
      <w:r w:rsidR="0000334A" w:rsidRPr="000F7862">
        <w:rPr>
          <w:color w:val="000000"/>
        </w:rPr>
        <w:t>all humans are equal in strength and skill with the capacity to kill each other</w:t>
      </w:r>
      <w:r w:rsidR="007E2FF0">
        <w:rPr>
          <w:rStyle w:val="FootnoteReference"/>
          <w:color w:val="000000"/>
        </w:rPr>
        <w:footnoteReference w:id="2"/>
      </w:r>
      <w:r w:rsidR="0000334A" w:rsidRPr="000F7862">
        <w:rPr>
          <w:color w:val="000000"/>
        </w:rPr>
        <w:t xml:space="preserve"> in the pursuit to desire or felicity</w:t>
      </w:r>
      <w:r w:rsidR="00907239" w:rsidRPr="000F7862">
        <w:rPr>
          <w:color w:val="000000"/>
        </w:rPr>
        <w:t xml:space="preserve">. To achieve this, he further states that </w:t>
      </w:r>
      <w:r w:rsidR="00A7286F" w:rsidRPr="000F7862">
        <w:rPr>
          <w:color w:val="000000"/>
        </w:rPr>
        <w:t>they</w:t>
      </w:r>
      <w:r w:rsidR="00907239" w:rsidRPr="000F7862">
        <w:rPr>
          <w:color w:val="000000"/>
        </w:rPr>
        <w:t xml:space="preserve"> would seek out the power to achieve </w:t>
      </w:r>
      <w:r w:rsidR="00A7286F" w:rsidRPr="000F7862">
        <w:rPr>
          <w:color w:val="000000"/>
        </w:rPr>
        <w:t>the</w:t>
      </w:r>
      <w:r w:rsidR="00907239" w:rsidRPr="000F7862">
        <w:rPr>
          <w:color w:val="000000"/>
        </w:rPr>
        <w:t xml:space="preserve"> desires and attacking others would be the best way</w:t>
      </w:r>
      <w:r w:rsidR="00A7286F" w:rsidRPr="000F7862">
        <w:rPr>
          <w:color w:val="000000"/>
        </w:rPr>
        <w:t>,</w:t>
      </w:r>
      <w:r w:rsidR="00907239" w:rsidRPr="000F7862">
        <w:rPr>
          <w:color w:val="000000"/>
        </w:rPr>
        <w:t xml:space="preserve"> creating a constant state of war</w:t>
      </w:r>
      <w:r w:rsidR="000F7862">
        <w:rPr>
          <w:rStyle w:val="FootnoteReference"/>
          <w:color w:val="000000"/>
        </w:rPr>
        <w:footnoteReference w:id="3"/>
      </w:r>
      <w:r w:rsidR="00907239" w:rsidRPr="000F7862">
        <w:rPr>
          <w:color w:val="000000"/>
        </w:rPr>
        <w:t>. He further applies Galileo’s theory of momentum on inert objects to the human mechanics of movement</w:t>
      </w:r>
      <w:r w:rsidR="000F7862">
        <w:rPr>
          <w:rStyle w:val="FootnoteReference"/>
          <w:color w:val="000000"/>
        </w:rPr>
        <w:footnoteReference w:id="4"/>
      </w:r>
      <w:r w:rsidR="00907239" w:rsidRPr="000F7862">
        <w:rPr>
          <w:color w:val="000000"/>
        </w:rPr>
        <w:t xml:space="preserve"> where he assumes </w:t>
      </w:r>
      <w:r w:rsidR="00A7286F" w:rsidRPr="000F7862">
        <w:rPr>
          <w:color w:val="000000"/>
        </w:rPr>
        <w:t>humans</w:t>
      </w:r>
      <w:r w:rsidR="00907239" w:rsidRPr="000F7862">
        <w:rPr>
          <w:color w:val="000000"/>
        </w:rPr>
        <w:t xml:space="preserve"> are constantly moving to achieve the aforesaid objectives </w:t>
      </w:r>
      <w:r w:rsidR="008308FB">
        <w:rPr>
          <w:color w:val="000000"/>
        </w:rPr>
        <w:t>and denies</w:t>
      </w:r>
      <w:r w:rsidR="00907239" w:rsidRPr="000F7862">
        <w:rPr>
          <w:color w:val="000000"/>
        </w:rPr>
        <w:t xml:space="preserve"> the existence of morality within the human psyche</w:t>
      </w:r>
      <w:r w:rsidR="00A7286F" w:rsidRPr="000F7862">
        <w:rPr>
          <w:color w:val="000000"/>
        </w:rPr>
        <w:t xml:space="preserve"> that would halt the assumed constant motion</w:t>
      </w:r>
      <w:r w:rsidR="008308FB">
        <w:rPr>
          <w:rStyle w:val="FootnoteReference"/>
          <w:color w:val="000000"/>
        </w:rPr>
        <w:footnoteReference w:id="5"/>
      </w:r>
      <w:r w:rsidR="00907239" w:rsidRPr="000F7862">
        <w:rPr>
          <w:color w:val="000000"/>
        </w:rPr>
        <w:t xml:space="preserve">. Last of all </w:t>
      </w:r>
      <w:r w:rsidR="00265557" w:rsidRPr="000F7862">
        <w:rPr>
          <w:color w:val="000000"/>
        </w:rPr>
        <w:t>h</w:t>
      </w:r>
      <w:r w:rsidR="00907239" w:rsidRPr="000F7862">
        <w:rPr>
          <w:color w:val="000000"/>
        </w:rPr>
        <w:t xml:space="preserve">e makes another assumption that there is a scarcity of goods, likely borne out of the actual situation that was </w:t>
      </w:r>
      <w:r w:rsidR="00265557" w:rsidRPr="000F7862">
        <w:rPr>
          <w:color w:val="000000"/>
        </w:rPr>
        <w:t>prevalent</w:t>
      </w:r>
      <w:r w:rsidR="007A4DBC">
        <w:rPr>
          <w:color w:val="000000"/>
        </w:rPr>
        <w:t xml:space="preserve"> and created by</w:t>
      </w:r>
      <w:r w:rsidR="00907239" w:rsidRPr="000F7862">
        <w:rPr>
          <w:color w:val="000000"/>
        </w:rPr>
        <w:t xml:space="preserve"> a country that was at war for </w:t>
      </w:r>
      <w:r w:rsidR="00265557" w:rsidRPr="000F7862">
        <w:rPr>
          <w:color w:val="000000"/>
        </w:rPr>
        <w:t>nine years, (1642-1651).</w:t>
      </w:r>
      <w:r w:rsidR="005C0B32">
        <w:rPr>
          <w:color w:val="000000"/>
        </w:rPr>
        <w:t xml:space="preserve"> It is my argument that Hobbes saw the state of his country at the time as a state of nature because of the lawlessness the war created </w:t>
      </w:r>
      <w:r w:rsidR="007A4DBC">
        <w:rPr>
          <w:color w:val="000000"/>
        </w:rPr>
        <w:t xml:space="preserve">when </w:t>
      </w:r>
      <w:r w:rsidR="005C0B32">
        <w:rPr>
          <w:color w:val="000000"/>
        </w:rPr>
        <w:t xml:space="preserve">in fact it </w:t>
      </w:r>
      <w:r w:rsidR="007A4DBC">
        <w:rPr>
          <w:color w:val="000000"/>
        </w:rPr>
        <w:t>would be better described</w:t>
      </w:r>
      <w:r w:rsidR="002C30F0">
        <w:rPr>
          <w:color w:val="000000"/>
        </w:rPr>
        <w:t xml:space="preserve"> as</w:t>
      </w:r>
      <w:r w:rsidR="005C0B32">
        <w:rPr>
          <w:color w:val="000000"/>
        </w:rPr>
        <w:t xml:space="preserve"> the convergence of 2 states with opposing views</w:t>
      </w:r>
      <w:r w:rsidR="007A4DBC">
        <w:rPr>
          <w:color w:val="000000"/>
        </w:rPr>
        <w:t xml:space="preserve"> on the divinity of the sovereign as agued by </w:t>
      </w:r>
      <w:r w:rsidR="003F6183">
        <w:rPr>
          <w:color w:val="000000"/>
        </w:rPr>
        <w:t>Sir Robert Filmer</w:t>
      </w:r>
      <w:r w:rsidR="007A4DBC">
        <w:rPr>
          <w:rStyle w:val="FootnoteReference"/>
          <w:color w:val="000000"/>
        </w:rPr>
        <w:footnoteReference w:id="6"/>
      </w:r>
      <w:r w:rsidR="005C0B32">
        <w:rPr>
          <w:color w:val="000000"/>
        </w:rPr>
        <w:t>. The state of nature could never exist in our modern world as there is nowhere on the planet currently that is not controlled, albeit uninhabited, by the existing nations and therefore subject to that nations’ legislation.</w:t>
      </w:r>
    </w:p>
    <w:p w14:paraId="6D09A114" w14:textId="5292F1AE" w:rsidR="008308FB" w:rsidRDefault="008308FB" w:rsidP="00265557">
      <w:pPr>
        <w:shd w:val="clear" w:color="auto" w:fill="FFFFFF"/>
        <w:jc w:val="both"/>
        <w:rPr>
          <w:color w:val="000000"/>
        </w:rPr>
      </w:pPr>
      <w:r>
        <w:rPr>
          <w:color w:val="000000"/>
        </w:rPr>
        <w:t xml:space="preserve">If we look further into Hobbes application to his theorem, he contradicts himself. On one hand he states that the existence of a state of nature would perpetuate a constant state of war. He then goes onto say that in a state of War, there would not be constant fighting </w:t>
      </w:r>
      <w:r w:rsidR="007E2FF0">
        <w:rPr>
          <w:color w:val="000000"/>
        </w:rPr>
        <w:t>but in a constant state of ready to fight</w:t>
      </w:r>
      <w:r w:rsidR="007E2FF0">
        <w:rPr>
          <w:rStyle w:val="FootnoteReference"/>
          <w:color w:val="000000"/>
        </w:rPr>
        <w:footnoteReference w:id="7"/>
      </w:r>
      <w:r w:rsidR="007E2FF0">
        <w:rPr>
          <w:color w:val="000000"/>
        </w:rPr>
        <w:t xml:space="preserve">. He </w:t>
      </w:r>
      <w:r w:rsidR="00445010">
        <w:rPr>
          <w:color w:val="000000"/>
        </w:rPr>
        <w:t>a</w:t>
      </w:r>
      <w:r w:rsidR="00B11608">
        <w:rPr>
          <w:color w:val="000000"/>
        </w:rPr>
        <w:t>rgues</w:t>
      </w:r>
      <w:r w:rsidR="00445010">
        <w:rPr>
          <w:color w:val="000000"/>
        </w:rPr>
        <w:t xml:space="preserve"> that there is no existence of right or wrong, that there is on</w:t>
      </w:r>
      <w:r w:rsidR="00B11608">
        <w:rPr>
          <w:color w:val="000000"/>
        </w:rPr>
        <w:t>ly</w:t>
      </w:r>
      <w:r w:rsidR="00445010">
        <w:rPr>
          <w:color w:val="000000"/>
        </w:rPr>
        <w:t xml:space="preserve"> injustice</w:t>
      </w:r>
      <w:r w:rsidR="00B11608">
        <w:rPr>
          <w:color w:val="000000"/>
        </w:rPr>
        <w:t>,</w:t>
      </w:r>
      <w:r w:rsidR="00445010">
        <w:rPr>
          <w:color w:val="000000"/>
        </w:rPr>
        <w:t xml:space="preserve"> as to have </w:t>
      </w:r>
      <w:r w:rsidR="00445010">
        <w:rPr>
          <w:color w:val="000000"/>
        </w:rPr>
        <w:lastRenderedPageBreak/>
        <w:t>these acknowledges the existence of Laws and consequently a lawmaker / giver</w:t>
      </w:r>
      <w:r w:rsidR="00445010">
        <w:rPr>
          <w:rStyle w:val="FootnoteReference"/>
          <w:color w:val="000000"/>
        </w:rPr>
        <w:footnoteReference w:id="8"/>
      </w:r>
      <w:r w:rsidR="00445010">
        <w:rPr>
          <w:color w:val="000000"/>
        </w:rPr>
        <w:t xml:space="preserve">, </w:t>
      </w:r>
      <w:r w:rsidR="000C2FAA">
        <w:rPr>
          <w:color w:val="000000"/>
        </w:rPr>
        <w:t>(</w:t>
      </w:r>
      <w:r w:rsidR="00445010">
        <w:rPr>
          <w:color w:val="000000"/>
        </w:rPr>
        <w:t>and Hobbes acknowledges the existence nineteen laws of nature), which</w:t>
      </w:r>
      <w:r w:rsidR="000C2FAA">
        <w:rPr>
          <w:color w:val="000000"/>
        </w:rPr>
        <w:t xml:space="preserve"> if there was an overseer of the laws,</w:t>
      </w:r>
      <w:r w:rsidR="00445010">
        <w:rPr>
          <w:color w:val="000000"/>
        </w:rPr>
        <w:t xml:space="preserve"> would again exclude the existence of the state of nature.</w:t>
      </w:r>
    </w:p>
    <w:p w14:paraId="26A9AD89" w14:textId="0EE9D7B0" w:rsidR="0016243E" w:rsidRDefault="000C2FAA" w:rsidP="00265557">
      <w:pPr>
        <w:shd w:val="clear" w:color="auto" w:fill="FFFFFF"/>
        <w:jc w:val="both"/>
        <w:rPr>
          <w:color w:val="000000"/>
        </w:rPr>
      </w:pPr>
      <w:r>
        <w:rPr>
          <w:color w:val="000000"/>
        </w:rPr>
        <w:t>Further opposition</w:t>
      </w:r>
      <w:r w:rsidR="0016243E">
        <w:rPr>
          <w:color w:val="000000"/>
        </w:rPr>
        <w:t xml:space="preserve"> to Hobbes theory of a constant state of war is the existence of </w:t>
      </w:r>
      <w:r w:rsidR="0016243E" w:rsidRPr="0016243E">
        <w:rPr>
          <w:i/>
          <w:iCs/>
          <w:color w:val="000000"/>
        </w:rPr>
        <w:t>individual</w:t>
      </w:r>
      <w:r w:rsidR="0016243E">
        <w:rPr>
          <w:color w:val="000000"/>
        </w:rPr>
        <w:t xml:space="preserve"> and </w:t>
      </w:r>
      <w:r w:rsidR="0016243E" w:rsidRPr="0016243E">
        <w:rPr>
          <w:i/>
          <w:iCs/>
          <w:color w:val="000000"/>
        </w:rPr>
        <w:t>collective</w:t>
      </w:r>
      <w:r w:rsidR="0016243E">
        <w:rPr>
          <w:color w:val="000000"/>
        </w:rPr>
        <w:t xml:space="preserve"> rationality</w:t>
      </w:r>
      <w:r>
        <w:rPr>
          <w:color w:val="000000"/>
        </w:rPr>
        <w:t xml:space="preserve"> where the application of </w:t>
      </w:r>
      <w:r w:rsidRPr="000C2FAA">
        <w:rPr>
          <w:i/>
          <w:iCs/>
          <w:color w:val="000000"/>
        </w:rPr>
        <w:t>collective</w:t>
      </w:r>
      <w:r>
        <w:rPr>
          <w:color w:val="000000"/>
        </w:rPr>
        <w:t xml:space="preserve"> rationale against </w:t>
      </w:r>
      <w:r w:rsidRPr="000C2FAA">
        <w:rPr>
          <w:i/>
          <w:iCs/>
          <w:color w:val="000000"/>
        </w:rPr>
        <w:t>individual</w:t>
      </w:r>
      <w:r>
        <w:rPr>
          <w:color w:val="000000"/>
        </w:rPr>
        <w:t xml:space="preserve"> rationale would nullify the need to engage in war through mutual cooperation,</w:t>
      </w:r>
      <w:r w:rsidR="0016243E">
        <w:rPr>
          <w:color w:val="000000"/>
        </w:rPr>
        <w:t xml:space="preserve"> as with the example of the peasant farmers response to increasing their individual plots usability</w:t>
      </w:r>
      <w:r w:rsidR="0016243E">
        <w:rPr>
          <w:rStyle w:val="FootnoteReference"/>
          <w:color w:val="000000"/>
        </w:rPr>
        <w:footnoteReference w:id="9"/>
      </w:r>
      <w:r w:rsidR="0016243E">
        <w:rPr>
          <w:color w:val="000000"/>
        </w:rPr>
        <w:t xml:space="preserve">. </w:t>
      </w:r>
      <w:r w:rsidR="006A5105">
        <w:rPr>
          <w:color w:val="000000"/>
        </w:rPr>
        <w:t>At the end of Hobbes’ assumptions, he still advocates a way out by the creation of a ruler or sovereign to administer the law and punish the dissidents.</w:t>
      </w:r>
      <w:r w:rsidR="00CF22F0">
        <w:rPr>
          <w:color w:val="000000"/>
        </w:rPr>
        <w:t xml:space="preserve"> Whatever theory you subscribed to, Hobbes was contentious, to the point that copies of his Leviathan were condemned and destroyed in 1683 by Oxford University; the very university where he was educated</w:t>
      </w:r>
      <w:r w:rsidR="00CF22F0">
        <w:rPr>
          <w:rStyle w:val="FootnoteReference"/>
          <w:color w:val="000000"/>
        </w:rPr>
        <w:footnoteReference w:id="10"/>
      </w:r>
      <w:r w:rsidR="00CF22F0">
        <w:rPr>
          <w:color w:val="000000"/>
        </w:rPr>
        <w:t>.</w:t>
      </w:r>
    </w:p>
    <w:p w14:paraId="12B070FA" w14:textId="458BDEC4" w:rsidR="00D82F71" w:rsidRPr="00D82F71" w:rsidRDefault="008369DA" w:rsidP="00265557">
      <w:pPr>
        <w:shd w:val="clear" w:color="auto" w:fill="FFFFFF"/>
        <w:jc w:val="both"/>
        <w:rPr>
          <w:b/>
          <w:bCs/>
          <w:color w:val="000000"/>
          <w:sz w:val="24"/>
          <w:szCs w:val="24"/>
        </w:rPr>
      </w:pPr>
      <w:r>
        <w:rPr>
          <w:b/>
          <w:bCs/>
          <w:color w:val="000000"/>
          <w:sz w:val="24"/>
          <w:szCs w:val="24"/>
        </w:rPr>
        <w:t xml:space="preserve">According To </w:t>
      </w:r>
      <w:r w:rsidR="00D82F71" w:rsidRPr="00D82F71">
        <w:rPr>
          <w:b/>
          <w:bCs/>
          <w:color w:val="000000"/>
          <w:sz w:val="24"/>
          <w:szCs w:val="24"/>
        </w:rPr>
        <w:t>Locke</w:t>
      </w:r>
    </w:p>
    <w:p w14:paraId="52B503EE" w14:textId="1BF7BD63" w:rsidR="003D715E" w:rsidRDefault="007A4DBC" w:rsidP="00265557">
      <w:pPr>
        <w:shd w:val="clear" w:color="auto" w:fill="FFFFFF"/>
        <w:jc w:val="both"/>
        <w:rPr>
          <w:color w:val="000000"/>
        </w:rPr>
      </w:pPr>
      <w:r>
        <w:rPr>
          <w:color w:val="000000"/>
        </w:rPr>
        <w:t>John Locke, another philosopher of that period</w:t>
      </w:r>
      <w:r w:rsidR="00D82F71">
        <w:rPr>
          <w:color w:val="000000"/>
        </w:rPr>
        <w:t xml:space="preserve">, </w:t>
      </w:r>
      <w:r w:rsidR="002074E9">
        <w:rPr>
          <w:color w:val="000000"/>
        </w:rPr>
        <w:t>from the outset sounds like he is agreeing with Hobbes in that he acknowledges that a state of nature is a state of perfect freedom, a state of equality and all bound by the laws of nature</w:t>
      </w:r>
      <w:r w:rsidR="00B11608">
        <w:rPr>
          <w:color w:val="000000"/>
        </w:rPr>
        <w:t>,</w:t>
      </w:r>
      <w:r w:rsidR="002074E9">
        <w:rPr>
          <w:color w:val="000000"/>
        </w:rPr>
        <w:t xml:space="preserve"> but the interpretation by Locke is the differen</w:t>
      </w:r>
      <w:r w:rsidR="00B83569">
        <w:rPr>
          <w:color w:val="000000"/>
        </w:rPr>
        <w:t>t</w:t>
      </w:r>
      <w:r w:rsidR="002074E9">
        <w:rPr>
          <w:rStyle w:val="FootnoteReference"/>
          <w:color w:val="000000"/>
        </w:rPr>
        <w:footnoteReference w:id="11"/>
      </w:r>
      <w:r w:rsidR="002074E9">
        <w:rPr>
          <w:color w:val="000000"/>
        </w:rPr>
        <w:t xml:space="preserve">. In </w:t>
      </w:r>
      <w:r w:rsidR="00816154">
        <w:rPr>
          <w:color w:val="000000"/>
        </w:rPr>
        <w:t>Locke’s</w:t>
      </w:r>
      <w:r w:rsidR="002074E9">
        <w:rPr>
          <w:color w:val="000000"/>
        </w:rPr>
        <w:t xml:space="preserve"> opinion, Hobbes interpretation lacked the recognition of a divine sovereign whose laws of </w:t>
      </w:r>
      <w:r w:rsidR="00816154">
        <w:rPr>
          <w:color w:val="000000"/>
        </w:rPr>
        <w:t>n</w:t>
      </w:r>
      <w:r w:rsidR="002074E9">
        <w:rPr>
          <w:color w:val="000000"/>
        </w:rPr>
        <w:t xml:space="preserve">ature removed the necessity </w:t>
      </w:r>
      <w:r w:rsidR="00666275">
        <w:rPr>
          <w:color w:val="000000"/>
        </w:rPr>
        <w:t xml:space="preserve">for a feudal view for a natural </w:t>
      </w:r>
      <w:r w:rsidR="00816154">
        <w:rPr>
          <w:color w:val="000000"/>
        </w:rPr>
        <w:t>hierarchy</w:t>
      </w:r>
      <w:r w:rsidR="00666275">
        <w:rPr>
          <w:color w:val="000000"/>
        </w:rPr>
        <w:t>.</w:t>
      </w:r>
      <w:r w:rsidR="00816154">
        <w:rPr>
          <w:color w:val="000000"/>
        </w:rPr>
        <w:t xml:space="preserve"> It was Locke’s view that no one person ought to harm another in life, health, liberty or</w:t>
      </w:r>
      <w:r w:rsidR="00B11608">
        <w:rPr>
          <w:color w:val="000000"/>
        </w:rPr>
        <w:t xml:space="preserve"> for</w:t>
      </w:r>
      <w:r w:rsidR="00816154">
        <w:rPr>
          <w:color w:val="000000"/>
        </w:rPr>
        <w:t xml:space="preserve"> their possessions</w:t>
      </w:r>
      <w:r w:rsidR="00816154">
        <w:rPr>
          <w:rStyle w:val="FootnoteReference"/>
          <w:color w:val="000000"/>
        </w:rPr>
        <w:footnoteReference w:id="12"/>
      </w:r>
      <w:r w:rsidR="00816154">
        <w:rPr>
          <w:color w:val="000000"/>
        </w:rPr>
        <w:t xml:space="preserve">. He further </w:t>
      </w:r>
      <w:r w:rsidR="003D715E">
        <w:rPr>
          <w:color w:val="000000"/>
        </w:rPr>
        <w:t>argues that humans have a clear duty to not to harm each other and extends that duty to help others if it is not detrimental to themselves.</w:t>
      </w:r>
      <w:r w:rsidR="00B83569">
        <w:rPr>
          <w:color w:val="000000"/>
        </w:rPr>
        <w:t xml:space="preserve"> Although he does advocate the use of punishment to offenders of the laws of Nature as he does not accept, unlike Hobbes, that the laws would be in vain and could be applied to preserve the innocent and restrain offenders</w:t>
      </w:r>
      <w:r w:rsidR="00B83569">
        <w:rPr>
          <w:rStyle w:val="FootnoteReference"/>
          <w:color w:val="000000"/>
        </w:rPr>
        <w:footnoteReference w:id="13"/>
      </w:r>
      <w:r w:rsidR="00B83569">
        <w:rPr>
          <w:color w:val="000000"/>
        </w:rPr>
        <w:t xml:space="preserve"> whilst making it clear, in his arguments</w:t>
      </w:r>
      <w:r w:rsidR="000C2FAA">
        <w:rPr>
          <w:color w:val="000000"/>
        </w:rPr>
        <w:t>,</w:t>
      </w:r>
      <w:r w:rsidR="00B83569">
        <w:rPr>
          <w:color w:val="000000"/>
        </w:rPr>
        <w:t xml:space="preserve"> there is a difference between the right to punish against the right to </w:t>
      </w:r>
      <w:r w:rsidR="000C2FAA">
        <w:rPr>
          <w:color w:val="000000"/>
        </w:rPr>
        <w:t>self-defence</w:t>
      </w:r>
      <w:r w:rsidR="00B83569">
        <w:rPr>
          <w:color w:val="000000"/>
        </w:rPr>
        <w:t>.</w:t>
      </w:r>
    </w:p>
    <w:p w14:paraId="22F07D59" w14:textId="74428F79" w:rsidR="002452AD" w:rsidRDefault="003D715E" w:rsidP="00265557">
      <w:pPr>
        <w:shd w:val="clear" w:color="auto" w:fill="FFFFFF"/>
        <w:jc w:val="both"/>
        <w:rPr>
          <w:color w:val="000000"/>
        </w:rPr>
      </w:pPr>
      <w:r>
        <w:rPr>
          <w:color w:val="000000"/>
        </w:rPr>
        <w:t xml:space="preserve">Johnathan Wolfe in his analysis of Hobbes vs Locke does state that they have significantly different views. However, my interpretation of these two </w:t>
      </w:r>
      <w:r w:rsidR="00D25FC1">
        <w:rPr>
          <w:color w:val="000000"/>
        </w:rPr>
        <w:t>philosophers’</w:t>
      </w:r>
      <w:r w:rsidR="002452AD">
        <w:rPr>
          <w:color w:val="000000"/>
        </w:rPr>
        <w:t xml:space="preserve"> initial interpretations</w:t>
      </w:r>
      <w:r>
        <w:rPr>
          <w:color w:val="000000"/>
        </w:rPr>
        <w:t>, whatever my views of the state of Nature, is that there are many similarities. Both argue for equality and in lack of a state, revert to the laws of nature. Hobbes does not advocate war but suggests that humans would revert to violence to protect themselves and Locke, according to Wolfe, is not against violence to defend oneself</w:t>
      </w:r>
      <w:r>
        <w:rPr>
          <w:rStyle w:val="FootnoteReference"/>
          <w:color w:val="000000"/>
        </w:rPr>
        <w:footnoteReference w:id="14"/>
      </w:r>
      <w:r>
        <w:rPr>
          <w:color w:val="000000"/>
        </w:rPr>
        <w:t xml:space="preserve">. The only significant difference is their </w:t>
      </w:r>
      <w:r w:rsidR="009D2437">
        <w:rPr>
          <w:color w:val="000000"/>
        </w:rPr>
        <w:t>application of the laws of nature where Locke invokes a moral clause that would trigger a different response than Hobbes</w:t>
      </w:r>
      <w:r w:rsidR="00B11608">
        <w:rPr>
          <w:color w:val="000000"/>
        </w:rPr>
        <w:t>’</w:t>
      </w:r>
      <w:r w:rsidR="009D2437">
        <w:rPr>
          <w:color w:val="000000"/>
        </w:rPr>
        <w:t xml:space="preserve"> belief of perpetual forward motion.</w:t>
      </w:r>
      <w:r w:rsidR="002452AD">
        <w:rPr>
          <w:color w:val="000000"/>
        </w:rPr>
        <w:t xml:space="preserve"> It strikes me that Hobbes and Locke are glass half full / half empty philosophers on the same issues</w:t>
      </w:r>
      <w:r w:rsidR="009A3C82">
        <w:rPr>
          <w:color w:val="000000"/>
        </w:rPr>
        <w:t xml:space="preserve"> with Locke </w:t>
      </w:r>
      <w:r w:rsidR="00B83569">
        <w:rPr>
          <w:color w:val="000000"/>
        </w:rPr>
        <w:t>making reference</w:t>
      </w:r>
      <w:r w:rsidR="00B11608">
        <w:rPr>
          <w:color w:val="000000"/>
        </w:rPr>
        <w:t>s</w:t>
      </w:r>
      <w:r w:rsidR="00B83569">
        <w:rPr>
          <w:color w:val="000000"/>
        </w:rPr>
        <w:t xml:space="preserve"> to </w:t>
      </w:r>
      <w:r w:rsidR="009A3C82">
        <w:rPr>
          <w:color w:val="000000"/>
        </w:rPr>
        <w:t xml:space="preserve">God in his assessment of </w:t>
      </w:r>
      <w:r w:rsidR="00B11608">
        <w:rPr>
          <w:color w:val="000000"/>
        </w:rPr>
        <w:t>h</w:t>
      </w:r>
      <w:r w:rsidR="009A3C82">
        <w:rPr>
          <w:color w:val="000000"/>
        </w:rPr>
        <w:t>umans</w:t>
      </w:r>
      <w:r w:rsidR="00B11608">
        <w:rPr>
          <w:color w:val="000000"/>
        </w:rPr>
        <w:t>’</w:t>
      </w:r>
      <w:r w:rsidR="009A3C82">
        <w:rPr>
          <w:color w:val="000000"/>
        </w:rPr>
        <w:t xml:space="preserve"> response to the state of nature.</w:t>
      </w:r>
      <w:r w:rsidR="00EF6B53">
        <w:rPr>
          <w:color w:val="000000"/>
        </w:rPr>
        <w:t xml:space="preserve"> Wolfe argues that as all things are God given</w:t>
      </w:r>
      <w:r w:rsidR="00B11608">
        <w:rPr>
          <w:color w:val="000000"/>
        </w:rPr>
        <w:t>,</w:t>
      </w:r>
      <w:r w:rsidR="00EF6B53">
        <w:rPr>
          <w:color w:val="000000"/>
        </w:rPr>
        <w:t xml:space="preserve"> and he would not put humans on Earth to starve, there </w:t>
      </w:r>
      <w:r w:rsidR="00B11608">
        <w:rPr>
          <w:color w:val="000000"/>
        </w:rPr>
        <w:t>would be</w:t>
      </w:r>
      <w:r w:rsidR="00EF6B53">
        <w:rPr>
          <w:color w:val="000000"/>
        </w:rPr>
        <w:t xml:space="preserve"> an abundance of goods and supplies for everyone</w:t>
      </w:r>
      <w:r w:rsidR="00CD64CF">
        <w:rPr>
          <w:color w:val="000000"/>
        </w:rPr>
        <w:t xml:space="preserve"> </w:t>
      </w:r>
      <w:r w:rsidR="00EF6B53">
        <w:rPr>
          <w:color w:val="000000"/>
        </w:rPr>
        <w:t xml:space="preserve">which supports Lockes’ </w:t>
      </w:r>
      <w:r w:rsidR="00EF6B53">
        <w:rPr>
          <w:color w:val="000000"/>
        </w:rPr>
        <w:lastRenderedPageBreak/>
        <w:t xml:space="preserve">argument to the right to </w:t>
      </w:r>
      <w:r w:rsidR="00E23488">
        <w:rPr>
          <w:color w:val="000000"/>
        </w:rPr>
        <w:t xml:space="preserve">claiming </w:t>
      </w:r>
      <w:r w:rsidR="00EF6B53">
        <w:rPr>
          <w:color w:val="000000"/>
        </w:rPr>
        <w:t>private property</w:t>
      </w:r>
      <w:r w:rsidR="00E23488">
        <w:rPr>
          <w:color w:val="000000"/>
        </w:rPr>
        <w:t xml:space="preserve"> by labouring on it</w:t>
      </w:r>
      <w:r w:rsidR="00EF6B53">
        <w:rPr>
          <w:color w:val="000000"/>
        </w:rPr>
        <w:t xml:space="preserve"> which would exclude others</w:t>
      </w:r>
      <w:r w:rsidR="00E23488">
        <w:rPr>
          <w:color w:val="000000"/>
        </w:rPr>
        <w:t xml:space="preserve"> by right</w:t>
      </w:r>
      <w:r w:rsidR="00CD64CF">
        <w:rPr>
          <w:rStyle w:val="FootnoteReference"/>
          <w:color w:val="000000"/>
        </w:rPr>
        <w:footnoteReference w:id="15"/>
      </w:r>
      <w:r w:rsidR="00EF6B53">
        <w:rPr>
          <w:color w:val="000000"/>
        </w:rPr>
        <w:t>.</w:t>
      </w:r>
    </w:p>
    <w:p w14:paraId="61F49A92" w14:textId="77777777" w:rsidR="00EF6B53" w:rsidRDefault="00EF6B53" w:rsidP="00265557">
      <w:pPr>
        <w:shd w:val="clear" w:color="auto" w:fill="FFFFFF"/>
        <w:jc w:val="both"/>
        <w:rPr>
          <w:color w:val="000000"/>
        </w:rPr>
      </w:pPr>
    </w:p>
    <w:p w14:paraId="768C41B5" w14:textId="7736AF3A" w:rsidR="00566196" w:rsidRPr="00A03F3A" w:rsidRDefault="008369DA" w:rsidP="00265557">
      <w:pPr>
        <w:shd w:val="clear" w:color="auto" w:fill="FFFFFF"/>
        <w:jc w:val="both"/>
        <w:rPr>
          <w:b/>
          <w:bCs/>
          <w:color w:val="000000"/>
          <w:sz w:val="24"/>
          <w:szCs w:val="24"/>
        </w:rPr>
      </w:pPr>
      <w:r>
        <w:rPr>
          <w:b/>
          <w:bCs/>
          <w:color w:val="000000"/>
          <w:sz w:val="24"/>
          <w:szCs w:val="24"/>
        </w:rPr>
        <w:t xml:space="preserve">According To </w:t>
      </w:r>
      <w:r w:rsidR="00566196" w:rsidRPr="00A03F3A">
        <w:rPr>
          <w:b/>
          <w:bCs/>
          <w:color w:val="000000"/>
          <w:sz w:val="24"/>
          <w:szCs w:val="24"/>
        </w:rPr>
        <w:t>Rou</w:t>
      </w:r>
      <w:r w:rsidR="00B83569" w:rsidRPr="00A03F3A">
        <w:rPr>
          <w:b/>
          <w:bCs/>
          <w:color w:val="000000"/>
          <w:sz w:val="24"/>
          <w:szCs w:val="24"/>
        </w:rPr>
        <w:t>sseau</w:t>
      </w:r>
    </w:p>
    <w:p w14:paraId="12E37523" w14:textId="65B64DF4" w:rsidR="008F2486" w:rsidRPr="008369DA" w:rsidRDefault="001C2A67" w:rsidP="00265557">
      <w:pPr>
        <w:shd w:val="clear" w:color="auto" w:fill="FFFFFF"/>
        <w:jc w:val="both"/>
        <w:rPr>
          <w:color w:val="000000"/>
        </w:rPr>
      </w:pPr>
      <w:r w:rsidRPr="008369DA">
        <w:rPr>
          <w:color w:val="000000"/>
        </w:rPr>
        <w:t xml:space="preserve">In his writings </w:t>
      </w:r>
      <w:r w:rsidR="007F6DC7">
        <w:rPr>
          <w:color w:val="000000"/>
        </w:rPr>
        <w:t>‘</w:t>
      </w:r>
      <w:r w:rsidRPr="007F6DC7">
        <w:rPr>
          <w:i/>
          <w:iCs/>
          <w:color w:val="000000"/>
        </w:rPr>
        <w:t>Discourse on the Origin of Inequality</w:t>
      </w:r>
      <w:r w:rsidR="007F6DC7">
        <w:rPr>
          <w:i/>
          <w:iCs/>
          <w:color w:val="000000"/>
        </w:rPr>
        <w:t>’</w:t>
      </w:r>
      <w:r w:rsidRPr="008369DA">
        <w:rPr>
          <w:color w:val="000000"/>
        </w:rPr>
        <w:t>, Rousseau agrees with his two adversaries in that humans have the natural psyche for self-preservation and desire</w:t>
      </w:r>
      <w:r w:rsidR="00D47EFF" w:rsidRPr="008369DA">
        <w:rPr>
          <w:color w:val="000000"/>
        </w:rPr>
        <w:t xml:space="preserve"> to exist in a state of Nature</w:t>
      </w:r>
      <w:r w:rsidRPr="008369DA">
        <w:rPr>
          <w:color w:val="000000"/>
        </w:rPr>
        <w:t xml:space="preserve">, </w:t>
      </w:r>
      <w:r w:rsidR="00D47EFF" w:rsidRPr="008369DA">
        <w:rPr>
          <w:color w:val="000000"/>
        </w:rPr>
        <w:t xml:space="preserve">however </w:t>
      </w:r>
      <w:r w:rsidRPr="008369DA">
        <w:rPr>
          <w:color w:val="000000"/>
        </w:rPr>
        <w:t xml:space="preserve">he throws </w:t>
      </w:r>
      <w:r w:rsidR="00D47EFF" w:rsidRPr="008369DA">
        <w:rPr>
          <w:color w:val="000000"/>
        </w:rPr>
        <w:t>additional</w:t>
      </w:r>
      <w:r w:rsidRPr="008369DA">
        <w:rPr>
          <w:color w:val="000000"/>
        </w:rPr>
        <w:t xml:space="preserve"> characteristics into the mix, those of pity and / or compassion</w:t>
      </w:r>
      <w:r w:rsidR="0079473B" w:rsidRPr="008369DA">
        <w:rPr>
          <w:rStyle w:val="FootnoteReference"/>
          <w:color w:val="000000"/>
        </w:rPr>
        <w:footnoteReference w:id="16"/>
      </w:r>
      <w:r w:rsidR="00D47EFF" w:rsidRPr="008369DA">
        <w:rPr>
          <w:color w:val="000000"/>
        </w:rPr>
        <w:t xml:space="preserve">. The presence of these other traits, along with </w:t>
      </w:r>
      <w:r w:rsidR="008369DA" w:rsidRPr="008369DA">
        <w:rPr>
          <w:color w:val="000000"/>
        </w:rPr>
        <w:t>Rousseau’s</w:t>
      </w:r>
      <w:r w:rsidR="00D47EFF" w:rsidRPr="008369DA">
        <w:rPr>
          <w:color w:val="000000"/>
        </w:rPr>
        <w:t xml:space="preserve"> presumption of solitary lifestyle, would negate the need for the human to steal from others</w:t>
      </w:r>
      <w:r w:rsidRPr="008369DA">
        <w:rPr>
          <w:color w:val="000000"/>
        </w:rPr>
        <w:t>.</w:t>
      </w:r>
      <w:r w:rsidR="00463F9C" w:rsidRPr="008369DA">
        <w:rPr>
          <w:color w:val="000000"/>
        </w:rPr>
        <w:t xml:space="preserve"> However, he attributes these to the earlier savage rather than a civilised more modern human as it </w:t>
      </w:r>
      <w:r w:rsidR="007F6DC7">
        <w:rPr>
          <w:color w:val="000000"/>
        </w:rPr>
        <w:t xml:space="preserve">is </w:t>
      </w:r>
      <w:r w:rsidR="00463F9C" w:rsidRPr="008369DA">
        <w:rPr>
          <w:color w:val="000000"/>
        </w:rPr>
        <w:t xml:space="preserve">his contention that modern society has corrupted the human responses </w:t>
      </w:r>
      <w:r w:rsidR="007F6DC7">
        <w:rPr>
          <w:color w:val="000000"/>
        </w:rPr>
        <w:t>as they have developed</w:t>
      </w:r>
      <w:r w:rsidR="00463F9C" w:rsidRPr="008369DA">
        <w:rPr>
          <w:color w:val="000000"/>
        </w:rPr>
        <w:t xml:space="preserve"> far more needs than those of the savage</w:t>
      </w:r>
      <w:r w:rsidR="00FA527C" w:rsidRPr="008369DA">
        <w:rPr>
          <w:color w:val="000000"/>
        </w:rPr>
        <w:t>.</w:t>
      </w:r>
      <w:r w:rsidR="00463F9C" w:rsidRPr="008369DA">
        <w:rPr>
          <w:color w:val="000000"/>
        </w:rPr>
        <w:t xml:space="preserve"> </w:t>
      </w:r>
      <w:r w:rsidR="00FA527C" w:rsidRPr="008369DA">
        <w:rPr>
          <w:color w:val="000000"/>
        </w:rPr>
        <w:t>He does not favour a return to a state of Nature, just that if it existed</w:t>
      </w:r>
      <w:r w:rsidR="00460B55" w:rsidRPr="008369DA">
        <w:rPr>
          <w:color w:val="000000"/>
        </w:rPr>
        <w:t xml:space="preserve"> the savage human would demonstrate more pity or compassion to his fellow being than </w:t>
      </w:r>
      <w:r w:rsidR="007F6DC7">
        <w:rPr>
          <w:color w:val="000000"/>
        </w:rPr>
        <w:t xml:space="preserve">that of </w:t>
      </w:r>
      <w:r w:rsidR="00460B55" w:rsidRPr="008369DA">
        <w:rPr>
          <w:color w:val="000000"/>
        </w:rPr>
        <w:t>the modern version.</w:t>
      </w:r>
    </w:p>
    <w:p w14:paraId="137B066B" w14:textId="75D67FFE" w:rsidR="001C2A67" w:rsidRPr="008369DA" w:rsidRDefault="008F2486" w:rsidP="00265557">
      <w:pPr>
        <w:shd w:val="clear" w:color="auto" w:fill="FFFFFF"/>
        <w:jc w:val="both"/>
        <w:rPr>
          <w:color w:val="000000"/>
        </w:rPr>
      </w:pPr>
      <w:r w:rsidRPr="008369DA">
        <w:rPr>
          <w:color w:val="000000"/>
        </w:rPr>
        <w:t xml:space="preserve">Rousseau further argues that within the state of Nature, the human would be a more solitude figure with few desires gleaned from hunting and gathering rather than from </w:t>
      </w:r>
      <w:r w:rsidR="007F6DC7">
        <w:rPr>
          <w:color w:val="000000"/>
        </w:rPr>
        <w:t xml:space="preserve">taking property from </w:t>
      </w:r>
      <w:r w:rsidRPr="008369DA">
        <w:rPr>
          <w:color w:val="000000"/>
        </w:rPr>
        <w:t>others</w:t>
      </w:r>
      <w:r w:rsidR="00BE14E2" w:rsidRPr="008369DA">
        <w:rPr>
          <w:rStyle w:val="FootnoteReference"/>
          <w:color w:val="000000"/>
        </w:rPr>
        <w:footnoteReference w:id="17"/>
      </w:r>
      <w:r w:rsidRPr="008369DA">
        <w:rPr>
          <w:color w:val="000000"/>
        </w:rPr>
        <w:t>. I have to question the basis of his theory that hum</w:t>
      </w:r>
      <w:r w:rsidR="003A2E00" w:rsidRPr="008369DA">
        <w:rPr>
          <w:color w:val="000000"/>
        </w:rPr>
        <w:t>an</w:t>
      </w:r>
      <w:r w:rsidRPr="008369DA">
        <w:rPr>
          <w:color w:val="000000"/>
        </w:rPr>
        <w:t xml:space="preserve">s would be solitary </w:t>
      </w:r>
      <w:r w:rsidR="003A2E00" w:rsidRPr="008369DA">
        <w:rPr>
          <w:color w:val="000000"/>
        </w:rPr>
        <w:t>figures with little or no contact as nature equipped him</w:t>
      </w:r>
      <w:r w:rsidR="007F6DC7">
        <w:rPr>
          <w:color w:val="000000"/>
        </w:rPr>
        <w:t xml:space="preserve"> to be sociable, </w:t>
      </w:r>
      <w:r w:rsidR="00BE14E2" w:rsidRPr="008369DA">
        <w:rPr>
          <w:color w:val="000000"/>
        </w:rPr>
        <w:t>although I concur with his list of needs as food, sex and sleep, fearing only pain and hunger.</w:t>
      </w:r>
      <w:r w:rsidR="003A2E00" w:rsidRPr="008369DA">
        <w:rPr>
          <w:rStyle w:val="FootnoteReference"/>
          <w:color w:val="000000"/>
        </w:rPr>
        <w:footnoteReference w:id="18"/>
      </w:r>
      <w:r w:rsidR="003A2E00" w:rsidRPr="008369DA">
        <w:rPr>
          <w:color w:val="000000"/>
        </w:rPr>
        <w:t>. A</w:t>
      </w:r>
      <w:r w:rsidR="007F6DC7">
        <w:rPr>
          <w:color w:val="000000"/>
        </w:rPr>
        <w:t>gain</w:t>
      </w:r>
      <w:r w:rsidR="00C75C07">
        <w:rPr>
          <w:color w:val="000000"/>
        </w:rPr>
        <w:t>,</w:t>
      </w:r>
      <w:r w:rsidR="007F6DC7">
        <w:rPr>
          <w:color w:val="000000"/>
        </w:rPr>
        <w:t xml:space="preserve"> </w:t>
      </w:r>
      <w:r w:rsidR="003A2E00" w:rsidRPr="008369DA">
        <w:rPr>
          <w:color w:val="000000"/>
        </w:rPr>
        <w:t>I do speculate that his theorem has a bias in his</w:t>
      </w:r>
      <w:r w:rsidR="009656F6" w:rsidRPr="008369DA">
        <w:rPr>
          <w:color w:val="000000"/>
        </w:rPr>
        <w:t xml:space="preserve"> reticence for comparison in his writings</w:t>
      </w:r>
      <w:r w:rsidR="009656F6" w:rsidRPr="008369DA">
        <w:rPr>
          <w:rStyle w:val="FootnoteReference"/>
          <w:color w:val="000000"/>
        </w:rPr>
        <w:footnoteReference w:id="19"/>
      </w:r>
      <w:r w:rsidR="003A2E00" w:rsidRPr="008369DA">
        <w:rPr>
          <w:color w:val="000000"/>
        </w:rPr>
        <w:t xml:space="preserve"> </w:t>
      </w:r>
      <w:r w:rsidR="009656F6" w:rsidRPr="008369DA">
        <w:rPr>
          <w:color w:val="000000"/>
        </w:rPr>
        <w:t xml:space="preserve">as well as his </w:t>
      </w:r>
      <w:r w:rsidR="003A2E00" w:rsidRPr="008369DA">
        <w:rPr>
          <w:color w:val="000000"/>
        </w:rPr>
        <w:t>disenchantment with his modern society</w:t>
      </w:r>
      <w:r w:rsidR="00C5682A" w:rsidRPr="008369DA">
        <w:rPr>
          <w:rStyle w:val="FootnoteReference"/>
          <w:color w:val="000000"/>
        </w:rPr>
        <w:footnoteReference w:id="20"/>
      </w:r>
      <w:r w:rsidR="003A2E00" w:rsidRPr="008369DA">
        <w:rPr>
          <w:color w:val="000000"/>
        </w:rPr>
        <w:t>.</w:t>
      </w:r>
      <w:r w:rsidR="00463F9C" w:rsidRPr="008369DA">
        <w:rPr>
          <w:color w:val="000000"/>
        </w:rPr>
        <w:t xml:space="preserve"> </w:t>
      </w:r>
    </w:p>
    <w:p w14:paraId="46A543FE" w14:textId="72213423" w:rsidR="00A03F3A" w:rsidRDefault="008369DA" w:rsidP="00265557">
      <w:pPr>
        <w:shd w:val="clear" w:color="auto" w:fill="FFFFFF"/>
        <w:jc w:val="both"/>
        <w:rPr>
          <w:b/>
          <w:bCs/>
          <w:color w:val="000000"/>
          <w:sz w:val="24"/>
          <w:szCs w:val="24"/>
        </w:rPr>
      </w:pPr>
      <w:r>
        <w:rPr>
          <w:b/>
          <w:bCs/>
          <w:color w:val="000000"/>
          <w:sz w:val="24"/>
          <w:szCs w:val="24"/>
        </w:rPr>
        <w:t xml:space="preserve">According To </w:t>
      </w:r>
      <w:r w:rsidR="00A03F3A" w:rsidRPr="00A03F3A">
        <w:rPr>
          <w:b/>
          <w:bCs/>
          <w:color w:val="000000"/>
          <w:sz w:val="24"/>
          <w:szCs w:val="24"/>
        </w:rPr>
        <w:t>Anarchy</w:t>
      </w:r>
    </w:p>
    <w:p w14:paraId="6C2A4838" w14:textId="5C036CEC" w:rsidR="006E65DC" w:rsidRPr="006E65DC" w:rsidRDefault="006E65DC" w:rsidP="00F106DB">
      <w:pPr>
        <w:shd w:val="clear" w:color="auto" w:fill="FFFFFF"/>
        <w:ind w:left="720"/>
        <w:jc w:val="both"/>
        <w:rPr>
          <w:i/>
          <w:iCs/>
          <w:color w:val="000000"/>
          <w:sz w:val="24"/>
          <w:szCs w:val="24"/>
        </w:rPr>
      </w:pPr>
      <w:r>
        <w:rPr>
          <w:i/>
          <w:iCs/>
          <w:color w:val="000000"/>
          <w:sz w:val="24"/>
          <w:szCs w:val="24"/>
        </w:rPr>
        <w:t>‘</w:t>
      </w:r>
      <w:r w:rsidRPr="006E65DC">
        <w:rPr>
          <w:i/>
          <w:iCs/>
          <w:color w:val="000000"/>
          <w:sz w:val="24"/>
          <w:szCs w:val="24"/>
        </w:rPr>
        <w:t>Anarchy</w:t>
      </w:r>
      <w:r>
        <w:rPr>
          <w:i/>
          <w:iCs/>
          <w:color w:val="000000"/>
          <w:sz w:val="24"/>
          <w:szCs w:val="24"/>
        </w:rPr>
        <w:t>’ comes from the Greek Anarkhia which means without ruler, or contrary to authority. It was used as a derogatory term until 1849 when Pierre-Joseph Proudhorn used it to describe his political and social ideology. He argued that organisation without government was both possible and desirable.</w:t>
      </w:r>
      <w:r w:rsidR="00F106DB">
        <w:rPr>
          <w:rStyle w:val="FootnoteReference"/>
          <w:i/>
          <w:iCs/>
          <w:color w:val="000000"/>
          <w:sz w:val="24"/>
          <w:szCs w:val="24"/>
        </w:rPr>
        <w:footnoteReference w:id="21"/>
      </w:r>
    </w:p>
    <w:p w14:paraId="1B18A775" w14:textId="77777777" w:rsidR="006E65DC" w:rsidRDefault="006E65DC" w:rsidP="00265557">
      <w:pPr>
        <w:shd w:val="clear" w:color="auto" w:fill="FFFFFF"/>
        <w:jc w:val="both"/>
        <w:rPr>
          <w:rFonts w:cstheme="minorHAnsi"/>
          <w:shd w:val="clear" w:color="auto" w:fill="FFFFFF"/>
        </w:rPr>
      </w:pPr>
      <w:r>
        <w:rPr>
          <w:rFonts w:cstheme="minorHAnsi"/>
          <w:color w:val="000000"/>
        </w:rPr>
        <w:t xml:space="preserve">A Further </w:t>
      </w:r>
      <w:r w:rsidR="00CA5E66" w:rsidRPr="008369DA">
        <w:rPr>
          <w:rFonts w:cstheme="minorHAnsi"/>
          <w:color w:val="000000"/>
        </w:rPr>
        <w:t xml:space="preserve">definition of anarchy according to </w:t>
      </w:r>
      <w:r>
        <w:rPr>
          <w:rFonts w:cstheme="minorHAnsi"/>
          <w:color w:val="000000"/>
        </w:rPr>
        <w:t>t</w:t>
      </w:r>
      <w:r w:rsidR="00E96209" w:rsidRPr="008369DA">
        <w:rPr>
          <w:rFonts w:cstheme="minorHAnsi"/>
          <w:color w:val="000000"/>
        </w:rPr>
        <w:t xml:space="preserve">he </w:t>
      </w:r>
      <w:r>
        <w:rPr>
          <w:rFonts w:cstheme="minorHAnsi"/>
          <w:color w:val="000000"/>
        </w:rPr>
        <w:t>d</w:t>
      </w:r>
      <w:r w:rsidR="00E96209" w:rsidRPr="008369DA">
        <w:rPr>
          <w:rFonts w:cstheme="minorHAnsi"/>
          <w:color w:val="000000"/>
        </w:rPr>
        <w:t xml:space="preserve">ictionary comes in two explanations. </w:t>
      </w:r>
      <w:r w:rsidR="00E96209" w:rsidRPr="008369DA">
        <w:rPr>
          <w:rFonts w:cstheme="minorHAnsi"/>
          <w:color w:val="202124"/>
          <w:shd w:val="clear" w:color="auto" w:fill="FFFFFF"/>
        </w:rPr>
        <w:t>“</w:t>
      </w:r>
      <w:r w:rsidR="00E96209" w:rsidRPr="008369DA">
        <w:rPr>
          <w:rFonts w:cstheme="minorHAnsi"/>
          <w:i/>
          <w:iCs/>
          <w:color w:val="202124"/>
          <w:shd w:val="clear" w:color="auto" w:fill="FFFFFF"/>
        </w:rPr>
        <w:t>A state of disorder due to absence or </w:t>
      </w:r>
      <w:hyperlink r:id="rId8" w:history="1">
        <w:r w:rsidR="00E96209" w:rsidRPr="008369DA">
          <w:rPr>
            <w:rFonts w:cstheme="minorHAnsi"/>
            <w:i/>
            <w:iCs/>
            <w:shd w:val="clear" w:color="auto" w:fill="FFFFFF"/>
          </w:rPr>
          <w:t>non-recognition</w:t>
        </w:r>
      </w:hyperlink>
      <w:r w:rsidR="00E96209" w:rsidRPr="008369DA">
        <w:rPr>
          <w:rFonts w:cstheme="minorHAnsi"/>
          <w:i/>
          <w:iCs/>
          <w:shd w:val="clear" w:color="auto" w:fill="FFFFFF"/>
        </w:rPr>
        <w:t> of authority or other controlling systems</w:t>
      </w:r>
      <w:r w:rsidR="00E96209" w:rsidRPr="008369DA">
        <w:rPr>
          <w:rFonts w:cstheme="minorHAnsi"/>
          <w:shd w:val="clear" w:color="auto" w:fill="FFFFFF"/>
        </w:rPr>
        <w:t>” and</w:t>
      </w:r>
      <w:r w:rsidR="00E96209" w:rsidRPr="008369DA">
        <w:rPr>
          <w:rFonts w:cstheme="minorHAnsi"/>
        </w:rPr>
        <w:t xml:space="preserve"> </w:t>
      </w:r>
      <w:r w:rsidR="00E96209" w:rsidRPr="008369DA">
        <w:rPr>
          <w:rFonts w:cstheme="minorHAnsi"/>
          <w:shd w:val="clear" w:color="auto" w:fill="FFFFFF"/>
        </w:rPr>
        <w:br/>
        <w:t>“</w:t>
      </w:r>
      <w:r w:rsidR="00E96209" w:rsidRPr="008369DA">
        <w:rPr>
          <w:rFonts w:cstheme="minorHAnsi"/>
          <w:i/>
          <w:iCs/>
          <w:shd w:val="clear" w:color="auto" w:fill="FFFFFF"/>
        </w:rPr>
        <w:t>The organization of society on the basis of voluntary cooperation, without political institutions or </w:t>
      </w:r>
      <w:hyperlink r:id="rId9" w:history="1">
        <w:r w:rsidR="00E96209" w:rsidRPr="008369DA">
          <w:rPr>
            <w:rFonts w:cstheme="minorHAnsi"/>
            <w:i/>
            <w:iCs/>
            <w:shd w:val="clear" w:color="auto" w:fill="FFFFFF"/>
          </w:rPr>
          <w:t>hierarchical</w:t>
        </w:r>
      </w:hyperlink>
      <w:r w:rsidR="00E96209" w:rsidRPr="008369DA">
        <w:rPr>
          <w:rFonts w:cstheme="minorHAnsi"/>
          <w:i/>
          <w:iCs/>
          <w:shd w:val="clear" w:color="auto" w:fill="FFFFFF"/>
        </w:rPr>
        <w:t> government</w:t>
      </w:r>
      <w:r w:rsidR="00E96209" w:rsidRPr="008369DA">
        <w:rPr>
          <w:rFonts w:cstheme="minorHAnsi"/>
          <w:shd w:val="clear" w:color="auto" w:fill="FFFFFF"/>
        </w:rPr>
        <w:t>”. Both are correct but their tone suggests that they were written by opposing philosophies. The first by an advocate of the State and the second by</w:t>
      </w:r>
      <w:r w:rsidR="00A92F9C" w:rsidRPr="008369DA">
        <w:rPr>
          <w:rFonts w:cstheme="minorHAnsi"/>
          <w:shd w:val="clear" w:color="auto" w:fill="FFFFFF"/>
        </w:rPr>
        <w:t xml:space="preserve"> belief in the state of Nature.</w:t>
      </w:r>
    </w:p>
    <w:p w14:paraId="78D92C4B" w14:textId="0EDBF97D" w:rsidR="00A03F3A" w:rsidRPr="008369DA" w:rsidRDefault="006E65DC" w:rsidP="00265557">
      <w:pPr>
        <w:shd w:val="clear" w:color="auto" w:fill="FFFFFF"/>
        <w:jc w:val="both"/>
        <w:rPr>
          <w:rFonts w:cstheme="minorHAnsi"/>
        </w:rPr>
      </w:pPr>
      <w:r>
        <w:rPr>
          <w:rFonts w:cstheme="minorHAnsi"/>
          <w:shd w:val="clear" w:color="auto" w:fill="FFFFFF"/>
        </w:rPr>
        <w:t>Wolfe argues some anarchists believe that a state of Nature is achievable as there are no bad humans and if they exist, they are a product of governments</w:t>
      </w:r>
      <w:r w:rsidR="00F106DB">
        <w:rPr>
          <w:rFonts w:cstheme="minorHAnsi"/>
          <w:shd w:val="clear" w:color="auto" w:fill="FFFFFF"/>
        </w:rPr>
        <w:t xml:space="preserve"> that are created to suppress anti-social behaviour. </w:t>
      </w:r>
      <w:r w:rsidR="00F106DB">
        <w:rPr>
          <w:rFonts w:cstheme="minorHAnsi"/>
          <w:shd w:val="clear" w:color="auto" w:fill="FFFFFF"/>
        </w:rPr>
        <w:lastRenderedPageBreak/>
        <w:t>This is countered by the argument that if we are all inherently good, why do we need government. His answer to this is that a few greedy individuals have managed to take control of the power through deception. If this is the case,</w:t>
      </w:r>
      <w:r w:rsidR="00272E2B">
        <w:rPr>
          <w:rFonts w:cstheme="minorHAnsi"/>
          <w:shd w:val="clear" w:color="auto" w:fill="FFFFFF"/>
        </w:rPr>
        <w:t xml:space="preserve"> and these people existed before the state, then we are not all inherently good.</w:t>
      </w:r>
      <w:r w:rsidR="00272E2B">
        <w:rPr>
          <w:rStyle w:val="FootnoteReference"/>
          <w:rFonts w:cstheme="minorHAnsi"/>
          <w:shd w:val="clear" w:color="auto" w:fill="FFFFFF"/>
        </w:rPr>
        <w:footnoteReference w:id="22"/>
      </w:r>
      <w:r w:rsidR="00272E2B">
        <w:rPr>
          <w:rFonts w:cstheme="minorHAnsi"/>
          <w:shd w:val="clear" w:color="auto" w:fill="FFFFFF"/>
        </w:rPr>
        <w:t xml:space="preserve"> It would appear that anarchy is a </w:t>
      </w:r>
      <w:r w:rsidR="007F6DC7">
        <w:rPr>
          <w:rFonts w:cstheme="minorHAnsi"/>
          <w:shd w:val="clear" w:color="auto" w:fill="FFFFFF"/>
        </w:rPr>
        <w:t xml:space="preserve">chicken and egg </w:t>
      </w:r>
      <w:r w:rsidR="00272E2B">
        <w:rPr>
          <w:rFonts w:cstheme="minorHAnsi"/>
          <w:shd w:val="clear" w:color="auto" w:fill="FFFFFF"/>
        </w:rPr>
        <w:t>argument with utopian tendencies.</w:t>
      </w:r>
    </w:p>
    <w:p w14:paraId="2AEC1BAF" w14:textId="7E7A512F" w:rsidR="00A03F3A" w:rsidRPr="00A03F3A" w:rsidRDefault="008369DA" w:rsidP="00265557">
      <w:pPr>
        <w:shd w:val="clear" w:color="auto" w:fill="FFFFFF"/>
        <w:jc w:val="both"/>
        <w:rPr>
          <w:b/>
          <w:bCs/>
          <w:color w:val="000000"/>
          <w:sz w:val="24"/>
          <w:szCs w:val="24"/>
        </w:rPr>
      </w:pPr>
      <w:r>
        <w:rPr>
          <w:b/>
          <w:bCs/>
          <w:color w:val="000000"/>
          <w:sz w:val="24"/>
          <w:szCs w:val="24"/>
        </w:rPr>
        <w:t>According To Me</w:t>
      </w:r>
    </w:p>
    <w:p w14:paraId="56C58417" w14:textId="686754BD" w:rsidR="001A7D46" w:rsidRDefault="00F558FB" w:rsidP="00265557">
      <w:pPr>
        <w:shd w:val="clear" w:color="auto" w:fill="FFFFFF"/>
        <w:jc w:val="both"/>
        <w:rPr>
          <w:color w:val="000000"/>
        </w:rPr>
      </w:pPr>
      <w:r>
        <w:rPr>
          <w:color w:val="000000"/>
        </w:rPr>
        <w:t>To begin with, I</w:t>
      </w:r>
      <w:r w:rsidR="00CA5E66">
        <w:rPr>
          <w:color w:val="000000"/>
        </w:rPr>
        <w:t xml:space="preserve"> challenged the need to acknowledge a state of nature when it is non-existent. However</w:t>
      </w:r>
      <w:r w:rsidR="00971605">
        <w:rPr>
          <w:color w:val="000000"/>
        </w:rPr>
        <w:t>,</w:t>
      </w:r>
      <w:r w:rsidR="00CA5E66">
        <w:rPr>
          <w:color w:val="000000"/>
        </w:rPr>
        <w:t xml:space="preserve"> to expand on the hypothesis, the state of nature did</w:t>
      </w:r>
      <w:r w:rsidR="00C75C07">
        <w:rPr>
          <w:color w:val="000000"/>
        </w:rPr>
        <w:t>,</w:t>
      </w:r>
      <w:r w:rsidR="00CA5E66">
        <w:rPr>
          <w:color w:val="000000"/>
        </w:rPr>
        <w:t xml:space="preserve"> and still does</w:t>
      </w:r>
      <w:r w:rsidR="00C75C07">
        <w:rPr>
          <w:color w:val="000000"/>
        </w:rPr>
        <w:t>, exist</w:t>
      </w:r>
      <w:r w:rsidR="00CA5E66">
        <w:rPr>
          <w:color w:val="000000"/>
        </w:rPr>
        <w:t xml:space="preserve"> in the animal kingdom. </w:t>
      </w:r>
      <w:r w:rsidR="00971605">
        <w:rPr>
          <w:color w:val="000000"/>
        </w:rPr>
        <w:t>Take a troop of primates and see the parity with some of the philosophers’ arguments. There are no laws, they are territorial but hunter gatherers using the land resource for sustenance. They have a hierarchal set up with one overseer whose position is the protection of and maintenance of the troop. There is conflict but not a constant state of war when the hierarchy is challenged or there is outside interference from outsiders. They live by the laws of nature, show compassion to the</w:t>
      </w:r>
      <w:r w:rsidR="0054007B">
        <w:rPr>
          <w:color w:val="000000"/>
        </w:rPr>
        <w:t>ir</w:t>
      </w:r>
      <w:r w:rsidR="00971605">
        <w:rPr>
          <w:color w:val="000000"/>
        </w:rPr>
        <w:t xml:space="preserve"> own with needs akin to those described by Rousseau, that of sex, sleep and food.</w:t>
      </w:r>
      <w:r w:rsidR="001A7D46">
        <w:rPr>
          <w:color w:val="000000"/>
        </w:rPr>
        <w:t xml:space="preserve"> They are not geographically mobile as they are adapted to the environment in which they survive.</w:t>
      </w:r>
      <w:r w:rsidR="0054007B">
        <w:rPr>
          <w:color w:val="000000"/>
        </w:rPr>
        <w:t xml:space="preserve"> All of this and without the existence of a state within their communities.</w:t>
      </w:r>
    </w:p>
    <w:p w14:paraId="38D89C21" w14:textId="4E0809CC" w:rsidR="001A7D46" w:rsidRDefault="00971605" w:rsidP="00265557">
      <w:pPr>
        <w:shd w:val="clear" w:color="auto" w:fill="FFFFFF"/>
        <w:jc w:val="both"/>
        <w:rPr>
          <w:color w:val="000000"/>
        </w:rPr>
      </w:pPr>
      <w:r>
        <w:rPr>
          <w:color w:val="000000"/>
        </w:rPr>
        <w:t xml:space="preserve"> This example species </w:t>
      </w:r>
      <w:r w:rsidR="00703CA9">
        <w:rPr>
          <w:color w:val="000000"/>
        </w:rPr>
        <w:t>is</w:t>
      </w:r>
      <w:r>
        <w:rPr>
          <w:color w:val="000000"/>
        </w:rPr>
        <w:t xml:space="preserve"> no different to any other within the natural world and it works. So why do I</w:t>
      </w:r>
      <w:r w:rsidR="00703CA9">
        <w:rPr>
          <w:color w:val="000000"/>
        </w:rPr>
        <w:t xml:space="preserve"> use primates as my example? Well, they were, according to Darwin, the precursor to man. It is only when man emerges AND decides no longer to be a hunter gatherer but instead starts to stagnate and </w:t>
      </w:r>
      <w:r w:rsidR="0054007B">
        <w:rPr>
          <w:color w:val="000000"/>
        </w:rPr>
        <w:t xml:space="preserve">possess and </w:t>
      </w:r>
      <w:r w:rsidR="00703CA9">
        <w:rPr>
          <w:color w:val="000000"/>
        </w:rPr>
        <w:t xml:space="preserve">work the land around him, that laws and agreements are drawn up and states are created </w:t>
      </w:r>
      <w:r w:rsidR="00805F43">
        <w:rPr>
          <w:color w:val="000000"/>
        </w:rPr>
        <w:t>from</w:t>
      </w:r>
      <w:r w:rsidR="00703CA9">
        <w:rPr>
          <w:color w:val="000000"/>
        </w:rPr>
        <w:t xml:space="preserve"> which</w:t>
      </w:r>
      <w:r w:rsidR="00805F43">
        <w:rPr>
          <w:color w:val="000000"/>
        </w:rPr>
        <w:t xml:space="preserve"> </w:t>
      </w:r>
      <w:r w:rsidR="00703CA9">
        <w:rPr>
          <w:color w:val="000000"/>
        </w:rPr>
        <w:t>there is no return. These systems are supposedly developed in the name of civilisation and become established with more control and restriction</w:t>
      </w:r>
      <w:r w:rsidR="001A7D46">
        <w:rPr>
          <w:color w:val="000000"/>
        </w:rPr>
        <w:t>. To complicate their evolving lives further someone</w:t>
      </w:r>
      <w:r w:rsidR="00C75C07">
        <w:rPr>
          <w:color w:val="000000"/>
        </w:rPr>
        <w:t>,</w:t>
      </w:r>
      <w:r w:rsidR="001A7D46">
        <w:rPr>
          <w:color w:val="000000"/>
        </w:rPr>
        <w:t xml:space="preserve"> somewhere</w:t>
      </w:r>
      <w:r w:rsidR="00C75C07">
        <w:rPr>
          <w:color w:val="000000"/>
        </w:rPr>
        <w:t>,</w:t>
      </w:r>
      <w:r w:rsidR="001A7D46">
        <w:rPr>
          <w:color w:val="000000"/>
        </w:rPr>
        <w:t xml:space="preserve"> decided to create religion which took on many forms and challenged the hierarchal position of the mortal. There was no religion in the state of nature and there still isn’t. It plays a large part in the philosophical arguments</w:t>
      </w:r>
      <w:r w:rsidR="00F354D5">
        <w:rPr>
          <w:color w:val="000000"/>
        </w:rPr>
        <w:t xml:space="preserve"> and it is my belief that it was established to exercise more control over the masses. </w:t>
      </w:r>
      <w:r w:rsidR="008109C8">
        <w:rPr>
          <w:color w:val="000000"/>
        </w:rPr>
        <w:t>It is my argument that t</w:t>
      </w:r>
      <w:r w:rsidR="00F354D5">
        <w:rPr>
          <w:color w:val="000000"/>
        </w:rPr>
        <w:t xml:space="preserve">here is no god and humans are just another animal species on the planet who have suppressed their natural instincts that are still prevalent in all other species, and have become reliant on the state. </w:t>
      </w:r>
    </w:p>
    <w:p w14:paraId="7AA4CF67" w14:textId="7C70AE21" w:rsidR="00F354D5" w:rsidRDefault="00F354D5" w:rsidP="00265557">
      <w:pPr>
        <w:shd w:val="clear" w:color="auto" w:fill="FFFFFF"/>
        <w:jc w:val="both"/>
        <w:rPr>
          <w:color w:val="000000"/>
        </w:rPr>
      </w:pPr>
      <w:r>
        <w:rPr>
          <w:color w:val="000000"/>
        </w:rPr>
        <w:t>So</w:t>
      </w:r>
      <w:r w:rsidR="008006E4">
        <w:rPr>
          <w:color w:val="000000"/>
        </w:rPr>
        <w:t>,</w:t>
      </w:r>
      <w:r>
        <w:rPr>
          <w:color w:val="000000"/>
        </w:rPr>
        <w:t xml:space="preserve"> do the state of </w:t>
      </w:r>
      <w:r w:rsidR="008006E4">
        <w:rPr>
          <w:color w:val="000000"/>
        </w:rPr>
        <w:t>N</w:t>
      </w:r>
      <w:r>
        <w:rPr>
          <w:color w:val="000000"/>
        </w:rPr>
        <w:t xml:space="preserve">ature arguments present compelling justification for the existence of the state? </w:t>
      </w:r>
      <w:r w:rsidR="008006E4">
        <w:rPr>
          <w:color w:val="000000"/>
        </w:rPr>
        <w:t xml:space="preserve">No, they do not. </w:t>
      </w:r>
      <w:r w:rsidR="008369DA">
        <w:rPr>
          <w:color w:val="000000"/>
        </w:rPr>
        <w:t xml:space="preserve">The existence of the state restricts natural freedoms and tells you what you can’t do. The world in a state of Nature would on occasions be brutal </w:t>
      </w:r>
      <w:r w:rsidR="008109C8">
        <w:rPr>
          <w:color w:val="000000"/>
        </w:rPr>
        <w:t>b</w:t>
      </w:r>
      <w:r w:rsidR="008369DA">
        <w:rPr>
          <w:color w:val="000000"/>
        </w:rPr>
        <w:t xml:space="preserve">ut is it </w:t>
      </w:r>
      <w:r w:rsidR="008109C8">
        <w:rPr>
          <w:color w:val="000000"/>
        </w:rPr>
        <w:t xml:space="preserve">really </w:t>
      </w:r>
      <w:r w:rsidR="008369DA">
        <w:rPr>
          <w:color w:val="000000"/>
        </w:rPr>
        <w:t xml:space="preserve">any better under the state? </w:t>
      </w:r>
      <w:r w:rsidR="008006E4">
        <w:rPr>
          <w:color w:val="000000"/>
        </w:rPr>
        <w:t xml:space="preserve">The arguments of the state of Nature are defined by the </w:t>
      </w:r>
      <w:r w:rsidR="008369DA">
        <w:rPr>
          <w:color w:val="000000"/>
        </w:rPr>
        <w:t>philosophers</w:t>
      </w:r>
      <w:r w:rsidR="008006E4">
        <w:rPr>
          <w:color w:val="000000"/>
        </w:rPr>
        <w:t xml:space="preserve"> with varying views because they were trying to establish an understanding of why the state was like it was </w:t>
      </w:r>
      <w:r w:rsidR="008369DA">
        <w:rPr>
          <w:color w:val="000000"/>
        </w:rPr>
        <w:t>at</w:t>
      </w:r>
      <w:r w:rsidR="008006E4">
        <w:rPr>
          <w:color w:val="000000"/>
        </w:rPr>
        <w:t xml:space="preserve"> their time of reflection. What they could not grasp was how, as society supposedly developed and advanced, could it become more volatile. Even Rousseau’s reflections on solitude are borne out of his contempt for his view of modern society.</w:t>
      </w:r>
      <w:r w:rsidR="0054007B">
        <w:rPr>
          <w:color w:val="000000"/>
        </w:rPr>
        <w:t xml:space="preserve"> The state is man made and</w:t>
      </w:r>
      <w:r w:rsidR="00F558FB">
        <w:rPr>
          <w:color w:val="000000"/>
        </w:rPr>
        <w:t>,</w:t>
      </w:r>
      <w:r w:rsidR="0054007B">
        <w:rPr>
          <w:color w:val="000000"/>
        </w:rPr>
        <w:t xml:space="preserve"> like all things man</w:t>
      </w:r>
      <w:r w:rsidR="00F558FB">
        <w:rPr>
          <w:color w:val="000000"/>
        </w:rPr>
        <w:t xml:space="preserve"> </w:t>
      </w:r>
      <w:r w:rsidR="0054007B">
        <w:rPr>
          <w:color w:val="000000"/>
        </w:rPr>
        <w:t>made</w:t>
      </w:r>
      <w:r w:rsidR="00F558FB">
        <w:rPr>
          <w:color w:val="000000"/>
        </w:rPr>
        <w:t>,</w:t>
      </w:r>
      <w:r w:rsidR="0054007B">
        <w:rPr>
          <w:color w:val="000000"/>
        </w:rPr>
        <w:t xml:space="preserve"> is not enough</w:t>
      </w:r>
      <w:r w:rsidR="008369DA">
        <w:rPr>
          <w:color w:val="000000"/>
        </w:rPr>
        <w:t xml:space="preserve"> for man</w:t>
      </w:r>
      <w:r w:rsidR="00F558FB">
        <w:rPr>
          <w:color w:val="000000"/>
        </w:rPr>
        <w:t>.</w:t>
      </w:r>
      <w:r w:rsidR="008006E4">
        <w:rPr>
          <w:color w:val="000000"/>
        </w:rPr>
        <w:t xml:space="preserve"> The greed and search for power and control of the world’s resources will eventually implode and </w:t>
      </w:r>
      <w:r w:rsidR="00272E2B">
        <w:rPr>
          <w:color w:val="000000"/>
        </w:rPr>
        <w:t xml:space="preserve">the state </w:t>
      </w:r>
      <w:r w:rsidR="008006E4">
        <w:rPr>
          <w:color w:val="000000"/>
        </w:rPr>
        <w:t>will return to a state of nature where</w:t>
      </w:r>
      <w:r w:rsidR="00F558FB">
        <w:rPr>
          <w:color w:val="000000"/>
        </w:rPr>
        <w:t>,</w:t>
      </w:r>
      <w:r w:rsidR="008006E4">
        <w:rPr>
          <w:color w:val="000000"/>
        </w:rPr>
        <w:t xml:space="preserve"> as the supposedly dominant world species, </w:t>
      </w:r>
      <w:r w:rsidR="00F558FB">
        <w:rPr>
          <w:color w:val="000000"/>
        </w:rPr>
        <w:t xml:space="preserve">humans </w:t>
      </w:r>
      <w:r w:rsidR="008006E4">
        <w:rPr>
          <w:color w:val="000000"/>
        </w:rPr>
        <w:t>will perish.</w:t>
      </w:r>
      <w:r w:rsidR="0054007B">
        <w:rPr>
          <w:color w:val="000000"/>
        </w:rPr>
        <w:t xml:space="preserve"> </w:t>
      </w:r>
    </w:p>
    <w:p w14:paraId="1772A888" w14:textId="503BBF9B" w:rsidR="00A03F3A" w:rsidRDefault="00703CA9" w:rsidP="00265557">
      <w:pPr>
        <w:shd w:val="clear" w:color="auto" w:fill="FFFFFF"/>
        <w:jc w:val="both"/>
        <w:rPr>
          <w:color w:val="000000"/>
        </w:rPr>
      </w:pPr>
      <w:r>
        <w:rPr>
          <w:color w:val="000000"/>
        </w:rPr>
        <w:t xml:space="preserve">  </w:t>
      </w:r>
    </w:p>
    <w:p w14:paraId="697ED7F0" w14:textId="53B942E9" w:rsidR="00A03F3A" w:rsidRDefault="00272E2B" w:rsidP="00265557">
      <w:pPr>
        <w:shd w:val="clear" w:color="auto" w:fill="FFFFFF"/>
        <w:jc w:val="both"/>
        <w:rPr>
          <w:color w:val="000000"/>
        </w:rPr>
      </w:pPr>
      <w:r>
        <w:rPr>
          <w:color w:val="000000"/>
        </w:rPr>
        <w:t>21</w:t>
      </w:r>
      <w:r w:rsidR="002047BD">
        <w:rPr>
          <w:color w:val="000000"/>
        </w:rPr>
        <w:t>86</w:t>
      </w:r>
      <w:r>
        <w:rPr>
          <w:color w:val="000000"/>
        </w:rPr>
        <w:t xml:space="preserve"> words without references</w:t>
      </w:r>
      <w:r w:rsidR="008F4BF5">
        <w:rPr>
          <w:color w:val="000000"/>
        </w:rPr>
        <w:t xml:space="preserve"> and Direct Quotes</w:t>
      </w:r>
      <w:r>
        <w:rPr>
          <w:color w:val="000000"/>
        </w:rPr>
        <w:t>.</w:t>
      </w:r>
    </w:p>
    <w:p w14:paraId="08D76FA1" w14:textId="77777777" w:rsidR="008B0743" w:rsidRDefault="008B0743" w:rsidP="00265557">
      <w:pPr>
        <w:shd w:val="clear" w:color="auto" w:fill="FFFFFF"/>
        <w:jc w:val="both"/>
        <w:rPr>
          <w:color w:val="000000"/>
        </w:rPr>
      </w:pPr>
    </w:p>
    <w:p w14:paraId="09BD9E9E" w14:textId="77777777" w:rsidR="008B0743" w:rsidRDefault="008B0743" w:rsidP="008B0743">
      <w:pPr>
        <w:shd w:val="clear" w:color="auto" w:fill="FFFFFF"/>
        <w:jc w:val="both"/>
        <w:rPr>
          <w:b/>
          <w:bCs/>
          <w:color w:val="000000"/>
          <w:sz w:val="24"/>
          <w:szCs w:val="24"/>
        </w:rPr>
      </w:pPr>
    </w:p>
    <w:p w14:paraId="6645AD5A" w14:textId="77777777" w:rsidR="008B0743" w:rsidRDefault="008B0743" w:rsidP="008B0743">
      <w:pPr>
        <w:shd w:val="clear" w:color="auto" w:fill="FFFFFF"/>
        <w:jc w:val="both"/>
        <w:rPr>
          <w:b/>
          <w:bCs/>
          <w:color w:val="000000"/>
          <w:sz w:val="24"/>
          <w:szCs w:val="24"/>
        </w:rPr>
      </w:pPr>
    </w:p>
    <w:p w14:paraId="5F325098" w14:textId="4A7ADB8E" w:rsidR="008B0743" w:rsidRDefault="008B0743" w:rsidP="008B0743">
      <w:pPr>
        <w:shd w:val="clear" w:color="auto" w:fill="FFFFFF"/>
        <w:jc w:val="both"/>
        <w:rPr>
          <w:b/>
          <w:bCs/>
          <w:color w:val="000000"/>
          <w:sz w:val="24"/>
          <w:szCs w:val="24"/>
        </w:rPr>
      </w:pPr>
      <w:r w:rsidRPr="00A03F3A">
        <w:rPr>
          <w:b/>
          <w:bCs/>
          <w:color w:val="000000"/>
          <w:sz w:val="24"/>
          <w:szCs w:val="24"/>
        </w:rPr>
        <w:t>References</w:t>
      </w:r>
    </w:p>
    <w:p w14:paraId="5D1C077C" w14:textId="03068259" w:rsidR="008F4BF5" w:rsidRPr="008F4BF5" w:rsidRDefault="008F4BF5" w:rsidP="008B0743">
      <w:pPr>
        <w:shd w:val="clear" w:color="auto" w:fill="FFFFFF"/>
        <w:jc w:val="both"/>
        <w:rPr>
          <w:rFonts w:cstheme="minorHAnsi"/>
          <w:b/>
          <w:bCs/>
        </w:rPr>
      </w:pPr>
      <w:r w:rsidRPr="008F4BF5">
        <w:rPr>
          <w:rFonts w:eastAsia="Times New Roman" w:cstheme="minorHAnsi"/>
          <w:lang w:eastAsia="en-GB"/>
        </w:rPr>
        <w:t xml:space="preserve">Alpert, Avram. “‘Melancholy Wildness’: The Failure of Cross-Cultural Engagement in Rousseau’s ‘Discourse on the Origin of Inequality’ and ‘Brown’s Edgar Huntly.’” </w:t>
      </w:r>
      <w:r w:rsidRPr="008F4BF5">
        <w:rPr>
          <w:rFonts w:eastAsia="Times New Roman" w:cstheme="minorHAnsi"/>
          <w:i/>
          <w:iCs/>
          <w:lang w:eastAsia="en-GB"/>
        </w:rPr>
        <w:t>Early American Literature</w:t>
      </w:r>
      <w:r w:rsidRPr="008F4BF5">
        <w:rPr>
          <w:rFonts w:eastAsia="Times New Roman" w:cstheme="minorHAnsi"/>
          <w:lang w:eastAsia="en-GB"/>
        </w:rPr>
        <w:t xml:space="preserve">, vol. 49, no. 1, 2014, pp. 125. </w:t>
      </w:r>
      <w:r w:rsidRPr="008F4BF5">
        <w:rPr>
          <w:rFonts w:eastAsia="Times New Roman" w:cstheme="minorHAnsi"/>
          <w:i/>
          <w:iCs/>
          <w:lang w:eastAsia="en-GB"/>
        </w:rPr>
        <w:t>JSTOR</w:t>
      </w:r>
      <w:r w:rsidRPr="008F4BF5">
        <w:rPr>
          <w:rFonts w:eastAsia="Times New Roman" w:cstheme="minorHAnsi"/>
          <w:lang w:eastAsia="en-GB"/>
        </w:rPr>
        <w:t xml:space="preserve">, </w:t>
      </w:r>
      <w:hyperlink r:id="rId10" w:history="1">
        <w:r w:rsidRPr="008F4BF5">
          <w:rPr>
            <w:rStyle w:val="Hyperlink"/>
            <w:rFonts w:eastAsia="Times New Roman" w:cstheme="minorHAnsi"/>
            <w:color w:val="auto"/>
            <w:lang w:eastAsia="en-GB"/>
          </w:rPr>
          <w:t>http://www.jstor.org/stable/24476589</w:t>
        </w:r>
      </w:hyperlink>
      <w:r w:rsidRPr="008F4BF5">
        <w:rPr>
          <w:rFonts w:eastAsia="Times New Roman" w:cstheme="minorHAnsi"/>
          <w:lang w:eastAsia="en-GB"/>
        </w:rPr>
        <w:t xml:space="preserve"> . Accessed 25 Apr. 2023.</w:t>
      </w:r>
    </w:p>
    <w:p w14:paraId="49840D9E" w14:textId="321A6615" w:rsidR="008B0743" w:rsidRPr="008F4BF5" w:rsidRDefault="008B0743" w:rsidP="008B0743">
      <w:pPr>
        <w:shd w:val="clear" w:color="auto" w:fill="FFFFFF"/>
        <w:rPr>
          <w:rFonts w:cstheme="minorHAnsi"/>
          <w:b/>
          <w:bCs/>
        </w:rPr>
      </w:pPr>
      <w:r w:rsidRPr="008F4BF5">
        <w:rPr>
          <w:rFonts w:eastAsia="Times New Roman" w:cstheme="minorHAnsi"/>
          <w:lang w:eastAsia="en-GB"/>
        </w:rPr>
        <w:t xml:space="preserve">Cuttica, Cesare. “Reputation Versus Context In The Interpretation Of Sir Robert Filmer’s ‘Patriarcha.’” </w:t>
      </w:r>
      <w:r w:rsidRPr="008F4BF5">
        <w:rPr>
          <w:rFonts w:eastAsia="Times New Roman" w:cstheme="minorHAnsi"/>
          <w:i/>
          <w:iCs/>
          <w:lang w:eastAsia="en-GB"/>
        </w:rPr>
        <w:t>History of Political Thought</w:t>
      </w:r>
      <w:r w:rsidRPr="008F4BF5">
        <w:rPr>
          <w:rFonts w:eastAsia="Times New Roman" w:cstheme="minorHAnsi"/>
          <w:lang w:eastAsia="en-GB"/>
        </w:rPr>
        <w:t xml:space="preserve">, vol. 33, no. 2, 2012, pp. 231–57. </w:t>
      </w:r>
      <w:r w:rsidRPr="008F4BF5">
        <w:rPr>
          <w:rFonts w:eastAsia="Times New Roman" w:cstheme="minorHAnsi"/>
          <w:i/>
          <w:iCs/>
          <w:lang w:eastAsia="en-GB"/>
        </w:rPr>
        <w:t>JSTOR</w:t>
      </w:r>
      <w:r w:rsidRPr="008F4BF5">
        <w:rPr>
          <w:rFonts w:eastAsia="Times New Roman" w:cstheme="minorHAnsi"/>
          <w:lang w:eastAsia="en-GB"/>
        </w:rPr>
        <w:t xml:space="preserve">, </w:t>
      </w:r>
      <w:hyperlink r:id="rId11" w:history="1">
        <w:r w:rsidRPr="008F4BF5">
          <w:rPr>
            <w:rStyle w:val="Hyperlink"/>
            <w:rFonts w:eastAsia="Times New Roman" w:cstheme="minorHAnsi"/>
            <w:color w:val="auto"/>
            <w:lang w:eastAsia="en-GB"/>
          </w:rPr>
          <w:t>http://www.jstor.org/stable/26225768</w:t>
        </w:r>
      </w:hyperlink>
      <w:r w:rsidRPr="008F4BF5">
        <w:rPr>
          <w:rFonts w:eastAsia="Times New Roman" w:cstheme="minorHAnsi"/>
          <w:lang w:eastAsia="en-GB"/>
        </w:rPr>
        <w:t xml:space="preserve"> . Accessed 25 Apr. 2023</w:t>
      </w:r>
      <w:r w:rsidR="00B10AE1">
        <w:rPr>
          <w:rFonts w:eastAsia="Times New Roman" w:cstheme="minorHAnsi"/>
          <w:lang w:eastAsia="en-GB"/>
        </w:rPr>
        <w:t>.</w:t>
      </w:r>
    </w:p>
    <w:p w14:paraId="284AC48A" w14:textId="7A1927D7" w:rsidR="008B0743" w:rsidRPr="008F4BF5" w:rsidRDefault="008B0743" w:rsidP="008B0743">
      <w:pPr>
        <w:shd w:val="clear" w:color="auto" w:fill="FFFFFF"/>
        <w:rPr>
          <w:rStyle w:val="Hyperlink"/>
          <w:rFonts w:cstheme="minorHAnsi"/>
          <w:color w:val="auto"/>
        </w:rPr>
      </w:pPr>
      <w:r w:rsidRPr="008F4BF5">
        <w:rPr>
          <w:rFonts w:cstheme="minorHAnsi"/>
        </w:rPr>
        <w:t xml:space="preserve">Duncan, Stewart, “Thomas Hobbes”, </w:t>
      </w:r>
      <w:r w:rsidRPr="008F4BF5">
        <w:rPr>
          <w:rStyle w:val="Emphasis"/>
          <w:rFonts w:cstheme="minorHAnsi"/>
        </w:rPr>
        <w:t>The Stanford Encyclopedia of Philosophy </w:t>
      </w:r>
      <w:r w:rsidRPr="008F4BF5">
        <w:rPr>
          <w:rFonts w:cstheme="minorHAnsi"/>
        </w:rPr>
        <w:t xml:space="preserve">(Summer 2022 Edition), Edward N. Zalta (ed.),  </w:t>
      </w:r>
      <w:hyperlink r:id="rId12" w:history="1">
        <w:r w:rsidRPr="008F4BF5">
          <w:rPr>
            <w:rStyle w:val="Hyperlink"/>
            <w:rFonts w:cstheme="minorHAnsi"/>
            <w:color w:val="auto"/>
          </w:rPr>
          <w:t>https://plato.stanford.edu/archives/sum2022/entries/hobbes/</w:t>
        </w:r>
      </w:hyperlink>
      <w:r w:rsidR="00B10AE1">
        <w:rPr>
          <w:rStyle w:val="Hyperlink"/>
          <w:rFonts w:cstheme="minorHAnsi"/>
          <w:color w:val="auto"/>
        </w:rPr>
        <w:t xml:space="preserve">. </w:t>
      </w:r>
      <w:r w:rsidR="00B10AE1" w:rsidRPr="00B10AE1">
        <w:rPr>
          <w:rStyle w:val="Hyperlink"/>
          <w:rFonts w:cstheme="minorHAnsi"/>
          <w:color w:val="auto"/>
          <w:u w:val="none"/>
        </w:rPr>
        <w:t>Accessed 25</w:t>
      </w:r>
      <w:r w:rsidR="00B10AE1" w:rsidRPr="00B10AE1">
        <w:rPr>
          <w:rStyle w:val="Hyperlink"/>
          <w:rFonts w:cstheme="minorHAnsi"/>
          <w:color w:val="auto"/>
          <w:u w:val="none"/>
          <w:vertAlign w:val="superscript"/>
        </w:rPr>
        <w:t>th</w:t>
      </w:r>
      <w:r w:rsidR="00B10AE1" w:rsidRPr="00B10AE1">
        <w:rPr>
          <w:rStyle w:val="Hyperlink"/>
          <w:rFonts w:cstheme="minorHAnsi"/>
          <w:color w:val="auto"/>
          <w:u w:val="none"/>
        </w:rPr>
        <w:t xml:space="preserve"> April 2023</w:t>
      </w:r>
    </w:p>
    <w:p w14:paraId="22CCC46D" w14:textId="39CAFA96" w:rsidR="008B0743" w:rsidRPr="008F4BF5" w:rsidRDefault="008B0743" w:rsidP="008B0743">
      <w:pPr>
        <w:shd w:val="clear" w:color="auto" w:fill="FFFFFF"/>
        <w:rPr>
          <w:rFonts w:cstheme="minorHAnsi"/>
        </w:rPr>
      </w:pPr>
      <w:r w:rsidRPr="008F4BF5">
        <w:rPr>
          <w:rFonts w:cstheme="minorHAnsi"/>
        </w:rPr>
        <w:t xml:space="preserve">Hobbes, Thomas, Edited with Intro by C.B. Macpherson, </w:t>
      </w:r>
      <w:r w:rsidRPr="008F4BF5">
        <w:rPr>
          <w:rFonts w:cstheme="minorHAnsi"/>
          <w:i/>
          <w:iCs/>
        </w:rPr>
        <w:t>Leviathan</w:t>
      </w:r>
      <w:r w:rsidRPr="008F4BF5">
        <w:rPr>
          <w:rFonts w:cstheme="minorHAnsi"/>
        </w:rPr>
        <w:t>, Ch 2 p88, Penquin Books, 1968</w:t>
      </w:r>
      <w:r w:rsidR="00B10AE1">
        <w:rPr>
          <w:rFonts w:cstheme="minorHAnsi"/>
        </w:rPr>
        <w:t>.</w:t>
      </w:r>
    </w:p>
    <w:p w14:paraId="4FB4F1B7" w14:textId="4C16BC2F" w:rsidR="008B0743" w:rsidRPr="008F4BF5" w:rsidRDefault="008B0743" w:rsidP="008B0743">
      <w:pPr>
        <w:shd w:val="clear" w:color="auto" w:fill="FFFFFF"/>
        <w:rPr>
          <w:rFonts w:eastAsia="Times New Roman" w:cstheme="minorHAnsi"/>
          <w:lang w:eastAsia="en-GB"/>
        </w:rPr>
      </w:pPr>
      <w:r w:rsidRPr="008F4BF5">
        <w:rPr>
          <w:rFonts w:eastAsia="Times New Roman" w:cstheme="minorHAnsi"/>
          <w:lang w:eastAsia="en-GB"/>
        </w:rPr>
        <w:t xml:space="preserve">Thornton, Helen. “Good and Evil.” </w:t>
      </w:r>
      <w:r w:rsidRPr="008F4BF5">
        <w:rPr>
          <w:rFonts w:eastAsia="Times New Roman" w:cstheme="minorHAnsi"/>
          <w:i/>
          <w:iCs/>
          <w:lang w:eastAsia="en-GB"/>
        </w:rPr>
        <w:t>State of Nature or Eden?: Thomas Hobbes and His Contemporaries on the Natural Condition of Human Beings</w:t>
      </w:r>
      <w:r w:rsidRPr="008F4BF5">
        <w:rPr>
          <w:rFonts w:eastAsia="Times New Roman" w:cstheme="minorHAnsi"/>
          <w:lang w:eastAsia="en-GB"/>
        </w:rPr>
        <w:t xml:space="preserve">, NED-New edition, Boydell &amp; Brewer, 2005, pp. 16–45. </w:t>
      </w:r>
      <w:r w:rsidRPr="008F4BF5">
        <w:rPr>
          <w:rFonts w:eastAsia="Times New Roman" w:cstheme="minorHAnsi"/>
          <w:i/>
          <w:iCs/>
          <w:lang w:eastAsia="en-GB"/>
        </w:rPr>
        <w:t>JSTOR</w:t>
      </w:r>
      <w:r w:rsidRPr="008F4BF5">
        <w:rPr>
          <w:rFonts w:eastAsia="Times New Roman" w:cstheme="minorHAnsi"/>
          <w:lang w:eastAsia="en-GB"/>
        </w:rPr>
        <w:t xml:space="preserve">, </w:t>
      </w:r>
      <w:hyperlink r:id="rId13" w:history="1">
        <w:r w:rsidRPr="008F4BF5">
          <w:rPr>
            <w:rStyle w:val="Hyperlink"/>
            <w:rFonts w:eastAsia="Times New Roman" w:cstheme="minorHAnsi"/>
            <w:color w:val="auto"/>
            <w:lang w:eastAsia="en-GB"/>
          </w:rPr>
          <w:t>http://www.jstor.org/stable/10.7722/j.ctt1f89shd.5</w:t>
        </w:r>
      </w:hyperlink>
      <w:r w:rsidRPr="008F4BF5">
        <w:rPr>
          <w:rFonts w:eastAsia="Times New Roman" w:cstheme="minorHAnsi"/>
          <w:lang w:eastAsia="en-GB"/>
        </w:rPr>
        <w:t xml:space="preserve"> . Accessed 25 Apr. 2023.</w:t>
      </w:r>
    </w:p>
    <w:p w14:paraId="629263B6" w14:textId="1F3E3B41" w:rsidR="008F4BF5" w:rsidRPr="008F4BF5" w:rsidRDefault="008F4BF5" w:rsidP="008B0743">
      <w:pPr>
        <w:shd w:val="clear" w:color="auto" w:fill="FFFFFF"/>
        <w:rPr>
          <w:rFonts w:cstheme="minorHAnsi"/>
        </w:rPr>
      </w:pPr>
      <w:r w:rsidRPr="008F4BF5">
        <w:rPr>
          <w:rFonts w:cstheme="minorHAnsi"/>
        </w:rPr>
        <w:t>Macherey, Pierre, ‘Rousseau: Vital Instincts And Pity’,</w:t>
      </w:r>
      <w:r w:rsidR="00B10AE1">
        <w:rPr>
          <w:rFonts w:cstheme="minorHAnsi"/>
        </w:rPr>
        <w:t xml:space="preserve"> </w:t>
      </w:r>
      <w:r w:rsidRPr="008F4BF5">
        <w:rPr>
          <w:rFonts w:cstheme="minorHAnsi"/>
        </w:rPr>
        <w:t xml:space="preserve">p83 in </w:t>
      </w:r>
      <w:r w:rsidRPr="008F4BF5">
        <w:rPr>
          <w:rFonts w:cstheme="minorHAnsi"/>
          <w:i/>
          <w:iCs/>
        </w:rPr>
        <w:t>Systems Of Life</w:t>
      </w:r>
      <w:r w:rsidRPr="008F4BF5">
        <w:rPr>
          <w:rFonts w:cstheme="minorHAnsi"/>
        </w:rPr>
        <w:t>, (United States) Fordham University Press, 2018.</w:t>
      </w:r>
    </w:p>
    <w:p w14:paraId="70BEA6FE" w14:textId="3AFC26DB" w:rsidR="008F4BF5" w:rsidRPr="008F4BF5" w:rsidRDefault="008F4BF5" w:rsidP="008F4BF5">
      <w:pPr>
        <w:pStyle w:val="FootnoteText"/>
        <w:rPr>
          <w:rFonts w:cstheme="minorHAnsi"/>
          <w:sz w:val="22"/>
          <w:szCs w:val="22"/>
          <w:shd w:val="clear" w:color="auto" w:fill="FFFFFF"/>
        </w:rPr>
      </w:pPr>
      <w:r w:rsidRPr="008F4BF5">
        <w:rPr>
          <w:rFonts w:cstheme="minorHAnsi"/>
          <w:sz w:val="22"/>
          <w:szCs w:val="22"/>
        </w:rPr>
        <w:t xml:space="preserve">Ward, Colin, Definitions and ancestors, Anarchism: A Short Introduction, </w:t>
      </w:r>
      <w:r w:rsidRPr="008F4BF5">
        <w:rPr>
          <w:rStyle w:val="edition"/>
          <w:rFonts w:cstheme="minorHAnsi"/>
          <w:sz w:val="22"/>
          <w:szCs w:val="22"/>
          <w:bdr w:val="none" w:sz="0" w:space="0" w:color="auto" w:frame="1"/>
          <w:shd w:val="clear" w:color="auto" w:fill="FFFFFF"/>
        </w:rPr>
        <w:t>1st edn</w:t>
      </w:r>
      <w:r w:rsidRPr="008F4BF5">
        <w:rPr>
          <w:rStyle w:val="series-title"/>
          <w:rFonts w:cstheme="minorHAnsi"/>
          <w:sz w:val="22"/>
          <w:szCs w:val="22"/>
          <w:bdr w:val="none" w:sz="0" w:space="0" w:color="auto" w:frame="1"/>
          <w:shd w:val="clear" w:color="auto" w:fill="FFFFFF"/>
        </w:rPr>
        <w:t>, Very Short Introductions</w:t>
      </w:r>
      <w:r w:rsidRPr="008F4BF5">
        <w:rPr>
          <w:rFonts w:cstheme="minorHAnsi"/>
          <w:sz w:val="22"/>
          <w:szCs w:val="22"/>
          <w:shd w:val="clear" w:color="auto" w:fill="FFFFFF"/>
        </w:rPr>
        <w:t> (</w:t>
      </w:r>
      <w:r w:rsidRPr="008F4BF5">
        <w:rPr>
          <w:rStyle w:val="publisher-location"/>
          <w:rFonts w:cstheme="minorHAnsi"/>
          <w:sz w:val="22"/>
          <w:szCs w:val="22"/>
          <w:bdr w:val="none" w:sz="0" w:space="0" w:color="auto" w:frame="1"/>
          <w:shd w:val="clear" w:color="auto" w:fill="FFFFFF"/>
        </w:rPr>
        <w:t>Oxford, </w:t>
      </w:r>
      <w:r w:rsidRPr="008F4BF5">
        <w:rPr>
          <w:rStyle w:val="print-publication-date"/>
          <w:rFonts w:cstheme="minorHAnsi"/>
          <w:sz w:val="22"/>
          <w:szCs w:val="22"/>
          <w:bdr w:val="none" w:sz="0" w:space="0" w:color="auto" w:frame="1"/>
          <w:shd w:val="clear" w:color="auto" w:fill="FFFFFF"/>
        </w:rPr>
        <w:t>2004; </w:t>
      </w:r>
      <w:r w:rsidRPr="008F4BF5">
        <w:rPr>
          <w:rStyle w:val="online-edition"/>
          <w:rFonts w:cstheme="minorHAnsi"/>
          <w:sz w:val="22"/>
          <w:szCs w:val="22"/>
          <w:bdr w:val="none" w:sz="0" w:space="0" w:color="auto" w:frame="1"/>
          <w:shd w:val="clear" w:color="auto" w:fill="FFFFFF"/>
        </w:rPr>
        <w:t>online edn, </w:t>
      </w:r>
      <w:r w:rsidRPr="008F4BF5">
        <w:rPr>
          <w:rStyle w:val="containing-site"/>
          <w:rFonts w:cstheme="minorHAnsi"/>
          <w:sz w:val="22"/>
          <w:szCs w:val="22"/>
          <w:bdr w:val="none" w:sz="0" w:space="0" w:color="auto" w:frame="1"/>
          <w:shd w:val="clear" w:color="auto" w:fill="FFFFFF"/>
        </w:rPr>
        <w:t>Oxford Academic</w:t>
      </w:r>
      <w:r w:rsidRPr="008F4BF5">
        <w:rPr>
          <w:rStyle w:val="online-publication-date"/>
          <w:rFonts w:cstheme="minorHAnsi"/>
          <w:sz w:val="22"/>
          <w:szCs w:val="22"/>
          <w:bdr w:val="none" w:sz="0" w:space="0" w:color="auto" w:frame="1"/>
          <w:shd w:val="clear" w:color="auto" w:fill="FFFFFF"/>
        </w:rPr>
        <w:t>, 24 Sept. 2013</w:t>
      </w:r>
      <w:r w:rsidRPr="008F4BF5">
        <w:rPr>
          <w:rFonts w:cstheme="minorHAnsi"/>
          <w:sz w:val="22"/>
          <w:szCs w:val="22"/>
          <w:shd w:val="clear" w:color="auto" w:fill="FFFFFF"/>
        </w:rPr>
        <w:t>), Accessed 1</w:t>
      </w:r>
      <w:r w:rsidRPr="008F4BF5">
        <w:rPr>
          <w:rFonts w:cstheme="minorHAnsi"/>
          <w:sz w:val="22"/>
          <w:szCs w:val="22"/>
          <w:shd w:val="clear" w:color="auto" w:fill="FFFFFF"/>
          <w:vertAlign w:val="superscript"/>
        </w:rPr>
        <w:t>st</w:t>
      </w:r>
      <w:r w:rsidRPr="008F4BF5">
        <w:rPr>
          <w:rFonts w:cstheme="minorHAnsi"/>
          <w:sz w:val="22"/>
          <w:szCs w:val="22"/>
          <w:shd w:val="clear" w:color="auto" w:fill="FFFFFF"/>
        </w:rPr>
        <w:t xml:space="preserve"> May 2023</w:t>
      </w:r>
      <w:r w:rsidR="00B10AE1">
        <w:rPr>
          <w:rFonts w:cstheme="minorHAnsi"/>
          <w:sz w:val="22"/>
          <w:szCs w:val="22"/>
          <w:shd w:val="clear" w:color="auto" w:fill="FFFFFF"/>
        </w:rPr>
        <w:t>.</w:t>
      </w:r>
    </w:p>
    <w:p w14:paraId="3FBA4B47" w14:textId="77777777" w:rsidR="008F4BF5" w:rsidRPr="008F4BF5" w:rsidRDefault="008F4BF5" w:rsidP="008F4BF5">
      <w:pPr>
        <w:pStyle w:val="FootnoteText"/>
        <w:rPr>
          <w:rStyle w:val="Hyperlink"/>
          <w:rFonts w:cstheme="minorHAnsi"/>
          <w:color w:val="auto"/>
          <w:sz w:val="22"/>
          <w:szCs w:val="22"/>
          <w:u w:val="none"/>
        </w:rPr>
      </w:pPr>
    </w:p>
    <w:p w14:paraId="4F63125B" w14:textId="766B7BA4" w:rsidR="008B0743" w:rsidRPr="008B0743" w:rsidRDefault="008B0743" w:rsidP="008B0743">
      <w:pPr>
        <w:pStyle w:val="FootnoteText"/>
        <w:rPr>
          <w:sz w:val="22"/>
          <w:szCs w:val="22"/>
        </w:rPr>
      </w:pPr>
      <w:r w:rsidRPr="008B0743">
        <w:rPr>
          <w:sz w:val="22"/>
          <w:szCs w:val="22"/>
        </w:rPr>
        <w:t xml:space="preserve">Wolfe, Johnathan, </w:t>
      </w:r>
      <w:r w:rsidRPr="008B0743">
        <w:rPr>
          <w:i/>
          <w:iCs/>
          <w:sz w:val="22"/>
          <w:szCs w:val="22"/>
        </w:rPr>
        <w:t>An Introduction To Political Philosophy,</w:t>
      </w:r>
      <w:r w:rsidRPr="008B0743">
        <w:rPr>
          <w:sz w:val="22"/>
          <w:szCs w:val="22"/>
        </w:rPr>
        <w:t xml:space="preserve"> p11, 4</w:t>
      </w:r>
      <w:r w:rsidRPr="008B0743">
        <w:rPr>
          <w:sz w:val="22"/>
          <w:szCs w:val="22"/>
          <w:vertAlign w:val="superscript"/>
        </w:rPr>
        <w:t>th</w:t>
      </w:r>
      <w:r w:rsidRPr="008B0743">
        <w:rPr>
          <w:sz w:val="22"/>
          <w:szCs w:val="22"/>
        </w:rPr>
        <w:t xml:space="preserve"> Ed, 2023, Oxford University Press</w:t>
      </w:r>
      <w:r w:rsidR="00B10AE1">
        <w:rPr>
          <w:sz w:val="22"/>
          <w:szCs w:val="22"/>
        </w:rPr>
        <w:t>.</w:t>
      </w:r>
    </w:p>
    <w:p w14:paraId="45FCFD6A" w14:textId="77777777" w:rsidR="008B0743" w:rsidRPr="008B0743" w:rsidRDefault="008B0743" w:rsidP="008B0743">
      <w:pPr>
        <w:shd w:val="clear" w:color="auto" w:fill="FFFFFF"/>
      </w:pPr>
    </w:p>
    <w:p w14:paraId="3F92F12B" w14:textId="77777777" w:rsidR="008B0743" w:rsidRDefault="008B0743" w:rsidP="00265557">
      <w:pPr>
        <w:shd w:val="clear" w:color="auto" w:fill="FFFFFF"/>
        <w:jc w:val="both"/>
        <w:rPr>
          <w:color w:val="000000"/>
        </w:rPr>
      </w:pPr>
    </w:p>
    <w:sectPr w:rsidR="008B07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974B1" w14:textId="77777777" w:rsidR="0029165D" w:rsidRDefault="0029165D" w:rsidP="000F7862">
      <w:pPr>
        <w:spacing w:after="0" w:line="240" w:lineRule="auto"/>
      </w:pPr>
      <w:r>
        <w:separator/>
      </w:r>
    </w:p>
  </w:endnote>
  <w:endnote w:type="continuationSeparator" w:id="0">
    <w:p w14:paraId="1EDDDC11" w14:textId="77777777" w:rsidR="0029165D" w:rsidRDefault="0029165D" w:rsidP="000F7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02D34" w14:textId="77777777" w:rsidR="0029165D" w:rsidRDefault="0029165D" w:rsidP="000F7862">
      <w:pPr>
        <w:spacing w:after="0" w:line="240" w:lineRule="auto"/>
      </w:pPr>
      <w:r>
        <w:separator/>
      </w:r>
    </w:p>
  </w:footnote>
  <w:footnote w:type="continuationSeparator" w:id="0">
    <w:p w14:paraId="05B9601C" w14:textId="77777777" w:rsidR="0029165D" w:rsidRDefault="0029165D" w:rsidP="000F7862">
      <w:pPr>
        <w:spacing w:after="0" w:line="240" w:lineRule="auto"/>
      </w:pPr>
      <w:r>
        <w:continuationSeparator/>
      </w:r>
    </w:p>
  </w:footnote>
  <w:footnote w:id="1">
    <w:p w14:paraId="15379F0C" w14:textId="2EE228E6" w:rsidR="000F7862" w:rsidRPr="00B10AE1" w:rsidRDefault="000F7862">
      <w:pPr>
        <w:pStyle w:val="FootnoteText"/>
        <w:rPr>
          <w:rFonts w:cstheme="minorHAnsi"/>
        </w:rPr>
      </w:pPr>
      <w:r w:rsidRPr="00B10AE1">
        <w:rPr>
          <w:rStyle w:val="FootnoteReference"/>
        </w:rPr>
        <w:footnoteRef/>
      </w:r>
      <w:r w:rsidRPr="00B10AE1">
        <w:t xml:space="preserve"> </w:t>
      </w:r>
      <w:r w:rsidR="00516A70" w:rsidRPr="00B10AE1">
        <w:rPr>
          <w:rFonts w:cstheme="minorHAnsi"/>
        </w:rPr>
        <w:t xml:space="preserve">Duncan, Stewart, “Thomas Hobbes”, </w:t>
      </w:r>
      <w:r w:rsidR="00516A70" w:rsidRPr="00B10AE1">
        <w:rPr>
          <w:rStyle w:val="Emphasis"/>
          <w:rFonts w:cstheme="minorHAnsi"/>
        </w:rPr>
        <w:t>The Stanford Encyclopedia of Philosophy </w:t>
      </w:r>
      <w:r w:rsidR="00516A70" w:rsidRPr="00B10AE1">
        <w:rPr>
          <w:rFonts w:cstheme="minorHAnsi"/>
        </w:rPr>
        <w:t xml:space="preserve">(Summer 2022 Edition), Edward N. Zalta (ed.),  </w:t>
      </w:r>
      <w:hyperlink r:id="rId1" w:history="1">
        <w:r w:rsidR="00516A70" w:rsidRPr="00B10AE1">
          <w:rPr>
            <w:rStyle w:val="Hyperlink"/>
            <w:rFonts w:cstheme="minorHAnsi"/>
            <w:color w:val="auto"/>
          </w:rPr>
          <w:t>https://plato.stanford.edu/archives/sum2022/entries/hobbes/</w:t>
        </w:r>
      </w:hyperlink>
      <w:r w:rsidR="008F4BF5" w:rsidRPr="00B10AE1">
        <w:rPr>
          <w:rFonts w:cstheme="minorHAnsi"/>
        </w:rPr>
        <w:t>. Accessed 25</w:t>
      </w:r>
      <w:r w:rsidR="008F4BF5" w:rsidRPr="00B10AE1">
        <w:rPr>
          <w:rFonts w:cstheme="minorHAnsi"/>
          <w:vertAlign w:val="superscript"/>
        </w:rPr>
        <w:t>th</w:t>
      </w:r>
      <w:r w:rsidR="008F4BF5" w:rsidRPr="00B10AE1">
        <w:rPr>
          <w:rFonts w:cstheme="minorHAnsi"/>
        </w:rPr>
        <w:t xml:space="preserve"> April 2023</w:t>
      </w:r>
    </w:p>
  </w:footnote>
  <w:footnote w:id="2">
    <w:p w14:paraId="479F1CDF" w14:textId="37C36284" w:rsidR="007E2FF0" w:rsidRPr="00B10AE1" w:rsidRDefault="007E2FF0">
      <w:pPr>
        <w:pStyle w:val="FootnoteText"/>
      </w:pPr>
      <w:r w:rsidRPr="00B10AE1">
        <w:rPr>
          <w:rStyle w:val="FootnoteReference"/>
        </w:rPr>
        <w:footnoteRef/>
      </w:r>
      <w:r w:rsidRPr="00B10AE1">
        <w:t xml:space="preserve"> </w:t>
      </w:r>
      <w:bookmarkStart w:id="1" w:name="_Hlk133901665"/>
      <w:r w:rsidRPr="00B10AE1">
        <w:t xml:space="preserve">Wolfe, Johnathan, </w:t>
      </w:r>
      <w:r w:rsidRPr="00B10AE1">
        <w:rPr>
          <w:i/>
          <w:iCs/>
        </w:rPr>
        <w:t>An Introduction To Political Philosophy,</w:t>
      </w:r>
      <w:r w:rsidRPr="00B10AE1">
        <w:t xml:space="preserve"> p11</w:t>
      </w:r>
      <w:r w:rsidR="00516A70" w:rsidRPr="00B10AE1">
        <w:t>, 4</w:t>
      </w:r>
      <w:r w:rsidR="00516A70" w:rsidRPr="00B10AE1">
        <w:rPr>
          <w:vertAlign w:val="superscript"/>
        </w:rPr>
        <w:t>th</w:t>
      </w:r>
      <w:r w:rsidR="00516A70" w:rsidRPr="00B10AE1">
        <w:t xml:space="preserve"> Ed, 2023, Oxford University Press</w:t>
      </w:r>
    </w:p>
    <w:bookmarkEnd w:id="1"/>
  </w:footnote>
  <w:footnote w:id="3">
    <w:p w14:paraId="0310F99C" w14:textId="6C25E5B7" w:rsidR="000F7862" w:rsidRPr="00B10AE1" w:rsidRDefault="000F7862">
      <w:pPr>
        <w:pStyle w:val="FootnoteText"/>
      </w:pPr>
      <w:r w:rsidRPr="00B10AE1">
        <w:rPr>
          <w:rStyle w:val="FootnoteReference"/>
        </w:rPr>
        <w:footnoteRef/>
      </w:r>
      <w:r w:rsidRPr="00B10AE1">
        <w:t xml:space="preserve"> Wolfe, Johnathan, p10 ibid</w:t>
      </w:r>
    </w:p>
  </w:footnote>
  <w:footnote w:id="4">
    <w:p w14:paraId="696E4939" w14:textId="13974C0D" w:rsidR="000F7862" w:rsidRPr="00B10AE1" w:rsidRDefault="000F7862">
      <w:pPr>
        <w:pStyle w:val="FootnoteText"/>
      </w:pPr>
      <w:r w:rsidRPr="00B10AE1">
        <w:rPr>
          <w:rStyle w:val="FootnoteReference"/>
        </w:rPr>
        <w:footnoteRef/>
      </w:r>
      <w:r w:rsidRPr="00B10AE1">
        <w:t xml:space="preserve"> </w:t>
      </w:r>
      <w:bookmarkStart w:id="2" w:name="_Hlk133218794"/>
      <w:r w:rsidRPr="00B10AE1">
        <w:t>p9 ibid</w:t>
      </w:r>
      <w:bookmarkEnd w:id="2"/>
    </w:p>
  </w:footnote>
  <w:footnote w:id="5">
    <w:p w14:paraId="07DAF4A4" w14:textId="34B9DDB1" w:rsidR="008308FB" w:rsidRPr="00B10AE1" w:rsidRDefault="008308FB">
      <w:pPr>
        <w:pStyle w:val="FootnoteText"/>
      </w:pPr>
      <w:r w:rsidRPr="00B10AE1">
        <w:rPr>
          <w:rStyle w:val="FootnoteReference"/>
        </w:rPr>
        <w:footnoteRef/>
      </w:r>
      <w:r w:rsidRPr="00B10AE1">
        <w:t xml:space="preserve"> </w:t>
      </w:r>
      <w:r w:rsidR="002C30F0" w:rsidRPr="00B10AE1">
        <w:t>P</w:t>
      </w:r>
      <w:r w:rsidR="002C30F0">
        <w:t>10</w:t>
      </w:r>
      <w:r w:rsidR="00491C8E" w:rsidRPr="00B10AE1">
        <w:t xml:space="preserve"> ibid</w:t>
      </w:r>
    </w:p>
  </w:footnote>
  <w:footnote w:id="6">
    <w:p w14:paraId="301AEB09" w14:textId="13B78201" w:rsidR="002074E9" w:rsidRPr="00B10AE1" w:rsidRDefault="007A4DBC" w:rsidP="002074E9">
      <w:pPr>
        <w:rPr>
          <w:rFonts w:eastAsia="Times New Roman" w:cstheme="minorHAnsi"/>
          <w:sz w:val="20"/>
          <w:szCs w:val="20"/>
          <w:lang w:eastAsia="en-GB"/>
        </w:rPr>
      </w:pPr>
      <w:r w:rsidRPr="00B10AE1">
        <w:rPr>
          <w:rStyle w:val="FootnoteReference"/>
          <w:rFonts w:cstheme="minorHAnsi"/>
          <w:sz w:val="20"/>
          <w:szCs w:val="20"/>
        </w:rPr>
        <w:footnoteRef/>
      </w:r>
      <w:r w:rsidRPr="00B10AE1">
        <w:rPr>
          <w:rFonts w:cstheme="minorHAnsi"/>
          <w:sz w:val="20"/>
          <w:szCs w:val="20"/>
        </w:rPr>
        <w:t xml:space="preserve"> </w:t>
      </w:r>
      <w:bookmarkStart w:id="3" w:name="_Hlk133901764"/>
      <w:r w:rsidR="002074E9" w:rsidRPr="00B10AE1">
        <w:rPr>
          <w:rFonts w:eastAsia="Times New Roman" w:cstheme="minorHAnsi"/>
          <w:sz w:val="20"/>
          <w:szCs w:val="20"/>
          <w:lang w:eastAsia="en-GB"/>
        </w:rPr>
        <w:t xml:space="preserve">Cuttica, Cesare. “Reputation Versus Context In The Interpretation Of Sir Robert Filmer’s ‘Patriarcha.’” </w:t>
      </w:r>
      <w:r w:rsidR="002074E9" w:rsidRPr="00B10AE1">
        <w:rPr>
          <w:rFonts w:eastAsia="Times New Roman" w:cstheme="minorHAnsi"/>
          <w:i/>
          <w:iCs/>
          <w:sz w:val="20"/>
          <w:szCs w:val="20"/>
          <w:lang w:eastAsia="en-GB"/>
        </w:rPr>
        <w:t>History of Political Thought</w:t>
      </w:r>
      <w:r w:rsidR="002074E9" w:rsidRPr="00B10AE1">
        <w:rPr>
          <w:rFonts w:eastAsia="Times New Roman" w:cstheme="minorHAnsi"/>
          <w:sz w:val="20"/>
          <w:szCs w:val="20"/>
          <w:lang w:eastAsia="en-GB"/>
        </w:rPr>
        <w:t xml:space="preserve">, vol. 33, no. 2, 2012, pp. 231–57. </w:t>
      </w:r>
      <w:r w:rsidR="002074E9" w:rsidRPr="00B10AE1">
        <w:rPr>
          <w:rFonts w:eastAsia="Times New Roman" w:cstheme="minorHAnsi"/>
          <w:i/>
          <w:iCs/>
          <w:sz w:val="20"/>
          <w:szCs w:val="20"/>
          <w:lang w:eastAsia="en-GB"/>
        </w:rPr>
        <w:t>JSTOR</w:t>
      </w:r>
      <w:r w:rsidR="002074E9" w:rsidRPr="00B10AE1">
        <w:rPr>
          <w:rFonts w:eastAsia="Times New Roman" w:cstheme="minorHAnsi"/>
          <w:sz w:val="20"/>
          <w:szCs w:val="20"/>
          <w:lang w:eastAsia="en-GB"/>
        </w:rPr>
        <w:t xml:space="preserve">, </w:t>
      </w:r>
      <w:hyperlink r:id="rId2" w:history="1">
        <w:r w:rsidR="002074E9" w:rsidRPr="00B10AE1">
          <w:rPr>
            <w:rStyle w:val="Hyperlink"/>
            <w:rFonts w:eastAsia="Times New Roman" w:cstheme="minorHAnsi"/>
            <w:color w:val="auto"/>
            <w:sz w:val="20"/>
            <w:szCs w:val="20"/>
            <w:lang w:eastAsia="en-GB"/>
          </w:rPr>
          <w:t>http://www.jstor.org/stable/26225768</w:t>
        </w:r>
      </w:hyperlink>
      <w:r w:rsidR="002074E9" w:rsidRPr="00B10AE1">
        <w:rPr>
          <w:rFonts w:eastAsia="Times New Roman" w:cstheme="minorHAnsi"/>
          <w:sz w:val="20"/>
          <w:szCs w:val="20"/>
          <w:lang w:eastAsia="en-GB"/>
        </w:rPr>
        <w:t xml:space="preserve"> . Accessed 25 Apr. 2023</w:t>
      </w:r>
      <w:bookmarkEnd w:id="3"/>
      <w:r w:rsidR="002074E9" w:rsidRPr="00B10AE1">
        <w:rPr>
          <w:rFonts w:eastAsia="Times New Roman" w:cstheme="minorHAnsi"/>
          <w:sz w:val="20"/>
          <w:szCs w:val="20"/>
          <w:lang w:eastAsia="en-GB"/>
        </w:rPr>
        <w:t>.</w:t>
      </w:r>
    </w:p>
  </w:footnote>
  <w:footnote w:id="7">
    <w:p w14:paraId="15075A59" w14:textId="0D95642C" w:rsidR="007E2FF0" w:rsidRDefault="007E2FF0">
      <w:pPr>
        <w:pStyle w:val="FootnoteText"/>
      </w:pPr>
      <w:r w:rsidRPr="00B10AE1">
        <w:rPr>
          <w:rStyle w:val="FootnoteReference"/>
        </w:rPr>
        <w:footnoteRef/>
      </w:r>
      <w:r w:rsidRPr="00B10AE1">
        <w:t xml:space="preserve"> </w:t>
      </w:r>
      <w:r w:rsidR="00FC7887" w:rsidRPr="00B10AE1">
        <w:t xml:space="preserve">Hobbes, Thomas, </w:t>
      </w:r>
      <w:r w:rsidR="00FC7887" w:rsidRPr="00B10AE1">
        <w:rPr>
          <w:i/>
          <w:iCs/>
        </w:rPr>
        <w:t>Leviathan</w:t>
      </w:r>
      <w:r w:rsidR="00FC7887" w:rsidRPr="00B10AE1">
        <w:t>, Ch 13, p185</w:t>
      </w:r>
    </w:p>
  </w:footnote>
  <w:footnote w:id="8">
    <w:p w14:paraId="7EF02571" w14:textId="48CCFCEA" w:rsidR="00445010" w:rsidRPr="00B10AE1" w:rsidRDefault="00445010">
      <w:pPr>
        <w:pStyle w:val="FootnoteText"/>
        <w:rPr>
          <w:rFonts w:cstheme="minorHAnsi"/>
        </w:rPr>
      </w:pPr>
      <w:r w:rsidRPr="00B10AE1">
        <w:rPr>
          <w:rStyle w:val="FootnoteReference"/>
          <w:rFonts w:cstheme="minorHAnsi"/>
        </w:rPr>
        <w:footnoteRef/>
      </w:r>
      <w:r w:rsidRPr="00B10AE1">
        <w:rPr>
          <w:rFonts w:cstheme="minorHAnsi"/>
        </w:rPr>
        <w:t xml:space="preserve"> P13 ibid</w:t>
      </w:r>
    </w:p>
  </w:footnote>
  <w:footnote w:id="9">
    <w:p w14:paraId="5DFBA433" w14:textId="141A049F" w:rsidR="0016243E" w:rsidRPr="00B10AE1" w:rsidRDefault="0016243E">
      <w:pPr>
        <w:pStyle w:val="FootnoteText"/>
        <w:rPr>
          <w:rFonts w:cstheme="minorHAnsi"/>
        </w:rPr>
      </w:pPr>
      <w:r w:rsidRPr="00B10AE1">
        <w:rPr>
          <w:rStyle w:val="FootnoteReference"/>
          <w:rFonts w:cstheme="minorHAnsi"/>
        </w:rPr>
        <w:footnoteRef/>
      </w:r>
      <w:r w:rsidRPr="00B10AE1">
        <w:rPr>
          <w:rFonts w:cstheme="minorHAnsi"/>
        </w:rPr>
        <w:t xml:space="preserve"> P16 ibid</w:t>
      </w:r>
    </w:p>
  </w:footnote>
  <w:footnote w:id="10">
    <w:p w14:paraId="6C63F61F" w14:textId="0C3F3662" w:rsidR="00CF22F0" w:rsidRPr="00B10AE1" w:rsidRDefault="00CF22F0" w:rsidP="002074E9">
      <w:pPr>
        <w:rPr>
          <w:rFonts w:eastAsia="Times New Roman" w:cstheme="minorHAnsi"/>
          <w:sz w:val="20"/>
          <w:szCs w:val="20"/>
          <w:lang w:eastAsia="en-GB"/>
        </w:rPr>
      </w:pPr>
      <w:r w:rsidRPr="00B10AE1">
        <w:rPr>
          <w:rStyle w:val="FootnoteReference"/>
          <w:rFonts w:cstheme="minorHAnsi"/>
          <w:sz w:val="20"/>
          <w:szCs w:val="20"/>
        </w:rPr>
        <w:footnoteRef/>
      </w:r>
      <w:r w:rsidRPr="00B10AE1">
        <w:rPr>
          <w:rFonts w:cstheme="minorHAnsi"/>
          <w:sz w:val="20"/>
          <w:szCs w:val="20"/>
        </w:rPr>
        <w:t xml:space="preserve"> </w:t>
      </w:r>
      <w:r w:rsidRPr="00B10AE1">
        <w:rPr>
          <w:rFonts w:eastAsia="Times New Roman" w:cstheme="minorHAnsi"/>
          <w:sz w:val="20"/>
          <w:szCs w:val="20"/>
          <w:lang w:eastAsia="en-GB"/>
        </w:rPr>
        <w:t xml:space="preserve">Thornton, Helen. “Good and Evil.” </w:t>
      </w:r>
      <w:r w:rsidRPr="00B10AE1">
        <w:rPr>
          <w:rFonts w:eastAsia="Times New Roman" w:cstheme="minorHAnsi"/>
          <w:i/>
          <w:iCs/>
          <w:sz w:val="20"/>
          <w:szCs w:val="20"/>
          <w:lang w:eastAsia="en-GB"/>
        </w:rPr>
        <w:t>State of Nature or Eden?: Thomas Hobbes and His Contemporaries on the Natural Condition of Human Beings</w:t>
      </w:r>
      <w:r w:rsidRPr="00B10AE1">
        <w:rPr>
          <w:rFonts w:eastAsia="Times New Roman" w:cstheme="minorHAnsi"/>
          <w:sz w:val="20"/>
          <w:szCs w:val="20"/>
          <w:lang w:eastAsia="en-GB"/>
        </w:rPr>
        <w:t xml:space="preserve">, NED-New edition, Boydell &amp; Brewer, 2005, pp. 16–45. </w:t>
      </w:r>
      <w:r w:rsidRPr="00B10AE1">
        <w:rPr>
          <w:rFonts w:eastAsia="Times New Roman" w:cstheme="minorHAnsi"/>
          <w:i/>
          <w:iCs/>
          <w:sz w:val="20"/>
          <w:szCs w:val="20"/>
          <w:lang w:eastAsia="en-GB"/>
        </w:rPr>
        <w:t>JSTOR</w:t>
      </w:r>
      <w:r w:rsidRPr="00B10AE1">
        <w:rPr>
          <w:rFonts w:eastAsia="Times New Roman" w:cstheme="minorHAnsi"/>
          <w:sz w:val="20"/>
          <w:szCs w:val="20"/>
          <w:lang w:eastAsia="en-GB"/>
        </w:rPr>
        <w:t xml:space="preserve">, </w:t>
      </w:r>
      <w:hyperlink r:id="rId3" w:history="1">
        <w:r w:rsidRPr="00B10AE1">
          <w:rPr>
            <w:rStyle w:val="Hyperlink"/>
            <w:rFonts w:eastAsia="Times New Roman" w:cstheme="minorHAnsi"/>
            <w:color w:val="auto"/>
            <w:sz w:val="20"/>
            <w:szCs w:val="20"/>
            <w:lang w:eastAsia="en-GB"/>
          </w:rPr>
          <w:t>http://www.jstor.org/stable/10.7722/j.ctt1f89shd.5</w:t>
        </w:r>
      </w:hyperlink>
      <w:r w:rsidRPr="00B10AE1">
        <w:rPr>
          <w:rFonts w:eastAsia="Times New Roman" w:cstheme="minorHAnsi"/>
          <w:sz w:val="20"/>
          <w:szCs w:val="20"/>
          <w:lang w:eastAsia="en-GB"/>
        </w:rPr>
        <w:t xml:space="preserve"> . Accessed 25 Apr. 2023.</w:t>
      </w:r>
    </w:p>
  </w:footnote>
  <w:footnote w:id="11">
    <w:p w14:paraId="0D9164DC" w14:textId="4FB7AEE3" w:rsidR="002074E9" w:rsidRPr="00B10AE1" w:rsidRDefault="002074E9">
      <w:pPr>
        <w:pStyle w:val="FootnoteText"/>
        <w:rPr>
          <w:rFonts w:cstheme="minorHAnsi"/>
        </w:rPr>
      </w:pPr>
      <w:r w:rsidRPr="00B10AE1">
        <w:rPr>
          <w:rStyle w:val="FootnoteReference"/>
          <w:rFonts w:cstheme="minorHAnsi"/>
        </w:rPr>
        <w:footnoteRef/>
      </w:r>
      <w:r w:rsidRPr="00B10AE1">
        <w:rPr>
          <w:rFonts w:cstheme="minorHAnsi"/>
        </w:rPr>
        <w:t xml:space="preserve"> P18 ibid</w:t>
      </w:r>
    </w:p>
  </w:footnote>
  <w:footnote w:id="12">
    <w:p w14:paraId="06DECE15" w14:textId="4691ECDF" w:rsidR="00816154" w:rsidRPr="00B10AE1" w:rsidRDefault="00816154">
      <w:pPr>
        <w:pStyle w:val="FootnoteText"/>
        <w:rPr>
          <w:rFonts w:cstheme="minorHAnsi"/>
        </w:rPr>
      </w:pPr>
      <w:r w:rsidRPr="00B10AE1">
        <w:rPr>
          <w:rStyle w:val="FootnoteReference"/>
          <w:rFonts w:cstheme="minorHAnsi"/>
        </w:rPr>
        <w:footnoteRef/>
      </w:r>
      <w:r w:rsidRPr="00B10AE1">
        <w:rPr>
          <w:rFonts w:cstheme="minorHAnsi"/>
        </w:rPr>
        <w:t xml:space="preserve"> P19 ibid</w:t>
      </w:r>
    </w:p>
  </w:footnote>
  <w:footnote w:id="13">
    <w:p w14:paraId="2A76D06F" w14:textId="32CBEA02" w:rsidR="00B83569" w:rsidRPr="00B10AE1" w:rsidRDefault="00B83569">
      <w:pPr>
        <w:pStyle w:val="FootnoteText"/>
        <w:rPr>
          <w:rFonts w:cstheme="minorHAnsi"/>
        </w:rPr>
      </w:pPr>
      <w:r w:rsidRPr="00B10AE1">
        <w:rPr>
          <w:rStyle w:val="FootnoteReference"/>
          <w:rFonts w:cstheme="minorHAnsi"/>
        </w:rPr>
        <w:footnoteRef/>
      </w:r>
      <w:r w:rsidRPr="00B10AE1">
        <w:rPr>
          <w:rFonts w:cstheme="minorHAnsi"/>
        </w:rPr>
        <w:t xml:space="preserve"> P20 Ibid</w:t>
      </w:r>
    </w:p>
  </w:footnote>
  <w:footnote w:id="14">
    <w:p w14:paraId="7E78EC7E" w14:textId="36C21286" w:rsidR="003D715E" w:rsidRPr="00B10AE1" w:rsidRDefault="003D715E">
      <w:pPr>
        <w:pStyle w:val="FootnoteText"/>
        <w:rPr>
          <w:rFonts w:cstheme="minorHAnsi"/>
        </w:rPr>
      </w:pPr>
      <w:r w:rsidRPr="00B10AE1">
        <w:rPr>
          <w:rStyle w:val="FootnoteReference"/>
          <w:rFonts w:cstheme="minorHAnsi"/>
        </w:rPr>
        <w:footnoteRef/>
      </w:r>
      <w:r w:rsidRPr="00B10AE1">
        <w:rPr>
          <w:rFonts w:cstheme="minorHAnsi"/>
        </w:rPr>
        <w:t xml:space="preserve"> P19 ibid</w:t>
      </w:r>
    </w:p>
  </w:footnote>
  <w:footnote w:id="15">
    <w:p w14:paraId="5A2BDB70" w14:textId="1313D9E8" w:rsidR="00CD64CF" w:rsidRDefault="00CD64CF">
      <w:pPr>
        <w:pStyle w:val="FootnoteText"/>
      </w:pPr>
      <w:r w:rsidRPr="00B10AE1">
        <w:rPr>
          <w:rStyle w:val="FootnoteReference"/>
          <w:rFonts w:cstheme="minorHAnsi"/>
        </w:rPr>
        <w:footnoteRef/>
      </w:r>
      <w:r w:rsidRPr="00B10AE1">
        <w:rPr>
          <w:rFonts w:cstheme="minorHAnsi"/>
        </w:rPr>
        <w:t xml:space="preserve"> P21 ibid</w:t>
      </w:r>
    </w:p>
  </w:footnote>
  <w:footnote w:id="16">
    <w:p w14:paraId="6E33B60B" w14:textId="12407E9D" w:rsidR="0079473B" w:rsidRPr="00B10AE1" w:rsidRDefault="0079473B">
      <w:pPr>
        <w:pStyle w:val="FootnoteText"/>
      </w:pPr>
      <w:bookmarkStart w:id="4" w:name="_Hlk133901900"/>
      <w:r w:rsidRPr="00B10AE1">
        <w:rPr>
          <w:rStyle w:val="FootnoteReference"/>
        </w:rPr>
        <w:footnoteRef/>
      </w:r>
      <w:r w:rsidRPr="00B10AE1">
        <w:t xml:space="preserve"> </w:t>
      </w:r>
      <w:r w:rsidR="00583641" w:rsidRPr="00B10AE1">
        <w:t xml:space="preserve">Macherey, Pierre, ‘Rousseau: Vital Instincts And Pity’,p83 in </w:t>
      </w:r>
      <w:r w:rsidR="00583641" w:rsidRPr="00B10AE1">
        <w:rPr>
          <w:i/>
          <w:iCs/>
        </w:rPr>
        <w:t>Systems Of Life</w:t>
      </w:r>
      <w:r w:rsidR="00583641" w:rsidRPr="00B10AE1">
        <w:t>, (United States) Fordham University Press, 2018.</w:t>
      </w:r>
      <w:bookmarkEnd w:id="4"/>
    </w:p>
  </w:footnote>
  <w:footnote w:id="17">
    <w:p w14:paraId="2E9622B8" w14:textId="1DB9D90F" w:rsidR="00BE14E2" w:rsidRPr="00B10AE1" w:rsidRDefault="00BE14E2">
      <w:pPr>
        <w:pStyle w:val="FootnoteText"/>
      </w:pPr>
      <w:r w:rsidRPr="00B10AE1">
        <w:rPr>
          <w:rStyle w:val="FootnoteReference"/>
        </w:rPr>
        <w:footnoteRef/>
      </w:r>
      <w:r w:rsidRPr="00B10AE1">
        <w:t xml:space="preserve"> P27 ibid</w:t>
      </w:r>
    </w:p>
  </w:footnote>
  <w:footnote w:id="18">
    <w:p w14:paraId="408737B0" w14:textId="0A1DBFE7" w:rsidR="003A2E00" w:rsidRPr="00B10AE1" w:rsidRDefault="003A2E00">
      <w:pPr>
        <w:pStyle w:val="FootnoteText"/>
      </w:pPr>
      <w:r w:rsidRPr="00B10AE1">
        <w:rPr>
          <w:rStyle w:val="FootnoteReference"/>
        </w:rPr>
        <w:footnoteRef/>
      </w:r>
      <w:r w:rsidRPr="00B10AE1">
        <w:t xml:space="preserve"> P27 ibid</w:t>
      </w:r>
    </w:p>
  </w:footnote>
  <w:footnote w:id="19">
    <w:p w14:paraId="08121332" w14:textId="1F26580B" w:rsidR="009656F6" w:rsidRPr="00B10AE1" w:rsidRDefault="009656F6">
      <w:pPr>
        <w:pStyle w:val="FootnoteText"/>
      </w:pPr>
      <w:r w:rsidRPr="00B10AE1">
        <w:rPr>
          <w:rStyle w:val="FootnoteReference"/>
        </w:rPr>
        <w:footnoteRef/>
      </w:r>
      <w:r w:rsidRPr="00B10AE1">
        <w:t xml:space="preserve"> </w:t>
      </w:r>
      <w:bookmarkStart w:id="5" w:name="_Hlk133901935"/>
      <w:r w:rsidR="00583641" w:rsidRPr="00B10AE1">
        <w:rPr>
          <w:rFonts w:eastAsia="Times New Roman" w:cstheme="minorHAnsi"/>
          <w:lang w:eastAsia="en-GB"/>
        </w:rPr>
        <w:t>Alpert, Avram</w:t>
      </w:r>
      <w:r w:rsidRPr="00B10AE1">
        <w:rPr>
          <w:rFonts w:eastAsia="Times New Roman" w:cstheme="minorHAnsi"/>
          <w:lang w:eastAsia="en-GB"/>
        </w:rPr>
        <w:t xml:space="preserve">. “‘Melancholy Wildness’: The Failure of Cross-Cultural Engagement in Rousseau’s ‘Discourse on the Origin of Inequality’ and ‘Brown’s Edgar Huntly.’” </w:t>
      </w:r>
      <w:r w:rsidRPr="00B10AE1">
        <w:rPr>
          <w:rFonts w:eastAsia="Times New Roman" w:cstheme="minorHAnsi"/>
          <w:i/>
          <w:iCs/>
          <w:lang w:eastAsia="en-GB"/>
        </w:rPr>
        <w:t>Early American Literature</w:t>
      </w:r>
      <w:r w:rsidRPr="00B10AE1">
        <w:rPr>
          <w:rFonts w:eastAsia="Times New Roman" w:cstheme="minorHAnsi"/>
          <w:lang w:eastAsia="en-GB"/>
        </w:rPr>
        <w:t xml:space="preserve">, vol. 49, no. 1, 2014, pp. 125. </w:t>
      </w:r>
      <w:r w:rsidRPr="00B10AE1">
        <w:rPr>
          <w:rFonts w:eastAsia="Times New Roman" w:cstheme="minorHAnsi"/>
          <w:i/>
          <w:iCs/>
          <w:lang w:eastAsia="en-GB"/>
        </w:rPr>
        <w:t>JSTOR</w:t>
      </w:r>
      <w:r w:rsidRPr="00B10AE1">
        <w:rPr>
          <w:rFonts w:eastAsia="Times New Roman" w:cstheme="minorHAnsi"/>
          <w:lang w:eastAsia="en-GB"/>
        </w:rPr>
        <w:t xml:space="preserve">, </w:t>
      </w:r>
      <w:hyperlink r:id="rId4" w:history="1">
        <w:r w:rsidRPr="00B10AE1">
          <w:rPr>
            <w:rStyle w:val="Hyperlink"/>
            <w:rFonts w:eastAsia="Times New Roman" w:cstheme="minorHAnsi"/>
            <w:color w:val="auto"/>
            <w:lang w:eastAsia="en-GB"/>
          </w:rPr>
          <w:t>http://www.jstor.org/stable/24476589</w:t>
        </w:r>
      </w:hyperlink>
      <w:r w:rsidRPr="00B10AE1">
        <w:rPr>
          <w:rFonts w:eastAsia="Times New Roman" w:cstheme="minorHAnsi"/>
          <w:lang w:eastAsia="en-GB"/>
        </w:rPr>
        <w:t xml:space="preserve"> . Accessed 25 Apr. 2023.</w:t>
      </w:r>
      <w:bookmarkEnd w:id="5"/>
    </w:p>
  </w:footnote>
  <w:footnote w:id="20">
    <w:p w14:paraId="4FE5B085" w14:textId="00477679" w:rsidR="00C5682A" w:rsidRPr="00B10AE1" w:rsidRDefault="00C5682A" w:rsidP="009656F6">
      <w:pPr>
        <w:rPr>
          <w:sz w:val="20"/>
          <w:szCs w:val="20"/>
        </w:rPr>
      </w:pPr>
      <w:r w:rsidRPr="00B10AE1">
        <w:rPr>
          <w:rStyle w:val="FootnoteReference"/>
          <w:sz w:val="20"/>
          <w:szCs w:val="20"/>
        </w:rPr>
        <w:footnoteRef/>
      </w:r>
      <w:r w:rsidRPr="00B10AE1">
        <w:rPr>
          <w:sz w:val="20"/>
          <w:szCs w:val="20"/>
        </w:rPr>
        <w:t xml:space="preserve"> </w:t>
      </w:r>
      <w:bookmarkStart w:id="6" w:name="_Hlk133316151"/>
      <w:r w:rsidR="00583641" w:rsidRPr="00B10AE1">
        <w:rPr>
          <w:rFonts w:eastAsia="Times New Roman" w:cstheme="minorHAnsi"/>
          <w:sz w:val="20"/>
          <w:szCs w:val="20"/>
          <w:lang w:eastAsia="en-GB"/>
        </w:rPr>
        <w:t>Alpert, Avram</w:t>
      </w:r>
      <w:r w:rsidRPr="00B10AE1">
        <w:rPr>
          <w:rFonts w:eastAsia="Times New Roman" w:cstheme="minorHAnsi"/>
          <w:sz w:val="20"/>
          <w:szCs w:val="20"/>
          <w:lang w:eastAsia="en-GB"/>
        </w:rPr>
        <w:t xml:space="preserve">. “‘Melancholy Wildness’: </w:t>
      </w:r>
      <w:bookmarkEnd w:id="6"/>
      <w:r w:rsidR="009656F6" w:rsidRPr="00B10AE1">
        <w:rPr>
          <w:rFonts w:eastAsia="Times New Roman" w:cstheme="minorHAnsi"/>
          <w:sz w:val="20"/>
          <w:szCs w:val="20"/>
          <w:lang w:eastAsia="en-GB"/>
        </w:rPr>
        <w:t>p128</w:t>
      </w:r>
    </w:p>
  </w:footnote>
  <w:footnote w:id="21">
    <w:p w14:paraId="0A767CB8" w14:textId="62A86BDA" w:rsidR="00F106DB" w:rsidRPr="00B10AE1" w:rsidRDefault="00F106DB">
      <w:pPr>
        <w:pStyle w:val="FootnoteText"/>
      </w:pPr>
      <w:r w:rsidRPr="00B10AE1">
        <w:rPr>
          <w:rStyle w:val="FootnoteReference"/>
        </w:rPr>
        <w:footnoteRef/>
      </w:r>
      <w:r w:rsidRPr="00B10AE1">
        <w:t xml:space="preserve"> </w:t>
      </w:r>
      <w:bookmarkStart w:id="7" w:name="_Hlk133901960"/>
      <w:r w:rsidRPr="00B10AE1">
        <w:t xml:space="preserve">Ward, Colin, Definitions and ancestors, Anarchism: A Short Introduction, </w:t>
      </w:r>
      <w:r w:rsidRPr="00B10AE1">
        <w:rPr>
          <w:rStyle w:val="edition"/>
          <w:rFonts w:cstheme="minorHAnsi"/>
          <w:bdr w:val="none" w:sz="0" w:space="0" w:color="auto" w:frame="1"/>
          <w:shd w:val="clear" w:color="auto" w:fill="FFFFFF"/>
        </w:rPr>
        <w:t>1st edn</w:t>
      </w:r>
      <w:r w:rsidRPr="00B10AE1">
        <w:rPr>
          <w:rStyle w:val="series-title"/>
          <w:rFonts w:cstheme="minorHAnsi"/>
          <w:bdr w:val="none" w:sz="0" w:space="0" w:color="auto" w:frame="1"/>
          <w:shd w:val="clear" w:color="auto" w:fill="FFFFFF"/>
        </w:rPr>
        <w:t>, Very Short Introductions</w:t>
      </w:r>
      <w:r w:rsidRPr="00B10AE1">
        <w:rPr>
          <w:rFonts w:cstheme="minorHAnsi"/>
          <w:shd w:val="clear" w:color="auto" w:fill="FFFFFF"/>
        </w:rPr>
        <w:t> (</w:t>
      </w:r>
      <w:r w:rsidRPr="00B10AE1">
        <w:rPr>
          <w:rStyle w:val="publisher-location"/>
          <w:rFonts w:cstheme="minorHAnsi"/>
          <w:bdr w:val="none" w:sz="0" w:space="0" w:color="auto" w:frame="1"/>
          <w:shd w:val="clear" w:color="auto" w:fill="FFFFFF"/>
        </w:rPr>
        <w:t>Oxford, </w:t>
      </w:r>
      <w:r w:rsidRPr="00B10AE1">
        <w:rPr>
          <w:rStyle w:val="print-publication-date"/>
          <w:rFonts w:cstheme="minorHAnsi"/>
          <w:bdr w:val="none" w:sz="0" w:space="0" w:color="auto" w:frame="1"/>
          <w:shd w:val="clear" w:color="auto" w:fill="FFFFFF"/>
        </w:rPr>
        <w:t>2004; </w:t>
      </w:r>
      <w:r w:rsidRPr="00B10AE1">
        <w:rPr>
          <w:rStyle w:val="online-edition"/>
          <w:rFonts w:cstheme="minorHAnsi"/>
          <w:bdr w:val="none" w:sz="0" w:space="0" w:color="auto" w:frame="1"/>
          <w:shd w:val="clear" w:color="auto" w:fill="FFFFFF"/>
        </w:rPr>
        <w:t>online edn, </w:t>
      </w:r>
      <w:r w:rsidRPr="00B10AE1">
        <w:rPr>
          <w:rStyle w:val="containing-site"/>
          <w:rFonts w:cstheme="minorHAnsi"/>
          <w:bdr w:val="none" w:sz="0" w:space="0" w:color="auto" w:frame="1"/>
          <w:shd w:val="clear" w:color="auto" w:fill="FFFFFF"/>
        </w:rPr>
        <w:t>Oxford Academic</w:t>
      </w:r>
      <w:r w:rsidRPr="00B10AE1">
        <w:rPr>
          <w:rStyle w:val="online-publication-date"/>
          <w:rFonts w:cstheme="minorHAnsi"/>
          <w:bdr w:val="none" w:sz="0" w:space="0" w:color="auto" w:frame="1"/>
          <w:shd w:val="clear" w:color="auto" w:fill="FFFFFF"/>
        </w:rPr>
        <w:t>, 24 Sept. 2013</w:t>
      </w:r>
      <w:r w:rsidRPr="00B10AE1">
        <w:rPr>
          <w:rFonts w:cstheme="minorHAnsi"/>
          <w:shd w:val="clear" w:color="auto" w:fill="FFFFFF"/>
        </w:rPr>
        <w:t>), Accessed 1</w:t>
      </w:r>
      <w:r w:rsidRPr="00B10AE1">
        <w:rPr>
          <w:rFonts w:cstheme="minorHAnsi"/>
          <w:shd w:val="clear" w:color="auto" w:fill="FFFFFF"/>
          <w:vertAlign w:val="superscript"/>
        </w:rPr>
        <w:t>st</w:t>
      </w:r>
      <w:r w:rsidRPr="00B10AE1">
        <w:rPr>
          <w:rFonts w:cstheme="minorHAnsi"/>
          <w:shd w:val="clear" w:color="auto" w:fill="FFFFFF"/>
        </w:rPr>
        <w:t xml:space="preserve"> May 2023</w:t>
      </w:r>
    </w:p>
    <w:bookmarkEnd w:id="7"/>
  </w:footnote>
  <w:footnote w:id="22">
    <w:p w14:paraId="3CAC5DD3" w14:textId="44C86491" w:rsidR="00272E2B" w:rsidRDefault="00272E2B">
      <w:pPr>
        <w:pStyle w:val="FootnoteText"/>
      </w:pPr>
      <w:r>
        <w:rPr>
          <w:rStyle w:val="FootnoteReference"/>
        </w:rPr>
        <w:footnoteRef/>
      </w:r>
      <w:r>
        <w:t xml:space="preserve"> Ibid 31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6601A8"/>
    <w:multiLevelType w:val="hybridMultilevel"/>
    <w:tmpl w:val="7C2C17DE"/>
    <w:lvl w:ilvl="0" w:tplc="D9FAD4C8">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4333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2C7"/>
    <w:rsid w:val="0000334A"/>
    <w:rsid w:val="000A1D5B"/>
    <w:rsid w:val="000A38B1"/>
    <w:rsid w:val="000C2FAA"/>
    <w:rsid w:val="000F7862"/>
    <w:rsid w:val="001500B6"/>
    <w:rsid w:val="0016243E"/>
    <w:rsid w:val="00192A52"/>
    <w:rsid w:val="001A7D46"/>
    <w:rsid w:val="001C2A67"/>
    <w:rsid w:val="001F0E17"/>
    <w:rsid w:val="002047BD"/>
    <w:rsid w:val="002074E9"/>
    <w:rsid w:val="002452AD"/>
    <w:rsid w:val="00265557"/>
    <w:rsid w:val="00272E2B"/>
    <w:rsid w:val="0029165D"/>
    <w:rsid w:val="002A6EFD"/>
    <w:rsid w:val="002C30F0"/>
    <w:rsid w:val="002E163B"/>
    <w:rsid w:val="002F1A98"/>
    <w:rsid w:val="003747E9"/>
    <w:rsid w:val="00397BA2"/>
    <w:rsid w:val="003A2E00"/>
    <w:rsid w:val="003D715E"/>
    <w:rsid w:val="003F6183"/>
    <w:rsid w:val="004379EC"/>
    <w:rsid w:val="00445010"/>
    <w:rsid w:val="00460B55"/>
    <w:rsid w:val="00463F9C"/>
    <w:rsid w:val="00491C8E"/>
    <w:rsid w:val="004E7A36"/>
    <w:rsid w:val="00516A70"/>
    <w:rsid w:val="0054007B"/>
    <w:rsid w:val="00566196"/>
    <w:rsid w:val="00583641"/>
    <w:rsid w:val="005B663D"/>
    <w:rsid w:val="005C0B32"/>
    <w:rsid w:val="00666275"/>
    <w:rsid w:val="006A5105"/>
    <w:rsid w:val="006A72C7"/>
    <w:rsid w:val="006E65DC"/>
    <w:rsid w:val="00703CA9"/>
    <w:rsid w:val="007272C6"/>
    <w:rsid w:val="007834E8"/>
    <w:rsid w:val="0079473B"/>
    <w:rsid w:val="007A4DBC"/>
    <w:rsid w:val="007E2FF0"/>
    <w:rsid w:val="007F6DC7"/>
    <w:rsid w:val="008006E4"/>
    <w:rsid w:val="008045CC"/>
    <w:rsid w:val="00805F43"/>
    <w:rsid w:val="008109C8"/>
    <w:rsid w:val="00816154"/>
    <w:rsid w:val="008308FB"/>
    <w:rsid w:val="008369DA"/>
    <w:rsid w:val="00864A0B"/>
    <w:rsid w:val="008B0743"/>
    <w:rsid w:val="008F2486"/>
    <w:rsid w:val="008F4BF5"/>
    <w:rsid w:val="00907239"/>
    <w:rsid w:val="009656F6"/>
    <w:rsid w:val="00971605"/>
    <w:rsid w:val="009A3C82"/>
    <w:rsid w:val="009D2437"/>
    <w:rsid w:val="00A03F3A"/>
    <w:rsid w:val="00A14889"/>
    <w:rsid w:val="00A631C6"/>
    <w:rsid w:val="00A7286F"/>
    <w:rsid w:val="00A92F9C"/>
    <w:rsid w:val="00B10AE1"/>
    <w:rsid w:val="00B11608"/>
    <w:rsid w:val="00B83569"/>
    <w:rsid w:val="00BE14E2"/>
    <w:rsid w:val="00C5682A"/>
    <w:rsid w:val="00C75C07"/>
    <w:rsid w:val="00CA5E66"/>
    <w:rsid w:val="00CD64CF"/>
    <w:rsid w:val="00CF22F0"/>
    <w:rsid w:val="00D25FC1"/>
    <w:rsid w:val="00D47EFF"/>
    <w:rsid w:val="00D82F71"/>
    <w:rsid w:val="00DD11F7"/>
    <w:rsid w:val="00E23488"/>
    <w:rsid w:val="00E96209"/>
    <w:rsid w:val="00ED3649"/>
    <w:rsid w:val="00EF6B53"/>
    <w:rsid w:val="00F01273"/>
    <w:rsid w:val="00F106DB"/>
    <w:rsid w:val="00F354D5"/>
    <w:rsid w:val="00F558FB"/>
    <w:rsid w:val="00FA527C"/>
    <w:rsid w:val="00FC7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30D7"/>
  <w15:chartTrackingRefBased/>
  <w15:docId w15:val="{C14666D1-0694-49AD-A74E-16766E5A3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63D"/>
    <w:pPr>
      <w:ind w:left="720"/>
      <w:contextualSpacing/>
    </w:pPr>
    <w:rPr>
      <w:rFonts w:eastAsiaTheme="minorEastAsia"/>
      <w:lang w:eastAsia="zh-CN"/>
    </w:rPr>
  </w:style>
  <w:style w:type="paragraph" w:styleId="NormalWeb">
    <w:name w:val="Normal (Web)"/>
    <w:basedOn w:val="Normal"/>
    <w:uiPriority w:val="99"/>
    <w:semiHidden/>
    <w:unhideWhenUsed/>
    <w:rsid w:val="007272C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0F7862"/>
    <w:pPr>
      <w:spacing w:after="0" w:line="240" w:lineRule="auto"/>
    </w:pPr>
    <w:rPr>
      <w:sz w:val="20"/>
      <w:szCs w:val="20"/>
    </w:rPr>
  </w:style>
  <w:style w:type="character" w:customStyle="1" w:styleId="FootnoteTextChar">
    <w:name w:val="Footnote Text Char"/>
    <w:basedOn w:val="DefaultParagraphFont"/>
    <w:link w:val="FootnoteText"/>
    <w:uiPriority w:val="99"/>
    <w:rsid w:val="000F7862"/>
    <w:rPr>
      <w:sz w:val="20"/>
      <w:szCs w:val="20"/>
    </w:rPr>
  </w:style>
  <w:style w:type="character" w:styleId="FootnoteReference">
    <w:name w:val="footnote reference"/>
    <w:basedOn w:val="DefaultParagraphFont"/>
    <w:uiPriority w:val="99"/>
    <w:semiHidden/>
    <w:unhideWhenUsed/>
    <w:rsid w:val="000F7862"/>
    <w:rPr>
      <w:vertAlign w:val="superscript"/>
    </w:rPr>
  </w:style>
  <w:style w:type="character" w:styleId="Emphasis">
    <w:name w:val="Emphasis"/>
    <w:basedOn w:val="DefaultParagraphFont"/>
    <w:uiPriority w:val="20"/>
    <w:qFormat/>
    <w:rsid w:val="00516A70"/>
    <w:rPr>
      <w:i/>
      <w:iCs/>
    </w:rPr>
  </w:style>
  <w:style w:type="character" w:styleId="Hyperlink">
    <w:name w:val="Hyperlink"/>
    <w:basedOn w:val="DefaultParagraphFont"/>
    <w:uiPriority w:val="99"/>
    <w:unhideWhenUsed/>
    <w:rsid w:val="00516A70"/>
    <w:rPr>
      <w:color w:val="0563C1" w:themeColor="hyperlink"/>
      <w:u w:val="single"/>
    </w:rPr>
  </w:style>
  <w:style w:type="character" w:styleId="UnresolvedMention">
    <w:name w:val="Unresolved Mention"/>
    <w:basedOn w:val="DefaultParagraphFont"/>
    <w:uiPriority w:val="99"/>
    <w:semiHidden/>
    <w:unhideWhenUsed/>
    <w:rsid w:val="00516A70"/>
    <w:rPr>
      <w:color w:val="605E5C"/>
      <w:shd w:val="clear" w:color="auto" w:fill="E1DFDD"/>
    </w:rPr>
  </w:style>
  <w:style w:type="character" w:customStyle="1" w:styleId="edition">
    <w:name w:val="edition"/>
    <w:basedOn w:val="DefaultParagraphFont"/>
    <w:rsid w:val="006E65DC"/>
  </w:style>
  <w:style w:type="character" w:customStyle="1" w:styleId="series-title">
    <w:name w:val="series-title"/>
    <w:basedOn w:val="DefaultParagraphFont"/>
    <w:rsid w:val="006E65DC"/>
  </w:style>
  <w:style w:type="character" w:customStyle="1" w:styleId="publisher-location">
    <w:name w:val="publisher-location"/>
    <w:basedOn w:val="DefaultParagraphFont"/>
    <w:rsid w:val="006E65DC"/>
  </w:style>
  <w:style w:type="character" w:customStyle="1" w:styleId="print-publication-date">
    <w:name w:val="print-publication-date"/>
    <w:basedOn w:val="DefaultParagraphFont"/>
    <w:rsid w:val="006E65DC"/>
  </w:style>
  <w:style w:type="character" w:customStyle="1" w:styleId="online-edition">
    <w:name w:val="online-edition"/>
    <w:basedOn w:val="DefaultParagraphFont"/>
    <w:rsid w:val="006E65DC"/>
  </w:style>
  <w:style w:type="character" w:customStyle="1" w:styleId="containing-site">
    <w:name w:val="containing-site"/>
    <w:basedOn w:val="DefaultParagraphFont"/>
    <w:rsid w:val="006E65DC"/>
  </w:style>
  <w:style w:type="character" w:customStyle="1" w:styleId="online-publication-date">
    <w:name w:val="online-publication-date"/>
    <w:basedOn w:val="DefaultParagraphFont"/>
    <w:rsid w:val="006E6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371431">
      <w:bodyDiv w:val="1"/>
      <w:marLeft w:val="0"/>
      <w:marRight w:val="0"/>
      <w:marTop w:val="0"/>
      <w:marBottom w:val="0"/>
      <w:divBdr>
        <w:top w:val="none" w:sz="0" w:space="0" w:color="auto"/>
        <w:left w:val="none" w:sz="0" w:space="0" w:color="auto"/>
        <w:bottom w:val="none" w:sz="0" w:space="0" w:color="auto"/>
        <w:right w:val="none" w:sz="0" w:space="0" w:color="auto"/>
      </w:divBdr>
    </w:div>
    <w:div w:id="494954183">
      <w:bodyDiv w:val="1"/>
      <w:marLeft w:val="0"/>
      <w:marRight w:val="0"/>
      <w:marTop w:val="0"/>
      <w:marBottom w:val="0"/>
      <w:divBdr>
        <w:top w:val="none" w:sz="0" w:space="0" w:color="auto"/>
        <w:left w:val="none" w:sz="0" w:space="0" w:color="auto"/>
        <w:bottom w:val="none" w:sz="0" w:space="0" w:color="auto"/>
        <w:right w:val="none" w:sz="0" w:space="0" w:color="auto"/>
      </w:divBdr>
      <w:divsChild>
        <w:div w:id="960724318">
          <w:marLeft w:val="0"/>
          <w:marRight w:val="0"/>
          <w:marTop w:val="0"/>
          <w:marBottom w:val="0"/>
          <w:divBdr>
            <w:top w:val="none" w:sz="0" w:space="0" w:color="auto"/>
            <w:left w:val="none" w:sz="0" w:space="0" w:color="auto"/>
            <w:bottom w:val="none" w:sz="0" w:space="0" w:color="auto"/>
            <w:right w:val="none" w:sz="0" w:space="0" w:color="auto"/>
          </w:divBdr>
          <w:divsChild>
            <w:div w:id="151684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217724">
      <w:bodyDiv w:val="1"/>
      <w:marLeft w:val="0"/>
      <w:marRight w:val="0"/>
      <w:marTop w:val="0"/>
      <w:marBottom w:val="0"/>
      <w:divBdr>
        <w:top w:val="none" w:sz="0" w:space="0" w:color="auto"/>
        <w:left w:val="none" w:sz="0" w:space="0" w:color="auto"/>
        <w:bottom w:val="none" w:sz="0" w:space="0" w:color="auto"/>
        <w:right w:val="none" w:sz="0" w:space="0" w:color="auto"/>
      </w:divBdr>
      <w:divsChild>
        <w:div w:id="436678991">
          <w:marLeft w:val="0"/>
          <w:marRight w:val="0"/>
          <w:marTop w:val="0"/>
          <w:marBottom w:val="0"/>
          <w:divBdr>
            <w:top w:val="none" w:sz="0" w:space="0" w:color="auto"/>
            <w:left w:val="none" w:sz="0" w:space="0" w:color="auto"/>
            <w:bottom w:val="none" w:sz="0" w:space="0" w:color="auto"/>
            <w:right w:val="none" w:sz="0" w:space="0" w:color="auto"/>
          </w:divBdr>
          <w:divsChild>
            <w:div w:id="18135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31593">
      <w:bodyDiv w:val="1"/>
      <w:marLeft w:val="0"/>
      <w:marRight w:val="0"/>
      <w:marTop w:val="0"/>
      <w:marBottom w:val="0"/>
      <w:divBdr>
        <w:top w:val="none" w:sz="0" w:space="0" w:color="auto"/>
        <w:left w:val="none" w:sz="0" w:space="0" w:color="auto"/>
        <w:bottom w:val="none" w:sz="0" w:space="0" w:color="auto"/>
        <w:right w:val="none" w:sz="0" w:space="0" w:color="auto"/>
      </w:divBdr>
      <w:divsChild>
        <w:div w:id="363748534">
          <w:marLeft w:val="0"/>
          <w:marRight w:val="0"/>
          <w:marTop w:val="0"/>
          <w:marBottom w:val="0"/>
          <w:divBdr>
            <w:top w:val="none" w:sz="0" w:space="0" w:color="auto"/>
            <w:left w:val="none" w:sz="0" w:space="0" w:color="auto"/>
            <w:bottom w:val="none" w:sz="0" w:space="0" w:color="auto"/>
            <w:right w:val="none" w:sz="0" w:space="0" w:color="auto"/>
          </w:divBdr>
          <w:divsChild>
            <w:div w:id="42677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sxsrf=APwXEddSdvuTX6NmePYKztvQ0Jirg_m52A:1682659746774&amp;q=non-recognition&amp;si=AMnBZoGHIoBqH5NB1urY1HgDsH9E-1Mi6p1arUc0WbUOPkDCsqie-lazUgdAiRwPOLc1Z6Vsluuz5W4SNXSKEV1L49CZkrAC_ghmna09rHoGunNs7bw_ak0%3D&amp;expnd=1" TargetMode="External"/><Relationship Id="rId13" Type="http://schemas.openxmlformats.org/officeDocument/2006/relationships/hyperlink" Target="http://www.jstor.org/stable/10.7722/j.ctt1f89shd.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lato.stanford.edu/archives/sum2022/entries/hobb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2622576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jstor.org/stable/24476589" TargetMode="External"/><Relationship Id="rId4" Type="http://schemas.openxmlformats.org/officeDocument/2006/relationships/settings" Target="settings.xml"/><Relationship Id="rId9" Type="http://schemas.openxmlformats.org/officeDocument/2006/relationships/hyperlink" Target="https://www.google.co.uk/search?sxsrf=APwXEddSdvuTX6NmePYKztvQ0Jirg_m52A:1682659746774&amp;q=hierarchical&amp;si=AMnBZoFOMBUphduq9VwZxsuReC7YiG2TRz_VBazk2UVJs7MZ7Kyd6LcfkYWoOfzMdV9WqtVu1jX1RJ-YDDwlujjCU8ZrlCtB_cuk1Qarw2Uw4jA-Lfx22VU%3D&amp;expnd=1"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10.7722/j.ctt1f89shd.5" TargetMode="External"/><Relationship Id="rId2" Type="http://schemas.openxmlformats.org/officeDocument/2006/relationships/hyperlink" Target="http://www.jstor.org/stable/26225768" TargetMode="External"/><Relationship Id="rId1" Type="http://schemas.openxmlformats.org/officeDocument/2006/relationships/hyperlink" Target="https://plato.stanford.edu/archives/sum2022/entries/hobbes/" TargetMode="External"/><Relationship Id="rId4" Type="http://schemas.openxmlformats.org/officeDocument/2006/relationships/hyperlink" Target="http://www.jstor.org/stable/244765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83B3D-AEA5-4E9F-8A48-6823FD781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5</Pages>
  <Words>2131</Words>
  <Characters>12147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dc:creator>
  <cp:keywords/>
  <dc:description/>
  <cp:lastModifiedBy>Michael</cp:lastModifiedBy>
  <cp:revision>46</cp:revision>
  <dcterms:created xsi:type="dcterms:W3CDTF">2023-03-28T06:03:00Z</dcterms:created>
  <dcterms:modified xsi:type="dcterms:W3CDTF">2023-05-02T06:16:00Z</dcterms:modified>
</cp:coreProperties>
</file>