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DD7" w:rsidRDefault="00725DD7" w:rsidP="00725DD7">
      <w:pPr>
        <w:jc w:val="center"/>
        <w:rPr>
          <w:rFonts w:ascii="Times New Roman" w:hAnsi="Times New Roman" w:cs="Times New Roman"/>
          <w:b/>
          <w:sz w:val="24"/>
        </w:rPr>
      </w:pPr>
      <w:r>
        <w:rPr>
          <w:noProof/>
          <w:lang w:val="en-GB" w:eastAsia="en-GB"/>
        </w:rPr>
        <w:drawing>
          <wp:inline distT="0" distB="0" distL="0" distR="0" wp14:anchorId="4D0D43F9" wp14:editId="10F58E30">
            <wp:extent cx="2404754" cy="961902"/>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8"/>
                    <a:stretch>
                      <a:fillRect/>
                    </a:stretch>
                  </pic:blipFill>
                  <pic:spPr>
                    <a:xfrm>
                      <a:off x="0" y="0"/>
                      <a:ext cx="2415885" cy="966355"/>
                    </a:xfrm>
                    <a:prstGeom prst="rect">
                      <a:avLst/>
                    </a:prstGeom>
                  </pic:spPr>
                </pic:pic>
              </a:graphicData>
            </a:graphic>
          </wp:inline>
        </w:drawing>
      </w:r>
    </w:p>
    <w:p w:rsidR="00725DD7" w:rsidRDefault="00725DD7" w:rsidP="00725DD7">
      <w:pPr>
        <w:jc w:val="center"/>
        <w:rPr>
          <w:rFonts w:ascii="Times New Roman" w:hAnsi="Times New Roman" w:cs="Times New Roman"/>
          <w:lang w:val="en-IN" w:bidi="bn-BD"/>
        </w:rPr>
      </w:pPr>
    </w:p>
    <w:p w:rsidR="00725DD7" w:rsidRDefault="00725DD7" w:rsidP="00725DD7">
      <w:pPr>
        <w:jc w:val="center"/>
        <w:rPr>
          <w:rFonts w:ascii="Times New Roman" w:hAnsi="Times New Roman" w:cs="Times New Roman"/>
          <w:lang w:val="en-IN" w:bidi="bn-BD"/>
        </w:rPr>
      </w:pPr>
    </w:p>
    <w:p w:rsidR="00725DD7" w:rsidRDefault="00725DD7" w:rsidP="00725DD7">
      <w:pPr>
        <w:jc w:val="center"/>
        <w:rPr>
          <w:rFonts w:ascii="Times New Roman" w:hAnsi="Times New Roman" w:cs="Times New Roman"/>
          <w:lang w:val="en-IN" w:bidi="bn-BD"/>
        </w:rPr>
      </w:pPr>
    </w:p>
    <w:p w:rsidR="00725DD7" w:rsidRDefault="00725DD7" w:rsidP="00725DD7">
      <w:pPr>
        <w:jc w:val="center"/>
        <w:rPr>
          <w:rFonts w:ascii="Times New Roman" w:hAnsi="Times New Roman" w:cs="Times New Roman"/>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r w:rsidRPr="00725DD7">
        <w:rPr>
          <w:rFonts w:ascii="Times New Roman" w:hAnsi="Times New Roman" w:cs="Times New Roman"/>
          <w:sz w:val="24"/>
          <w:lang w:val="en-IN" w:bidi="bn-BD"/>
        </w:rPr>
        <w:t xml:space="preserve">Module Code: </w:t>
      </w:r>
      <w:r w:rsidRPr="00725DD7">
        <w:rPr>
          <w:rFonts w:ascii="Times New Roman" w:hAnsi="Times New Roman" w:cs="Times New Roman"/>
          <w:sz w:val="24"/>
        </w:rPr>
        <w:t>LCBB5004</w:t>
      </w:r>
    </w:p>
    <w:p w:rsidR="00725DD7" w:rsidRPr="00725DD7" w:rsidRDefault="00725DD7" w:rsidP="00725DD7">
      <w:pPr>
        <w:jc w:val="center"/>
        <w:rPr>
          <w:rFonts w:ascii="Times New Roman" w:hAnsi="Times New Roman" w:cs="Times New Roman"/>
          <w:sz w:val="24"/>
          <w:szCs w:val="24"/>
        </w:rPr>
      </w:pPr>
      <w:r w:rsidRPr="00725DD7">
        <w:rPr>
          <w:rFonts w:ascii="Times New Roman" w:hAnsi="Times New Roman" w:cs="Times New Roman"/>
          <w:sz w:val="24"/>
          <w:szCs w:val="24"/>
          <w:lang w:val="en-IN" w:bidi="bn-BD"/>
        </w:rPr>
        <w:t xml:space="preserve">Module Title: </w:t>
      </w:r>
      <w:r w:rsidRPr="00725DD7">
        <w:rPr>
          <w:rFonts w:ascii="Times New Roman" w:hAnsi="Times New Roman" w:cs="Times New Roman"/>
          <w:sz w:val="24"/>
          <w:szCs w:val="24"/>
        </w:rPr>
        <w:t>Managing People</w:t>
      </w: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r w:rsidRPr="00725DD7">
        <w:rPr>
          <w:rFonts w:ascii="Times New Roman" w:hAnsi="Times New Roman" w:cs="Times New Roman"/>
          <w:sz w:val="24"/>
          <w:lang w:val="en-IN" w:bidi="bn-BD"/>
        </w:rPr>
        <w:t>Student Name:</w:t>
      </w:r>
      <w:r w:rsidR="0092070F">
        <w:rPr>
          <w:rFonts w:ascii="Times New Roman" w:hAnsi="Times New Roman" w:cs="Times New Roman"/>
          <w:sz w:val="24"/>
          <w:lang w:val="en-IN" w:bidi="bn-BD"/>
        </w:rPr>
        <w:t xml:space="preserve"> MD ABIDUR RAHMAN</w:t>
      </w:r>
    </w:p>
    <w:p w:rsidR="0092070F" w:rsidRPr="00725DD7" w:rsidRDefault="00725DD7" w:rsidP="0092070F">
      <w:pPr>
        <w:jc w:val="center"/>
        <w:rPr>
          <w:rFonts w:ascii="Times New Roman" w:hAnsi="Times New Roman" w:cs="Times New Roman"/>
          <w:sz w:val="24"/>
          <w:lang w:val="en-IN" w:bidi="bn-BD"/>
        </w:rPr>
      </w:pPr>
      <w:r w:rsidRPr="00725DD7">
        <w:rPr>
          <w:rFonts w:ascii="Times New Roman" w:hAnsi="Times New Roman" w:cs="Times New Roman"/>
          <w:sz w:val="24"/>
          <w:lang w:val="en-IN" w:bidi="bn-BD"/>
        </w:rPr>
        <w:t>Student ID:</w:t>
      </w:r>
      <w:r w:rsidR="0092070F">
        <w:rPr>
          <w:rFonts w:ascii="Times New Roman" w:hAnsi="Times New Roman" w:cs="Times New Roman"/>
          <w:sz w:val="24"/>
          <w:lang w:val="en-IN" w:bidi="bn-BD"/>
        </w:rPr>
        <w:t xml:space="preserve"> 1815081</w:t>
      </w:r>
    </w:p>
    <w:p w:rsidR="00725DD7" w:rsidRPr="00725DD7" w:rsidRDefault="0092070F" w:rsidP="00725DD7">
      <w:pPr>
        <w:jc w:val="center"/>
        <w:rPr>
          <w:rFonts w:ascii="Times New Roman" w:hAnsi="Times New Roman" w:cs="Times New Roman"/>
          <w:sz w:val="24"/>
          <w:lang w:val="en-IN" w:bidi="bn-BD"/>
        </w:rPr>
      </w:pPr>
      <w:r>
        <w:rPr>
          <w:rFonts w:ascii="Times New Roman" w:hAnsi="Times New Roman" w:cs="Times New Roman"/>
          <w:sz w:val="24"/>
          <w:lang w:val="en-IN" w:bidi="bn-BD"/>
        </w:rPr>
        <w:t>Lecturer Name</w:t>
      </w:r>
      <w:r w:rsidR="003B2078">
        <w:rPr>
          <w:rFonts w:ascii="Times New Roman" w:hAnsi="Times New Roman" w:cs="Times New Roman"/>
          <w:sz w:val="24"/>
          <w:lang w:val="en-IN" w:bidi="bn-BD"/>
        </w:rPr>
        <w:t>: DR</w:t>
      </w:r>
      <w:r>
        <w:rPr>
          <w:rFonts w:ascii="Times New Roman" w:hAnsi="Times New Roman" w:cs="Times New Roman"/>
          <w:sz w:val="24"/>
          <w:lang w:val="en-IN" w:bidi="bn-BD"/>
        </w:rPr>
        <w:t>. ADEREMI OJEBODE</w:t>
      </w: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725DD7" w:rsidRPr="00725DD7" w:rsidRDefault="00725DD7" w:rsidP="00725DD7">
      <w:pPr>
        <w:jc w:val="center"/>
        <w:rPr>
          <w:rFonts w:ascii="Times New Roman" w:hAnsi="Times New Roman" w:cs="Times New Roman"/>
          <w:sz w:val="24"/>
          <w:lang w:val="en-IN" w:bidi="bn-BD"/>
        </w:rPr>
      </w:pPr>
    </w:p>
    <w:p w:rsidR="004904FA" w:rsidRPr="00725DD7" w:rsidRDefault="00725DD7" w:rsidP="00725DD7">
      <w:pPr>
        <w:jc w:val="center"/>
        <w:rPr>
          <w:rFonts w:ascii="Times New Roman" w:hAnsi="Times New Roman" w:cs="Times New Roman"/>
          <w:lang w:val="en-IN" w:bidi="bn-BD"/>
        </w:rPr>
      </w:pPr>
      <w:r w:rsidRPr="00725DD7">
        <w:rPr>
          <w:rFonts w:ascii="Times New Roman" w:hAnsi="Times New Roman" w:cs="Times New Roman"/>
          <w:sz w:val="24"/>
          <w:lang w:val="en-IN" w:bidi="bn-BD"/>
        </w:rPr>
        <w:t>Date of Submission:</w:t>
      </w:r>
      <w:r w:rsidR="0092070F">
        <w:rPr>
          <w:rFonts w:ascii="Times New Roman" w:hAnsi="Times New Roman" w:cs="Times New Roman"/>
          <w:sz w:val="24"/>
          <w:lang w:val="en-IN" w:bidi="bn-BD"/>
        </w:rPr>
        <w:t xml:space="preserve"> 31/07/2024</w:t>
      </w:r>
      <w:r>
        <w:rPr>
          <w:rFonts w:ascii="Times New Roman" w:hAnsi="Times New Roman" w:cs="Times New Roman"/>
          <w:lang w:val="en-IN" w:bidi="bn-BD"/>
        </w:rPr>
        <w:br w:type="page"/>
      </w:r>
    </w:p>
    <w:sdt>
      <w:sdtPr>
        <w:rPr>
          <w:rFonts w:asciiTheme="minorHAnsi" w:eastAsiaTheme="minorHAnsi" w:hAnsiTheme="minorHAnsi" w:cstheme="minorBidi"/>
          <w:b w:val="0"/>
          <w:bCs w:val="0"/>
          <w:color w:val="auto"/>
          <w:sz w:val="22"/>
          <w:szCs w:val="22"/>
          <w:lang w:eastAsia="en-US"/>
        </w:rPr>
        <w:id w:val="-319044509"/>
        <w:docPartObj>
          <w:docPartGallery w:val="Table of Contents"/>
          <w:docPartUnique/>
        </w:docPartObj>
      </w:sdtPr>
      <w:sdtEndPr>
        <w:rPr>
          <w:noProof/>
        </w:rPr>
      </w:sdtEndPr>
      <w:sdtContent>
        <w:p w:rsidR="004904FA" w:rsidRDefault="004904FA">
          <w:pPr>
            <w:pStyle w:val="TOCHeading"/>
          </w:pPr>
          <w:r>
            <w:t>Contents</w:t>
          </w:r>
        </w:p>
        <w:p w:rsidR="00146356" w:rsidRDefault="004904F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72099281" w:history="1">
            <w:r w:rsidR="00146356" w:rsidRPr="00CD15E6">
              <w:rPr>
                <w:rStyle w:val="Hyperlink"/>
                <w:rFonts w:ascii="Times New Roman" w:hAnsi="Times New Roman" w:cs="Times New Roman"/>
                <w:noProof/>
              </w:rPr>
              <w:t>INTRODUCTION</w:t>
            </w:r>
            <w:r w:rsidR="00146356">
              <w:rPr>
                <w:noProof/>
                <w:webHidden/>
              </w:rPr>
              <w:tab/>
            </w:r>
            <w:r w:rsidR="00146356">
              <w:rPr>
                <w:noProof/>
                <w:webHidden/>
              </w:rPr>
              <w:fldChar w:fldCharType="begin"/>
            </w:r>
            <w:r w:rsidR="00146356">
              <w:rPr>
                <w:noProof/>
                <w:webHidden/>
              </w:rPr>
              <w:instrText xml:space="preserve"> PAGEREF _Toc172099281 \h </w:instrText>
            </w:r>
            <w:r w:rsidR="00146356">
              <w:rPr>
                <w:noProof/>
                <w:webHidden/>
              </w:rPr>
            </w:r>
            <w:r w:rsidR="00146356">
              <w:rPr>
                <w:noProof/>
                <w:webHidden/>
              </w:rPr>
              <w:fldChar w:fldCharType="separate"/>
            </w:r>
            <w:r w:rsidR="00146356">
              <w:rPr>
                <w:noProof/>
                <w:webHidden/>
              </w:rPr>
              <w:t>3</w:t>
            </w:r>
            <w:r w:rsidR="00146356">
              <w:rPr>
                <w:noProof/>
                <w:webHidden/>
              </w:rPr>
              <w:fldChar w:fldCharType="end"/>
            </w:r>
          </w:hyperlink>
        </w:p>
        <w:p w:rsidR="00146356" w:rsidRDefault="00597648">
          <w:pPr>
            <w:pStyle w:val="TOC1"/>
            <w:tabs>
              <w:tab w:val="right" w:leader="dot" w:pos="9350"/>
            </w:tabs>
            <w:rPr>
              <w:rFonts w:eastAsiaTheme="minorEastAsia"/>
              <w:noProof/>
            </w:rPr>
          </w:pPr>
          <w:hyperlink w:anchor="_Toc172099282" w:history="1">
            <w:r w:rsidR="00146356" w:rsidRPr="00CD15E6">
              <w:rPr>
                <w:rStyle w:val="Hyperlink"/>
                <w:rFonts w:ascii="Times New Roman" w:hAnsi="Times New Roman" w:cs="Times New Roman"/>
                <w:noProof/>
              </w:rPr>
              <w:t>MAIN BODY</w:t>
            </w:r>
            <w:r w:rsidR="00146356">
              <w:rPr>
                <w:noProof/>
                <w:webHidden/>
              </w:rPr>
              <w:tab/>
            </w:r>
            <w:r w:rsidR="00146356">
              <w:rPr>
                <w:noProof/>
                <w:webHidden/>
              </w:rPr>
              <w:fldChar w:fldCharType="begin"/>
            </w:r>
            <w:r w:rsidR="00146356">
              <w:rPr>
                <w:noProof/>
                <w:webHidden/>
              </w:rPr>
              <w:instrText xml:space="preserve"> PAGEREF _Toc172099282 \h </w:instrText>
            </w:r>
            <w:r w:rsidR="00146356">
              <w:rPr>
                <w:noProof/>
                <w:webHidden/>
              </w:rPr>
            </w:r>
            <w:r w:rsidR="00146356">
              <w:rPr>
                <w:noProof/>
                <w:webHidden/>
              </w:rPr>
              <w:fldChar w:fldCharType="separate"/>
            </w:r>
            <w:r w:rsidR="00146356">
              <w:rPr>
                <w:noProof/>
                <w:webHidden/>
              </w:rPr>
              <w:t>5</w:t>
            </w:r>
            <w:r w:rsidR="00146356">
              <w:rPr>
                <w:noProof/>
                <w:webHidden/>
              </w:rPr>
              <w:fldChar w:fldCharType="end"/>
            </w:r>
          </w:hyperlink>
        </w:p>
        <w:p w:rsidR="00146356" w:rsidRDefault="00597648">
          <w:pPr>
            <w:pStyle w:val="TOC1"/>
            <w:tabs>
              <w:tab w:val="right" w:leader="dot" w:pos="9350"/>
            </w:tabs>
            <w:rPr>
              <w:rFonts w:eastAsiaTheme="minorEastAsia"/>
              <w:noProof/>
            </w:rPr>
          </w:pPr>
          <w:hyperlink w:anchor="_Toc172099283" w:history="1">
            <w:r w:rsidR="00146356" w:rsidRPr="00CD15E6">
              <w:rPr>
                <w:rStyle w:val="Hyperlink"/>
                <w:rFonts w:ascii="Times New Roman" w:hAnsi="Times New Roman" w:cs="Times New Roman"/>
                <w:noProof/>
              </w:rPr>
              <w:t>CONCLUSION</w:t>
            </w:r>
            <w:r w:rsidR="00146356">
              <w:rPr>
                <w:noProof/>
                <w:webHidden/>
              </w:rPr>
              <w:tab/>
            </w:r>
            <w:r w:rsidR="00146356">
              <w:rPr>
                <w:noProof/>
                <w:webHidden/>
              </w:rPr>
              <w:fldChar w:fldCharType="begin"/>
            </w:r>
            <w:r w:rsidR="00146356">
              <w:rPr>
                <w:noProof/>
                <w:webHidden/>
              </w:rPr>
              <w:instrText xml:space="preserve"> PAGEREF _Toc172099283 \h </w:instrText>
            </w:r>
            <w:r w:rsidR="00146356">
              <w:rPr>
                <w:noProof/>
                <w:webHidden/>
              </w:rPr>
            </w:r>
            <w:r w:rsidR="00146356">
              <w:rPr>
                <w:noProof/>
                <w:webHidden/>
              </w:rPr>
              <w:fldChar w:fldCharType="separate"/>
            </w:r>
            <w:r w:rsidR="00146356">
              <w:rPr>
                <w:noProof/>
                <w:webHidden/>
              </w:rPr>
              <w:t>10</w:t>
            </w:r>
            <w:r w:rsidR="00146356">
              <w:rPr>
                <w:noProof/>
                <w:webHidden/>
              </w:rPr>
              <w:fldChar w:fldCharType="end"/>
            </w:r>
          </w:hyperlink>
        </w:p>
        <w:p w:rsidR="00146356" w:rsidRDefault="00597648">
          <w:pPr>
            <w:pStyle w:val="TOC1"/>
            <w:tabs>
              <w:tab w:val="right" w:leader="dot" w:pos="9350"/>
            </w:tabs>
            <w:rPr>
              <w:rFonts w:eastAsiaTheme="minorEastAsia"/>
              <w:noProof/>
            </w:rPr>
          </w:pPr>
          <w:hyperlink w:anchor="_Toc172099284" w:history="1">
            <w:r w:rsidR="00146356" w:rsidRPr="00CD15E6">
              <w:rPr>
                <w:rStyle w:val="Hyperlink"/>
                <w:rFonts w:ascii="Times New Roman" w:hAnsi="Times New Roman" w:cs="Times New Roman"/>
                <w:noProof/>
              </w:rPr>
              <w:t>REFERENCES</w:t>
            </w:r>
            <w:r w:rsidR="00146356">
              <w:rPr>
                <w:noProof/>
                <w:webHidden/>
              </w:rPr>
              <w:tab/>
            </w:r>
            <w:r w:rsidR="00146356">
              <w:rPr>
                <w:noProof/>
                <w:webHidden/>
              </w:rPr>
              <w:fldChar w:fldCharType="begin"/>
            </w:r>
            <w:r w:rsidR="00146356">
              <w:rPr>
                <w:noProof/>
                <w:webHidden/>
              </w:rPr>
              <w:instrText xml:space="preserve"> PAGEREF _Toc172099284 \h </w:instrText>
            </w:r>
            <w:r w:rsidR="00146356">
              <w:rPr>
                <w:noProof/>
                <w:webHidden/>
              </w:rPr>
            </w:r>
            <w:r w:rsidR="00146356">
              <w:rPr>
                <w:noProof/>
                <w:webHidden/>
              </w:rPr>
              <w:fldChar w:fldCharType="separate"/>
            </w:r>
            <w:r w:rsidR="00146356">
              <w:rPr>
                <w:noProof/>
                <w:webHidden/>
              </w:rPr>
              <w:t>11</w:t>
            </w:r>
            <w:r w:rsidR="00146356">
              <w:rPr>
                <w:noProof/>
                <w:webHidden/>
              </w:rPr>
              <w:fldChar w:fldCharType="end"/>
            </w:r>
          </w:hyperlink>
        </w:p>
        <w:p w:rsidR="004904FA" w:rsidRDefault="004904FA">
          <w:r>
            <w:rPr>
              <w:b/>
              <w:bCs/>
              <w:noProof/>
            </w:rPr>
            <w:fldChar w:fldCharType="end"/>
          </w:r>
        </w:p>
      </w:sdtContent>
    </w:sdt>
    <w:p w:rsidR="004904FA" w:rsidRDefault="004904FA">
      <w:pPr>
        <w:rPr>
          <w:rFonts w:ascii="Times New Roman" w:hAnsi="Times New Roman" w:cs="Times New Roman"/>
          <w:b/>
          <w:sz w:val="24"/>
        </w:rPr>
      </w:pPr>
      <w:r>
        <w:rPr>
          <w:rFonts w:ascii="Times New Roman" w:hAnsi="Times New Roman" w:cs="Times New Roman"/>
          <w:b/>
          <w:sz w:val="24"/>
        </w:rPr>
        <w:br w:type="page"/>
      </w:r>
    </w:p>
    <w:p w:rsidR="00166502" w:rsidRPr="004904FA" w:rsidRDefault="00166502" w:rsidP="004904FA">
      <w:pPr>
        <w:pStyle w:val="Heading1"/>
        <w:spacing w:line="360" w:lineRule="auto"/>
        <w:rPr>
          <w:rFonts w:ascii="Times New Roman" w:hAnsi="Times New Roman" w:cs="Times New Roman"/>
        </w:rPr>
      </w:pPr>
      <w:bookmarkStart w:id="0" w:name="_Toc172099281"/>
      <w:r w:rsidRPr="004904FA">
        <w:rPr>
          <w:rFonts w:ascii="Times New Roman" w:hAnsi="Times New Roman" w:cs="Times New Roman"/>
        </w:rPr>
        <w:lastRenderedPageBreak/>
        <w:t>INTRODUCTION</w:t>
      </w:r>
      <w:bookmarkEnd w:id="0"/>
      <w:r w:rsidRPr="004904FA">
        <w:rPr>
          <w:rFonts w:ascii="Times New Roman" w:hAnsi="Times New Roman" w:cs="Times New Roman"/>
        </w:rPr>
        <w:t xml:space="preserve"> </w:t>
      </w:r>
    </w:p>
    <w:p w:rsidR="00700069" w:rsidRPr="007925DE" w:rsidRDefault="00166502" w:rsidP="00931B84">
      <w:pPr>
        <w:spacing w:line="360" w:lineRule="auto"/>
        <w:jc w:val="both"/>
        <w:rPr>
          <w:rFonts w:ascii="Arial" w:hAnsi="Arial" w:cs="Arial"/>
        </w:rPr>
      </w:pPr>
      <w:r w:rsidRPr="007925DE">
        <w:rPr>
          <w:rFonts w:ascii="Arial" w:hAnsi="Arial" w:cs="Arial"/>
        </w:rPr>
        <w:t xml:space="preserve">That is because owing to the COVID-19 outbreak the working models have become hybrid and flexible, and this situation prevails irrespective of the specificity of the business. Clients include </w:t>
      </w:r>
      <w:proofErr w:type="spellStart"/>
      <w:r w:rsidRPr="007925DE">
        <w:rPr>
          <w:rFonts w:ascii="Arial" w:hAnsi="Arial" w:cs="Arial"/>
        </w:rPr>
        <w:t>VialTech</w:t>
      </w:r>
      <w:proofErr w:type="spellEnd"/>
      <w:r w:rsidRPr="007925DE">
        <w:rPr>
          <w:rFonts w:ascii="Arial" w:hAnsi="Arial" w:cs="Arial"/>
        </w:rPr>
        <w:t xml:space="preserve">, a diagnostic services provider to both the National Health Service and private customers; some of these translate into questions to employees’ working hours. As the recently promoted Human Resource (HR) Manager, it is my privilege to produce this document on the case on flexible working strategies in </w:t>
      </w:r>
      <w:proofErr w:type="spellStart"/>
      <w:r w:rsidRPr="007925DE">
        <w:rPr>
          <w:rFonts w:ascii="Arial" w:hAnsi="Arial" w:cs="Arial"/>
        </w:rPr>
        <w:t>VialTech</w:t>
      </w:r>
      <w:proofErr w:type="spellEnd"/>
      <w:r w:rsidRPr="007925DE">
        <w:rPr>
          <w:rFonts w:ascii="Arial" w:hAnsi="Arial" w:cs="Arial"/>
        </w:rPr>
        <w:t xml:space="preserve">. It focuses on administrative employees, laboratory technicians, and customer relations of the testing sites that are working for the company at the time of executing the study. Additionally, flexible working can also be a key to talent acquisition and management since the contemporary employees appreciate the employers’ recognition of working flexibility and balancing the work, business, and other aspects of life spheres. To the current management of </w:t>
      </w:r>
      <w:proofErr w:type="spellStart"/>
      <w:r w:rsidRPr="007925DE">
        <w:rPr>
          <w:rFonts w:ascii="Arial" w:hAnsi="Arial" w:cs="Arial"/>
        </w:rPr>
        <w:t>VialTech</w:t>
      </w:r>
      <w:proofErr w:type="spellEnd"/>
      <w:r w:rsidRPr="007925DE">
        <w:rPr>
          <w:rFonts w:ascii="Arial" w:hAnsi="Arial" w:cs="Arial"/>
        </w:rPr>
        <w:t xml:space="preserve"> it shall entail realization of the advantages in the sense that, employee performances will be on the rise, stable performances as well as efficiency in service delivery.  Proper recognition of the steps of implementing the option of flexible working requires the following analyses concerning </w:t>
      </w:r>
      <w:proofErr w:type="spellStart"/>
      <w:r w:rsidRPr="007925DE">
        <w:rPr>
          <w:rFonts w:ascii="Arial" w:hAnsi="Arial" w:cs="Arial"/>
        </w:rPr>
        <w:t>VialTech’s</w:t>
      </w:r>
      <w:proofErr w:type="spellEnd"/>
      <w:r w:rsidRPr="007925DE">
        <w:rPr>
          <w:rFonts w:ascii="Arial" w:hAnsi="Arial" w:cs="Arial"/>
        </w:rPr>
        <w:t xml:space="preserve"> HR department. These are analyzing the applicability of the flexibility concept in the organizational work roles/locations; assessing the organizational technological preparedness; and establishing the organizational flexibility working benchmarks and parameters. For example, while some workers may perform their tasks off the facility such as the administrators, lab technicians may require physical contact with laboratory equipment</w:t>
      </w:r>
      <w:r w:rsidR="008C12F3" w:rsidRPr="007925DE">
        <w:rPr>
          <w:rFonts w:ascii="Arial" w:hAnsi="Arial" w:cs="Arial"/>
        </w:rPr>
        <w:t xml:space="preserve"> (</w:t>
      </w:r>
      <w:proofErr w:type="spellStart"/>
      <w:r w:rsidR="008C12F3" w:rsidRPr="007925DE">
        <w:rPr>
          <w:rFonts w:ascii="Arial" w:hAnsi="Arial" w:cs="Arial"/>
          <w:color w:val="222222"/>
          <w:shd w:val="clear" w:color="auto" w:fill="FFFFFF"/>
        </w:rPr>
        <w:t>Kakabadse</w:t>
      </w:r>
      <w:proofErr w:type="spellEnd"/>
      <w:r w:rsidR="008C12F3" w:rsidRPr="007925DE">
        <w:rPr>
          <w:rFonts w:ascii="Arial" w:hAnsi="Arial" w:cs="Arial"/>
          <w:color w:val="222222"/>
          <w:shd w:val="clear" w:color="auto" w:fill="FFFFFF"/>
        </w:rPr>
        <w:t xml:space="preserve"> and Bank, 2018</w:t>
      </w:r>
      <w:r w:rsidR="008C12F3" w:rsidRPr="007925DE">
        <w:rPr>
          <w:rFonts w:ascii="Arial" w:hAnsi="Arial" w:cs="Arial"/>
        </w:rPr>
        <w:t>)</w:t>
      </w:r>
      <w:r w:rsidRPr="007925DE">
        <w:rPr>
          <w:rFonts w:ascii="Arial" w:hAnsi="Arial" w:cs="Arial"/>
        </w:rPr>
        <w:t xml:space="preserve">. Analyzing peculiarities of the work of customer-oriented employees of testing sites, one should also take into account such peculiarities. Hence, there is no one size fits all regarding the solution to be provided to the teams, and it is always wise for the HR department to evaluate all the distinct needs of the teams. Another variable which could be affected is the change in perspectives regarding the options of pay systems. Perhaps, conventional work and remuneration patterns that presuppose a clear schedule of work in a given industry are not ideal for an environment where there is flexibility concerning working hours. In this regard, it is crucial to focus on the compensation practices and develop a new payment system within the </w:t>
      </w:r>
      <w:proofErr w:type="spellStart"/>
      <w:r w:rsidRPr="007925DE">
        <w:rPr>
          <w:rFonts w:ascii="Arial" w:hAnsi="Arial" w:cs="Arial"/>
        </w:rPr>
        <w:t>VialTech</w:t>
      </w:r>
      <w:proofErr w:type="spellEnd"/>
      <w:r w:rsidRPr="007925DE">
        <w:rPr>
          <w:rFonts w:ascii="Arial" w:hAnsi="Arial" w:cs="Arial"/>
        </w:rPr>
        <w:t xml:space="preserve"> that should be based on the output-based pay or performance bonuses for achieving equal salary remuneration</w:t>
      </w:r>
      <w:r w:rsidR="00CF7CF0" w:rsidRPr="007925DE">
        <w:rPr>
          <w:rFonts w:ascii="Arial" w:hAnsi="Arial" w:cs="Arial"/>
        </w:rPr>
        <w:t xml:space="preserve"> (</w:t>
      </w:r>
      <w:r w:rsidR="00CF7CF0" w:rsidRPr="007925DE">
        <w:rPr>
          <w:rFonts w:ascii="Arial" w:hAnsi="Arial" w:cs="Arial"/>
          <w:color w:val="222222"/>
          <w:shd w:val="clear" w:color="auto" w:fill="FFFFFF"/>
        </w:rPr>
        <w:t>Townsend et al., 2017</w:t>
      </w:r>
      <w:r w:rsidR="00CF7CF0" w:rsidRPr="007925DE">
        <w:rPr>
          <w:rFonts w:ascii="Arial" w:hAnsi="Arial" w:cs="Arial"/>
        </w:rPr>
        <w:t>)</w:t>
      </w:r>
      <w:r w:rsidRPr="007925DE">
        <w:rPr>
          <w:rFonts w:ascii="Arial" w:hAnsi="Arial" w:cs="Arial"/>
        </w:rPr>
        <w:t xml:space="preserve">. This implies that any adjustments to the concept of pay structure must be made known to the employees in a bid to respect their trust. It is also necessary to enhance the employees’ engagement when implementing the flexible working as highlighted earlier. This, </w:t>
      </w:r>
      <w:proofErr w:type="spellStart"/>
      <w:r w:rsidRPr="007925DE">
        <w:rPr>
          <w:rFonts w:ascii="Arial" w:hAnsi="Arial" w:cs="Arial"/>
        </w:rPr>
        <w:t>VialTech</w:t>
      </w:r>
      <w:proofErr w:type="spellEnd"/>
      <w:r w:rsidRPr="007925DE">
        <w:rPr>
          <w:rFonts w:ascii="Arial" w:hAnsi="Arial" w:cs="Arial"/>
        </w:rPr>
        <w:t xml:space="preserve"> should have practices such as regular virtual meetings, the integration of the teams with playful activities and the development of new skills from time to time to hold the employees. </w:t>
      </w:r>
      <w:r w:rsidRPr="007925DE">
        <w:rPr>
          <w:rFonts w:ascii="Arial" w:hAnsi="Arial" w:cs="Arial"/>
        </w:rPr>
        <w:lastRenderedPageBreak/>
        <w:t>It would be very helpful if they could consult the employees and also involve the employees in decision making for accepting the new working order since they will boost up the committed level of the employees for the new model.</w:t>
      </w:r>
    </w:p>
    <w:p w:rsidR="00700069" w:rsidRPr="007925DE" w:rsidRDefault="00700069">
      <w:pPr>
        <w:rPr>
          <w:rFonts w:ascii="Arial" w:hAnsi="Arial" w:cs="Arial"/>
        </w:rPr>
      </w:pPr>
      <w:r w:rsidRPr="007925DE">
        <w:rPr>
          <w:rFonts w:ascii="Arial" w:hAnsi="Arial" w:cs="Arial"/>
        </w:rPr>
        <w:br w:type="page"/>
      </w:r>
    </w:p>
    <w:p w:rsidR="00700069" w:rsidRPr="007925DE" w:rsidRDefault="00700069" w:rsidP="004904FA">
      <w:pPr>
        <w:pStyle w:val="Heading1"/>
        <w:spacing w:line="360" w:lineRule="auto"/>
        <w:rPr>
          <w:rFonts w:ascii="Arial" w:hAnsi="Arial" w:cs="Arial"/>
          <w:sz w:val="22"/>
          <w:szCs w:val="22"/>
        </w:rPr>
      </w:pPr>
      <w:bookmarkStart w:id="1" w:name="_Toc172099282"/>
      <w:r w:rsidRPr="007925DE">
        <w:rPr>
          <w:rFonts w:ascii="Arial" w:hAnsi="Arial" w:cs="Arial"/>
          <w:sz w:val="22"/>
          <w:szCs w:val="22"/>
        </w:rPr>
        <w:lastRenderedPageBreak/>
        <w:t>MAIN BODY</w:t>
      </w:r>
      <w:bookmarkEnd w:id="1"/>
      <w:r w:rsidRPr="007925DE">
        <w:rPr>
          <w:rFonts w:ascii="Arial" w:hAnsi="Arial" w:cs="Arial"/>
          <w:sz w:val="22"/>
          <w:szCs w:val="22"/>
        </w:rPr>
        <w:t xml:space="preserve"> </w:t>
      </w:r>
    </w:p>
    <w:p w:rsidR="00700069" w:rsidRPr="007925DE" w:rsidRDefault="00700069" w:rsidP="003B2078">
      <w:pPr>
        <w:spacing w:line="360" w:lineRule="auto"/>
        <w:jc w:val="both"/>
        <w:rPr>
          <w:rFonts w:ascii="Arial" w:hAnsi="Arial" w:cs="Arial"/>
        </w:rPr>
      </w:pPr>
      <w:r w:rsidRPr="007925DE">
        <w:rPr>
          <w:rFonts w:ascii="Arial" w:hAnsi="Arial" w:cs="Arial"/>
        </w:rPr>
        <w:t xml:space="preserve">It is possible to state that introducing the flexible working strategies in </w:t>
      </w:r>
      <w:proofErr w:type="spellStart"/>
      <w:r w:rsidRPr="007925DE">
        <w:rPr>
          <w:rFonts w:ascii="Arial" w:hAnsi="Arial" w:cs="Arial"/>
        </w:rPr>
        <w:t>VialTech</w:t>
      </w:r>
      <w:proofErr w:type="spellEnd"/>
      <w:r w:rsidRPr="007925DE">
        <w:rPr>
          <w:rFonts w:ascii="Arial" w:hAnsi="Arial" w:cs="Arial"/>
        </w:rPr>
        <w:t xml:space="preserve"> can contribute numerous advantageous outcomes concerning both people and organizations. Another is the increase in motivation and hence job performance among the employees in any organization is a plus. Also, customization of working arrangements enable people to achieve the balance between family responsibilities, personal needs, and work obligations hence lessen pressures at the workplace. Herzberg’s Two Factor Theory suggests that there are surroundings like Satisfaction and Dissatisfaction and these include attributes such as the extent of control an employee has in deciding what he or she does, and the amount of time an employee spends at work in relation to the time he or she spends with family or friends. This is because flexible working solves these factors by giving the employees more freedom on how to manage their time and do their duties. </w:t>
      </w:r>
    </w:p>
    <w:p w:rsidR="00700069" w:rsidRPr="007925DE" w:rsidRDefault="00700069" w:rsidP="00931B84">
      <w:pPr>
        <w:spacing w:line="360" w:lineRule="auto"/>
        <w:jc w:val="both"/>
        <w:rPr>
          <w:rFonts w:ascii="Arial" w:hAnsi="Arial" w:cs="Arial"/>
        </w:rPr>
      </w:pPr>
      <w:r w:rsidRPr="007925DE">
        <w:rPr>
          <w:rFonts w:ascii="Arial" w:hAnsi="Arial" w:cs="Arial"/>
        </w:rPr>
        <w:t>In addition, flexibly work can contribute to the decrease of absenteeism and turnover rates in an organization. If employees enjoy some discretion regarding personal issues that require their attention, but before they attend to such an issue they can guarantee that they will not be compromising their work performance, then care leave will not be called for</w:t>
      </w:r>
      <w:r w:rsidR="00BB536B" w:rsidRPr="007925DE">
        <w:rPr>
          <w:rFonts w:ascii="Arial" w:hAnsi="Arial" w:cs="Arial"/>
        </w:rPr>
        <w:t xml:space="preserve"> (</w:t>
      </w:r>
      <w:proofErr w:type="spellStart"/>
      <w:r w:rsidR="00BB536B" w:rsidRPr="007925DE">
        <w:rPr>
          <w:rFonts w:ascii="Arial" w:hAnsi="Arial" w:cs="Arial"/>
          <w:color w:val="222222"/>
          <w:shd w:val="clear" w:color="auto" w:fill="FFFFFF"/>
        </w:rPr>
        <w:t>Cropanzano</w:t>
      </w:r>
      <w:proofErr w:type="spellEnd"/>
      <w:r w:rsidR="00BB536B" w:rsidRPr="007925DE">
        <w:rPr>
          <w:rFonts w:ascii="Arial" w:hAnsi="Arial" w:cs="Arial"/>
          <w:color w:val="222222"/>
          <w:shd w:val="clear" w:color="auto" w:fill="FFFFFF"/>
        </w:rPr>
        <w:t xml:space="preserve"> et al., 2017</w:t>
      </w:r>
      <w:r w:rsidR="00BB536B" w:rsidRPr="007925DE">
        <w:rPr>
          <w:rFonts w:ascii="Arial" w:hAnsi="Arial" w:cs="Arial"/>
        </w:rPr>
        <w:t>)</w:t>
      </w:r>
      <w:r w:rsidRPr="007925DE">
        <w:rPr>
          <w:rFonts w:ascii="Arial" w:hAnsi="Arial" w:cs="Arial"/>
        </w:rPr>
        <w:t xml:space="preserve">. This means that the efficiency of the organization may be determined by reduction of work absenteeism or disruptions which affect continuity of work. Additionally, the working environment that would allow flexibility should also extend the turnover of employees. Thus, flexible working arrangements can become one of the main competitive advantages for </w:t>
      </w:r>
      <w:proofErr w:type="spellStart"/>
      <w:r w:rsidRPr="007925DE">
        <w:rPr>
          <w:rFonts w:ascii="Arial" w:hAnsi="Arial" w:cs="Arial"/>
        </w:rPr>
        <w:t>VialTech</w:t>
      </w:r>
      <w:proofErr w:type="spellEnd"/>
      <w:r w:rsidRPr="007925DE">
        <w:rPr>
          <w:rFonts w:ascii="Arial" w:hAnsi="Arial" w:cs="Arial"/>
        </w:rPr>
        <w:t xml:space="preserve"> in the context of today’s job market where employees pay attention to work-life balance. According to CIPD’s research, the use of flexibility work arrangements benefits organizations and its people since it increases organizational commitment and thus decreases turnover and cost of recruitment and training</w:t>
      </w:r>
      <w:r w:rsidR="0075297C" w:rsidRPr="007925DE">
        <w:rPr>
          <w:rFonts w:ascii="Arial" w:hAnsi="Arial" w:cs="Arial"/>
        </w:rPr>
        <w:t xml:space="preserve"> (</w:t>
      </w:r>
      <w:r w:rsidR="0075297C" w:rsidRPr="007925DE">
        <w:rPr>
          <w:rFonts w:ascii="Arial" w:hAnsi="Arial" w:cs="Arial"/>
          <w:color w:val="222222"/>
          <w:shd w:val="clear" w:color="auto" w:fill="FFFFFF"/>
        </w:rPr>
        <w:t xml:space="preserve">Lloyd and </w:t>
      </w:r>
      <w:proofErr w:type="spellStart"/>
      <w:r w:rsidR="0075297C" w:rsidRPr="007925DE">
        <w:rPr>
          <w:rFonts w:ascii="Arial" w:hAnsi="Arial" w:cs="Arial"/>
          <w:color w:val="222222"/>
          <w:shd w:val="clear" w:color="auto" w:fill="FFFFFF"/>
        </w:rPr>
        <w:t>Mertens</w:t>
      </w:r>
      <w:proofErr w:type="spellEnd"/>
      <w:r w:rsidR="0075297C" w:rsidRPr="007925DE">
        <w:rPr>
          <w:rFonts w:ascii="Arial" w:hAnsi="Arial" w:cs="Arial"/>
          <w:color w:val="222222"/>
          <w:shd w:val="clear" w:color="auto" w:fill="FFFFFF"/>
        </w:rPr>
        <w:t>, 2018</w:t>
      </w:r>
      <w:r w:rsidR="0075297C" w:rsidRPr="007925DE">
        <w:rPr>
          <w:rFonts w:ascii="Arial" w:hAnsi="Arial" w:cs="Arial"/>
        </w:rPr>
        <w:t>)</w:t>
      </w:r>
      <w:r w:rsidRPr="007925DE">
        <w:rPr>
          <w:rFonts w:ascii="Arial" w:hAnsi="Arial" w:cs="Arial"/>
        </w:rPr>
        <w:t xml:space="preserve">. </w:t>
      </w:r>
    </w:p>
    <w:p w:rsidR="00700069" w:rsidRPr="007925DE" w:rsidRDefault="00700069" w:rsidP="00700069">
      <w:pPr>
        <w:spacing w:line="360" w:lineRule="auto"/>
        <w:jc w:val="both"/>
        <w:rPr>
          <w:rFonts w:ascii="Arial" w:hAnsi="Arial" w:cs="Arial"/>
        </w:rPr>
      </w:pPr>
      <w:r w:rsidRPr="007925DE">
        <w:rPr>
          <w:rFonts w:ascii="Arial" w:hAnsi="Arial" w:cs="Arial"/>
        </w:rPr>
        <w:t xml:space="preserve">Besides, flexible working can mean the recruitment of a more extensive pool of applicants. Many of the modern employees, particularly </w:t>
      </w:r>
      <w:r w:rsidR="003B2078" w:rsidRPr="007925DE">
        <w:rPr>
          <w:rFonts w:ascii="Arial" w:hAnsi="Arial" w:cs="Arial"/>
        </w:rPr>
        <w:t>millennial</w:t>
      </w:r>
      <w:r w:rsidRPr="007925DE">
        <w:rPr>
          <w:rFonts w:ascii="Arial" w:hAnsi="Arial" w:cs="Arial"/>
        </w:rPr>
        <w:t xml:space="preserve">, value their free time and are ready to work for a company that allows them to have a flexible schedule. </w:t>
      </w:r>
      <w:proofErr w:type="spellStart"/>
      <w:r w:rsidRPr="007925DE">
        <w:rPr>
          <w:rFonts w:ascii="Arial" w:hAnsi="Arial" w:cs="Arial"/>
        </w:rPr>
        <w:t>VialTech</w:t>
      </w:r>
      <w:proofErr w:type="spellEnd"/>
      <w:r w:rsidRPr="007925DE">
        <w:rPr>
          <w:rFonts w:ascii="Arial" w:hAnsi="Arial" w:cs="Arial"/>
        </w:rPr>
        <w:t xml:space="preserve"> can always use the following approaches to the working strategies as strong and fruitful steps for the company: The ideas of the flexible working strategy help </w:t>
      </w:r>
      <w:proofErr w:type="spellStart"/>
      <w:r w:rsidRPr="007925DE">
        <w:rPr>
          <w:rFonts w:ascii="Arial" w:hAnsi="Arial" w:cs="Arial"/>
        </w:rPr>
        <w:t>VialTech</w:t>
      </w:r>
      <w:proofErr w:type="spellEnd"/>
      <w:r w:rsidRPr="007925DE">
        <w:rPr>
          <w:rFonts w:ascii="Arial" w:hAnsi="Arial" w:cs="Arial"/>
        </w:rPr>
        <w:t xml:space="preserve"> to be an attractive company for applying to the representatives of the healthcare industry, which will allow increasing the number of talented people among the workers. Thereby, cultural differences might create differing views and approaches to the situation which, in turn, fosters growth and improve the organization’s problem-solving skills</w:t>
      </w:r>
      <w:r w:rsidR="00345BCE" w:rsidRPr="007925DE">
        <w:rPr>
          <w:rFonts w:ascii="Arial" w:hAnsi="Arial" w:cs="Arial"/>
        </w:rPr>
        <w:t xml:space="preserve"> (</w:t>
      </w:r>
      <w:proofErr w:type="spellStart"/>
      <w:r w:rsidR="00345BCE" w:rsidRPr="007925DE">
        <w:rPr>
          <w:rFonts w:ascii="Arial" w:hAnsi="Arial" w:cs="Arial"/>
          <w:color w:val="222222"/>
          <w:shd w:val="clear" w:color="auto" w:fill="FFFFFF"/>
        </w:rPr>
        <w:t>Davidescu</w:t>
      </w:r>
      <w:proofErr w:type="spellEnd"/>
      <w:r w:rsidR="00345BCE" w:rsidRPr="007925DE">
        <w:rPr>
          <w:rFonts w:ascii="Arial" w:hAnsi="Arial" w:cs="Arial"/>
          <w:color w:val="222222"/>
          <w:shd w:val="clear" w:color="auto" w:fill="FFFFFF"/>
        </w:rPr>
        <w:t xml:space="preserve"> et al., 2020</w:t>
      </w:r>
      <w:r w:rsidR="00345BCE" w:rsidRPr="007925DE">
        <w:rPr>
          <w:rFonts w:ascii="Arial" w:hAnsi="Arial" w:cs="Arial"/>
        </w:rPr>
        <w:t>)</w:t>
      </w:r>
      <w:r w:rsidRPr="007925DE">
        <w:rPr>
          <w:rFonts w:ascii="Arial" w:hAnsi="Arial" w:cs="Arial"/>
        </w:rPr>
        <w:t xml:space="preserve">. For instance, such giants as Google and </w:t>
      </w:r>
      <w:r w:rsidRPr="007925DE">
        <w:rPr>
          <w:rFonts w:ascii="Arial" w:hAnsi="Arial" w:cs="Arial"/>
        </w:rPr>
        <w:lastRenderedPageBreak/>
        <w:t xml:space="preserve">Microsoft introduced the principle of flexible working and reported enhanced satisfaction rates among the employees, as well as more efficient recruitment strategies. </w:t>
      </w:r>
    </w:p>
    <w:p w:rsidR="00700069" w:rsidRPr="007925DE" w:rsidRDefault="00700069" w:rsidP="00931B84">
      <w:pPr>
        <w:spacing w:line="360" w:lineRule="auto"/>
        <w:jc w:val="both"/>
        <w:rPr>
          <w:rFonts w:ascii="Arial" w:hAnsi="Arial" w:cs="Arial"/>
        </w:rPr>
      </w:pPr>
      <w:r w:rsidRPr="007925DE">
        <w:rPr>
          <w:rFonts w:ascii="Arial" w:hAnsi="Arial" w:cs="Arial"/>
        </w:rPr>
        <w:t xml:space="preserve">There are some recommendations that have to be implemented within the HR department prior to the introduction of the FWA in </w:t>
      </w:r>
      <w:proofErr w:type="spellStart"/>
      <w:r w:rsidRPr="007925DE">
        <w:rPr>
          <w:rFonts w:ascii="Arial" w:hAnsi="Arial" w:cs="Arial"/>
        </w:rPr>
        <w:t>VialTech</w:t>
      </w:r>
      <w:proofErr w:type="spellEnd"/>
      <w:r w:rsidRPr="007925DE">
        <w:rPr>
          <w:rFonts w:ascii="Arial" w:hAnsi="Arial" w:cs="Arial"/>
        </w:rPr>
        <w:t xml:space="preserve">: The first intervention is a check of the practicality of the use of flexible work / employment arrangements regarding various positions and branches of the company. As many teams at </w:t>
      </w:r>
      <w:proofErr w:type="spellStart"/>
      <w:r w:rsidRPr="007925DE">
        <w:rPr>
          <w:rFonts w:ascii="Arial" w:hAnsi="Arial" w:cs="Arial"/>
        </w:rPr>
        <w:t>VialTech</w:t>
      </w:r>
      <w:proofErr w:type="spellEnd"/>
      <w:r w:rsidRPr="007925DE">
        <w:rPr>
          <w:rFonts w:ascii="Arial" w:hAnsi="Arial" w:cs="Arial"/>
        </w:rPr>
        <w:t xml:space="preserve"> are different, their requirements and limitations imply that a different approach to the concept of flexible working needs to be applied to each of them. </w:t>
      </w:r>
    </w:p>
    <w:p w:rsidR="00700069" w:rsidRPr="007925DE" w:rsidRDefault="00700069" w:rsidP="00931B84">
      <w:pPr>
        <w:spacing w:line="360" w:lineRule="auto"/>
        <w:jc w:val="both"/>
        <w:rPr>
          <w:rFonts w:ascii="Arial" w:hAnsi="Arial" w:cs="Arial"/>
        </w:rPr>
      </w:pPr>
      <w:r w:rsidRPr="007925DE">
        <w:rPr>
          <w:rFonts w:ascii="Arial" w:hAnsi="Arial" w:cs="Arial"/>
        </w:rPr>
        <w:t>Remote working is manageable for administrators since their work can mainly be conducted through the use of technology. Such roles often require activities including, and not limited to data input, time management, and communication that can easily be addressed through the use of technological devices. However, the HR department needs to make sure that administrators are provided with secure and efficient means of using digital applications for their communication and work collaborations. Also, security concerns have to be enhanced especially when handling sensitive data as seen with patients’ details in a healthcare organization</w:t>
      </w:r>
      <w:r w:rsidR="00236016" w:rsidRPr="007925DE">
        <w:rPr>
          <w:rFonts w:ascii="Arial" w:hAnsi="Arial" w:cs="Arial"/>
        </w:rPr>
        <w:t xml:space="preserve"> (</w:t>
      </w:r>
      <w:proofErr w:type="spellStart"/>
      <w:r w:rsidR="00236016" w:rsidRPr="007925DE">
        <w:rPr>
          <w:rFonts w:ascii="Arial" w:hAnsi="Arial" w:cs="Arial"/>
          <w:color w:val="222222"/>
          <w:shd w:val="clear" w:color="auto" w:fill="FFFFFF"/>
        </w:rPr>
        <w:t>Menezes</w:t>
      </w:r>
      <w:proofErr w:type="spellEnd"/>
      <w:r w:rsidR="00236016" w:rsidRPr="007925DE">
        <w:rPr>
          <w:rFonts w:ascii="Arial" w:hAnsi="Arial" w:cs="Arial"/>
          <w:color w:val="222222"/>
          <w:shd w:val="clear" w:color="auto" w:fill="FFFFFF"/>
        </w:rPr>
        <w:t xml:space="preserve"> and </w:t>
      </w:r>
      <w:proofErr w:type="spellStart"/>
      <w:r w:rsidR="00236016" w:rsidRPr="007925DE">
        <w:rPr>
          <w:rFonts w:ascii="Arial" w:hAnsi="Arial" w:cs="Arial"/>
          <w:color w:val="222222"/>
          <w:shd w:val="clear" w:color="auto" w:fill="FFFFFF"/>
        </w:rPr>
        <w:t>Kelliher</w:t>
      </w:r>
      <w:proofErr w:type="spellEnd"/>
      <w:r w:rsidR="00236016" w:rsidRPr="007925DE">
        <w:rPr>
          <w:rFonts w:ascii="Arial" w:hAnsi="Arial" w:cs="Arial"/>
          <w:color w:val="222222"/>
          <w:shd w:val="clear" w:color="auto" w:fill="FFFFFF"/>
        </w:rPr>
        <w:t>, 2017</w:t>
      </w:r>
      <w:r w:rsidR="00236016" w:rsidRPr="007925DE">
        <w:rPr>
          <w:rFonts w:ascii="Arial" w:hAnsi="Arial" w:cs="Arial"/>
        </w:rPr>
        <w:t>)</w:t>
      </w:r>
      <w:r w:rsidRPr="007925DE">
        <w:rPr>
          <w:rFonts w:ascii="Arial" w:hAnsi="Arial" w:cs="Arial"/>
        </w:rPr>
        <w:t xml:space="preserve">. </w:t>
      </w:r>
    </w:p>
    <w:p w:rsidR="00700069" w:rsidRPr="007925DE" w:rsidRDefault="00700069" w:rsidP="00700069">
      <w:pPr>
        <w:spacing w:line="360" w:lineRule="auto"/>
        <w:jc w:val="both"/>
        <w:rPr>
          <w:rFonts w:ascii="Arial" w:hAnsi="Arial" w:cs="Arial"/>
        </w:rPr>
      </w:pPr>
      <w:r w:rsidRPr="007925DE">
        <w:rPr>
          <w:rFonts w:ascii="Arial" w:hAnsi="Arial" w:cs="Arial"/>
        </w:rPr>
        <w:t xml:space="preserve">However, the general </w:t>
      </w:r>
      <w:r w:rsidR="001D6D24" w:rsidRPr="007925DE">
        <w:rPr>
          <w:rFonts w:ascii="Arial" w:hAnsi="Arial" w:cs="Arial"/>
        </w:rPr>
        <w:t>direction</w:t>
      </w:r>
      <w:r w:rsidRPr="007925DE">
        <w:rPr>
          <w:rFonts w:ascii="Arial" w:hAnsi="Arial" w:cs="Arial"/>
        </w:rPr>
        <w:t xml:space="preserve"> must be maintained, together with the technological preconditioning, always needed to facilitate operative flexible working by the HR department. In this context, it appears to refer to the offering of adequate means and resources of digital security for the employees so that they are able to access only secure and reliable means of communication as well as work related applications and platforms</w:t>
      </w:r>
      <w:r w:rsidR="00A264B9" w:rsidRPr="007925DE">
        <w:rPr>
          <w:rFonts w:ascii="Arial" w:hAnsi="Arial" w:cs="Arial"/>
        </w:rPr>
        <w:t xml:space="preserve"> (</w:t>
      </w:r>
      <w:proofErr w:type="spellStart"/>
      <w:r w:rsidR="00A264B9" w:rsidRPr="007925DE">
        <w:rPr>
          <w:rFonts w:ascii="Arial" w:hAnsi="Arial" w:cs="Arial"/>
          <w:color w:val="222222"/>
          <w:shd w:val="clear" w:color="auto" w:fill="FFFFFF"/>
        </w:rPr>
        <w:t>Cañibano</w:t>
      </w:r>
      <w:proofErr w:type="spellEnd"/>
      <w:r w:rsidR="00A264B9" w:rsidRPr="007925DE">
        <w:rPr>
          <w:rFonts w:ascii="Arial" w:hAnsi="Arial" w:cs="Arial"/>
          <w:color w:val="222222"/>
          <w:shd w:val="clear" w:color="auto" w:fill="FFFFFF"/>
        </w:rPr>
        <w:t>, 2019</w:t>
      </w:r>
      <w:r w:rsidR="00A264B9" w:rsidRPr="007925DE">
        <w:rPr>
          <w:rFonts w:ascii="Arial" w:hAnsi="Arial" w:cs="Arial"/>
        </w:rPr>
        <w:t>)</w:t>
      </w:r>
      <w:r w:rsidRPr="007925DE">
        <w:rPr>
          <w:rFonts w:ascii="Arial" w:hAnsi="Arial" w:cs="Arial"/>
        </w:rPr>
        <w:t xml:space="preserve">. There is also the need for adequate measures to be put in place to ensure adequate security of data in cases where it is critical since most healthcare organizations involve the handling of critical patient information. Moreover, there should be timely support from the IT department for cases when some technical problem occurs and hinders the work of the employees. </w:t>
      </w:r>
    </w:p>
    <w:p w:rsidR="00115034" w:rsidRPr="007925DE" w:rsidRDefault="00700069" w:rsidP="00700069">
      <w:pPr>
        <w:spacing w:line="360" w:lineRule="auto"/>
        <w:jc w:val="both"/>
        <w:rPr>
          <w:rFonts w:ascii="Arial" w:hAnsi="Arial" w:cs="Arial"/>
        </w:rPr>
      </w:pPr>
      <w:r w:rsidRPr="007925DE">
        <w:rPr>
          <w:rFonts w:ascii="Arial" w:hAnsi="Arial" w:cs="Arial"/>
        </w:rPr>
        <w:t>Another is the creation of concrete policies and rules as such kind of people needs to be controlled. These policies should set out the business case, roles, and tasks for managed flexible working practices. It is crucial to clearly enforce these guidelines so that all the workers comprehend the newly established working structure and encode the organizational objectives</w:t>
      </w:r>
      <w:r w:rsidR="00106F77" w:rsidRPr="007925DE">
        <w:rPr>
          <w:rFonts w:ascii="Arial" w:hAnsi="Arial" w:cs="Arial"/>
        </w:rPr>
        <w:t xml:space="preserve"> (</w:t>
      </w:r>
      <w:proofErr w:type="spellStart"/>
      <w:r w:rsidR="00106F77" w:rsidRPr="007925DE">
        <w:rPr>
          <w:rFonts w:ascii="Arial" w:hAnsi="Arial" w:cs="Arial"/>
          <w:color w:val="222222"/>
          <w:shd w:val="clear" w:color="auto" w:fill="FFFFFF"/>
        </w:rPr>
        <w:t>Hashemi</w:t>
      </w:r>
      <w:proofErr w:type="spellEnd"/>
      <w:r w:rsidR="00106F77" w:rsidRPr="007925DE">
        <w:rPr>
          <w:rFonts w:ascii="Arial" w:hAnsi="Arial" w:cs="Arial"/>
          <w:color w:val="222222"/>
          <w:shd w:val="clear" w:color="auto" w:fill="FFFFFF"/>
        </w:rPr>
        <w:t xml:space="preserve"> et al., 2021</w:t>
      </w:r>
      <w:r w:rsidR="00106F77" w:rsidRPr="007925DE">
        <w:rPr>
          <w:rFonts w:ascii="Arial" w:hAnsi="Arial" w:cs="Arial"/>
        </w:rPr>
        <w:t>)</w:t>
      </w:r>
      <w:r w:rsidRPr="007925DE">
        <w:rPr>
          <w:rFonts w:ascii="Arial" w:hAnsi="Arial" w:cs="Arial"/>
        </w:rPr>
        <w:t xml:space="preserve">. Applicants of the Theory of Planned Behavior reacting to the notion that clear and communicated guidelines may change employees’ acceptance and their level of </w:t>
      </w:r>
      <w:r w:rsidRPr="007925DE">
        <w:rPr>
          <w:rFonts w:ascii="Arial" w:hAnsi="Arial" w:cs="Arial"/>
        </w:rPr>
        <w:lastRenderedPageBreak/>
        <w:t xml:space="preserve">compliance with new practices by altering their attitude and the level of perceived behavioral control concerning the studied matter.  </w:t>
      </w:r>
    </w:p>
    <w:p w:rsidR="00700069" w:rsidRPr="007925DE" w:rsidRDefault="00700069" w:rsidP="00700069">
      <w:pPr>
        <w:spacing w:line="360" w:lineRule="auto"/>
        <w:jc w:val="both"/>
        <w:rPr>
          <w:rFonts w:ascii="Arial" w:hAnsi="Arial" w:cs="Arial"/>
        </w:rPr>
      </w:pPr>
      <w:r w:rsidRPr="007925DE">
        <w:rPr>
          <w:rFonts w:ascii="Arial" w:hAnsi="Arial" w:cs="Arial"/>
        </w:rPr>
        <w:t xml:space="preserve">There is a possibility that the flexible working shall be applied in the facility shall require change of pay structure at </w:t>
      </w:r>
      <w:proofErr w:type="spellStart"/>
      <w:r w:rsidRPr="007925DE">
        <w:rPr>
          <w:rFonts w:ascii="Arial" w:hAnsi="Arial" w:cs="Arial"/>
        </w:rPr>
        <w:t>VialTech</w:t>
      </w:r>
      <w:proofErr w:type="spellEnd"/>
      <w:r w:rsidRPr="007925DE">
        <w:rPr>
          <w:rFonts w:ascii="Arial" w:hAnsi="Arial" w:cs="Arial"/>
        </w:rPr>
        <w:t xml:space="preserve">. Prescribed compensation structures may be considered appropriate within a rigid work schedule that determines the working hours and locations of the employees. </w:t>
      </w:r>
    </w:p>
    <w:p w:rsidR="00700069" w:rsidRPr="007925DE" w:rsidRDefault="00700069" w:rsidP="00700069">
      <w:pPr>
        <w:spacing w:line="360" w:lineRule="auto"/>
        <w:jc w:val="both"/>
        <w:rPr>
          <w:rFonts w:ascii="Arial" w:hAnsi="Arial" w:cs="Arial"/>
        </w:rPr>
      </w:pPr>
      <w:r w:rsidRPr="007925DE">
        <w:rPr>
          <w:rFonts w:ascii="Arial" w:hAnsi="Arial" w:cs="Arial"/>
        </w:rPr>
        <w:t>Some of the ways that theorists suggest can be used to alter the pay structure include the use of the output based pay or the pay-for-performance bonuses. This model of the employee allows a company to compensate them according to the level of productivity as opposed to the number of hours spent working</w:t>
      </w:r>
      <w:r w:rsidR="00E32DBA" w:rsidRPr="007925DE">
        <w:rPr>
          <w:rFonts w:ascii="Arial" w:hAnsi="Arial" w:cs="Arial"/>
        </w:rPr>
        <w:t xml:space="preserve"> (</w:t>
      </w:r>
      <w:proofErr w:type="spellStart"/>
      <w:r w:rsidR="00E32DBA" w:rsidRPr="007925DE">
        <w:rPr>
          <w:rFonts w:ascii="Arial" w:hAnsi="Arial" w:cs="Arial"/>
          <w:color w:val="222222"/>
          <w:shd w:val="clear" w:color="auto" w:fill="FFFFFF"/>
        </w:rPr>
        <w:t>Spreitzer</w:t>
      </w:r>
      <w:proofErr w:type="spellEnd"/>
      <w:r w:rsidR="00E32DBA" w:rsidRPr="007925DE">
        <w:rPr>
          <w:rFonts w:ascii="Arial" w:hAnsi="Arial" w:cs="Arial"/>
          <w:color w:val="222222"/>
          <w:shd w:val="clear" w:color="auto" w:fill="FFFFFF"/>
        </w:rPr>
        <w:t xml:space="preserve"> et al., 2017</w:t>
      </w:r>
      <w:r w:rsidR="00E32DBA" w:rsidRPr="007925DE">
        <w:rPr>
          <w:rFonts w:ascii="Arial" w:hAnsi="Arial" w:cs="Arial"/>
        </w:rPr>
        <w:t>)</w:t>
      </w:r>
      <w:r w:rsidRPr="007925DE">
        <w:rPr>
          <w:rFonts w:ascii="Arial" w:hAnsi="Arial" w:cs="Arial"/>
        </w:rPr>
        <w:t xml:space="preserve">. </w:t>
      </w:r>
    </w:p>
    <w:p w:rsidR="002313FB" w:rsidRPr="007925DE" w:rsidRDefault="00700069" w:rsidP="00931B84">
      <w:pPr>
        <w:spacing w:line="360" w:lineRule="auto"/>
        <w:jc w:val="both"/>
        <w:rPr>
          <w:rFonts w:ascii="Arial" w:hAnsi="Arial" w:cs="Arial"/>
        </w:rPr>
      </w:pPr>
      <w:r w:rsidRPr="007925DE">
        <w:rPr>
          <w:rFonts w:ascii="Arial" w:hAnsi="Arial" w:cs="Arial"/>
        </w:rPr>
        <w:t xml:space="preserve">Special attention must be paid to the transparency of the communication when it comes to any changes to the pay structure in order to avoid the erosion of trust and diminishing the engagement levels. The HR department must intensively communicate the reasons why there are changes in the pay models and how the changes support organizational objectives and corporate culture. Allowing the employees to express their opinions and concerns regarding the new pay system and asking questions also helps in improving their acceptance as well as their commitment to the new pay system. In the Expectancy Theory (Vroom, 1964) special attention should be paid to communication and the relationship between the established formal rewards and employees’ expected rewards. </w:t>
      </w:r>
    </w:p>
    <w:p w:rsidR="00700069" w:rsidRPr="007925DE" w:rsidRDefault="00700069" w:rsidP="00914E9A">
      <w:pPr>
        <w:spacing w:line="360" w:lineRule="auto"/>
        <w:jc w:val="both"/>
        <w:rPr>
          <w:rFonts w:ascii="Arial" w:hAnsi="Arial" w:cs="Arial"/>
        </w:rPr>
      </w:pPr>
      <w:r w:rsidRPr="007925DE">
        <w:rPr>
          <w:rFonts w:ascii="Arial" w:hAnsi="Arial" w:cs="Arial"/>
        </w:rPr>
        <w:t xml:space="preserve">In this case, works to increase employee engagement are central to raising the prospects of achieving flexibility at </w:t>
      </w:r>
      <w:proofErr w:type="spellStart"/>
      <w:r w:rsidRPr="007925DE">
        <w:rPr>
          <w:rFonts w:ascii="Arial" w:hAnsi="Arial" w:cs="Arial"/>
        </w:rPr>
        <w:t>VialTech</w:t>
      </w:r>
      <w:proofErr w:type="spellEnd"/>
      <w:r w:rsidRPr="007925DE">
        <w:rPr>
          <w:rFonts w:ascii="Arial" w:hAnsi="Arial" w:cs="Arial"/>
        </w:rPr>
        <w:t xml:space="preserve">. One of them is the use of virtual check-ins and team meetings with co-workers several times a week. </w:t>
      </w:r>
      <w:r w:rsidR="003B2078" w:rsidRPr="007925DE">
        <w:rPr>
          <w:rFonts w:ascii="Arial" w:hAnsi="Arial" w:cs="Arial"/>
        </w:rPr>
        <w:t>This</w:t>
      </w:r>
      <w:r w:rsidRPr="007925DE">
        <w:rPr>
          <w:rFonts w:ascii="Arial" w:hAnsi="Arial" w:cs="Arial"/>
        </w:rPr>
        <w:t xml:space="preserve"> check-ins </w:t>
      </w:r>
      <w:proofErr w:type="gramStart"/>
      <w:r w:rsidRPr="007925DE">
        <w:rPr>
          <w:rFonts w:ascii="Arial" w:hAnsi="Arial" w:cs="Arial"/>
        </w:rPr>
        <w:t>are</w:t>
      </w:r>
      <w:proofErr w:type="gramEnd"/>
      <w:r w:rsidRPr="007925DE">
        <w:rPr>
          <w:rFonts w:ascii="Arial" w:hAnsi="Arial" w:cs="Arial"/>
        </w:rPr>
        <w:t xml:space="preserve"> the times when employees can discuss with their peers and managers, exchange information, and get necessary feedback. When there are constant interactions; employees remain connected with one another, and they also know that their employers care enough to keep in touch. According to the Social Exchange Theory developed by </w:t>
      </w:r>
      <w:proofErr w:type="spellStart"/>
      <w:r w:rsidRPr="007925DE">
        <w:rPr>
          <w:rFonts w:ascii="Arial" w:hAnsi="Arial" w:cs="Arial"/>
        </w:rPr>
        <w:t>Blau</w:t>
      </w:r>
      <w:proofErr w:type="spellEnd"/>
      <w:r w:rsidRPr="007925DE">
        <w:rPr>
          <w:rFonts w:ascii="Arial" w:hAnsi="Arial" w:cs="Arial"/>
        </w:rPr>
        <w:t xml:space="preserve"> (1964), it is believed that improvements of interpersonal relationship and communication can help to increase the level of employee engagement due to obligation to reciprocate. </w:t>
      </w:r>
    </w:p>
    <w:p w:rsidR="00700069" w:rsidRPr="007925DE" w:rsidRDefault="00700069" w:rsidP="00931B84">
      <w:pPr>
        <w:spacing w:line="360" w:lineRule="auto"/>
        <w:jc w:val="both"/>
        <w:rPr>
          <w:rFonts w:ascii="Arial" w:hAnsi="Arial" w:cs="Arial"/>
        </w:rPr>
      </w:pPr>
      <w:r w:rsidRPr="007925DE">
        <w:rPr>
          <w:rFonts w:ascii="Arial" w:hAnsi="Arial" w:cs="Arial"/>
        </w:rPr>
        <w:t xml:space="preserve">One of the other key strategies include; Continual professional development. To demonstrate that the </w:t>
      </w:r>
      <w:r w:rsidR="00BB536B" w:rsidRPr="007925DE">
        <w:rPr>
          <w:rFonts w:ascii="Arial" w:hAnsi="Arial" w:cs="Arial"/>
        </w:rPr>
        <w:t>organization</w:t>
      </w:r>
      <w:r w:rsidRPr="007925DE">
        <w:rPr>
          <w:rFonts w:ascii="Arial" w:hAnsi="Arial" w:cs="Arial"/>
        </w:rPr>
        <w:t xml:space="preserve"> cares about an employee’s progression, one can offer learning and development chances. Together with training and development, the use of workshops and </w:t>
      </w:r>
      <w:r w:rsidRPr="007925DE">
        <w:rPr>
          <w:rFonts w:ascii="Arial" w:hAnsi="Arial" w:cs="Arial"/>
        </w:rPr>
        <w:lastRenderedPageBreak/>
        <w:t xml:space="preserve">online courses can also increase the level of engagement and productivity of the employees as they are able to interact with the latest developments in the field. The Self-Determination Theory by </w:t>
      </w:r>
      <w:proofErr w:type="spellStart"/>
      <w:r w:rsidRPr="007925DE">
        <w:rPr>
          <w:rFonts w:ascii="Arial" w:hAnsi="Arial" w:cs="Arial"/>
        </w:rPr>
        <w:t>Deci</w:t>
      </w:r>
      <w:proofErr w:type="spellEnd"/>
      <w:r w:rsidRPr="007925DE">
        <w:rPr>
          <w:rFonts w:ascii="Arial" w:hAnsi="Arial" w:cs="Arial"/>
        </w:rPr>
        <w:t xml:space="preserve"> and Ryan, 1985 implies that </w:t>
      </w:r>
      <w:proofErr w:type="gramStart"/>
      <w:r w:rsidRPr="007925DE">
        <w:rPr>
          <w:rFonts w:ascii="Arial" w:hAnsi="Arial" w:cs="Arial"/>
        </w:rPr>
        <w:t>learners</w:t>
      </w:r>
      <w:proofErr w:type="gramEnd"/>
      <w:r w:rsidRPr="007925DE">
        <w:rPr>
          <w:rFonts w:ascii="Arial" w:hAnsi="Arial" w:cs="Arial"/>
        </w:rPr>
        <w:t xml:space="preserve"> motivation would be highly increased and learners would be more engaged when they are allowed to learn in environments that fosters self-development. Another crucial factor is also the participation of the employees in the decision making process. When the employees are of the opinion that their inputs and feedbacks are welcome by the management, there can be a lot of contribution towards </w:t>
      </w:r>
      <w:r w:rsidR="0075297C" w:rsidRPr="007925DE">
        <w:rPr>
          <w:rFonts w:ascii="Arial" w:hAnsi="Arial" w:cs="Arial"/>
        </w:rPr>
        <w:t>organizational</w:t>
      </w:r>
      <w:r w:rsidRPr="007925DE">
        <w:rPr>
          <w:rFonts w:ascii="Arial" w:hAnsi="Arial" w:cs="Arial"/>
        </w:rPr>
        <w:t xml:space="preserve"> commitment towards the new working model. The case with the HR can be directly </w:t>
      </w:r>
      <w:proofErr w:type="gramStart"/>
      <w:r w:rsidRPr="007925DE">
        <w:rPr>
          <w:rFonts w:ascii="Arial" w:hAnsi="Arial" w:cs="Arial"/>
        </w:rPr>
        <w:t>involve</w:t>
      </w:r>
      <w:proofErr w:type="gramEnd"/>
      <w:r w:rsidRPr="007925DE">
        <w:rPr>
          <w:rFonts w:ascii="Arial" w:hAnsi="Arial" w:cs="Arial"/>
        </w:rPr>
        <w:t xml:space="preserve"> the employees through survey, focus group discussion, or employees feedback session with regard to the company’s policy on flexible working arrangements. The Locke and </w:t>
      </w:r>
      <w:proofErr w:type="spellStart"/>
      <w:r w:rsidRPr="007925DE">
        <w:rPr>
          <w:rFonts w:ascii="Arial" w:hAnsi="Arial" w:cs="Arial"/>
        </w:rPr>
        <w:t>Schweiger’s</w:t>
      </w:r>
      <w:proofErr w:type="spellEnd"/>
      <w:r w:rsidRPr="007925DE">
        <w:rPr>
          <w:rFonts w:ascii="Arial" w:hAnsi="Arial" w:cs="Arial"/>
        </w:rPr>
        <w:t xml:space="preserve"> (1979) Participation Theory also fosters the notion that the use of/measures taken with employee involvement decision makings improve the ownership and commitment of the workers for organizational alterations. </w:t>
      </w:r>
    </w:p>
    <w:p w:rsidR="00700069" w:rsidRPr="007925DE" w:rsidRDefault="00700069" w:rsidP="003B2078">
      <w:pPr>
        <w:spacing w:line="360" w:lineRule="auto"/>
        <w:jc w:val="both"/>
        <w:rPr>
          <w:rFonts w:ascii="Arial" w:hAnsi="Arial" w:cs="Arial"/>
        </w:rPr>
      </w:pPr>
      <w:r w:rsidRPr="007925DE">
        <w:rPr>
          <w:rFonts w:ascii="Arial" w:hAnsi="Arial" w:cs="Arial"/>
        </w:rPr>
        <w:t xml:space="preserve">For instance, IBM has managed to adopt flexible working policies through communication, training, and development, as well as encouraging the employees to participate in decision-making. Thus, IBM has observed increased levels of employees’ satisfaction and productivity, which proves that such strategies can be useful in a flexible working model. </w:t>
      </w:r>
    </w:p>
    <w:p w:rsidR="00700069" w:rsidRPr="007925DE" w:rsidRDefault="00700069" w:rsidP="00700069">
      <w:pPr>
        <w:spacing w:line="360" w:lineRule="auto"/>
        <w:jc w:val="both"/>
        <w:rPr>
          <w:rFonts w:ascii="Arial" w:hAnsi="Arial" w:cs="Arial"/>
        </w:rPr>
      </w:pPr>
      <w:r w:rsidRPr="007925DE">
        <w:rPr>
          <w:rFonts w:ascii="Arial" w:hAnsi="Arial" w:cs="Arial"/>
        </w:rPr>
        <w:t xml:space="preserve">In addition, the management has to make sure that the organizational culture fosters inclusion of diversity. Managers have a central role to ensure that such culture is promoted through practicing empathy, support and acknowledging employees’ work. </w:t>
      </w:r>
      <w:r w:rsidR="001D6D24" w:rsidRPr="007925DE">
        <w:rPr>
          <w:rFonts w:ascii="Arial" w:hAnsi="Arial" w:cs="Arial"/>
        </w:rPr>
        <w:t>I</w:t>
      </w:r>
      <w:r w:rsidRPr="007925DE">
        <w:rPr>
          <w:rFonts w:ascii="Arial" w:hAnsi="Arial" w:cs="Arial"/>
        </w:rPr>
        <w:t>t is easy to engage the human resources through such leadership styles as transformational leadership that emphasizes on the creation of change for the employees</w:t>
      </w:r>
      <w:r w:rsidR="0058447C" w:rsidRPr="007925DE">
        <w:rPr>
          <w:rFonts w:ascii="Arial" w:hAnsi="Arial" w:cs="Arial"/>
        </w:rPr>
        <w:t xml:space="preserve"> (</w:t>
      </w:r>
      <w:r w:rsidR="0058447C" w:rsidRPr="007925DE">
        <w:rPr>
          <w:rFonts w:ascii="Arial" w:hAnsi="Arial" w:cs="Arial"/>
          <w:color w:val="222222"/>
          <w:shd w:val="clear" w:color="auto" w:fill="FFFFFF"/>
        </w:rPr>
        <w:t>Wheatley, 2017</w:t>
      </w:r>
      <w:r w:rsidR="0058447C" w:rsidRPr="007925DE">
        <w:rPr>
          <w:rFonts w:ascii="Arial" w:hAnsi="Arial" w:cs="Arial"/>
        </w:rPr>
        <w:t>)</w:t>
      </w:r>
      <w:r w:rsidRPr="007925DE">
        <w:rPr>
          <w:rFonts w:ascii="Arial" w:hAnsi="Arial" w:cs="Arial"/>
        </w:rPr>
        <w:t xml:space="preserve">. The followers have access to information and the leaders also give them feedback, establish moral values at work, and engage the followers, making them more productive, hence making organizational commitment higher. </w:t>
      </w:r>
    </w:p>
    <w:p w:rsidR="00700069" w:rsidRPr="007925DE" w:rsidRDefault="00700069" w:rsidP="00700069">
      <w:pPr>
        <w:spacing w:line="360" w:lineRule="auto"/>
        <w:jc w:val="both"/>
        <w:rPr>
          <w:rFonts w:ascii="Arial" w:hAnsi="Arial" w:cs="Arial"/>
        </w:rPr>
      </w:pPr>
      <w:r w:rsidRPr="007925DE">
        <w:rPr>
          <w:rFonts w:ascii="Arial" w:hAnsi="Arial" w:cs="Arial"/>
        </w:rPr>
        <w:t xml:space="preserve">Lastly, there is the issue of appreciating the efforts of the employees in the organization. Examples of rewards are verbal and/or written appreciation from management, monetary rewards such as bonuses based on working performance, and promotion. Recognition and Reward theory by Kohn (1993) reveals that there is nothing as powerful as appreciation of the management to the employees in terms of effort and achievements. In this case, changes that can be made in </w:t>
      </w:r>
      <w:proofErr w:type="spellStart"/>
      <w:r w:rsidRPr="007925DE">
        <w:rPr>
          <w:rFonts w:ascii="Arial" w:hAnsi="Arial" w:cs="Arial"/>
        </w:rPr>
        <w:t>VialT</w:t>
      </w:r>
      <w:proofErr w:type="spellEnd"/>
      <w:r w:rsidRPr="007925DE">
        <w:rPr>
          <w:rFonts w:ascii="Arial" w:hAnsi="Arial" w:cs="Arial"/>
        </w:rPr>
        <w:t xml:space="preserve"> </w:t>
      </w:r>
      <w:proofErr w:type="spellStart"/>
      <w:r w:rsidRPr="007925DE">
        <w:rPr>
          <w:rFonts w:ascii="Arial" w:hAnsi="Arial" w:cs="Arial"/>
        </w:rPr>
        <w:t>ech</w:t>
      </w:r>
      <w:proofErr w:type="spellEnd"/>
      <w:r w:rsidRPr="007925DE">
        <w:rPr>
          <w:rFonts w:ascii="Arial" w:hAnsi="Arial" w:cs="Arial"/>
        </w:rPr>
        <w:t xml:space="preserve"> organization include the creation of effective recognition and reward </w:t>
      </w:r>
      <w:r w:rsidRPr="007925DE">
        <w:rPr>
          <w:rFonts w:ascii="Arial" w:hAnsi="Arial" w:cs="Arial"/>
        </w:rPr>
        <w:lastRenderedPageBreak/>
        <w:t>program which will make the employees feel recognized thus making more committed to their organization</w:t>
      </w:r>
      <w:r w:rsidR="001D6D24" w:rsidRPr="007925DE">
        <w:rPr>
          <w:rFonts w:ascii="Arial" w:hAnsi="Arial" w:cs="Arial"/>
        </w:rPr>
        <w:t xml:space="preserve"> (</w:t>
      </w:r>
      <w:r w:rsidR="001D6D24" w:rsidRPr="007925DE">
        <w:rPr>
          <w:rFonts w:ascii="Arial" w:hAnsi="Arial" w:cs="Arial"/>
          <w:color w:val="222222"/>
          <w:shd w:val="clear" w:color="auto" w:fill="FFFFFF"/>
        </w:rPr>
        <w:t>Alias</w:t>
      </w:r>
      <w:r w:rsidR="002F4EB8" w:rsidRPr="007925DE">
        <w:rPr>
          <w:rFonts w:ascii="Arial" w:hAnsi="Arial" w:cs="Arial"/>
          <w:color w:val="222222"/>
          <w:shd w:val="clear" w:color="auto" w:fill="FFFFFF"/>
        </w:rPr>
        <w:t xml:space="preserve"> et al.</w:t>
      </w:r>
      <w:r w:rsidR="001D6D24" w:rsidRPr="007925DE">
        <w:rPr>
          <w:rFonts w:ascii="Arial" w:hAnsi="Arial" w:cs="Arial"/>
          <w:color w:val="222222"/>
          <w:shd w:val="clear" w:color="auto" w:fill="FFFFFF"/>
        </w:rPr>
        <w:t>, 2018</w:t>
      </w:r>
      <w:r w:rsidR="001D6D24" w:rsidRPr="007925DE">
        <w:rPr>
          <w:rFonts w:ascii="Arial" w:hAnsi="Arial" w:cs="Arial"/>
        </w:rPr>
        <w:t>)</w:t>
      </w:r>
      <w:r w:rsidRPr="007925DE">
        <w:rPr>
          <w:rFonts w:ascii="Arial" w:hAnsi="Arial" w:cs="Arial"/>
        </w:rPr>
        <w:t>.</w:t>
      </w:r>
    </w:p>
    <w:p w:rsidR="00700069" w:rsidRPr="007925DE" w:rsidRDefault="00700069">
      <w:pPr>
        <w:rPr>
          <w:rFonts w:ascii="Arial" w:hAnsi="Arial" w:cs="Arial"/>
        </w:rPr>
      </w:pPr>
      <w:r w:rsidRPr="007925DE">
        <w:rPr>
          <w:rFonts w:ascii="Arial" w:hAnsi="Arial" w:cs="Arial"/>
        </w:rPr>
        <w:br w:type="page"/>
      </w:r>
    </w:p>
    <w:p w:rsidR="00700069" w:rsidRPr="004904FA" w:rsidRDefault="004904FA" w:rsidP="004904FA">
      <w:pPr>
        <w:pStyle w:val="Heading1"/>
        <w:spacing w:line="360" w:lineRule="auto"/>
        <w:jc w:val="both"/>
        <w:rPr>
          <w:rFonts w:ascii="Times New Roman" w:hAnsi="Times New Roman" w:cs="Times New Roman"/>
        </w:rPr>
      </w:pPr>
      <w:bookmarkStart w:id="2" w:name="_Toc172099283"/>
      <w:r w:rsidRPr="004904FA">
        <w:rPr>
          <w:rFonts w:ascii="Times New Roman" w:hAnsi="Times New Roman" w:cs="Times New Roman"/>
        </w:rPr>
        <w:lastRenderedPageBreak/>
        <w:t>CONCLUSION</w:t>
      </w:r>
      <w:bookmarkEnd w:id="2"/>
      <w:r w:rsidRPr="004904FA">
        <w:rPr>
          <w:rFonts w:ascii="Times New Roman" w:hAnsi="Times New Roman" w:cs="Times New Roman"/>
        </w:rPr>
        <w:t xml:space="preserve"> </w:t>
      </w:r>
    </w:p>
    <w:p w:rsidR="001D6D24" w:rsidRPr="007925DE" w:rsidRDefault="00700069" w:rsidP="00931B84">
      <w:pPr>
        <w:spacing w:line="360" w:lineRule="auto"/>
        <w:jc w:val="both"/>
        <w:rPr>
          <w:rFonts w:ascii="Arial" w:hAnsi="Arial" w:cs="Arial"/>
        </w:rPr>
      </w:pPr>
      <w:r w:rsidRPr="007925DE">
        <w:rPr>
          <w:rFonts w:ascii="Arial" w:hAnsi="Arial" w:cs="Arial"/>
        </w:rPr>
        <w:t xml:space="preserve">To sum up, the necessity of flexible working strategies in </w:t>
      </w:r>
      <w:proofErr w:type="spellStart"/>
      <w:r w:rsidRPr="007925DE">
        <w:rPr>
          <w:rFonts w:ascii="Arial" w:hAnsi="Arial" w:cs="Arial"/>
        </w:rPr>
        <w:t>VialTech</w:t>
      </w:r>
      <w:proofErr w:type="spellEnd"/>
      <w:r w:rsidRPr="007925DE">
        <w:rPr>
          <w:rFonts w:ascii="Arial" w:hAnsi="Arial" w:cs="Arial"/>
        </w:rPr>
        <w:t xml:space="preserve"> could be viewed as the key chance to improve employee satisfaction and organizati</w:t>
      </w:r>
      <w:bookmarkStart w:id="3" w:name="_GoBack"/>
      <w:bookmarkEnd w:id="3"/>
      <w:r w:rsidRPr="007925DE">
        <w:rPr>
          <w:rFonts w:ascii="Arial" w:hAnsi="Arial" w:cs="Arial"/>
        </w:rPr>
        <w:t xml:space="preserve">onal outcomes. This way, advantages such as improved morale, fewer times off by workers, and better employee recruitment and retention result in performance and service improvement. Nevertheless, the gaps and issues have to be identified by the HR department, and </w:t>
      </w:r>
      <w:r w:rsidR="001D6D24" w:rsidRPr="007925DE">
        <w:rPr>
          <w:rFonts w:ascii="Arial" w:hAnsi="Arial" w:cs="Arial"/>
        </w:rPr>
        <w:t>its strategies have</w:t>
      </w:r>
      <w:r w:rsidRPr="007925DE">
        <w:rPr>
          <w:rFonts w:ascii="Arial" w:hAnsi="Arial" w:cs="Arial"/>
        </w:rPr>
        <w:t xml:space="preserve"> to implement or improve. </w:t>
      </w:r>
    </w:p>
    <w:p w:rsidR="001D6D24" w:rsidRPr="007925DE" w:rsidRDefault="001D6D24">
      <w:pPr>
        <w:rPr>
          <w:rFonts w:ascii="Arial" w:hAnsi="Arial" w:cs="Arial"/>
        </w:rPr>
      </w:pPr>
      <w:r w:rsidRPr="007925DE">
        <w:rPr>
          <w:rFonts w:ascii="Arial" w:hAnsi="Arial" w:cs="Arial"/>
        </w:rPr>
        <w:br w:type="page"/>
      </w:r>
    </w:p>
    <w:p w:rsidR="00700069" w:rsidRPr="004904FA" w:rsidRDefault="001D6D24" w:rsidP="004904FA">
      <w:pPr>
        <w:pStyle w:val="Heading1"/>
        <w:spacing w:line="360" w:lineRule="auto"/>
        <w:jc w:val="both"/>
        <w:rPr>
          <w:rFonts w:ascii="Times New Roman" w:hAnsi="Times New Roman" w:cs="Times New Roman"/>
        </w:rPr>
      </w:pPr>
      <w:bookmarkStart w:id="4" w:name="_Toc172099284"/>
      <w:r w:rsidRPr="004904FA">
        <w:rPr>
          <w:rFonts w:ascii="Times New Roman" w:hAnsi="Times New Roman" w:cs="Times New Roman"/>
        </w:rPr>
        <w:lastRenderedPageBreak/>
        <w:t>REFERENCES</w:t>
      </w:r>
      <w:bookmarkEnd w:id="4"/>
      <w:r w:rsidRPr="004904FA">
        <w:rPr>
          <w:rFonts w:ascii="Times New Roman" w:hAnsi="Times New Roman" w:cs="Times New Roman"/>
        </w:rPr>
        <w:t xml:space="preserve"> </w:t>
      </w:r>
    </w:p>
    <w:p w:rsidR="00060FDD" w:rsidRPr="00090C85" w:rsidRDefault="00060FDD" w:rsidP="00090C85">
      <w:pPr>
        <w:spacing w:line="360" w:lineRule="auto"/>
        <w:ind w:left="720" w:hanging="720"/>
        <w:jc w:val="both"/>
        <w:rPr>
          <w:rFonts w:ascii="Times New Roman" w:hAnsi="Times New Roman" w:cs="Times New Roman"/>
          <w:sz w:val="24"/>
          <w:szCs w:val="24"/>
        </w:rPr>
      </w:pPr>
      <w:proofErr w:type="gramStart"/>
      <w:r w:rsidRPr="00090C85">
        <w:rPr>
          <w:rFonts w:ascii="Times New Roman" w:hAnsi="Times New Roman" w:cs="Times New Roman"/>
          <w:color w:val="222222"/>
          <w:sz w:val="24"/>
          <w:szCs w:val="24"/>
          <w:shd w:val="clear" w:color="auto" w:fill="FFFFFF"/>
        </w:rPr>
        <w:t xml:space="preserve">Alias, N.E., </w:t>
      </w:r>
      <w:proofErr w:type="spellStart"/>
      <w:r w:rsidRPr="00090C85">
        <w:rPr>
          <w:rFonts w:ascii="Times New Roman" w:hAnsi="Times New Roman" w:cs="Times New Roman"/>
          <w:color w:val="222222"/>
          <w:sz w:val="24"/>
          <w:szCs w:val="24"/>
          <w:shd w:val="clear" w:color="auto" w:fill="FFFFFF"/>
        </w:rPr>
        <w:t>Nokman</w:t>
      </w:r>
      <w:proofErr w:type="spellEnd"/>
      <w:r w:rsidRPr="00090C85">
        <w:rPr>
          <w:rFonts w:ascii="Times New Roman" w:hAnsi="Times New Roman" w:cs="Times New Roman"/>
          <w:color w:val="222222"/>
          <w:sz w:val="24"/>
          <w:szCs w:val="24"/>
          <w:shd w:val="clear" w:color="auto" w:fill="FFFFFF"/>
        </w:rPr>
        <w:t xml:space="preserve">, F.N., Ismail, S., </w:t>
      </w:r>
      <w:proofErr w:type="spellStart"/>
      <w:r w:rsidRPr="00090C85">
        <w:rPr>
          <w:rFonts w:ascii="Times New Roman" w:hAnsi="Times New Roman" w:cs="Times New Roman"/>
          <w:color w:val="222222"/>
          <w:sz w:val="24"/>
          <w:szCs w:val="24"/>
          <w:shd w:val="clear" w:color="auto" w:fill="FFFFFF"/>
        </w:rPr>
        <w:t>Koe</w:t>
      </w:r>
      <w:proofErr w:type="spellEnd"/>
      <w:r w:rsidRPr="00090C85">
        <w:rPr>
          <w:rFonts w:ascii="Times New Roman" w:hAnsi="Times New Roman" w:cs="Times New Roman"/>
          <w:color w:val="222222"/>
          <w:sz w:val="24"/>
          <w:szCs w:val="24"/>
          <w:shd w:val="clear" w:color="auto" w:fill="FFFFFF"/>
        </w:rPr>
        <w:t>, W.L. and Othman, R., 2018.</w:t>
      </w:r>
      <w:proofErr w:type="gramEnd"/>
      <w:r w:rsidRPr="00090C85">
        <w:rPr>
          <w:rFonts w:ascii="Times New Roman" w:hAnsi="Times New Roman" w:cs="Times New Roman"/>
          <w:color w:val="222222"/>
          <w:sz w:val="24"/>
          <w:szCs w:val="24"/>
          <w:shd w:val="clear" w:color="auto" w:fill="FFFFFF"/>
        </w:rPr>
        <w:t xml:space="preserve"> </w:t>
      </w:r>
      <w:proofErr w:type="gramStart"/>
      <w:r w:rsidRPr="00090C85">
        <w:rPr>
          <w:rFonts w:ascii="Times New Roman" w:hAnsi="Times New Roman" w:cs="Times New Roman"/>
          <w:color w:val="222222"/>
          <w:sz w:val="24"/>
          <w:szCs w:val="24"/>
          <w:shd w:val="clear" w:color="auto" w:fill="FFFFFF"/>
        </w:rPr>
        <w:t>The effect of payment, recognition, empowerment and work-life balance on job satisfaction in the Malaysia’s oil and gas industry.</w:t>
      </w:r>
      <w:proofErr w:type="gramEnd"/>
      <w:r w:rsidRPr="00090C85">
        <w:rPr>
          <w:rFonts w:ascii="Times New Roman" w:hAnsi="Times New Roman" w:cs="Times New Roman"/>
          <w:color w:val="222222"/>
          <w:sz w:val="24"/>
          <w:szCs w:val="24"/>
          <w:shd w:val="clear" w:color="auto" w:fill="FFFFFF"/>
        </w:rPr>
        <w:t> </w:t>
      </w:r>
      <w:proofErr w:type="gramStart"/>
      <w:r w:rsidRPr="00090C85">
        <w:rPr>
          <w:rFonts w:ascii="Times New Roman" w:hAnsi="Times New Roman" w:cs="Times New Roman"/>
          <w:i/>
          <w:iCs/>
          <w:color w:val="222222"/>
          <w:sz w:val="24"/>
          <w:szCs w:val="24"/>
          <w:shd w:val="clear" w:color="auto" w:fill="FFFFFF"/>
        </w:rPr>
        <w:t>International Journal of Academic Research in Business and Social Sciences</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8</w:t>
      </w:r>
      <w:r w:rsidRPr="00090C85">
        <w:rPr>
          <w:rFonts w:ascii="Times New Roman" w:hAnsi="Times New Roman" w:cs="Times New Roman"/>
          <w:color w:val="222222"/>
          <w:sz w:val="24"/>
          <w:szCs w:val="24"/>
          <w:shd w:val="clear" w:color="auto" w:fill="FFFFFF"/>
        </w:rPr>
        <w:t>(9), pp.639-656.</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90C85">
        <w:rPr>
          <w:rFonts w:ascii="Times New Roman" w:hAnsi="Times New Roman" w:cs="Times New Roman"/>
          <w:color w:val="222222"/>
          <w:sz w:val="24"/>
          <w:szCs w:val="24"/>
          <w:shd w:val="clear" w:color="auto" w:fill="FFFFFF"/>
        </w:rPr>
        <w:t>Cañibano</w:t>
      </w:r>
      <w:proofErr w:type="spellEnd"/>
      <w:r w:rsidRPr="00090C85">
        <w:rPr>
          <w:rFonts w:ascii="Times New Roman" w:hAnsi="Times New Roman" w:cs="Times New Roman"/>
          <w:color w:val="222222"/>
          <w:sz w:val="24"/>
          <w:szCs w:val="24"/>
          <w:shd w:val="clear" w:color="auto" w:fill="FFFFFF"/>
        </w:rPr>
        <w:t>, A., 2019. Workplace flexibility as a paradoxical phenomenon: Exploring employee experiences. </w:t>
      </w:r>
      <w:proofErr w:type="gramStart"/>
      <w:r w:rsidRPr="00090C85">
        <w:rPr>
          <w:rFonts w:ascii="Times New Roman" w:hAnsi="Times New Roman" w:cs="Times New Roman"/>
          <w:i/>
          <w:iCs/>
          <w:color w:val="222222"/>
          <w:sz w:val="24"/>
          <w:szCs w:val="24"/>
          <w:shd w:val="clear" w:color="auto" w:fill="FFFFFF"/>
        </w:rPr>
        <w:t>Human Relations</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72</w:t>
      </w:r>
      <w:r w:rsidRPr="00090C85">
        <w:rPr>
          <w:rFonts w:ascii="Times New Roman" w:hAnsi="Times New Roman" w:cs="Times New Roman"/>
          <w:color w:val="222222"/>
          <w:sz w:val="24"/>
          <w:szCs w:val="24"/>
          <w:shd w:val="clear" w:color="auto" w:fill="FFFFFF"/>
        </w:rPr>
        <w:t>(2), pp.444-470.</w:t>
      </w:r>
      <w:proofErr w:type="gramEnd"/>
    </w:p>
    <w:p w:rsidR="00060FDD" w:rsidRPr="00090C85" w:rsidRDefault="00060FDD" w:rsidP="00090C85">
      <w:pPr>
        <w:spacing w:line="360" w:lineRule="auto"/>
        <w:ind w:left="720" w:hanging="720"/>
        <w:jc w:val="both"/>
        <w:rPr>
          <w:rFonts w:ascii="Times New Roman" w:hAnsi="Times New Roman" w:cs="Times New Roman"/>
          <w:sz w:val="24"/>
          <w:szCs w:val="24"/>
        </w:rPr>
      </w:pPr>
      <w:proofErr w:type="spellStart"/>
      <w:r w:rsidRPr="00090C85">
        <w:rPr>
          <w:rFonts w:ascii="Times New Roman" w:hAnsi="Times New Roman" w:cs="Times New Roman"/>
          <w:color w:val="222222"/>
          <w:sz w:val="24"/>
          <w:szCs w:val="24"/>
          <w:shd w:val="clear" w:color="auto" w:fill="FFFFFF"/>
        </w:rPr>
        <w:t>Cropanzano</w:t>
      </w:r>
      <w:proofErr w:type="spellEnd"/>
      <w:r w:rsidRPr="00090C85">
        <w:rPr>
          <w:rFonts w:ascii="Times New Roman" w:hAnsi="Times New Roman" w:cs="Times New Roman"/>
          <w:color w:val="222222"/>
          <w:sz w:val="24"/>
          <w:szCs w:val="24"/>
          <w:shd w:val="clear" w:color="auto" w:fill="FFFFFF"/>
        </w:rPr>
        <w:t>, R., Anthony, E.L., Daniels, S.R. and Hall, A.V., 2017. Social exchange theory: A critical review with theoretical remedies. </w:t>
      </w:r>
      <w:proofErr w:type="gramStart"/>
      <w:r w:rsidRPr="00090C85">
        <w:rPr>
          <w:rFonts w:ascii="Times New Roman" w:hAnsi="Times New Roman" w:cs="Times New Roman"/>
          <w:i/>
          <w:iCs/>
          <w:color w:val="222222"/>
          <w:sz w:val="24"/>
          <w:szCs w:val="24"/>
          <w:shd w:val="clear" w:color="auto" w:fill="FFFFFF"/>
        </w:rPr>
        <w:t>Academy of management annals</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11</w:t>
      </w:r>
      <w:r w:rsidRPr="00090C85">
        <w:rPr>
          <w:rFonts w:ascii="Times New Roman" w:hAnsi="Times New Roman" w:cs="Times New Roman"/>
          <w:color w:val="222222"/>
          <w:sz w:val="24"/>
          <w:szCs w:val="24"/>
          <w:shd w:val="clear" w:color="auto" w:fill="FFFFFF"/>
        </w:rPr>
        <w:t>(1), pp.479-516.</w:t>
      </w:r>
      <w:proofErr w:type="gramEnd"/>
      <w:r w:rsidRPr="00090C85">
        <w:rPr>
          <w:rFonts w:ascii="Times New Roman" w:hAnsi="Times New Roman" w:cs="Times New Roman"/>
          <w:sz w:val="24"/>
          <w:szCs w:val="24"/>
        </w:rPr>
        <w:t xml:space="preserve"> </w:t>
      </w:r>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090C85">
        <w:rPr>
          <w:rFonts w:ascii="Times New Roman" w:hAnsi="Times New Roman" w:cs="Times New Roman"/>
          <w:color w:val="222222"/>
          <w:sz w:val="24"/>
          <w:szCs w:val="24"/>
          <w:shd w:val="clear" w:color="auto" w:fill="FFFFFF"/>
        </w:rPr>
        <w:t>Davidescu</w:t>
      </w:r>
      <w:proofErr w:type="spellEnd"/>
      <w:r w:rsidRPr="00090C85">
        <w:rPr>
          <w:rFonts w:ascii="Times New Roman" w:hAnsi="Times New Roman" w:cs="Times New Roman"/>
          <w:color w:val="222222"/>
          <w:sz w:val="24"/>
          <w:szCs w:val="24"/>
          <w:shd w:val="clear" w:color="auto" w:fill="FFFFFF"/>
        </w:rPr>
        <w:t xml:space="preserve">, A.A., </w:t>
      </w:r>
      <w:proofErr w:type="spellStart"/>
      <w:r w:rsidRPr="00090C85">
        <w:rPr>
          <w:rFonts w:ascii="Times New Roman" w:hAnsi="Times New Roman" w:cs="Times New Roman"/>
          <w:color w:val="222222"/>
          <w:sz w:val="24"/>
          <w:szCs w:val="24"/>
          <w:shd w:val="clear" w:color="auto" w:fill="FFFFFF"/>
        </w:rPr>
        <w:t>Apostu</w:t>
      </w:r>
      <w:proofErr w:type="spellEnd"/>
      <w:r w:rsidRPr="00090C85">
        <w:rPr>
          <w:rFonts w:ascii="Times New Roman" w:hAnsi="Times New Roman" w:cs="Times New Roman"/>
          <w:color w:val="222222"/>
          <w:sz w:val="24"/>
          <w:szCs w:val="24"/>
          <w:shd w:val="clear" w:color="auto" w:fill="FFFFFF"/>
        </w:rPr>
        <w:t xml:space="preserve">, S.A., Paul, A. and </w:t>
      </w:r>
      <w:proofErr w:type="spellStart"/>
      <w:r w:rsidRPr="00090C85">
        <w:rPr>
          <w:rFonts w:ascii="Times New Roman" w:hAnsi="Times New Roman" w:cs="Times New Roman"/>
          <w:color w:val="222222"/>
          <w:sz w:val="24"/>
          <w:szCs w:val="24"/>
          <w:shd w:val="clear" w:color="auto" w:fill="FFFFFF"/>
        </w:rPr>
        <w:t>Casuneanu</w:t>
      </w:r>
      <w:proofErr w:type="spellEnd"/>
      <w:r w:rsidRPr="00090C85">
        <w:rPr>
          <w:rFonts w:ascii="Times New Roman" w:hAnsi="Times New Roman" w:cs="Times New Roman"/>
          <w:color w:val="222222"/>
          <w:sz w:val="24"/>
          <w:szCs w:val="24"/>
          <w:shd w:val="clear" w:color="auto" w:fill="FFFFFF"/>
        </w:rPr>
        <w:t>, I., 2020.</w:t>
      </w:r>
      <w:proofErr w:type="gramEnd"/>
      <w:r w:rsidRPr="00090C85">
        <w:rPr>
          <w:rFonts w:ascii="Times New Roman" w:hAnsi="Times New Roman" w:cs="Times New Roman"/>
          <w:color w:val="222222"/>
          <w:sz w:val="24"/>
          <w:szCs w:val="24"/>
          <w:shd w:val="clear" w:color="auto" w:fill="FFFFFF"/>
        </w:rPr>
        <w:t xml:space="preserve"> </w:t>
      </w:r>
      <w:proofErr w:type="gramStart"/>
      <w:r w:rsidRPr="00090C85">
        <w:rPr>
          <w:rFonts w:ascii="Times New Roman" w:hAnsi="Times New Roman" w:cs="Times New Roman"/>
          <w:color w:val="222222"/>
          <w:sz w:val="24"/>
          <w:szCs w:val="24"/>
          <w:shd w:val="clear" w:color="auto" w:fill="FFFFFF"/>
        </w:rPr>
        <w:t>Work flexibility, job satisfaction, and job performance among Romanian employees—Implications for sustainable human resource management.</w:t>
      </w:r>
      <w:proofErr w:type="gramEnd"/>
      <w:r w:rsidRPr="00090C85">
        <w:rPr>
          <w:rFonts w:ascii="Times New Roman" w:hAnsi="Times New Roman" w:cs="Times New Roman"/>
          <w:color w:val="222222"/>
          <w:sz w:val="24"/>
          <w:szCs w:val="24"/>
          <w:shd w:val="clear" w:color="auto" w:fill="FFFFFF"/>
        </w:rPr>
        <w:t> </w:t>
      </w:r>
      <w:proofErr w:type="gramStart"/>
      <w:r w:rsidRPr="00090C85">
        <w:rPr>
          <w:rFonts w:ascii="Times New Roman" w:hAnsi="Times New Roman" w:cs="Times New Roman"/>
          <w:i/>
          <w:iCs/>
          <w:color w:val="222222"/>
          <w:sz w:val="24"/>
          <w:szCs w:val="24"/>
          <w:shd w:val="clear" w:color="auto" w:fill="FFFFFF"/>
        </w:rPr>
        <w:t>Sustainability</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12</w:t>
      </w:r>
      <w:r w:rsidRPr="00090C85">
        <w:rPr>
          <w:rFonts w:ascii="Times New Roman" w:hAnsi="Times New Roman" w:cs="Times New Roman"/>
          <w:color w:val="222222"/>
          <w:sz w:val="24"/>
          <w:szCs w:val="24"/>
          <w:shd w:val="clear" w:color="auto" w:fill="FFFFFF"/>
        </w:rPr>
        <w:t>(15), p.6086.</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r w:rsidRPr="00090C85">
        <w:rPr>
          <w:rFonts w:ascii="Times New Roman" w:hAnsi="Times New Roman" w:cs="Times New Roman"/>
          <w:color w:val="222222"/>
          <w:sz w:val="24"/>
          <w:szCs w:val="24"/>
          <w:shd w:val="clear" w:color="auto" w:fill="FFFFFF"/>
        </w:rPr>
        <w:t xml:space="preserve">De </w:t>
      </w:r>
      <w:proofErr w:type="spellStart"/>
      <w:r w:rsidRPr="00090C85">
        <w:rPr>
          <w:rFonts w:ascii="Times New Roman" w:hAnsi="Times New Roman" w:cs="Times New Roman"/>
          <w:color w:val="222222"/>
          <w:sz w:val="24"/>
          <w:szCs w:val="24"/>
          <w:shd w:val="clear" w:color="auto" w:fill="FFFFFF"/>
        </w:rPr>
        <w:t>Menezes</w:t>
      </w:r>
      <w:proofErr w:type="spellEnd"/>
      <w:r w:rsidRPr="00090C85">
        <w:rPr>
          <w:rFonts w:ascii="Times New Roman" w:hAnsi="Times New Roman" w:cs="Times New Roman"/>
          <w:color w:val="222222"/>
          <w:sz w:val="24"/>
          <w:szCs w:val="24"/>
          <w:shd w:val="clear" w:color="auto" w:fill="FFFFFF"/>
        </w:rPr>
        <w:t xml:space="preserve">, L.M. and </w:t>
      </w:r>
      <w:proofErr w:type="spellStart"/>
      <w:r w:rsidRPr="00090C85">
        <w:rPr>
          <w:rFonts w:ascii="Times New Roman" w:hAnsi="Times New Roman" w:cs="Times New Roman"/>
          <w:color w:val="222222"/>
          <w:sz w:val="24"/>
          <w:szCs w:val="24"/>
          <w:shd w:val="clear" w:color="auto" w:fill="FFFFFF"/>
        </w:rPr>
        <w:t>Kelliher</w:t>
      </w:r>
      <w:proofErr w:type="spellEnd"/>
      <w:r w:rsidRPr="00090C85">
        <w:rPr>
          <w:rFonts w:ascii="Times New Roman" w:hAnsi="Times New Roman" w:cs="Times New Roman"/>
          <w:color w:val="222222"/>
          <w:sz w:val="24"/>
          <w:szCs w:val="24"/>
          <w:shd w:val="clear" w:color="auto" w:fill="FFFFFF"/>
        </w:rPr>
        <w:t>, C., 2017. Flexible working, individual performance, and employee attitudes: Comparing formal and informal arrangements. </w:t>
      </w:r>
      <w:proofErr w:type="gramStart"/>
      <w:r w:rsidRPr="00090C85">
        <w:rPr>
          <w:rFonts w:ascii="Times New Roman" w:hAnsi="Times New Roman" w:cs="Times New Roman"/>
          <w:i/>
          <w:iCs/>
          <w:color w:val="222222"/>
          <w:sz w:val="24"/>
          <w:szCs w:val="24"/>
          <w:shd w:val="clear" w:color="auto" w:fill="FFFFFF"/>
        </w:rPr>
        <w:t>Human Resource Management</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56</w:t>
      </w:r>
      <w:r w:rsidRPr="00090C85">
        <w:rPr>
          <w:rFonts w:ascii="Times New Roman" w:hAnsi="Times New Roman" w:cs="Times New Roman"/>
          <w:color w:val="222222"/>
          <w:sz w:val="24"/>
          <w:szCs w:val="24"/>
          <w:shd w:val="clear" w:color="auto" w:fill="FFFFFF"/>
        </w:rPr>
        <w:t>(6), pp.1051-1070.</w:t>
      </w:r>
      <w:proofErr w:type="gramEnd"/>
    </w:p>
    <w:p w:rsidR="00060FDD" w:rsidRPr="00090C85" w:rsidRDefault="00060FDD" w:rsidP="00090C85">
      <w:pPr>
        <w:spacing w:line="360" w:lineRule="auto"/>
        <w:ind w:left="720" w:hanging="720"/>
        <w:jc w:val="both"/>
        <w:rPr>
          <w:rFonts w:ascii="Times New Roman" w:hAnsi="Times New Roman" w:cs="Times New Roman"/>
          <w:sz w:val="24"/>
          <w:szCs w:val="24"/>
        </w:rPr>
      </w:pPr>
      <w:proofErr w:type="spellStart"/>
      <w:r w:rsidRPr="00090C85">
        <w:rPr>
          <w:rFonts w:ascii="Times New Roman" w:hAnsi="Times New Roman" w:cs="Times New Roman"/>
          <w:color w:val="222222"/>
          <w:sz w:val="24"/>
          <w:szCs w:val="24"/>
          <w:shd w:val="clear" w:color="auto" w:fill="FFFFFF"/>
        </w:rPr>
        <w:t>Hashemi-Petroodi</w:t>
      </w:r>
      <w:proofErr w:type="spellEnd"/>
      <w:r w:rsidRPr="00090C85">
        <w:rPr>
          <w:rFonts w:ascii="Times New Roman" w:hAnsi="Times New Roman" w:cs="Times New Roman"/>
          <w:color w:val="222222"/>
          <w:sz w:val="24"/>
          <w:szCs w:val="24"/>
          <w:shd w:val="clear" w:color="auto" w:fill="FFFFFF"/>
        </w:rPr>
        <w:t xml:space="preserve">, S.E., </w:t>
      </w:r>
      <w:proofErr w:type="spellStart"/>
      <w:r w:rsidRPr="00090C85">
        <w:rPr>
          <w:rFonts w:ascii="Times New Roman" w:hAnsi="Times New Roman" w:cs="Times New Roman"/>
          <w:color w:val="222222"/>
          <w:sz w:val="24"/>
          <w:szCs w:val="24"/>
          <w:shd w:val="clear" w:color="auto" w:fill="FFFFFF"/>
        </w:rPr>
        <w:t>Dolgui</w:t>
      </w:r>
      <w:proofErr w:type="spellEnd"/>
      <w:r w:rsidRPr="00090C85">
        <w:rPr>
          <w:rFonts w:ascii="Times New Roman" w:hAnsi="Times New Roman" w:cs="Times New Roman"/>
          <w:color w:val="222222"/>
          <w:sz w:val="24"/>
          <w:szCs w:val="24"/>
          <w:shd w:val="clear" w:color="auto" w:fill="FFFFFF"/>
        </w:rPr>
        <w:t xml:space="preserve">, A., </w:t>
      </w:r>
      <w:proofErr w:type="spellStart"/>
      <w:r w:rsidRPr="00090C85">
        <w:rPr>
          <w:rFonts w:ascii="Times New Roman" w:hAnsi="Times New Roman" w:cs="Times New Roman"/>
          <w:color w:val="222222"/>
          <w:sz w:val="24"/>
          <w:szCs w:val="24"/>
          <w:shd w:val="clear" w:color="auto" w:fill="FFFFFF"/>
        </w:rPr>
        <w:t>Kovalev</w:t>
      </w:r>
      <w:proofErr w:type="spellEnd"/>
      <w:r w:rsidRPr="00090C85">
        <w:rPr>
          <w:rFonts w:ascii="Times New Roman" w:hAnsi="Times New Roman" w:cs="Times New Roman"/>
          <w:color w:val="222222"/>
          <w:sz w:val="24"/>
          <w:szCs w:val="24"/>
          <w:shd w:val="clear" w:color="auto" w:fill="FFFFFF"/>
        </w:rPr>
        <w:t xml:space="preserve">, S., </w:t>
      </w:r>
      <w:proofErr w:type="spellStart"/>
      <w:r w:rsidRPr="00090C85">
        <w:rPr>
          <w:rFonts w:ascii="Times New Roman" w:hAnsi="Times New Roman" w:cs="Times New Roman"/>
          <w:color w:val="222222"/>
          <w:sz w:val="24"/>
          <w:szCs w:val="24"/>
          <w:shd w:val="clear" w:color="auto" w:fill="FFFFFF"/>
        </w:rPr>
        <w:t>Kovalyov</w:t>
      </w:r>
      <w:proofErr w:type="spellEnd"/>
      <w:r w:rsidRPr="00090C85">
        <w:rPr>
          <w:rFonts w:ascii="Times New Roman" w:hAnsi="Times New Roman" w:cs="Times New Roman"/>
          <w:color w:val="222222"/>
          <w:sz w:val="24"/>
          <w:szCs w:val="24"/>
          <w:shd w:val="clear" w:color="auto" w:fill="FFFFFF"/>
        </w:rPr>
        <w:t xml:space="preserve">, M.Y. and </w:t>
      </w:r>
      <w:proofErr w:type="spellStart"/>
      <w:r w:rsidRPr="00090C85">
        <w:rPr>
          <w:rFonts w:ascii="Times New Roman" w:hAnsi="Times New Roman" w:cs="Times New Roman"/>
          <w:color w:val="222222"/>
          <w:sz w:val="24"/>
          <w:szCs w:val="24"/>
          <w:shd w:val="clear" w:color="auto" w:fill="FFFFFF"/>
        </w:rPr>
        <w:t>Thevenin</w:t>
      </w:r>
      <w:proofErr w:type="spellEnd"/>
      <w:r w:rsidRPr="00090C85">
        <w:rPr>
          <w:rFonts w:ascii="Times New Roman" w:hAnsi="Times New Roman" w:cs="Times New Roman"/>
          <w:color w:val="222222"/>
          <w:sz w:val="24"/>
          <w:szCs w:val="24"/>
          <w:shd w:val="clear" w:color="auto" w:fill="FFFFFF"/>
        </w:rPr>
        <w:t>, S., 2021. Workforce reconfiguration strategies in manufacturing systems: a state of the art. </w:t>
      </w:r>
      <w:proofErr w:type="gramStart"/>
      <w:r w:rsidRPr="00090C85">
        <w:rPr>
          <w:rFonts w:ascii="Times New Roman" w:hAnsi="Times New Roman" w:cs="Times New Roman"/>
          <w:i/>
          <w:iCs/>
          <w:color w:val="222222"/>
          <w:sz w:val="24"/>
          <w:szCs w:val="24"/>
          <w:shd w:val="clear" w:color="auto" w:fill="FFFFFF"/>
        </w:rPr>
        <w:t>International Journal of Production Research</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59</w:t>
      </w:r>
      <w:r w:rsidRPr="00090C85">
        <w:rPr>
          <w:rFonts w:ascii="Times New Roman" w:hAnsi="Times New Roman" w:cs="Times New Roman"/>
          <w:color w:val="222222"/>
          <w:sz w:val="24"/>
          <w:szCs w:val="24"/>
          <w:shd w:val="clear" w:color="auto" w:fill="FFFFFF"/>
        </w:rPr>
        <w:t>(22), pp.6721-6744.</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90C85">
        <w:rPr>
          <w:rFonts w:ascii="Times New Roman" w:hAnsi="Times New Roman" w:cs="Times New Roman"/>
          <w:color w:val="222222"/>
          <w:sz w:val="24"/>
          <w:szCs w:val="24"/>
          <w:shd w:val="clear" w:color="auto" w:fill="FFFFFF"/>
        </w:rPr>
        <w:t>Kakabadse</w:t>
      </w:r>
      <w:proofErr w:type="spellEnd"/>
      <w:r w:rsidRPr="00090C85">
        <w:rPr>
          <w:rFonts w:ascii="Times New Roman" w:hAnsi="Times New Roman" w:cs="Times New Roman"/>
          <w:color w:val="222222"/>
          <w:sz w:val="24"/>
          <w:szCs w:val="24"/>
          <w:shd w:val="clear" w:color="auto" w:fill="FFFFFF"/>
        </w:rPr>
        <w:t>, A. and Bank, J., 2018. </w:t>
      </w:r>
      <w:proofErr w:type="gramStart"/>
      <w:r w:rsidRPr="00090C85">
        <w:rPr>
          <w:rFonts w:ascii="Times New Roman" w:hAnsi="Times New Roman" w:cs="Times New Roman"/>
          <w:i/>
          <w:iCs/>
          <w:color w:val="222222"/>
          <w:sz w:val="24"/>
          <w:szCs w:val="24"/>
          <w:shd w:val="clear" w:color="auto" w:fill="FFFFFF"/>
        </w:rPr>
        <w:t xml:space="preserve">Working in </w:t>
      </w:r>
      <w:proofErr w:type="spellStart"/>
      <w:r w:rsidRPr="00090C85">
        <w:rPr>
          <w:rFonts w:ascii="Times New Roman" w:hAnsi="Times New Roman" w:cs="Times New Roman"/>
          <w:i/>
          <w:iCs/>
          <w:color w:val="222222"/>
          <w:sz w:val="24"/>
          <w:szCs w:val="24"/>
          <w:shd w:val="clear" w:color="auto" w:fill="FFFFFF"/>
        </w:rPr>
        <w:t>organisations</w:t>
      </w:r>
      <w:proofErr w:type="spellEnd"/>
      <w:r w:rsidRPr="00090C85">
        <w:rPr>
          <w:rFonts w:ascii="Times New Roman" w:hAnsi="Times New Roman" w:cs="Times New Roman"/>
          <w:color w:val="222222"/>
          <w:sz w:val="24"/>
          <w:szCs w:val="24"/>
          <w:shd w:val="clear" w:color="auto" w:fill="FFFFFF"/>
        </w:rPr>
        <w:t>.</w:t>
      </w:r>
      <w:proofErr w:type="gramEnd"/>
      <w:r w:rsidRPr="00090C85">
        <w:rPr>
          <w:rFonts w:ascii="Times New Roman" w:hAnsi="Times New Roman" w:cs="Times New Roman"/>
          <w:color w:val="222222"/>
          <w:sz w:val="24"/>
          <w:szCs w:val="24"/>
          <w:shd w:val="clear" w:color="auto" w:fill="FFFFFF"/>
        </w:rPr>
        <w:t xml:space="preserve"> </w:t>
      </w:r>
      <w:proofErr w:type="spellStart"/>
      <w:proofErr w:type="gramStart"/>
      <w:r w:rsidRPr="00090C85">
        <w:rPr>
          <w:rFonts w:ascii="Times New Roman" w:hAnsi="Times New Roman" w:cs="Times New Roman"/>
          <w:color w:val="222222"/>
          <w:sz w:val="24"/>
          <w:szCs w:val="24"/>
          <w:shd w:val="clear" w:color="auto" w:fill="FFFFFF"/>
        </w:rPr>
        <w:t>Routledge</w:t>
      </w:r>
      <w:proofErr w:type="spellEnd"/>
      <w:r w:rsidRPr="00090C85">
        <w:rPr>
          <w:rFonts w:ascii="Times New Roman" w:hAnsi="Times New Roman" w:cs="Times New Roman"/>
          <w:color w:val="222222"/>
          <w:sz w:val="24"/>
          <w:szCs w:val="24"/>
          <w:shd w:val="clear" w:color="auto" w:fill="FFFFFF"/>
        </w:rPr>
        <w:t>.</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r w:rsidRPr="00090C85">
        <w:rPr>
          <w:rFonts w:ascii="Times New Roman" w:hAnsi="Times New Roman" w:cs="Times New Roman"/>
          <w:color w:val="222222"/>
          <w:sz w:val="24"/>
          <w:szCs w:val="24"/>
          <w:shd w:val="clear" w:color="auto" w:fill="FFFFFF"/>
        </w:rPr>
        <w:t xml:space="preserve">Lloyd, R. and </w:t>
      </w:r>
      <w:proofErr w:type="spellStart"/>
      <w:r w:rsidRPr="00090C85">
        <w:rPr>
          <w:rFonts w:ascii="Times New Roman" w:hAnsi="Times New Roman" w:cs="Times New Roman"/>
          <w:color w:val="222222"/>
          <w:sz w:val="24"/>
          <w:szCs w:val="24"/>
          <w:shd w:val="clear" w:color="auto" w:fill="FFFFFF"/>
        </w:rPr>
        <w:t>Mertens</w:t>
      </w:r>
      <w:proofErr w:type="spellEnd"/>
      <w:r w:rsidRPr="00090C85">
        <w:rPr>
          <w:rFonts w:ascii="Times New Roman" w:hAnsi="Times New Roman" w:cs="Times New Roman"/>
          <w:color w:val="222222"/>
          <w:sz w:val="24"/>
          <w:szCs w:val="24"/>
          <w:shd w:val="clear" w:color="auto" w:fill="FFFFFF"/>
        </w:rPr>
        <w:t xml:space="preserve">, D., 2018. </w:t>
      </w:r>
      <w:proofErr w:type="gramStart"/>
      <w:r w:rsidRPr="00090C85">
        <w:rPr>
          <w:rFonts w:ascii="Times New Roman" w:hAnsi="Times New Roman" w:cs="Times New Roman"/>
          <w:color w:val="222222"/>
          <w:sz w:val="24"/>
          <w:szCs w:val="24"/>
          <w:shd w:val="clear" w:color="auto" w:fill="FFFFFF"/>
        </w:rPr>
        <w:t>Expecting more out of expectancy theory: History urges inclusion of the social context.</w:t>
      </w:r>
      <w:proofErr w:type="gramEnd"/>
      <w:r w:rsidRPr="00090C85">
        <w:rPr>
          <w:rFonts w:ascii="Times New Roman" w:hAnsi="Times New Roman" w:cs="Times New Roman"/>
          <w:color w:val="222222"/>
          <w:sz w:val="24"/>
          <w:szCs w:val="24"/>
          <w:shd w:val="clear" w:color="auto" w:fill="FFFFFF"/>
        </w:rPr>
        <w:t> </w:t>
      </w:r>
      <w:proofErr w:type="gramStart"/>
      <w:r w:rsidRPr="00090C85">
        <w:rPr>
          <w:rFonts w:ascii="Times New Roman" w:hAnsi="Times New Roman" w:cs="Times New Roman"/>
          <w:i/>
          <w:iCs/>
          <w:color w:val="222222"/>
          <w:sz w:val="24"/>
          <w:szCs w:val="24"/>
          <w:shd w:val="clear" w:color="auto" w:fill="FFFFFF"/>
        </w:rPr>
        <w:t>International Management Review</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14</w:t>
      </w:r>
      <w:r w:rsidRPr="00090C85">
        <w:rPr>
          <w:rFonts w:ascii="Times New Roman" w:hAnsi="Times New Roman" w:cs="Times New Roman"/>
          <w:color w:val="222222"/>
          <w:sz w:val="24"/>
          <w:szCs w:val="24"/>
          <w:shd w:val="clear" w:color="auto" w:fill="FFFFFF"/>
        </w:rPr>
        <w:t>(1), pp.24-66.</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90C85">
        <w:rPr>
          <w:rFonts w:ascii="Times New Roman" w:hAnsi="Times New Roman" w:cs="Times New Roman"/>
          <w:color w:val="222222"/>
          <w:sz w:val="24"/>
          <w:szCs w:val="24"/>
          <w:shd w:val="clear" w:color="auto" w:fill="FFFFFF"/>
        </w:rPr>
        <w:t>Spreitzer</w:t>
      </w:r>
      <w:proofErr w:type="spellEnd"/>
      <w:r w:rsidRPr="00090C85">
        <w:rPr>
          <w:rFonts w:ascii="Times New Roman" w:hAnsi="Times New Roman" w:cs="Times New Roman"/>
          <w:color w:val="222222"/>
          <w:sz w:val="24"/>
          <w:szCs w:val="24"/>
          <w:shd w:val="clear" w:color="auto" w:fill="FFFFFF"/>
        </w:rPr>
        <w:t>, G.M., Cameron, L. and Garrett, L., 2017. Alternative work arrangements: Two images of the new world of work. </w:t>
      </w:r>
      <w:r w:rsidRPr="00090C85">
        <w:rPr>
          <w:rFonts w:ascii="Times New Roman" w:hAnsi="Times New Roman" w:cs="Times New Roman"/>
          <w:i/>
          <w:iCs/>
          <w:color w:val="222222"/>
          <w:sz w:val="24"/>
          <w:szCs w:val="24"/>
          <w:shd w:val="clear" w:color="auto" w:fill="FFFFFF"/>
        </w:rPr>
        <w:t>Annual Review of Organizational Psychology and Organizational Behavior</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4</w:t>
      </w:r>
      <w:r w:rsidRPr="00090C85">
        <w:rPr>
          <w:rFonts w:ascii="Times New Roman" w:hAnsi="Times New Roman" w:cs="Times New Roman"/>
          <w:color w:val="222222"/>
          <w:sz w:val="24"/>
          <w:szCs w:val="24"/>
          <w:shd w:val="clear" w:color="auto" w:fill="FFFFFF"/>
        </w:rPr>
        <w:t>(1), pp.473-499</w:t>
      </w:r>
      <w:proofErr w:type="gramStart"/>
      <w:r w:rsidRPr="00090C85">
        <w:rPr>
          <w:rFonts w:ascii="Times New Roman" w:hAnsi="Times New Roman" w:cs="Times New Roman"/>
          <w:color w:val="222222"/>
          <w:sz w:val="24"/>
          <w:szCs w:val="24"/>
          <w:shd w:val="clear" w:color="auto" w:fill="FFFFFF"/>
        </w:rPr>
        <w:t>..</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r w:rsidRPr="00090C85">
        <w:rPr>
          <w:rFonts w:ascii="Times New Roman" w:hAnsi="Times New Roman" w:cs="Times New Roman"/>
          <w:color w:val="222222"/>
          <w:sz w:val="24"/>
          <w:szCs w:val="24"/>
          <w:shd w:val="clear" w:color="auto" w:fill="FFFFFF"/>
        </w:rPr>
        <w:t xml:space="preserve">Townsend, K., McDonald, P. and </w:t>
      </w:r>
      <w:proofErr w:type="spellStart"/>
      <w:r w:rsidRPr="00090C85">
        <w:rPr>
          <w:rFonts w:ascii="Times New Roman" w:hAnsi="Times New Roman" w:cs="Times New Roman"/>
          <w:color w:val="222222"/>
          <w:sz w:val="24"/>
          <w:szCs w:val="24"/>
          <w:shd w:val="clear" w:color="auto" w:fill="FFFFFF"/>
        </w:rPr>
        <w:t>Cathcart</w:t>
      </w:r>
      <w:proofErr w:type="spellEnd"/>
      <w:r w:rsidRPr="00090C85">
        <w:rPr>
          <w:rFonts w:ascii="Times New Roman" w:hAnsi="Times New Roman" w:cs="Times New Roman"/>
          <w:color w:val="222222"/>
          <w:sz w:val="24"/>
          <w:szCs w:val="24"/>
          <w:shd w:val="clear" w:color="auto" w:fill="FFFFFF"/>
        </w:rPr>
        <w:t xml:space="preserve">, A., 2017. Managing flexible work arrangements in small not-for-profit firms: The influence of </w:t>
      </w:r>
      <w:proofErr w:type="spellStart"/>
      <w:r w:rsidRPr="00090C85">
        <w:rPr>
          <w:rFonts w:ascii="Times New Roman" w:hAnsi="Times New Roman" w:cs="Times New Roman"/>
          <w:color w:val="222222"/>
          <w:sz w:val="24"/>
          <w:szCs w:val="24"/>
          <w:shd w:val="clear" w:color="auto" w:fill="FFFFFF"/>
        </w:rPr>
        <w:t>organisational</w:t>
      </w:r>
      <w:proofErr w:type="spellEnd"/>
      <w:r w:rsidRPr="00090C85">
        <w:rPr>
          <w:rFonts w:ascii="Times New Roman" w:hAnsi="Times New Roman" w:cs="Times New Roman"/>
          <w:color w:val="222222"/>
          <w:sz w:val="24"/>
          <w:szCs w:val="24"/>
          <w:shd w:val="clear" w:color="auto" w:fill="FFFFFF"/>
        </w:rPr>
        <w:t xml:space="preserve"> size, financial constraints and </w:t>
      </w:r>
      <w:r w:rsidRPr="00090C85">
        <w:rPr>
          <w:rFonts w:ascii="Times New Roman" w:hAnsi="Times New Roman" w:cs="Times New Roman"/>
          <w:color w:val="222222"/>
          <w:sz w:val="24"/>
          <w:szCs w:val="24"/>
          <w:shd w:val="clear" w:color="auto" w:fill="FFFFFF"/>
        </w:rPr>
        <w:lastRenderedPageBreak/>
        <w:t>workforce characteristics. </w:t>
      </w:r>
      <w:proofErr w:type="gramStart"/>
      <w:r w:rsidRPr="00090C85">
        <w:rPr>
          <w:rFonts w:ascii="Times New Roman" w:hAnsi="Times New Roman" w:cs="Times New Roman"/>
          <w:i/>
          <w:iCs/>
          <w:color w:val="222222"/>
          <w:sz w:val="24"/>
          <w:szCs w:val="24"/>
          <w:shd w:val="clear" w:color="auto" w:fill="FFFFFF"/>
        </w:rPr>
        <w:t>The International Journal of Human Resource Management</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28</w:t>
      </w:r>
      <w:r w:rsidRPr="00090C85">
        <w:rPr>
          <w:rFonts w:ascii="Times New Roman" w:hAnsi="Times New Roman" w:cs="Times New Roman"/>
          <w:color w:val="222222"/>
          <w:sz w:val="24"/>
          <w:szCs w:val="24"/>
          <w:shd w:val="clear" w:color="auto" w:fill="FFFFFF"/>
        </w:rPr>
        <w:t>(14), pp.2085-2107.</w:t>
      </w:r>
      <w:proofErr w:type="gramEnd"/>
    </w:p>
    <w:p w:rsidR="00060FDD" w:rsidRPr="00090C85" w:rsidRDefault="00060FDD" w:rsidP="00090C85">
      <w:pPr>
        <w:spacing w:line="360" w:lineRule="auto"/>
        <w:ind w:left="720" w:hanging="720"/>
        <w:jc w:val="both"/>
        <w:rPr>
          <w:rFonts w:ascii="Times New Roman" w:hAnsi="Times New Roman" w:cs="Times New Roman"/>
          <w:color w:val="222222"/>
          <w:sz w:val="24"/>
          <w:szCs w:val="24"/>
          <w:shd w:val="clear" w:color="auto" w:fill="FFFFFF"/>
        </w:rPr>
      </w:pPr>
      <w:r w:rsidRPr="00090C85">
        <w:rPr>
          <w:rFonts w:ascii="Times New Roman" w:hAnsi="Times New Roman" w:cs="Times New Roman"/>
          <w:color w:val="222222"/>
          <w:sz w:val="24"/>
          <w:szCs w:val="24"/>
          <w:shd w:val="clear" w:color="auto" w:fill="FFFFFF"/>
        </w:rPr>
        <w:t xml:space="preserve">Wheatley, D., 2017. </w:t>
      </w:r>
      <w:proofErr w:type="gramStart"/>
      <w:r w:rsidRPr="00090C85">
        <w:rPr>
          <w:rFonts w:ascii="Times New Roman" w:hAnsi="Times New Roman" w:cs="Times New Roman"/>
          <w:color w:val="222222"/>
          <w:sz w:val="24"/>
          <w:szCs w:val="24"/>
          <w:shd w:val="clear" w:color="auto" w:fill="FFFFFF"/>
        </w:rPr>
        <w:t>Employee satisfaction and use of flexible working arrangements.</w:t>
      </w:r>
      <w:proofErr w:type="gramEnd"/>
      <w:r w:rsidRPr="00090C85">
        <w:rPr>
          <w:rFonts w:ascii="Times New Roman" w:hAnsi="Times New Roman" w:cs="Times New Roman"/>
          <w:color w:val="222222"/>
          <w:sz w:val="24"/>
          <w:szCs w:val="24"/>
          <w:shd w:val="clear" w:color="auto" w:fill="FFFFFF"/>
        </w:rPr>
        <w:t> </w:t>
      </w:r>
      <w:proofErr w:type="gramStart"/>
      <w:r w:rsidRPr="00090C85">
        <w:rPr>
          <w:rFonts w:ascii="Times New Roman" w:hAnsi="Times New Roman" w:cs="Times New Roman"/>
          <w:i/>
          <w:iCs/>
          <w:color w:val="222222"/>
          <w:sz w:val="24"/>
          <w:szCs w:val="24"/>
          <w:shd w:val="clear" w:color="auto" w:fill="FFFFFF"/>
        </w:rPr>
        <w:t>Work, employment and society</w:t>
      </w:r>
      <w:r w:rsidRPr="00090C85">
        <w:rPr>
          <w:rFonts w:ascii="Times New Roman" w:hAnsi="Times New Roman" w:cs="Times New Roman"/>
          <w:color w:val="222222"/>
          <w:sz w:val="24"/>
          <w:szCs w:val="24"/>
          <w:shd w:val="clear" w:color="auto" w:fill="FFFFFF"/>
        </w:rPr>
        <w:t>, </w:t>
      </w:r>
      <w:r w:rsidRPr="00090C85">
        <w:rPr>
          <w:rFonts w:ascii="Times New Roman" w:hAnsi="Times New Roman" w:cs="Times New Roman"/>
          <w:i/>
          <w:iCs/>
          <w:color w:val="222222"/>
          <w:sz w:val="24"/>
          <w:szCs w:val="24"/>
          <w:shd w:val="clear" w:color="auto" w:fill="FFFFFF"/>
        </w:rPr>
        <w:t>31</w:t>
      </w:r>
      <w:r w:rsidRPr="00090C85">
        <w:rPr>
          <w:rFonts w:ascii="Times New Roman" w:hAnsi="Times New Roman" w:cs="Times New Roman"/>
          <w:color w:val="222222"/>
          <w:sz w:val="24"/>
          <w:szCs w:val="24"/>
          <w:shd w:val="clear" w:color="auto" w:fill="FFFFFF"/>
        </w:rPr>
        <w:t>(4), pp.567-585.</w:t>
      </w:r>
      <w:proofErr w:type="gramEnd"/>
    </w:p>
    <w:p w:rsidR="00700069" w:rsidRPr="00700069" w:rsidRDefault="00700069" w:rsidP="00700069">
      <w:pPr>
        <w:spacing w:line="360" w:lineRule="auto"/>
        <w:jc w:val="both"/>
        <w:rPr>
          <w:rFonts w:ascii="Times New Roman" w:hAnsi="Times New Roman" w:cs="Times New Roman"/>
          <w:sz w:val="24"/>
        </w:rPr>
      </w:pPr>
      <w:r w:rsidRPr="00700069">
        <w:rPr>
          <w:rFonts w:ascii="Times New Roman" w:hAnsi="Times New Roman" w:cs="Times New Roman"/>
          <w:sz w:val="24"/>
        </w:rPr>
        <w:t xml:space="preserve"> </w:t>
      </w:r>
    </w:p>
    <w:p w:rsidR="00700069" w:rsidRPr="00700069" w:rsidRDefault="00700069" w:rsidP="00700069">
      <w:pPr>
        <w:spacing w:line="360" w:lineRule="auto"/>
        <w:jc w:val="both"/>
        <w:rPr>
          <w:rFonts w:ascii="Times New Roman" w:hAnsi="Times New Roman" w:cs="Times New Roman"/>
          <w:sz w:val="24"/>
        </w:rPr>
      </w:pPr>
      <w:r w:rsidRPr="00700069">
        <w:rPr>
          <w:rFonts w:ascii="Times New Roman" w:hAnsi="Times New Roman" w:cs="Times New Roman"/>
          <w:sz w:val="24"/>
        </w:rPr>
        <w:t xml:space="preserve"> </w:t>
      </w:r>
    </w:p>
    <w:p w:rsidR="00700069" w:rsidRPr="00700069" w:rsidRDefault="00700069" w:rsidP="00700069">
      <w:pPr>
        <w:spacing w:line="360" w:lineRule="auto"/>
        <w:jc w:val="both"/>
        <w:rPr>
          <w:rFonts w:ascii="Times New Roman" w:hAnsi="Times New Roman" w:cs="Times New Roman"/>
          <w:sz w:val="24"/>
        </w:rPr>
      </w:pPr>
      <w:r w:rsidRPr="00700069">
        <w:rPr>
          <w:rFonts w:ascii="Times New Roman" w:hAnsi="Times New Roman" w:cs="Times New Roman"/>
          <w:sz w:val="24"/>
        </w:rPr>
        <w:t xml:space="preserve"> </w:t>
      </w:r>
    </w:p>
    <w:p w:rsidR="00700069" w:rsidRPr="00700069" w:rsidRDefault="00700069" w:rsidP="00700069">
      <w:pPr>
        <w:spacing w:line="360" w:lineRule="auto"/>
        <w:jc w:val="both"/>
        <w:rPr>
          <w:rFonts w:ascii="Times New Roman" w:hAnsi="Times New Roman" w:cs="Times New Roman"/>
          <w:sz w:val="24"/>
        </w:rPr>
      </w:pPr>
      <w:r w:rsidRPr="00700069">
        <w:rPr>
          <w:rFonts w:ascii="Times New Roman" w:hAnsi="Times New Roman" w:cs="Times New Roman"/>
          <w:sz w:val="24"/>
        </w:rPr>
        <w:t xml:space="preserve"> </w:t>
      </w:r>
    </w:p>
    <w:p w:rsidR="00700069" w:rsidRPr="00700069" w:rsidRDefault="00700069" w:rsidP="00700069">
      <w:pPr>
        <w:spacing w:line="360" w:lineRule="auto"/>
        <w:jc w:val="both"/>
        <w:rPr>
          <w:rFonts w:ascii="Times New Roman" w:hAnsi="Times New Roman" w:cs="Times New Roman"/>
          <w:sz w:val="24"/>
        </w:rPr>
      </w:pPr>
    </w:p>
    <w:p w:rsidR="00700069" w:rsidRPr="00166502" w:rsidRDefault="00700069" w:rsidP="00700069">
      <w:pPr>
        <w:spacing w:line="360" w:lineRule="auto"/>
        <w:jc w:val="both"/>
        <w:rPr>
          <w:rFonts w:ascii="Times New Roman" w:hAnsi="Times New Roman" w:cs="Times New Roman"/>
          <w:sz w:val="24"/>
        </w:rPr>
      </w:pPr>
    </w:p>
    <w:sectPr w:rsidR="00700069" w:rsidRPr="0016650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648" w:rsidRDefault="00597648" w:rsidP="00146356">
      <w:pPr>
        <w:spacing w:after="0" w:line="240" w:lineRule="auto"/>
      </w:pPr>
      <w:r>
        <w:separator/>
      </w:r>
    </w:p>
  </w:endnote>
  <w:endnote w:type="continuationSeparator" w:id="0">
    <w:p w:rsidR="00597648" w:rsidRDefault="00597648" w:rsidP="0014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6545633"/>
      <w:docPartObj>
        <w:docPartGallery w:val="Page Numbers (Bottom of Page)"/>
        <w:docPartUnique/>
      </w:docPartObj>
    </w:sdtPr>
    <w:sdtEndPr>
      <w:rPr>
        <w:noProof/>
      </w:rPr>
    </w:sdtEndPr>
    <w:sdtContent>
      <w:p w:rsidR="00146356" w:rsidRDefault="00146356">
        <w:pPr>
          <w:pStyle w:val="Footer"/>
          <w:jc w:val="right"/>
        </w:pPr>
        <w:r>
          <w:fldChar w:fldCharType="begin"/>
        </w:r>
        <w:r>
          <w:instrText xml:space="preserve"> PAGE   \* MERGEFORMAT </w:instrText>
        </w:r>
        <w:r>
          <w:fldChar w:fldCharType="separate"/>
        </w:r>
        <w:r w:rsidR="003B2078">
          <w:rPr>
            <w:noProof/>
          </w:rPr>
          <w:t>10</w:t>
        </w:r>
        <w:r>
          <w:rPr>
            <w:noProof/>
          </w:rPr>
          <w:fldChar w:fldCharType="end"/>
        </w:r>
      </w:p>
    </w:sdtContent>
  </w:sdt>
  <w:p w:rsidR="00146356" w:rsidRDefault="001463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648" w:rsidRDefault="00597648" w:rsidP="00146356">
      <w:pPr>
        <w:spacing w:after="0" w:line="240" w:lineRule="auto"/>
      </w:pPr>
      <w:r>
        <w:separator/>
      </w:r>
    </w:p>
  </w:footnote>
  <w:footnote w:type="continuationSeparator" w:id="0">
    <w:p w:rsidR="00597648" w:rsidRDefault="00597648" w:rsidP="001463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502"/>
    <w:rsid w:val="00060FDD"/>
    <w:rsid w:val="00090C85"/>
    <w:rsid w:val="00106F77"/>
    <w:rsid w:val="00115034"/>
    <w:rsid w:val="00146356"/>
    <w:rsid w:val="00166502"/>
    <w:rsid w:val="001D6D24"/>
    <w:rsid w:val="002313FB"/>
    <w:rsid w:val="00236016"/>
    <w:rsid w:val="002F4EB8"/>
    <w:rsid w:val="00345BCE"/>
    <w:rsid w:val="003B2078"/>
    <w:rsid w:val="004904FA"/>
    <w:rsid w:val="0058447C"/>
    <w:rsid w:val="00597648"/>
    <w:rsid w:val="00700069"/>
    <w:rsid w:val="00725DD7"/>
    <w:rsid w:val="0075297C"/>
    <w:rsid w:val="007925DE"/>
    <w:rsid w:val="008C12F3"/>
    <w:rsid w:val="008E2E02"/>
    <w:rsid w:val="00914E9A"/>
    <w:rsid w:val="0092070F"/>
    <w:rsid w:val="00931B84"/>
    <w:rsid w:val="009B00B5"/>
    <w:rsid w:val="00A264B9"/>
    <w:rsid w:val="00A60D33"/>
    <w:rsid w:val="00B3239F"/>
    <w:rsid w:val="00B7438A"/>
    <w:rsid w:val="00BB536B"/>
    <w:rsid w:val="00CF7CF0"/>
    <w:rsid w:val="00E32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04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4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904FA"/>
    <w:pPr>
      <w:outlineLvl w:val="9"/>
    </w:pPr>
    <w:rPr>
      <w:lang w:eastAsia="ja-JP"/>
    </w:rPr>
  </w:style>
  <w:style w:type="paragraph" w:styleId="TOC1">
    <w:name w:val="toc 1"/>
    <w:basedOn w:val="Normal"/>
    <w:next w:val="Normal"/>
    <w:autoRedefine/>
    <w:uiPriority w:val="39"/>
    <w:unhideWhenUsed/>
    <w:rsid w:val="004904FA"/>
    <w:pPr>
      <w:spacing w:after="100"/>
    </w:pPr>
  </w:style>
  <w:style w:type="character" w:styleId="Hyperlink">
    <w:name w:val="Hyperlink"/>
    <w:basedOn w:val="DefaultParagraphFont"/>
    <w:uiPriority w:val="99"/>
    <w:unhideWhenUsed/>
    <w:rsid w:val="004904FA"/>
    <w:rPr>
      <w:color w:val="0000FF" w:themeColor="hyperlink"/>
      <w:u w:val="single"/>
    </w:rPr>
  </w:style>
  <w:style w:type="paragraph" w:styleId="BalloonText">
    <w:name w:val="Balloon Text"/>
    <w:basedOn w:val="Normal"/>
    <w:link w:val="BalloonTextChar"/>
    <w:uiPriority w:val="99"/>
    <w:semiHidden/>
    <w:unhideWhenUsed/>
    <w:rsid w:val="00490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4FA"/>
    <w:rPr>
      <w:rFonts w:ascii="Tahoma" w:hAnsi="Tahoma" w:cs="Tahoma"/>
      <w:sz w:val="16"/>
      <w:szCs w:val="16"/>
    </w:rPr>
  </w:style>
  <w:style w:type="paragraph" w:styleId="Header">
    <w:name w:val="header"/>
    <w:basedOn w:val="Normal"/>
    <w:link w:val="HeaderChar"/>
    <w:uiPriority w:val="99"/>
    <w:unhideWhenUsed/>
    <w:rsid w:val="00146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56"/>
  </w:style>
  <w:style w:type="paragraph" w:styleId="Footer">
    <w:name w:val="footer"/>
    <w:basedOn w:val="Normal"/>
    <w:link w:val="FooterChar"/>
    <w:uiPriority w:val="99"/>
    <w:unhideWhenUsed/>
    <w:rsid w:val="00146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04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4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904FA"/>
    <w:pPr>
      <w:outlineLvl w:val="9"/>
    </w:pPr>
    <w:rPr>
      <w:lang w:eastAsia="ja-JP"/>
    </w:rPr>
  </w:style>
  <w:style w:type="paragraph" w:styleId="TOC1">
    <w:name w:val="toc 1"/>
    <w:basedOn w:val="Normal"/>
    <w:next w:val="Normal"/>
    <w:autoRedefine/>
    <w:uiPriority w:val="39"/>
    <w:unhideWhenUsed/>
    <w:rsid w:val="004904FA"/>
    <w:pPr>
      <w:spacing w:after="100"/>
    </w:pPr>
  </w:style>
  <w:style w:type="character" w:styleId="Hyperlink">
    <w:name w:val="Hyperlink"/>
    <w:basedOn w:val="DefaultParagraphFont"/>
    <w:uiPriority w:val="99"/>
    <w:unhideWhenUsed/>
    <w:rsid w:val="004904FA"/>
    <w:rPr>
      <w:color w:val="0000FF" w:themeColor="hyperlink"/>
      <w:u w:val="single"/>
    </w:rPr>
  </w:style>
  <w:style w:type="paragraph" w:styleId="BalloonText">
    <w:name w:val="Balloon Text"/>
    <w:basedOn w:val="Normal"/>
    <w:link w:val="BalloonTextChar"/>
    <w:uiPriority w:val="99"/>
    <w:semiHidden/>
    <w:unhideWhenUsed/>
    <w:rsid w:val="00490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4FA"/>
    <w:rPr>
      <w:rFonts w:ascii="Tahoma" w:hAnsi="Tahoma" w:cs="Tahoma"/>
      <w:sz w:val="16"/>
      <w:szCs w:val="16"/>
    </w:rPr>
  </w:style>
  <w:style w:type="paragraph" w:styleId="Header">
    <w:name w:val="header"/>
    <w:basedOn w:val="Normal"/>
    <w:link w:val="HeaderChar"/>
    <w:uiPriority w:val="99"/>
    <w:unhideWhenUsed/>
    <w:rsid w:val="00146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56"/>
  </w:style>
  <w:style w:type="paragraph" w:styleId="Footer">
    <w:name w:val="footer"/>
    <w:basedOn w:val="Normal"/>
    <w:link w:val="FooterChar"/>
    <w:uiPriority w:val="99"/>
    <w:unhideWhenUsed/>
    <w:rsid w:val="001463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16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C4B13-76E7-4AED-A88A-67C8F99C9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Md. Abidur Rahman</cp:lastModifiedBy>
  <cp:revision>6</cp:revision>
  <dcterms:created xsi:type="dcterms:W3CDTF">2024-07-31T04:18:00Z</dcterms:created>
  <dcterms:modified xsi:type="dcterms:W3CDTF">2024-07-31T04:25:00Z</dcterms:modified>
</cp:coreProperties>
</file>