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8BD4B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232034">
              <w:rPr>
                <w:b/>
                <w:color w:val="auto"/>
                <w:sz w:val="32"/>
              </w:rPr>
              <w:t>Rikki Hall (PC 6396)</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5B90D28" w:rsidR="005A1BA3" w:rsidRDefault="005A1BA3" w:rsidP="00340E9A">
            <w:pPr>
              <w:overflowPunct/>
              <w:autoSpaceDE/>
              <w:autoSpaceDN/>
              <w:adjustRightInd/>
              <w:ind w:right="237"/>
              <w:textAlignment w:val="auto"/>
              <w:rPr>
                <w:b/>
                <w:color w:val="auto"/>
                <w:sz w:val="32"/>
              </w:rPr>
            </w:pPr>
            <w:r>
              <w:rPr>
                <w:b/>
                <w:color w:val="auto"/>
                <w:sz w:val="32"/>
              </w:rPr>
              <w:t>__</w:t>
            </w:r>
            <w:r w:rsidR="00232034">
              <w:rPr>
                <w:b/>
                <w:color w:val="auto"/>
                <w:sz w:val="32"/>
              </w:rPr>
              <w:t>1815887</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BD3B2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BD3B2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BD3B2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8D4CA3"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FD5BBDC" w14:textId="77777777" w:rsidR="00232034" w:rsidRPr="00232034" w:rsidRDefault="00232034" w:rsidP="0023203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32034">
        <w:rPr>
          <w:rFonts w:ascii="Calibri" w:eastAsia="Calibri" w:hAnsi="Calibri" w:cs="Times New Roman"/>
          <w:color w:val="auto"/>
          <w:sz w:val="22"/>
          <w:szCs w:val="22"/>
          <w:lang w:eastAsia="en-US"/>
        </w:rPr>
        <w:t>The following essay will reflect on the impact of organisational justice on myself as a member of the South Wales Police service. This essay will consider the steps being taken in the Police organisation to help raise ethical standards amongst the officers and employees.</w:t>
      </w:r>
    </w:p>
    <w:p w14:paraId="6594AE7A" w14:textId="2FF64580" w:rsidR="00232034" w:rsidRPr="00232034" w:rsidRDefault="00232034" w:rsidP="0023203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32034">
        <w:rPr>
          <w:rFonts w:ascii="Calibri" w:eastAsia="Calibri" w:hAnsi="Calibri" w:cs="Times New Roman"/>
          <w:color w:val="auto"/>
          <w:sz w:val="22"/>
          <w:szCs w:val="22"/>
          <w:lang w:eastAsia="en-US"/>
        </w:rPr>
        <w:t>Organisational justice is a term used to describe the extent to which people working for a company or organisation feel that their actions and responsibilities are fair for the role that they have. The perception of an employee’s fairness can influence and behaviours positively or negatively on their working role. This therefore in turn can positively or negatively affect the employer’s success. Organisational justice takes into account many factors succeeding traditional work behaviour models that include social support, well-being, job demands, productivity and job control. As fairness is subjective, organisational justice will often only being brought into question when that justice has been imbalanced. The usual topics involve unfair dismissals, unequal pay for difficulty of job tasks or any other practice that could be deemed as unproportione</w:t>
      </w:r>
      <w:r w:rsidR="008D4CA3">
        <w:rPr>
          <w:rFonts w:ascii="Calibri" w:eastAsia="Calibri" w:hAnsi="Calibri" w:cs="Times New Roman"/>
          <w:color w:val="auto"/>
          <w:sz w:val="22"/>
          <w:szCs w:val="22"/>
          <w:lang w:eastAsia="en-US"/>
        </w:rPr>
        <w:t xml:space="preserve">d or unfair in the work place. </w:t>
      </w:r>
      <w:r w:rsidRPr="00232034">
        <w:rPr>
          <w:rFonts w:ascii="Calibri" w:eastAsia="Calibri" w:hAnsi="Calibri" w:cs="Times New Roman"/>
          <w:color w:val="auto"/>
          <w:sz w:val="22"/>
          <w:szCs w:val="22"/>
          <w:lang w:eastAsia="en-US"/>
        </w:rPr>
        <w:t>Organization</w:t>
      </w:r>
      <w:r w:rsidR="008D4CA3">
        <w:rPr>
          <w:rFonts w:ascii="Calibri" w:eastAsia="Calibri" w:hAnsi="Calibri" w:cs="Times New Roman"/>
          <w:color w:val="auto"/>
          <w:sz w:val="22"/>
          <w:szCs w:val="22"/>
          <w:lang w:eastAsia="en-US"/>
        </w:rPr>
        <w:t>al justice is a multi-layer concept which deals with many things from personal treatment, payment</w:t>
      </w:r>
      <w:r w:rsidRPr="00232034">
        <w:rPr>
          <w:rFonts w:ascii="Calibri" w:eastAsia="Calibri" w:hAnsi="Calibri" w:cs="Times New Roman"/>
          <w:color w:val="auto"/>
          <w:sz w:val="22"/>
          <w:szCs w:val="22"/>
          <w:lang w:eastAsia="en-US"/>
        </w:rPr>
        <w:t xml:space="preserve"> </w:t>
      </w:r>
      <w:r w:rsidR="008D4CA3">
        <w:rPr>
          <w:rFonts w:ascii="Calibri" w:eastAsia="Calibri" w:hAnsi="Calibri" w:cs="Times New Roman"/>
          <w:color w:val="auto"/>
          <w:sz w:val="22"/>
          <w:szCs w:val="22"/>
          <w:lang w:eastAsia="en-US"/>
        </w:rPr>
        <w:t>and other intangible elements</w:t>
      </w:r>
      <w:r w:rsidRPr="00232034">
        <w:rPr>
          <w:rFonts w:ascii="Calibri" w:eastAsia="Calibri" w:hAnsi="Calibri" w:cs="Times New Roman"/>
          <w:color w:val="auto"/>
          <w:sz w:val="22"/>
          <w:szCs w:val="22"/>
          <w:lang w:eastAsia="en-US"/>
        </w:rPr>
        <w:t xml:space="preserve">. </w:t>
      </w:r>
      <w:r w:rsidR="008D4CA3">
        <w:rPr>
          <w:rFonts w:ascii="Calibri" w:eastAsia="Calibri" w:hAnsi="Calibri" w:cs="Times New Roman"/>
          <w:color w:val="auto"/>
          <w:sz w:val="22"/>
          <w:szCs w:val="22"/>
          <w:lang w:eastAsia="en-US"/>
        </w:rPr>
        <w:t>“</w:t>
      </w:r>
      <w:r w:rsidRPr="00232034">
        <w:rPr>
          <w:rFonts w:ascii="Calibri" w:eastAsia="Calibri" w:hAnsi="Calibri" w:cs="Times New Roman"/>
          <w:color w:val="auto"/>
          <w:sz w:val="22"/>
          <w:szCs w:val="22"/>
          <w:lang w:eastAsia="en-US"/>
        </w:rPr>
        <w:t>It is a judgment made by an employee about fairness of outcome distribution, processes in allocating outcomes and interpersonal relationships at the workplace.”(Mengstie, M.M.-2020)</w:t>
      </w:r>
    </w:p>
    <w:p w14:paraId="13F66A12" w14:textId="77777777" w:rsidR="00232034" w:rsidRPr="00232034" w:rsidRDefault="00232034" w:rsidP="0023203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32034">
        <w:rPr>
          <w:rFonts w:ascii="Calibri" w:eastAsia="Calibri" w:hAnsi="Calibri" w:cs="Times New Roman"/>
          <w:color w:val="auto"/>
          <w:sz w:val="22"/>
          <w:szCs w:val="22"/>
          <w:lang w:eastAsia="en-US"/>
        </w:rPr>
        <w:t xml:space="preserve">There are three main types of organisational justice. These are distributive, procedural, and interactional. </w:t>
      </w:r>
    </w:p>
    <w:p w14:paraId="6F4FEFA8" w14:textId="5ECADBE6" w:rsidR="00232034" w:rsidRPr="00232034" w:rsidRDefault="00232034" w:rsidP="0023203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32034">
        <w:rPr>
          <w:rFonts w:ascii="Calibri" w:eastAsia="Calibri" w:hAnsi="Calibri" w:cs="Times New Roman"/>
          <w:color w:val="auto"/>
          <w:sz w:val="22"/>
          <w:szCs w:val="22"/>
          <w:lang w:eastAsia="en-US"/>
        </w:rPr>
        <w:t xml:space="preserve">Distributive justice is how fairly people feel their inputs, such as workloads and resources, equal into rewards such as pay and recognition for their work. “This type of justice refers to outcomes being distributed proportional to inputs the so-called equity principle. Outcomes any work context might take the form of wages, social approval, job security, promotion and career opportunities, while inputs would include education, </w:t>
      </w:r>
      <w:r w:rsidR="008D4CA3">
        <w:rPr>
          <w:rFonts w:ascii="Calibri" w:eastAsia="Calibri" w:hAnsi="Calibri" w:cs="Times New Roman"/>
          <w:color w:val="auto"/>
          <w:sz w:val="22"/>
          <w:szCs w:val="22"/>
          <w:lang w:eastAsia="en-US"/>
        </w:rPr>
        <w:t>training, experience and effort</w:t>
      </w:r>
      <w:r w:rsidRPr="00232034">
        <w:rPr>
          <w:rFonts w:ascii="Calibri" w:eastAsia="Calibri" w:hAnsi="Calibri" w:cs="Times New Roman"/>
          <w:color w:val="auto"/>
          <w:sz w:val="22"/>
          <w:szCs w:val="22"/>
          <w:lang w:eastAsia="en-US"/>
        </w:rPr>
        <w:t>.”- (Baldwin-2006)</w:t>
      </w:r>
    </w:p>
    <w:p w14:paraId="68A9E5EE" w14:textId="77777777" w:rsidR="00232034" w:rsidRPr="00232034" w:rsidRDefault="00232034" w:rsidP="0023203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32034">
        <w:rPr>
          <w:rFonts w:ascii="Calibri" w:eastAsia="Calibri" w:hAnsi="Calibri" w:cs="Times New Roman"/>
          <w:color w:val="auto"/>
          <w:sz w:val="22"/>
          <w:szCs w:val="22"/>
          <w:lang w:eastAsia="en-US"/>
        </w:rPr>
        <w:t xml:space="preserve">Procedural justice is a mix how employees perceive decisions being made by the organisation and if they are ethical, consistent, and impartial. It also relies on how open and honest the employee feels their senior staff are and how dignified and respectful they are. </w:t>
      </w:r>
    </w:p>
    <w:p w14:paraId="58E6DCDC" w14:textId="14644F9D" w:rsidR="00232034" w:rsidRPr="00232034" w:rsidRDefault="00232034" w:rsidP="0023203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32034">
        <w:rPr>
          <w:rFonts w:ascii="Calibri" w:eastAsia="Calibri" w:hAnsi="Calibri" w:cs="Times New Roman"/>
          <w:color w:val="auto"/>
          <w:sz w:val="22"/>
          <w:szCs w:val="22"/>
          <w:lang w:eastAsia="en-US"/>
        </w:rPr>
        <w:lastRenderedPageBreak/>
        <w:t>Interactional Justice is similar to procedural justice however it is the feeling that employees have an effect on the decision making procedure. Within this process employees must feel like all information given to them is accurate, there are discriminatory elements, and if a wrong decision is made there should be some official accountability from the organisation. “Interactional justice is the standard applied to how employees relate to each other at work. This is not just determining how managers treat their team members; it can also relate to how co-workers and colleagues interact with each other. (Schofield-2020)</w:t>
      </w:r>
    </w:p>
    <w:p w14:paraId="2BB3D85D" w14:textId="77777777" w:rsidR="00232034" w:rsidRPr="00232034" w:rsidRDefault="00232034" w:rsidP="0023203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32034">
        <w:rPr>
          <w:rFonts w:ascii="Calibri" w:eastAsia="Calibri" w:hAnsi="Calibri" w:cs="Times New Roman"/>
          <w:color w:val="auto"/>
          <w:sz w:val="22"/>
          <w:szCs w:val="22"/>
          <w:lang w:eastAsia="en-US"/>
        </w:rPr>
        <w:t xml:space="preserve">My own personal experience of organisational justice within South Wales Police has been a mostly positive one. The structure of organisational decision-making seems to be robust with many levels of input from different sectors within the police service. Certain responsibilities are clearly defined page department so each individual should know their role within the organisation. Career progression opportunities is also a positive aspect of the role inside of the South Wales police organisation as there are many options for progression in different fields based upon your positive attributes and, time and staff levels permitting, you may have the opportunity to participate in a short attachment with the chosen field to get the experience for you to decide whether this is a path you would be willing to take your career towards. </w:t>
      </w:r>
    </w:p>
    <w:p w14:paraId="2D80259A" w14:textId="77777777" w:rsidR="00232034" w:rsidRPr="00232034" w:rsidRDefault="00232034" w:rsidP="0023203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32034">
        <w:rPr>
          <w:rFonts w:ascii="Calibri" w:eastAsia="Calibri" w:hAnsi="Calibri" w:cs="Times New Roman"/>
          <w:color w:val="auto"/>
          <w:sz w:val="22"/>
          <w:szCs w:val="22"/>
          <w:lang w:eastAsia="en-US"/>
        </w:rPr>
        <w:t xml:space="preserve">Job security has a mixed interpretation within my time with the South Wales police. On the positive side the police service will always be needed whatever state the country may find itself in as highlighted by the Covid-19 pandemic whereby I have known a lot of people lose their employment due to their place of work not being able to sustain their job role. On the other side there are strict protocols in place that are reviewed at many levels which can be overbearing to someone new to the job role whilst on top of this an extended three year probationary period creates more pressure in perceived job security causing unnecessary stress. Effort in one’s role is also a mixed perception of positive organisational justice as some tasks that you have put much effort in get unnoticed however other tasks which require less effort sometimes get great praise depending on the organisational focus of the task that you doing. For example if there is a push from higher management for effective stop searches in a certain area or Covid-19 fines this can be widely praised even though less time and effort is required for tasks such as putting together for crown court files and/or spending large amounts of time with a vulnerable person to maintain their welfare. </w:t>
      </w:r>
    </w:p>
    <w:p w14:paraId="282F592B" w14:textId="77777777" w:rsidR="00232034" w:rsidRPr="00232034" w:rsidRDefault="00232034" w:rsidP="0023203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32034">
        <w:rPr>
          <w:rFonts w:ascii="Calibri" w:eastAsia="Calibri" w:hAnsi="Calibri" w:cs="Times New Roman"/>
          <w:color w:val="auto"/>
          <w:sz w:val="22"/>
          <w:szCs w:val="22"/>
          <w:lang w:eastAsia="en-US"/>
        </w:rPr>
        <w:t xml:space="preserve">South Wales Police has taken many steps to ensure organisational justice adhered to. One of the ways this integrity is kept is by doing regular performance reviews with your immediate supervisor whereby you can discuss your performance and your progression including what field you would like to pursue within the police service. South Wales Police also conduct daily management meetings whereby they discuss events that have taken place the day before and review/critique how these incidents were dealt with and create an action plan if they feel necessary. During these daily management meetings many levels within the service attend making sure that each level has an input into the desired outcome of the progression of the incident. </w:t>
      </w:r>
    </w:p>
    <w:p w14:paraId="3B7C8064" w14:textId="3304053C" w:rsidR="00232034" w:rsidRPr="00232034" w:rsidRDefault="00232034" w:rsidP="0023203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32034">
        <w:rPr>
          <w:rFonts w:ascii="Calibri" w:eastAsia="Calibri" w:hAnsi="Calibri" w:cs="Times New Roman"/>
          <w:color w:val="auto"/>
          <w:sz w:val="22"/>
          <w:szCs w:val="22"/>
          <w:lang w:eastAsia="en-US"/>
        </w:rPr>
        <w:t xml:space="preserve">In conclusion South Wales Police does adhere to organisational justice positively however there are some small aspects that need attending to if they were to make all employees feel their efforts are proportionately valued to the level of time and energy put into certain tasks. </w:t>
      </w:r>
      <w:r w:rsidR="005F3189" w:rsidRPr="005F3189">
        <w:rPr>
          <w:rFonts w:ascii="Calibri" w:eastAsia="Calibri" w:hAnsi="Calibri" w:cs="Times New Roman"/>
          <w:color w:val="auto"/>
          <w:sz w:val="22"/>
          <w:szCs w:val="22"/>
          <w:lang w:eastAsia="en-US"/>
        </w:rPr>
        <w:t>South Wales Police</w:t>
      </w:r>
      <w:r w:rsidR="005F3189">
        <w:rPr>
          <w:rFonts w:ascii="Calibri" w:eastAsia="Calibri" w:hAnsi="Calibri" w:cs="Times New Roman"/>
          <w:color w:val="auto"/>
          <w:sz w:val="22"/>
          <w:szCs w:val="22"/>
          <w:lang w:eastAsia="en-US"/>
        </w:rPr>
        <w:t xml:space="preserve"> are raising their ethical standards by the use of effective Organisational Justice. </w:t>
      </w:r>
      <w:r w:rsidRPr="00232034">
        <w:rPr>
          <w:rFonts w:ascii="Calibri" w:eastAsia="Calibri" w:hAnsi="Calibri" w:cs="Times New Roman"/>
          <w:color w:val="auto"/>
          <w:sz w:val="22"/>
          <w:szCs w:val="22"/>
          <w:lang w:eastAsia="en-US"/>
        </w:rPr>
        <w:t>At all levels the policing code of ethics is mostly conformed to making sure most decisions are proportionate, ethical, justified and l</w:t>
      </w:r>
      <w:r w:rsidR="005F3189">
        <w:rPr>
          <w:rFonts w:ascii="Calibri" w:eastAsia="Calibri" w:hAnsi="Calibri" w:cs="Times New Roman"/>
          <w:color w:val="auto"/>
          <w:sz w:val="22"/>
          <w:szCs w:val="22"/>
          <w:lang w:eastAsia="en-US"/>
        </w:rPr>
        <w:t>egal. If the code of ethics is</w:t>
      </w:r>
      <w:r w:rsidRPr="00232034">
        <w:rPr>
          <w:rFonts w:ascii="Calibri" w:eastAsia="Calibri" w:hAnsi="Calibri" w:cs="Times New Roman"/>
          <w:color w:val="auto"/>
          <w:sz w:val="22"/>
          <w:szCs w:val="22"/>
          <w:lang w:eastAsia="en-US"/>
        </w:rPr>
        <w:t xml:space="preserve"> contemplated on each decision this should maintain organisational justice at every level within the South Wales Police. </w:t>
      </w:r>
    </w:p>
    <w:p w14:paraId="325657E4" w14:textId="77777777" w:rsidR="00232034" w:rsidRPr="00232034" w:rsidRDefault="00232034" w:rsidP="00232034">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5769E52" w14:textId="77777777" w:rsidR="00232034" w:rsidRPr="00232034" w:rsidRDefault="00232034" w:rsidP="00232034">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232034">
        <w:rPr>
          <w:rFonts w:ascii="Calibri" w:eastAsia="Calibri" w:hAnsi="Calibri" w:cs="Times New Roman"/>
          <w:b/>
          <w:color w:val="auto"/>
          <w:sz w:val="22"/>
          <w:szCs w:val="22"/>
          <w:lang w:eastAsia="en-US"/>
        </w:rPr>
        <w:lastRenderedPageBreak/>
        <w:t>1070 Words</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CF4C5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6DD93C"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The following essay will give a brief description of a policing incident whereby I have involved a partnership approach by which I have played a significant role with an offender/service user/victim and will reflect on what events have taken place. I will consider what options I had whilst using a multi-agency approach. I will explain how I decided on the most appropriate option to mitigate or resolve the problem and how I evaluated the available evidence. I will also justify my intervention and highlight the potential consequences of my options. </w:t>
      </w:r>
    </w:p>
    <w:p w14:paraId="0633D76C"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My role as a uniformed response Police constable is not only to investigate crime but also for public protection. The reason for this is that is the job of a police constable to uphold article 2 of the European convention of human rights.</w:t>
      </w:r>
    </w:p>
    <w:p w14:paraId="0DDC1132"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 “Right to life </w:t>
      </w:r>
    </w:p>
    <w:p w14:paraId="4E8C5F2A"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1- Everyone’s right to life shall be protected by law. No one shall be deprived of his life intentionally save in the execution of a sentence of a court following his conviction of a crime for which this penalty is provided by law.</w:t>
      </w:r>
    </w:p>
    <w:p w14:paraId="7A2BAA57"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 2. Deprivation of life shall not be regarded as inflicted in contravention of this Article when it results from the use of force which is no more than absolutely necessary:</w:t>
      </w:r>
    </w:p>
    <w:p w14:paraId="7832D4DF"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 (a) in defence of any person from unlawful violence; </w:t>
      </w:r>
    </w:p>
    <w:p w14:paraId="511D6639"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(b) in order to effect a lawful arrest or to prevent the escape of a person lawfully detained; </w:t>
      </w:r>
    </w:p>
    <w:p w14:paraId="6FE7723E"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lastRenderedPageBreak/>
        <w:t>(c) in action lawfully taken for the purpose of quelling a riot or insurrection” (European Court of Human Rights-2010)</w:t>
      </w:r>
    </w:p>
    <w:p w14:paraId="1D16B70D" w14:textId="6F1816C9"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Therefore many times during my role I have to use a multi-agency approach to protect the public as a way of ultimately conform</w:t>
      </w:r>
      <w:r w:rsidR="005F3189">
        <w:rPr>
          <w:rFonts w:ascii="Calibri" w:eastAsia="Calibri" w:hAnsi="Calibri" w:cs="Times New Roman"/>
          <w:color w:val="auto"/>
          <w:sz w:val="22"/>
          <w:szCs w:val="22"/>
          <w:lang w:eastAsia="en-US"/>
        </w:rPr>
        <w:t>ing to</w:t>
      </w:r>
      <w:r w:rsidRPr="00BD3B2B">
        <w:rPr>
          <w:rFonts w:ascii="Calibri" w:eastAsia="Calibri" w:hAnsi="Calibri" w:cs="Times New Roman"/>
          <w:color w:val="auto"/>
          <w:sz w:val="22"/>
          <w:szCs w:val="22"/>
          <w:lang w:eastAsia="en-US"/>
        </w:rPr>
        <w:t xml:space="preserve"> article 2 of the European Convention of Human rights. Although the threat to life may not be immediate, it is best practice to consider the future implications of whatever relevant threat to life there may be depending on the unique situation that the member of the public is in.</w:t>
      </w:r>
    </w:p>
    <w:p w14:paraId="0B793163" w14:textId="3F0E039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In November of 2020 I was tasked to attend an address in the Moriston area after a report of a domestic in</w:t>
      </w:r>
      <w:r w:rsidR="005F3189">
        <w:rPr>
          <w:rFonts w:ascii="Calibri" w:eastAsia="Calibri" w:hAnsi="Calibri" w:cs="Times New Roman"/>
          <w:color w:val="auto"/>
          <w:sz w:val="22"/>
          <w:szCs w:val="22"/>
          <w:lang w:eastAsia="en-US"/>
        </w:rPr>
        <w:t>cident between a son and his fa</w:t>
      </w:r>
      <w:r w:rsidRPr="00BD3B2B">
        <w:rPr>
          <w:rFonts w:ascii="Calibri" w:eastAsia="Calibri" w:hAnsi="Calibri" w:cs="Times New Roman"/>
          <w:color w:val="auto"/>
          <w:sz w:val="22"/>
          <w:szCs w:val="22"/>
          <w:lang w:eastAsia="en-US"/>
        </w:rPr>
        <w:t>ther. Before entering the address I checked warning markers on the individuals involved and could see that there were warning markers on the son for d</w:t>
      </w:r>
      <w:r w:rsidR="005F3189">
        <w:rPr>
          <w:rFonts w:ascii="Calibri" w:eastAsia="Calibri" w:hAnsi="Calibri" w:cs="Times New Roman"/>
          <w:color w:val="auto"/>
          <w:sz w:val="22"/>
          <w:szCs w:val="22"/>
          <w:lang w:eastAsia="en-US"/>
        </w:rPr>
        <w:t>omestic violence against his fa</w:t>
      </w:r>
      <w:r w:rsidRPr="00BD3B2B">
        <w:rPr>
          <w:rFonts w:ascii="Calibri" w:eastAsia="Calibri" w:hAnsi="Calibri" w:cs="Times New Roman"/>
          <w:color w:val="auto"/>
          <w:sz w:val="22"/>
          <w:szCs w:val="22"/>
          <w:lang w:eastAsia="en-US"/>
        </w:rPr>
        <w:t>ther. Therefore I could pre-plan based on this information that there had been a history of domestic violence in the address. I could also see that there was a warning marker on the son for using weapons. I was then able to add this factor into my dynamic risk assessment.</w:t>
      </w:r>
    </w:p>
    <w:p w14:paraId="43685744" w14:textId="5DD0530F"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Upon entering the address there was a heated argument taking p</w:t>
      </w:r>
      <w:r w:rsidR="005F3189">
        <w:rPr>
          <w:rFonts w:ascii="Calibri" w:eastAsia="Calibri" w:hAnsi="Calibri" w:cs="Times New Roman"/>
          <w:color w:val="auto"/>
          <w:sz w:val="22"/>
          <w:szCs w:val="22"/>
          <w:lang w:eastAsia="en-US"/>
        </w:rPr>
        <w:t>lace between the son and the fa</w:t>
      </w:r>
      <w:r w:rsidRPr="00BD3B2B">
        <w:rPr>
          <w:rFonts w:ascii="Calibri" w:eastAsia="Calibri" w:hAnsi="Calibri" w:cs="Times New Roman"/>
          <w:color w:val="auto"/>
          <w:sz w:val="22"/>
          <w:szCs w:val="22"/>
          <w:lang w:eastAsia="en-US"/>
        </w:rPr>
        <w:t>ther. I noticed a knife close to the son at the time so made the decision to immediately remove it to eliminate the danger and stop a potential immediate threat to life.</w:t>
      </w:r>
    </w:p>
    <w:p w14:paraId="14E89D4E" w14:textId="554EF553" w:rsidR="00BD3B2B" w:rsidRPr="00BD3B2B" w:rsidRDefault="005F3189"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I spoke to the fa</w:t>
      </w:r>
      <w:r w:rsidR="00BD3B2B" w:rsidRPr="00BD3B2B">
        <w:rPr>
          <w:rFonts w:ascii="Calibri" w:eastAsia="Calibri" w:hAnsi="Calibri" w:cs="Times New Roman"/>
          <w:color w:val="auto"/>
          <w:sz w:val="22"/>
          <w:szCs w:val="22"/>
          <w:lang w:eastAsia="en-US"/>
        </w:rPr>
        <w:t xml:space="preserve">ther who told me they had an argument over the son asking to borrow £10 after already lending him money earlier that day. The father was woken up by his son whilst trying to sleep which has then caused an argument. The son was also intoxicated with alcohol at this time </w:t>
      </w:r>
      <w:r>
        <w:rPr>
          <w:rFonts w:ascii="Calibri" w:eastAsia="Calibri" w:hAnsi="Calibri" w:cs="Times New Roman"/>
          <w:color w:val="auto"/>
          <w:sz w:val="22"/>
          <w:szCs w:val="22"/>
          <w:lang w:eastAsia="en-US"/>
        </w:rPr>
        <w:t xml:space="preserve">which </w:t>
      </w:r>
      <w:r w:rsidR="00BD3B2B" w:rsidRPr="00BD3B2B">
        <w:rPr>
          <w:rFonts w:ascii="Calibri" w:eastAsia="Calibri" w:hAnsi="Calibri" w:cs="Times New Roman"/>
          <w:color w:val="auto"/>
          <w:sz w:val="22"/>
          <w:szCs w:val="22"/>
          <w:lang w:eastAsia="en-US"/>
        </w:rPr>
        <w:t>added to the risk factors. Due to these factors the argument became very</w:t>
      </w:r>
      <w:r>
        <w:rPr>
          <w:rFonts w:ascii="Calibri" w:eastAsia="Calibri" w:hAnsi="Calibri" w:cs="Times New Roman"/>
          <w:color w:val="auto"/>
          <w:sz w:val="22"/>
          <w:szCs w:val="22"/>
          <w:lang w:eastAsia="en-US"/>
        </w:rPr>
        <w:t xml:space="preserve"> verbally aggressive and the fa</w:t>
      </w:r>
      <w:r w:rsidR="00BD3B2B" w:rsidRPr="00BD3B2B">
        <w:rPr>
          <w:rFonts w:ascii="Calibri" w:eastAsia="Calibri" w:hAnsi="Calibri" w:cs="Times New Roman"/>
          <w:color w:val="auto"/>
          <w:sz w:val="22"/>
          <w:szCs w:val="22"/>
          <w:lang w:eastAsia="en-US"/>
        </w:rPr>
        <w:t>ther has decided it was necessary to call the police to avoid the situation escalating.</w:t>
      </w:r>
    </w:p>
    <w:p w14:paraId="3AE76565"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Whilst speaking to the son I asked him what had caused him to have this argument in an empathetic way. The son opened up to me and decided to tell me about his ongoing depression and that mental health services were not helping him.</w:t>
      </w:r>
    </w:p>
    <w:p w14:paraId="5A29A609" w14:textId="3E469A1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As no offence had been committed at the address the next step in terms of public protection was to remove the son from the address. The son told me that he could stay with his mother. However, before conveying the son to the mother’s address, I decided to check his mother’s details on police databases. The databases showed that the son had warning makers for domestic violence against the mother also. The consequences o</w:t>
      </w:r>
      <w:r w:rsidR="005F3189">
        <w:rPr>
          <w:rFonts w:ascii="Calibri" w:eastAsia="Calibri" w:hAnsi="Calibri" w:cs="Times New Roman"/>
          <w:color w:val="auto"/>
          <w:sz w:val="22"/>
          <w:szCs w:val="22"/>
          <w:lang w:eastAsia="en-US"/>
        </w:rPr>
        <w:t>f not considering this option, i</w:t>
      </w:r>
      <w:r w:rsidRPr="00BD3B2B">
        <w:rPr>
          <w:rFonts w:ascii="Calibri" w:eastAsia="Calibri" w:hAnsi="Calibri" w:cs="Times New Roman"/>
          <w:color w:val="auto"/>
          <w:sz w:val="22"/>
          <w:szCs w:val="22"/>
          <w:lang w:eastAsia="en-US"/>
        </w:rPr>
        <w:t>f I did not check this data, c</w:t>
      </w:r>
      <w:r w:rsidR="005F3189">
        <w:rPr>
          <w:rFonts w:ascii="Calibri" w:eastAsia="Calibri" w:hAnsi="Calibri" w:cs="Times New Roman"/>
          <w:color w:val="auto"/>
          <w:sz w:val="22"/>
          <w:szCs w:val="22"/>
          <w:lang w:eastAsia="en-US"/>
        </w:rPr>
        <w:t>ould have been potentially taking</w:t>
      </w:r>
      <w:r w:rsidRPr="00BD3B2B">
        <w:rPr>
          <w:rFonts w:ascii="Calibri" w:eastAsia="Calibri" w:hAnsi="Calibri" w:cs="Times New Roman"/>
          <w:color w:val="auto"/>
          <w:sz w:val="22"/>
          <w:szCs w:val="22"/>
          <w:lang w:eastAsia="en-US"/>
        </w:rPr>
        <w:t xml:space="preserve"> the son to a worse situation that he was already in. Therefore we decided to take the son to his sister’s address whereby there are no domestic warning markers. </w:t>
      </w:r>
    </w:p>
    <w:p w14:paraId="0AD39904"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Whilst dealing with domestic incidents it is important to take into consideration the following danger factors:</w:t>
      </w:r>
    </w:p>
    <w:p w14:paraId="72A1D796"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“Domestic violence includes physical, psychological, sexual, financial and emotional abuse involving partners, ex-partners, other relatives or household members. In 2009 to 2010, the British Crime Survey showed that domestic violence accounted for 14% of all violent incidents and affects both men and women.</w:t>
      </w:r>
    </w:p>
    <w:p w14:paraId="45D88AFB"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Domestic violence is frequently repeated by the perpetrator and the violence can escalate over time.</w:t>
      </w:r>
    </w:p>
    <w:p w14:paraId="1F5891D5"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A domestic attack that results in the death of the victim is often not a first attack and is likely to have been preceded by psychological and emotional abuse. Many people and agencies may have known </w:t>
      </w:r>
      <w:r w:rsidRPr="00BD3B2B">
        <w:rPr>
          <w:rFonts w:ascii="Calibri" w:eastAsia="Calibri" w:hAnsi="Calibri" w:cs="Times New Roman"/>
          <w:color w:val="auto"/>
          <w:sz w:val="22"/>
          <w:szCs w:val="22"/>
          <w:lang w:eastAsia="en-US"/>
        </w:rPr>
        <w:lastRenderedPageBreak/>
        <w:t>of previous attacks – neighbours may have heard violence, a GP may have examined injuries, the police may have been called, there may have been previous prosecutions or injunctions.</w:t>
      </w:r>
    </w:p>
    <w:p w14:paraId="23DF5945"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This can sometimes make serious injury and homicide in domestic violence cases preventable with early intervention. Local agencies should have adequate policies and procedures in place to instruct staff on how to intervene in domestic violence cases.” (Home Office-2013)</w:t>
      </w:r>
    </w:p>
    <w:p w14:paraId="4A706B15" w14:textId="7F03F3A9"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After making sure the male was safe I decided that multi agency help was appropriate due to the domestic setting between family members and mental health factors. I therefore created a Public Protection Notification to notify the Public Protection Unit with the appropriate information so they can share this information with the ap</w:t>
      </w:r>
      <w:r w:rsidR="00C21054">
        <w:rPr>
          <w:rFonts w:ascii="Calibri" w:eastAsia="Calibri" w:hAnsi="Calibri" w:cs="Times New Roman"/>
          <w:color w:val="auto"/>
          <w:sz w:val="22"/>
          <w:szCs w:val="22"/>
          <w:lang w:eastAsia="en-US"/>
        </w:rPr>
        <w:t>propriate agencies. A meeting was</w:t>
      </w:r>
      <w:r w:rsidRPr="00BD3B2B">
        <w:rPr>
          <w:rFonts w:ascii="Calibri" w:eastAsia="Calibri" w:hAnsi="Calibri" w:cs="Times New Roman"/>
          <w:color w:val="auto"/>
          <w:sz w:val="22"/>
          <w:szCs w:val="22"/>
          <w:lang w:eastAsia="en-US"/>
        </w:rPr>
        <w:t xml:space="preserve"> then held with the Public Protection Unit and other agencies such as the</w:t>
      </w:r>
      <w:r w:rsidR="00C21054">
        <w:rPr>
          <w:rFonts w:ascii="Calibri" w:eastAsia="Calibri" w:hAnsi="Calibri" w:cs="Times New Roman"/>
          <w:color w:val="auto"/>
          <w:sz w:val="22"/>
          <w:szCs w:val="22"/>
          <w:lang w:eastAsia="en-US"/>
        </w:rPr>
        <w:t xml:space="preserve"> council and charities where it was decided the</w:t>
      </w:r>
      <w:r w:rsidRPr="00BD3B2B">
        <w:rPr>
          <w:rFonts w:ascii="Calibri" w:eastAsia="Calibri" w:hAnsi="Calibri" w:cs="Times New Roman"/>
          <w:color w:val="auto"/>
          <w:sz w:val="22"/>
          <w:szCs w:val="22"/>
          <w:lang w:eastAsia="en-US"/>
        </w:rPr>
        <w:t xml:space="preserve"> best action to take to best protect all that are involved. </w:t>
      </w:r>
    </w:p>
    <w:p w14:paraId="55C8D540"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“A multiagency approach to communication and decision-making may safeguard the victim and prevent further abuse addressing the immediate protection needs of the victim at the earliest opportunity. Such an approach seems to have been lacking in the case of Fiona Pilkington, who killed herself and her severely disabled daughter in 2007 after years of harassment.” (Bryant R, Bryant S-2018)</w:t>
      </w:r>
    </w:p>
    <w:p w14:paraId="14A9E32D"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For the above reason I felt my intervention and information sharing was acceptable and necessary in terms of safeguarding for the member of the public I was protecting. With this sharing with multiple agencies it will help protect vulnerable members of society so it is important to think about the dangers that are present not only during your attendance but also when you leave and be aware of the agencies that can help these members of society. This information sharing could potentially prevent further harm or potentially a homicide if agencies manage my first hand information correctly therefore it is vital I always submit this information.</w:t>
      </w:r>
    </w:p>
    <w:p w14:paraId="547CF08A"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BD3B2B">
        <w:rPr>
          <w:rFonts w:ascii="Calibri" w:eastAsia="Calibri" w:hAnsi="Calibri" w:cs="Times New Roman"/>
          <w:b/>
          <w:color w:val="auto"/>
          <w:sz w:val="22"/>
          <w:szCs w:val="22"/>
          <w:lang w:eastAsia="en-US"/>
        </w:rPr>
        <w:t>1161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A07F240"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The following essay will describe a policing incident whereby I have played a significant role with a victim of crime or anti-social behaviour and reflect on what happened. I will describe the incident, including social and legislative contexts and any relevant cultural, ethnicity and language issues. I will evaluate the appropriateness of different approaches by professionals and police in supporting or managing vulnerable people or people at risk of harm. I will also evaluate what works in relation to tackling repeat victimisation and repeat offending.</w:t>
      </w:r>
    </w:p>
    <w:p w14:paraId="5DE5613B"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In October 2020 I was tasked to attend a block of flats in the Swansea city centre area after an emergency call had come in claiming that there were people fighting in the hallway of the block of flats. Whilst travelling to the block flats I took the opportunity to search people involved on police databases. While searching these databases I found that the individuals involved had been a part of a series of neighbour complaints including noise and other antisocial behaviour. I therefore could incorporate this information into my dynamic risk assessment when attending the incident. </w:t>
      </w:r>
    </w:p>
    <w:p w14:paraId="43D0086C" w14:textId="0BBA7836"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Upon arriving at the block of flats there were two groups of people shouting at each other in the hallway of the fourth floor. As the reporting person was a neighbour who did not know why the two groups </w:t>
      </w:r>
      <w:r w:rsidR="00E00A36">
        <w:rPr>
          <w:rFonts w:ascii="Calibri" w:eastAsia="Calibri" w:hAnsi="Calibri" w:cs="Times New Roman"/>
          <w:color w:val="auto"/>
          <w:sz w:val="22"/>
          <w:szCs w:val="22"/>
          <w:lang w:eastAsia="en-US"/>
        </w:rPr>
        <w:t xml:space="preserve">were </w:t>
      </w:r>
      <w:r w:rsidRPr="00BD3B2B">
        <w:rPr>
          <w:rFonts w:ascii="Calibri" w:eastAsia="Calibri" w:hAnsi="Calibri" w:cs="Times New Roman"/>
          <w:color w:val="auto"/>
          <w:sz w:val="22"/>
          <w:szCs w:val="22"/>
          <w:lang w:eastAsia="en-US"/>
        </w:rPr>
        <w:t>arguing I decided to speak to one of the groups to investigate what had taken place. I spoke to a male who</w:t>
      </w:r>
      <w:r w:rsidR="00E00A36">
        <w:rPr>
          <w:rFonts w:ascii="Calibri" w:eastAsia="Calibri" w:hAnsi="Calibri" w:cs="Times New Roman"/>
          <w:color w:val="auto"/>
          <w:sz w:val="22"/>
          <w:szCs w:val="22"/>
          <w:lang w:eastAsia="en-US"/>
        </w:rPr>
        <w:t xml:space="preserve"> was</w:t>
      </w:r>
      <w:r w:rsidRPr="00BD3B2B">
        <w:rPr>
          <w:rFonts w:ascii="Calibri" w:eastAsia="Calibri" w:hAnsi="Calibri" w:cs="Times New Roman"/>
          <w:color w:val="auto"/>
          <w:sz w:val="22"/>
          <w:szCs w:val="22"/>
          <w:lang w:eastAsia="en-US"/>
        </w:rPr>
        <w:t xml:space="preserve"> shouting loudly in a different language that had bruises on his face. Although there was a language barrier I was able to communicate with him through non-verbal communication enough to convince him to follow me into his flat and discuss what events had taken place. This allowed me to drop the risk factors as I had separated the two parties to stop them antagonising each other. Again there was a communication barrier as the male spoke Romanian and did not have very strong English. However he was able to convey to me that he has had an ongoing issue with his next-door neighbour as many people come to the flat taking drugs, acting aggressively, and playing loud music which therefore disturbs his family. He went on to explain that earlier in the evening he confronted his neighbour who was standing in the hallway of the fourth floor about his </w:t>
      </w:r>
      <w:r w:rsidRPr="00BD3B2B">
        <w:rPr>
          <w:rFonts w:ascii="Calibri" w:eastAsia="Calibri" w:hAnsi="Calibri" w:cs="Times New Roman"/>
          <w:color w:val="auto"/>
          <w:sz w:val="22"/>
          <w:szCs w:val="22"/>
          <w:lang w:eastAsia="en-US"/>
        </w:rPr>
        <w:lastRenderedPageBreak/>
        <w:t xml:space="preserve">behaviour. This then turned into an argument whereby his neighbour started to say racist things towards him which eventually led to his neighbour punching him in the face which caused the bruising that he currently had. </w:t>
      </w:r>
    </w:p>
    <w:p w14:paraId="1EDFF7F8" w14:textId="2883E45A"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With this information I made the decision to approach his neighbour</w:t>
      </w:r>
      <w:r w:rsidR="00E00A36">
        <w:rPr>
          <w:rFonts w:ascii="Calibri" w:eastAsia="Calibri" w:hAnsi="Calibri" w:cs="Times New Roman"/>
          <w:color w:val="auto"/>
          <w:sz w:val="22"/>
          <w:szCs w:val="22"/>
          <w:lang w:eastAsia="en-US"/>
        </w:rPr>
        <w:t>, who</w:t>
      </w:r>
      <w:r w:rsidRPr="00BD3B2B">
        <w:rPr>
          <w:rFonts w:ascii="Calibri" w:eastAsia="Calibri" w:hAnsi="Calibri" w:cs="Times New Roman"/>
          <w:color w:val="auto"/>
          <w:sz w:val="22"/>
          <w:szCs w:val="22"/>
          <w:lang w:eastAsia="en-US"/>
        </w:rPr>
        <w:t xml:space="preserve"> was then standing in the hallway and inform him that he was under arrest for a racially aggravated assault. After some verbal resistance, the neighbour compliantly put his hands behind his back and I applied handcuffs appropriately. I then caution</w:t>
      </w:r>
      <w:r w:rsidR="00E00A36">
        <w:rPr>
          <w:rFonts w:ascii="Calibri" w:eastAsia="Calibri" w:hAnsi="Calibri" w:cs="Times New Roman"/>
          <w:color w:val="auto"/>
          <w:sz w:val="22"/>
          <w:szCs w:val="22"/>
          <w:lang w:eastAsia="en-US"/>
        </w:rPr>
        <w:t>ed</w:t>
      </w:r>
      <w:r w:rsidRPr="00BD3B2B">
        <w:rPr>
          <w:rFonts w:ascii="Calibri" w:eastAsia="Calibri" w:hAnsi="Calibri" w:cs="Times New Roman"/>
          <w:color w:val="auto"/>
          <w:sz w:val="22"/>
          <w:szCs w:val="22"/>
          <w:lang w:eastAsia="en-US"/>
        </w:rPr>
        <w:t xml:space="preserve"> the male with the “when questioned” caution to which he had no reply. I then conveyed the male to Swansea Central Custody where he was appropriately processed and his detention</w:t>
      </w:r>
      <w:r w:rsidR="00E00A36">
        <w:rPr>
          <w:rFonts w:ascii="Calibri" w:eastAsia="Calibri" w:hAnsi="Calibri" w:cs="Times New Roman"/>
          <w:color w:val="auto"/>
          <w:sz w:val="22"/>
          <w:szCs w:val="22"/>
          <w:lang w:eastAsia="en-US"/>
        </w:rPr>
        <w:t xml:space="preserve"> was authorised by the Custody S</w:t>
      </w:r>
      <w:r w:rsidR="00E00A36" w:rsidRPr="00BD3B2B">
        <w:rPr>
          <w:rFonts w:ascii="Calibri" w:eastAsia="Calibri" w:hAnsi="Calibri" w:cs="Times New Roman"/>
          <w:color w:val="auto"/>
          <w:sz w:val="22"/>
          <w:szCs w:val="22"/>
          <w:lang w:eastAsia="en-US"/>
        </w:rPr>
        <w:t>ergeant</w:t>
      </w:r>
      <w:r w:rsidRPr="00BD3B2B">
        <w:rPr>
          <w:rFonts w:ascii="Calibri" w:eastAsia="Calibri" w:hAnsi="Calibri" w:cs="Times New Roman"/>
          <w:color w:val="auto"/>
          <w:sz w:val="22"/>
          <w:szCs w:val="22"/>
          <w:lang w:eastAsia="en-US"/>
        </w:rPr>
        <w:t>. I then created an arrest statement and completed the use of force form detailing the applicable information. I also added an arrest rationale to the custody record detailing the appropriate information.</w:t>
      </w:r>
    </w:p>
    <w:p w14:paraId="1138ABAE" w14:textId="006F4454"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After dealing with the suspect I then returned to the victim’s address to obtain a statement detailing the events that had transpired earlier that afternoon. To assist with </w:t>
      </w:r>
      <w:r w:rsidR="00E00A36">
        <w:rPr>
          <w:rFonts w:ascii="Calibri" w:eastAsia="Calibri" w:hAnsi="Calibri" w:cs="Times New Roman"/>
          <w:color w:val="auto"/>
          <w:sz w:val="22"/>
          <w:szCs w:val="22"/>
          <w:lang w:eastAsia="en-US"/>
        </w:rPr>
        <w:t>t</w:t>
      </w:r>
      <w:r w:rsidRPr="00BD3B2B">
        <w:rPr>
          <w:rFonts w:ascii="Calibri" w:eastAsia="Calibri" w:hAnsi="Calibri" w:cs="Times New Roman"/>
          <w:color w:val="auto"/>
          <w:sz w:val="22"/>
          <w:szCs w:val="22"/>
          <w:lang w:eastAsia="en-US"/>
        </w:rPr>
        <w:t>his action I decided it was appropriate to use</w:t>
      </w:r>
      <w:r w:rsidR="00E00A36">
        <w:rPr>
          <w:rFonts w:ascii="Calibri" w:eastAsia="Calibri" w:hAnsi="Calibri" w:cs="Times New Roman"/>
          <w:color w:val="auto"/>
          <w:sz w:val="22"/>
          <w:szCs w:val="22"/>
          <w:lang w:eastAsia="en-US"/>
        </w:rPr>
        <w:t xml:space="preserve"> a</w:t>
      </w:r>
      <w:r w:rsidRPr="00BD3B2B">
        <w:rPr>
          <w:rFonts w:ascii="Calibri" w:eastAsia="Calibri" w:hAnsi="Calibri" w:cs="Times New Roman"/>
          <w:color w:val="auto"/>
          <w:sz w:val="22"/>
          <w:szCs w:val="22"/>
          <w:lang w:eastAsia="en-US"/>
        </w:rPr>
        <w:t xml:space="preserve"> third party organisation to help translate the words spoken by the victim as although he understood most information that was being said to him I was aware that certain words and phrases could be misinterpreted which could be vital when providing a statement that could potentially be used in court. Therefore I used language line which all South Wales Police officers have access to with a password to be used when appropriate. “The world in which we live is growing more diverse by the day – as are the ways in which we communicate. Language Line anticipates your language-access needs by creating trail-blazing services that simplify complex communication challenges and embrace new possibilities, turning them into solutions for our clients.</w:t>
      </w:r>
    </w:p>
    <w:p w14:paraId="461EE9BC"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AF99BA1"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When you partner with Language Line, you have on-demand access to reliably fast, accurate, and scalable technology-based language solutions that will transform the experience for all those you support - whether limited English, Deaf, or Hard-of-Hearing. Over the past two years, we have invested nearly £40 million in engineering, research, and development – expanding our remote, digital language support services to provide even more opportunities to offer support when physical interaction is not possible.” (Language Line-2020) </w:t>
      </w:r>
    </w:p>
    <w:p w14:paraId="44D42A28"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After obtaining a statement from the victim and completing Public Protection notification questions with the assistance of Language Line I decided to submit a victim support notification for the family of the victim due to the history of antisocial behaviour being displayed at the addresses. Victim support this is independent from the police and can help victims in the way that the police cannot. There are specific actions victim support can do to assist victims with antisocial behaviour which are the following:</w:t>
      </w:r>
    </w:p>
    <w:p w14:paraId="1A6222FD"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“Dealing with antisocial behaviour is hard and we can help you cope with the effects by:</w:t>
      </w:r>
    </w:p>
    <w:p w14:paraId="41E51150"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providing support by phone and face to face – it helps to have someone to talk to</w:t>
      </w:r>
    </w:p>
    <w:p w14:paraId="0BD5F5E5"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speaking to the different agencies involved on your behalf</w:t>
      </w:r>
    </w:p>
    <w:p w14:paraId="2A46FEC7"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reassuring you that they are listening to you and will take action if possible</w:t>
      </w:r>
    </w:p>
    <w:p w14:paraId="00A8CEB2"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keeping you up to date with what is being done</w:t>
      </w:r>
    </w:p>
    <w:p w14:paraId="670E3131"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helping you understand the process of tackling crime and antisocial behaviour, which can take a long time</w:t>
      </w:r>
    </w:p>
    <w:p w14:paraId="26821D4A"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lastRenderedPageBreak/>
        <w:t>. giving you advice about your personal safety and home security</w:t>
      </w:r>
    </w:p>
    <w:p w14:paraId="68AA61D1"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supporting you in mediation to try and resolve the problem</w:t>
      </w:r>
    </w:p>
    <w:p w14:paraId="6B778922"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helping you contact other agencies and services that can also offer help</w:t>
      </w:r>
    </w:p>
    <w:p w14:paraId="63D4C101"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supporting you if a case goes to court.” (VictimSupport.org-2020)</w:t>
      </w:r>
    </w:p>
    <w:p w14:paraId="73FD33AE" w14:textId="01249DE9"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The use of victim support is appropriate as due to the circumstances the victim and his family are considered vulnerabl</w:t>
      </w:r>
      <w:r w:rsidR="00E00A36">
        <w:rPr>
          <w:rFonts w:ascii="Calibri" w:eastAsia="Calibri" w:hAnsi="Calibri" w:cs="Times New Roman"/>
          <w:color w:val="auto"/>
          <w:sz w:val="22"/>
          <w:szCs w:val="22"/>
          <w:lang w:eastAsia="en-US"/>
        </w:rPr>
        <w:t>e as the victim has been subjected</w:t>
      </w:r>
      <w:r w:rsidRPr="00BD3B2B">
        <w:rPr>
          <w:rFonts w:ascii="Calibri" w:eastAsia="Calibri" w:hAnsi="Calibri" w:cs="Times New Roman"/>
          <w:color w:val="auto"/>
          <w:sz w:val="22"/>
          <w:szCs w:val="22"/>
          <w:lang w:eastAsia="en-US"/>
        </w:rPr>
        <w:t xml:space="preserve"> to a hate crime and his family that he lives with is potentially involved in t</w:t>
      </w:r>
      <w:r w:rsidR="00E00A36">
        <w:rPr>
          <w:rFonts w:ascii="Calibri" w:eastAsia="Calibri" w:hAnsi="Calibri" w:cs="Times New Roman"/>
          <w:color w:val="auto"/>
          <w:sz w:val="22"/>
          <w:szCs w:val="22"/>
          <w:lang w:eastAsia="en-US"/>
        </w:rPr>
        <w:t>he hate</w:t>
      </w:r>
      <w:r w:rsidRPr="00BD3B2B">
        <w:rPr>
          <w:rFonts w:ascii="Calibri" w:eastAsia="Calibri" w:hAnsi="Calibri" w:cs="Times New Roman"/>
          <w:color w:val="auto"/>
          <w:sz w:val="22"/>
          <w:szCs w:val="22"/>
          <w:lang w:eastAsia="en-US"/>
        </w:rPr>
        <w:t xml:space="preserve"> related antisocial behaviour dispute. </w:t>
      </w:r>
    </w:p>
    <w:p w14:paraId="53B47EC4"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After this incident I decided to inform certain agencies to prevent this behaviour happening again. For this I considered the principles of the Routine Activity Theory.  “Routine activity theory is, in short, an attempt to identify, at a macro-level, criminal activities and their patterns through explanation of changes in crime rate trends (Cohen &amp; Felson, 1979). It is based on criminal events, on the distribution and grouping in space and time of the minimal elements that make them up, rather than on the search for offenders’ motives, and it thus offers a frame of reference for concrete and individualized crime analysis and facilitates the application of real policies and practices aimed at altering the necessary elements that make the existence of a crime possible and thereby preventing it.” (J.Mitchel Miller-2014)</w:t>
      </w:r>
    </w:p>
    <w:p w14:paraId="4E6FF60D" w14:textId="7A39FA4E"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Within the principles of the Routine Activity Theory there are three elements that motivate an individual to commit a crime. These are a likely offender, a suitable target, and the absence of a Guardian. To prevent the offender committing this crime again I reque</w:t>
      </w:r>
      <w:r w:rsidR="007373B4">
        <w:rPr>
          <w:rFonts w:ascii="Calibri" w:eastAsia="Calibri" w:hAnsi="Calibri" w:cs="Times New Roman"/>
          <w:color w:val="auto"/>
          <w:sz w:val="22"/>
          <w:szCs w:val="22"/>
          <w:lang w:eastAsia="en-US"/>
        </w:rPr>
        <w:t>sted to the custody sergeant that</w:t>
      </w:r>
      <w:r w:rsidRPr="00BD3B2B">
        <w:rPr>
          <w:rFonts w:ascii="Calibri" w:eastAsia="Calibri" w:hAnsi="Calibri" w:cs="Times New Roman"/>
          <w:color w:val="auto"/>
          <w:sz w:val="22"/>
          <w:szCs w:val="22"/>
          <w:lang w:eastAsia="en-US"/>
        </w:rPr>
        <w:t xml:space="preserve"> bail conditions were to be put in place not to contact the victim directly or indirectly including the use of social media to help prevent any future contact with the victim until the criminal element of the offence had been dealt with. I helped prevent the address becoming a suitable target by advising the council to install CCTV covering the address from the corridor so all future interactions could potentially be visually recorded therefore creating target hardening. And finally I helped prevent there being a lack of a Guardian by tasking the local neighbourhood team to conduct regular patrols of the block of flats and also to check in with the victim’s family regularly and ask if there is any other antisocial behaviour such as loud music or drug taking happening inside or around the address next door.</w:t>
      </w:r>
    </w:p>
    <w:p w14:paraId="383F2A30" w14:textId="46A612FE" w:rsidR="00BD3B2B" w:rsidRPr="00BD3B2B" w:rsidRDefault="00BD3B2B" w:rsidP="009D0C9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In conclusion, multiple agencies within and outside the police organisation can help vulnerable members of society in more than one way.</w:t>
      </w:r>
      <w:r w:rsidR="009D0C9B">
        <w:rPr>
          <w:rFonts w:ascii="Calibri" w:eastAsia="Calibri" w:hAnsi="Calibri" w:cs="Times New Roman"/>
          <w:color w:val="auto"/>
          <w:sz w:val="22"/>
          <w:szCs w:val="22"/>
          <w:lang w:eastAsia="en-US"/>
        </w:rPr>
        <w:t xml:space="preserve"> Multi agency helps improve safeguarding “</w:t>
      </w:r>
      <w:r w:rsidR="009D0C9B" w:rsidRPr="009D0C9B">
        <w:rPr>
          <w:rFonts w:ascii="Calibri" w:eastAsia="Calibri" w:hAnsi="Calibri" w:cs="Times New Roman"/>
          <w:color w:val="auto"/>
          <w:sz w:val="22"/>
          <w:szCs w:val="22"/>
          <w:lang w:eastAsia="en-US"/>
        </w:rPr>
        <w:t>There was a strong feeling among those interviewed that</w:t>
      </w:r>
      <w:r w:rsidR="009D0C9B">
        <w:rPr>
          <w:rFonts w:ascii="Calibri" w:eastAsia="Calibri" w:hAnsi="Calibri" w:cs="Times New Roman"/>
          <w:color w:val="auto"/>
          <w:sz w:val="22"/>
          <w:szCs w:val="22"/>
          <w:lang w:eastAsia="en-US"/>
        </w:rPr>
        <w:t xml:space="preserve"> multi-agency safeguarding hubs </w:t>
      </w:r>
      <w:r w:rsidR="009D0C9B" w:rsidRPr="009D0C9B">
        <w:rPr>
          <w:rFonts w:ascii="Calibri" w:eastAsia="Calibri" w:hAnsi="Calibri" w:cs="Times New Roman"/>
          <w:color w:val="auto"/>
          <w:sz w:val="22"/>
          <w:szCs w:val="22"/>
          <w:lang w:eastAsia="en-US"/>
        </w:rPr>
        <w:t>have led to an improved standard of safeguarding practice, ultim</w:t>
      </w:r>
      <w:r w:rsidR="009D0C9B">
        <w:rPr>
          <w:rFonts w:ascii="Calibri" w:eastAsia="Calibri" w:hAnsi="Calibri" w:cs="Times New Roman"/>
          <w:color w:val="auto"/>
          <w:sz w:val="22"/>
          <w:szCs w:val="22"/>
          <w:lang w:eastAsia="en-US"/>
        </w:rPr>
        <w:t xml:space="preserve">ately leading to safer children </w:t>
      </w:r>
      <w:r w:rsidR="009D0C9B" w:rsidRPr="009D0C9B">
        <w:rPr>
          <w:rFonts w:ascii="Calibri" w:eastAsia="Calibri" w:hAnsi="Calibri" w:cs="Times New Roman"/>
          <w:color w:val="auto"/>
          <w:sz w:val="22"/>
          <w:szCs w:val="22"/>
          <w:lang w:eastAsia="en-US"/>
        </w:rPr>
        <w:t>and adults.</w:t>
      </w:r>
      <w:r w:rsidR="009D0C9B">
        <w:rPr>
          <w:rFonts w:ascii="Calibri" w:eastAsia="Calibri" w:hAnsi="Calibri" w:cs="Times New Roman"/>
          <w:color w:val="auto"/>
          <w:sz w:val="22"/>
          <w:szCs w:val="22"/>
          <w:lang w:eastAsia="en-US"/>
        </w:rPr>
        <w:t>”(</w:t>
      </w:r>
      <w:r w:rsidR="00695678">
        <w:rPr>
          <w:rFonts w:ascii="Calibri" w:eastAsia="Calibri" w:hAnsi="Calibri" w:cs="Times New Roman"/>
          <w:color w:val="auto"/>
          <w:sz w:val="22"/>
          <w:szCs w:val="22"/>
          <w:lang w:eastAsia="en-US"/>
        </w:rPr>
        <w:t>Home Office-2014)</w:t>
      </w:r>
      <w:r w:rsidR="009D0C9B" w:rsidRPr="009D0C9B">
        <w:rPr>
          <w:rFonts w:ascii="Calibri" w:eastAsia="Calibri" w:hAnsi="Calibri" w:cs="Times New Roman"/>
          <w:color w:val="auto"/>
          <w:sz w:val="22"/>
          <w:szCs w:val="22"/>
          <w:lang w:eastAsia="en-US"/>
        </w:rPr>
        <w:t xml:space="preserve"> </w:t>
      </w:r>
      <w:r w:rsidRPr="00BD3B2B">
        <w:rPr>
          <w:rFonts w:ascii="Calibri" w:eastAsia="Calibri" w:hAnsi="Calibri" w:cs="Times New Roman"/>
          <w:color w:val="auto"/>
          <w:sz w:val="22"/>
          <w:szCs w:val="22"/>
          <w:lang w:eastAsia="en-US"/>
        </w:rPr>
        <w:t>This protection can prevent future offences from taking place which in turn should create a better living situation for all whereby vulnerable members of society are concerned.</w:t>
      </w:r>
    </w:p>
    <w:p w14:paraId="6A4248A1"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BE9367D"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BD3B2B">
        <w:rPr>
          <w:rFonts w:ascii="Calibri" w:eastAsia="Calibri" w:hAnsi="Calibri" w:cs="Times New Roman"/>
          <w:b/>
          <w:color w:val="auto"/>
          <w:sz w:val="22"/>
          <w:szCs w:val="22"/>
          <w:lang w:eastAsia="en-US"/>
        </w:rPr>
        <w:t>1405 Words</w:t>
      </w: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3FB1A3E1"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In the following essay I will describe a policing incident which is of a serious or complex nature in which I played a significant role with an offender/service user and reflect on what happened. I will give a brief description of the incident including social and legislative contexts and any relevant cultural, ethnicity and language issue. </w:t>
      </w:r>
    </w:p>
    <w:p w14:paraId="1CE8BDA4"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I will consider how I have gathered, analysed and evaluated relevant information or intelligence from a range of sources as appropriate to the policing incident. Additionally, I will identify how I have developed the information and intelligence for the purpose of informing the tasking and co-ordination process. I will then focus on how I have made use of the additional sources of intelligence obtained through the complex investigation and will explain how I have applied learning from previous serious and complex investigations. My reflection will illustrate my understanding and application of core principles of ethics, equality, diversity, and human rights, as well as any relevant Code of practice considerations culturally sensitive practice and language preference.</w:t>
      </w:r>
    </w:p>
    <w:p w14:paraId="27BFFA52" w14:textId="1AFCDBD4"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In September of 2020 I was tasked to attend a block of flats on the Swansea City area after multiple emergency calls had been made from the address. The first phone call was a female on the line crying stating that she had been penetrated by a penis. The second phone call was from a male telling the call operator that there was no issue at the address although a female could be heard </w:t>
      </w:r>
      <w:r w:rsidRPr="00BD3B2B">
        <w:rPr>
          <w:rFonts w:ascii="Calibri" w:eastAsia="Calibri" w:hAnsi="Calibri" w:cs="Times New Roman"/>
          <w:color w:val="auto"/>
          <w:sz w:val="22"/>
          <w:szCs w:val="22"/>
          <w:lang w:eastAsia="en-US"/>
        </w:rPr>
        <w:lastRenderedPageBreak/>
        <w:t xml:space="preserve">crying in the background. A further call was made to the control room by the victim’s husband who stated that his wife had called him saying that she needed help. Upon arriving at the flat I took the male into one room as my female colleague took the female into another room. This therefore allowed us to get separate first accounts from both the victim and the suspect without both interrupting each other. While speaking to the suspect he told me that he was an 18 year old Kurdish immigrant. He went on to say that while he was under 18 he lived in a supported housing complex for children and teenagers. Whilst living at the complex the victim had been a support worker assisting him in his day to day living. After turning 18 he has since moved out of the supported living complex and has moved </w:t>
      </w:r>
      <w:r w:rsidR="000A4E5B">
        <w:rPr>
          <w:rFonts w:ascii="Calibri" w:eastAsia="Calibri" w:hAnsi="Calibri" w:cs="Times New Roman"/>
          <w:color w:val="auto"/>
          <w:sz w:val="22"/>
          <w:szCs w:val="22"/>
          <w:lang w:eastAsia="en-US"/>
        </w:rPr>
        <w:t>into the flat that he now lives in</w:t>
      </w:r>
      <w:r w:rsidRPr="00BD3B2B">
        <w:rPr>
          <w:rFonts w:ascii="Calibri" w:eastAsia="Calibri" w:hAnsi="Calibri" w:cs="Times New Roman"/>
          <w:color w:val="auto"/>
          <w:sz w:val="22"/>
          <w:szCs w:val="22"/>
          <w:lang w:eastAsia="en-US"/>
        </w:rPr>
        <w:t xml:space="preserve">. On this night he said that he went to Wind Street Swansea whereby he recognised his ex-support worker and they both began talking and having alcoholic drinks with each other. After having a few drinks and kissing a few times they then both agreed to come back to his flat. They both continued to kiss and eventually engaged in penetrative sex. </w:t>
      </w:r>
    </w:p>
    <w:p w14:paraId="0AF2E90B" w14:textId="5E042116"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After leaving my colleague to talk to the victim for a while I then began to share information with my colleague in private. My colleague in summary told me that the victim had said the same events had taken place that the suspect said however she said she was very drunk and to</w:t>
      </w:r>
      <w:r w:rsidR="000A4E5B">
        <w:rPr>
          <w:rFonts w:ascii="Calibri" w:eastAsia="Calibri" w:hAnsi="Calibri" w:cs="Times New Roman"/>
          <w:color w:val="auto"/>
          <w:sz w:val="22"/>
          <w:szCs w:val="22"/>
          <w:lang w:eastAsia="en-US"/>
        </w:rPr>
        <w:t>o</w:t>
      </w:r>
      <w:r w:rsidRPr="00BD3B2B">
        <w:rPr>
          <w:rFonts w:ascii="Calibri" w:eastAsia="Calibri" w:hAnsi="Calibri" w:cs="Times New Roman"/>
          <w:color w:val="auto"/>
          <w:sz w:val="22"/>
          <w:szCs w:val="22"/>
          <w:lang w:eastAsia="en-US"/>
        </w:rPr>
        <w:t xml:space="preserve"> drunk to consent to kissing him when they were both in town. The victim then went on to say that she didn’t agree to come back to his flat and was very drunk at the time of making a decision. She then said that before they had sexual intercourse she began to cry and told the suspect to stop. She then said that she called the police and then had called her husband to tell her what had happened. With this information I then </w:t>
      </w:r>
      <w:r w:rsidR="000A4E5B">
        <w:rPr>
          <w:rFonts w:ascii="Calibri" w:eastAsia="Calibri" w:hAnsi="Calibri" w:cs="Times New Roman"/>
          <w:color w:val="auto"/>
          <w:sz w:val="22"/>
          <w:szCs w:val="22"/>
          <w:lang w:eastAsia="en-US"/>
        </w:rPr>
        <w:t>approached t</w:t>
      </w:r>
      <w:r w:rsidRPr="00BD3B2B">
        <w:rPr>
          <w:rFonts w:ascii="Calibri" w:eastAsia="Calibri" w:hAnsi="Calibri" w:cs="Times New Roman"/>
          <w:color w:val="auto"/>
          <w:sz w:val="22"/>
          <w:szCs w:val="22"/>
          <w:lang w:eastAsia="en-US"/>
        </w:rPr>
        <w:t>h</w:t>
      </w:r>
      <w:r w:rsidR="000A4E5B">
        <w:rPr>
          <w:rFonts w:ascii="Calibri" w:eastAsia="Calibri" w:hAnsi="Calibri" w:cs="Times New Roman"/>
          <w:color w:val="auto"/>
          <w:sz w:val="22"/>
          <w:szCs w:val="22"/>
          <w:lang w:eastAsia="en-US"/>
        </w:rPr>
        <w:t>e</w:t>
      </w:r>
      <w:r w:rsidRPr="00BD3B2B">
        <w:rPr>
          <w:rFonts w:ascii="Calibri" w:eastAsia="Calibri" w:hAnsi="Calibri" w:cs="Times New Roman"/>
          <w:color w:val="auto"/>
          <w:sz w:val="22"/>
          <w:szCs w:val="22"/>
          <w:lang w:eastAsia="en-US"/>
        </w:rPr>
        <w:t xml:space="preserve"> suspect and told him that he was under arrest for suspicion of rape and then appropriately cautioned him with the “When questioned” caution. The suspect replied to caution saying that he didn’t do anything wrong. I then compliantly placed handcuffs on the suspect to the rear and conveyed him to Swansea Central Custody where he was appropriately processed and his detention was authorised. </w:t>
      </w:r>
    </w:p>
    <w:p w14:paraId="23E308E4" w14:textId="73E1AE73"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As dealing with the complex and serious offence of rape it is important that all of the relevant information and intelligence is preserved and </w:t>
      </w:r>
      <w:r w:rsidR="000A4E5B">
        <w:rPr>
          <w:rFonts w:ascii="Calibri" w:eastAsia="Calibri" w:hAnsi="Calibri" w:cs="Times New Roman"/>
          <w:color w:val="auto"/>
          <w:sz w:val="22"/>
          <w:szCs w:val="22"/>
          <w:lang w:eastAsia="en-US"/>
        </w:rPr>
        <w:t>handed to the corrected department (Criminal Investigation Department)</w:t>
      </w:r>
      <w:r w:rsidRPr="00BD3B2B">
        <w:rPr>
          <w:rFonts w:ascii="Calibri" w:eastAsia="Calibri" w:hAnsi="Calibri" w:cs="Times New Roman"/>
          <w:color w:val="auto"/>
          <w:sz w:val="22"/>
          <w:szCs w:val="22"/>
          <w:lang w:eastAsia="en-US"/>
        </w:rPr>
        <w:t xml:space="preserve">. Therefore as soon as the suspect was appropriately handcuffed I requested via my personal radio that the public service centre could inform the Rape and Serious Sexual Offences division and to request that one my fellow colleagues on the response shift come to the address and close it off as a crime scene. </w:t>
      </w:r>
    </w:p>
    <w:p w14:paraId="57D8C7A7" w14:textId="19C7C6B5"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In terms of information intelligence that </w:t>
      </w:r>
      <w:r w:rsidR="000A4E5B">
        <w:rPr>
          <w:rFonts w:ascii="Calibri" w:eastAsia="Calibri" w:hAnsi="Calibri" w:cs="Times New Roman"/>
          <w:color w:val="auto"/>
          <w:sz w:val="22"/>
          <w:szCs w:val="22"/>
          <w:lang w:eastAsia="en-US"/>
        </w:rPr>
        <w:t>could be gathered there are a</w:t>
      </w:r>
      <w:r w:rsidRPr="00BD3B2B">
        <w:rPr>
          <w:rFonts w:ascii="Calibri" w:eastAsia="Calibri" w:hAnsi="Calibri" w:cs="Times New Roman"/>
          <w:color w:val="auto"/>
          <w:sz w:val="22"/>
          <w:szCs w:val="22"/>
          <w:lang w:eastAsia="en-US"/>
        </w:rPr>
        <w:t xml:space="preserve"> range of sources. This could be down to evidence that I can see, touch, feel, smell, and here as well as information found on police databases such as the police national database (PNB) and local police databases such as Niche’. Although both</w:t>
      </w:r>
      <w:r w:rsidR="000A4E5B">
        <w:rPr>
          <w:rFonts w:ascii="Calibri" w:eastAsia="Calibri" w:hAnsi="Calibri" w:cs="Times New Roman"/>
          <w:color w:val="auto"/>
          <w:sz w:val="22"/>
          <w:szCs w:val="22"/>
          <w:lang w:eastAsia="en-US"/>
        </w:rPr>
        <w:t xml:space="preserve"> this victim and the suspect were</w:t>
      </w:r>
      <w:r w:rsidRPr="00BD3B2B">
        <w:rPr>
          <w:rFonts w:ascii="Calibri" w:eastAsia="Calibri" w:hAnsi="Calibri" w:cs="Times New Roman"/>
          <w:color w:val="auto"/>
          <w:sz w:val="22"/>
          <w:szCs w:val="22"/>
          <w:lang w:eastAsia="en-US"/>
        </w:rPr>
        <w:t xml:space="preserve"> not present on these databases at this time, whilst attending previous serious and complex investigations I have found this to be a useful piece of intelligence to use when making decisions at the scene.</w:t>
      </w:r>
    </w:p>
    <w:p w14:paraId="32702DAE"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During the investigation I made sure that the appropriate divisions were tasked such as the CSI to attend the scene and to investigate the bed in which both the victim and the suspect said that the sexual actions took place therefore relaying the appropriate intelligence to the appropriate organisation. </w:t>
      </w:r>
    </w:p>
    <w:p w14:paraId="14954827"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During this investigation I consider the code of ethics whilst conducting investigations. “The aim of this Code of Ethics is to support each member of the policing profession to deliver the highest </w:t>
      </w:r>
      <w:r w:rsidRPr="00BD3B2B">
        <w:rPr>
          <w:rFonts w:ascii="Calibri" w:eastAsia="Calibri" w:hAnsi="Calibri" w:cs="Times New Roman"/>
          <w:color w:val="auto"/>
          <w:sz w:val="22"/>
          <w:szCs w:val="22"/>
          <w:lang w:eastAsia="en-US"/>
        </w:rPr>
        <w:lastRenderedPageBreak/>
        <w:t>professional standards in their service to the public. They are built on the Nolan principles for public life, with the addition of ‘Fairness’ and ‘Respect’. Our nine policing principles are:</w:t>
      </w:r>
    </w:p>
    <w:p w14:paraId="3DFDAEC6"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.Accountability</w:t>
      </w:r>
    </w:p>
    <w:p w14:paraId="4826BB05"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.Integrity</w:t>
      </w:r>
    </w:p>
    <w:p w14:paraId="10E18789"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.Openness</w:t>
      </w:r>
    </w:p>
    <w:p w14:paraId="371948A5"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.Fairness</w:t>
      </w:r>
    </w:p>
    <w:p w14:paraId="6004AC6B"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.Leadership</w:t>
      </w:r>
    </w:p>
    <w:p w14:paraId="2E5773D7"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.Respect</w:t>
      </w:r>
    </w:p>
    <w:p w14:paraId="6C03D951"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.Honesty</w:t>
      </w:r>
    </w:p>
    <w:p w14:paraId="6AB4ECF0"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.Objectivity</w:t>
      </w:r>
    </w:p>
    <w:p w14:paraId="39F29E69"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.Selflessness” (College of Policing-2014)</w:t>
      </w:r>
    </w:p>
    <w:p w14:paraId="2BB3F936" w14:textId="4258ABD5"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Following the code of ethics is important when dealing with the</w:t>
      </w:r>
      <w:r w:rsidR="000A4E5B">
        <w:rPr>
          <w:rFonts w:ascii="Calibri" w:eastAsia="Calibri" w:hAnsi="Calibri" w:cs="Times New Roman"/>
          <w:color w:val="auto"/>
          <w:sz w:val="22"/>
          <w:szCs w:val="22"/>
          <w:lang w:eastAsia="en-US"/>
        </w:rPr>
        <w:t xml:space="preserve"> crime of</w:t>
      </w:r>
      <w:r w:rsidRPr="00BD3B2B">
        <w:rPr>
          <w:rFonts w:ascii="Calibri" w:eastAsia="Calibri" w:hAnsi="Calibri" w:cs="Times New Roman"/>
          <w:color w:val="auto"/>
          <w:sz w:val="22"/>
          <w:szCs w:val="22"/>
          <w:lang w:eastAsia="en-US"/>
        </w:rPr>
        <w:t xml:space="preserve"> rape as a police officer as the subject is a sensitive one that requires the right ethical options to </w:t>
      </w:r>
      <w:r w:rsidR="000A4E5B">
        <w:rPr>
          <w:rFonts w:ascii="Calibri" w:eastAsia="Calibri" w:hAnsi="Calibri" w:cs="Times New Roman"/>
          <w:color w:val="auto"/>
          <w:sz w:val="22"/>
          <w:szCs w:val="22"/>
          <w:lang w:eastAsia="en-US"/>
        </w:rPr>
        <w:t>be dealt with efficiently</w:t>
      </w:r>
      <w:r w:rsidRPr="00BD3B2B">
        <w:rPr>
          <w:rFonts w:ascii="Calibri" w:eastAsia="Calibri" w:hAnsi="Calibri" w:cs="Times New Roman"/>
          <w:color w:val="auto"/>
          <w:sz w:val="22"/>
          <w:szCs w:val="22"/>
          <w:lang w:eastAsia="en-US"/>
        </w:rPr>
        <w:t>.</w:t>
      </w:r>
      <w:r w:rsidR="002E652C">
        <w:rPr>
          <w:rFonts w:ascii="Calibri" w:eastAsia="Calibri" w:hAnsi="Calibri" w:cs="Times New Roman"/>
          <w:color w:val="auto"/>
          <w:sz w:val="22"/>
          <w:szCs w:val="22"/>
          <w:lang w:eastAsia="en-US"/>
        </w:rPr>
        <w:t xml:space="preserve"> Examples of this was to make sure that</w:t>
      </w:r>
      <w:r w:rsidRPr="00BD3B2B">
        <w:rPr>
          <w:rFonts w:ascii="Calibri" w:eastAsia="Calibri" w:hAnsi="Calibri" w:cs="Times New Roman"/>
          <w:color w:val="auto"/>
          <w:sz w:val="22"/>
          <w:szCs w:val="22"/>
          <w:lang w:eastAsia="en-US"/>
        </w:rPr>
        <w:t xml:space="preserve"> taking intimate swabs from the victim </w:t>
      </w:r>
      <w:r w:rsidR="002E652C">
        <w:rPr>
          <w:rFonts w:ascii="Calibri" w:eastAsia="Calibri" w:hAnsi="Calibri" w:cs="Times New Roman"/>
          <w:color w:val="auto"/>
          <w:sz w:val="22"/>
          <w:szCs w:val="22"/>
          <w:lang w:eastAsia="en-US"/>
        </w:rPr>
        <w:t xml:space="preserve">was taken by a </w:t>
      </w:r>
      <w:r w:rsidRPr="00BD3B2B">
        <w:rPr>
          <w:rFonts w:ascii="Calibri" w:eastAsia="Calibri" w:hAnsi="Calibri" w:cs="Times New Roman"/>
          <w:color w:val="auto"/>
          <w:sz w:val="22"/>
          <w:szCs w:val="22"/>
          <w:lang w:eastAsia="en-US"/>
        </w:rPr>
        <w:t>RA</w:t>
      </w:r>
      <w:r w:rsidR="002E652C">
        <w:rPr>
          <w:rFonts w:ascii="Calibri" w:eastAsia="Calibri" w:hAnsi="Calibri" w:cs="Times New Roman"/>
          <w:color w:val="auto"/>
          <w:sz w:val="22"/>
          <w:szCs w:val="22"/>
          <w:lang w:eastAsia="en-US"/>
        </w:rPr>
        <w:t>SSO (Rape And Serious Sexual Offences) officer as they have had the proper training to do so</w:t>
      </w:r>
      <w:r w:rsidRPr="00BD3B2B">
        <w:rPr>
          <w:rFonts w:ascii="Calibri" w:eastAsia="Calibri" w:hAnsi="Calibri" w:cs="Times New Roman"/>
          <w:color w:val="auto"/>
          <w:sz w:val="22"/>
          <w:szCs w:val="22"/>
          <w:lang w:eastAsia="en-US"/>
        </w:rPr>
        <w:t>. To remain ethical you must also think of the suspect and take into account their needs and the information that they have given. An example of this is that the suspect told me</w:t>
      </w:r>
      <w:r w:rsidR="002E652C">
        <w:rPr>
          <w:rFonts w:ascii="Calibri" w:eastAsia="Calibri" w:hAnsi="Calibri" w:cs="Times New Roman"/>
          <w:color w:val="auto"/>
          <w:sz w:val="22"/>
          <w:szCs w:val="22"/>
          <w:lang w:eastAsia="en-US"/>
        </w:rPr>
        <w:t>, whilst he</w:t>
      </w:r>
      <w:r w:rsidRPr="00BD3B2B">
        <w:rPr>
          <w:rFonts w:ascii="Calibri" w:eastAsia="Calibri" w:hAnsi="Calibri" w:cs="Times New Roman"/>
          <w:color w:val="auto"/>
          <w:sz w:val="22"/>
          <w:szCs w:val="22"/>
          <w:lang w:eastAsia="en-US"/>
        </w:rPr>
        <w:t xml:space="preserve"> was been conveyed to custody</w:t>
      </w:r>
      <w:r w:rsidR="002E652C">
        <w:rPr>
          <w:rFonts w:ascii="Calibri" w:eastAsia="Calibri" w:hAnsi="Calibri" w:cs="Times New Roman"/>
          <w:color w:val="auto"/>
          <w:sz w:val="22"/>
          <w:szCs w:val="22"/>
          <w:lang w:eastAsia="en-US"/>
        </w:rPr>
        <w:t>,</w:t>
      </w:r>
      <w:r w:rsidRPr="00BD3B2B">
        <w:rPr>
          <w:rFonts w:ascii="Calibri" w:eastAsia="Calibri" w:hAnsi="Calibri" w:cs="Times New Roman"/>
          <w:color w:val="auto"/>
          <w:sz w:val="22"/>
          <w:szCs w:val="22"/>
          <w:lang w:eastAsia="en-US"/>
        </w:rPr>
        <w:t xml:space="preserve"> that the victim had been kissing his neck at the time that he penetrated her therefore he believed this would help prove that the sexual act was consensual. I therefore advise</w:t>
      </w:r>
      <w:r w:rsidR="002E652C">
        <w:rPr>
          <w:rFonts w:ascii="Calibri" w:eastAsia="Calibri" w:hAnsi="Calibri" w:cs="Times New Roman"/>
          <w:color w:val="auto"/>
          <w:sz w:val="22"/>
          <w:szCs w:val="22"/>
          <w:lang w:eastAsia="en-US"/>
        </w:rPr>
        <w:t>d</w:t>
      </w:r>
      <w:r w:rsidRPr="00BD3B2B">
        <w:rPr>
          <w:rFonts w:ascii="Calibri" w:eastAsia="Calibri" w:hAnsi="Calibri" w:cs="Times New Roman"/>
          <w:color w:val="auto"/>
          <w:sz w:val="22"/>
          <w:szCs w:val="22"/>
          <w:lang w:eastAsia="en-US"/>
        </w:rPr>
        <w:t xml:space="preserve"> the s</w:t>
      </w:r>
      <w:r w:rsidR="002E652C">
        <w:rPr>
          <w:rFonts w:ascii="Calibri" w:eastAsia="Calibri" w:hAnsi="Calibri" w:cs="Times New Roman"/>
          <w:color w:val="auto"/>
          <w:sz w:val="22"/>
          <w:szCs w:val="22"/>
          <w:lang w:eastAsia="en-US"/>
        </w:rPr>
        <w:t>uspect not to touch his</w:t>
      </w:r>
      <w:r w:rsidRPr="00BD3B2B">
        <w:rPr>
          <w:rFonts w:ascii="Calibri" w:eastAsia="Calibri" w:hAnsi="Calibri" w:cs="Times New Roman"/>
          <w:color w:val="auto"/>
          <w:sz w:val="22"/>
          <w:szCs w:val="22"/>
          <w:lang w:eastAsia="en-US"/>
        </w:rPr>
        <w:t xml:space="preserve"> neck so the forensic evidence would not be damaged. I also made reference to this significant comment in my statement so swabs can be taken of his neck to provide a nonbiased investigation.</w:t>
      </w:r>
      <w:r w:rsidR="00742310">
        <w:rPr>
          <w:rFonts w:ascii="Calibri" w:eastAsia="Calibri" w:hAnsi="Calibri" w:cs="Times New Roman"/>
          <w:color w:val="auto"/>
          <w:sz w:val="22"/>
          <w:szCs w:val="22"/>
          <w:lang w:eastAsia="en-US"/>
        </w:rPr>
        <w:t xml:space="preserve"> This was learned from previous experiences when I have had CPS (Crown Prosecution Service) review my investigations and have been asked to make enquires to investigate a source which will support the suspect and not only the victim.</w:t>
      </w:r>
    </w:p>
    <w:p w14:paraId="326C6901"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In conclusion there are many ways an officer can take advantage of different forms of information intelligence and it is best practice to share this information with the necessary organisation to provide public protection and an effective investigation. It is also moral that the code of ethics is always adhered to while conducting investigations to provide an impartial outcome to reveal as close to the truth as practical.</w:t>
      </w:r>
    </w:p>
    <w:p w14:paraId="040523C8"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BD3B2B">
        <w:rPr>
          <w:rFonts w:ascii="Calibri" w:eastAsia="Calibri" w:hAnsi="Calibri" w:cs="Times New Roman"/>
          <w:b/>
          <w:color w:val="auto"/>
          <w:sz w:val="22"/>
          <w:szCs w:val="22"/>
          <w:lang w:eastAsia="en-US"/>
        </w:rPr>
        <w:t>1229 Words</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7E38A945"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The following essay will reflect on a policing incident whereby it involved digital technologies and will reflect on how I provided an initial Police response. I will explain the immediate actions that I took to reduce the risk of harm caused by the incident. I will also detail who may be more vulnerable in an incident involving technology. </w:t>
      </w:r>
    </w:p>
    <w:p w14:paraId="5EC2C40F" w14:textId="01385EB2"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In August of 2020 was task</w:t>
      </w:r>
      <w:r w:rsidR="00742310">
        <w:rPr>
          <w:rFonts w:ascii="Calibri" w:eastAsia="Calibri" w:hAnsi="Calibri" w:cs="Times New Roman"/>
          <w:color w:val="auto"/>
          <w:sz w:val="22"/>
          <w:szCs w:val="22"/>
          <w:lang w:eastAsia="en-US"/>
        </w:rPr>
        <w:t>ed</w:t>
      </w:r>
      <w:r w:rsidRPr="00BD3B2B">
        <w:rPr>
          <w:rFonts w:ascii="Calibri" w:eastAsia="Calibri" w:hAnsi="Calibri" w:cs="Times New Roman"/>
          <w:color w:val="auto"/>
          <w:sz w:val="22"/>
          <w:szCs w:val="22"/>
          <w:lang w:eastAsia="en-US"/>
        </w:rPr>
        <w:t xml:space="preserve"> to attend the address in the Swansea city centre area whereby there </w:t>
      </w:r>
      <w:r w:rsidR="00742310">
        <w:rPr>
          <w:rFonts w:ascii="Calibri" w:eastAsia="Calibri" w:hAnsi="Calibri" w:cs="Times New Roman"/>
          <w:color w:val="auto"/>
          <w:sz w:val="22"/>
          <w:szCs w:val="22"/>
          <w:lang w:eastAsia="en-US"/>
        </w:rPr>
        <w:t>was a report of a male taking a</w:t>
      </w:r>
      <w:r w:rsidRPr="00BD3B2B">
        <w:rPr>
          <w:rFonts w:ascii="Calibri" w:eastAsia="Calibri" w:hAnsi="Calibri" w:cs="Times New Roman"/>
          <w:color w:val="auto"/>
          <w:sz w:val="22"/>
          <w:szCs w:val="22"/>
          <w:lang w:eastAsia="en-US"/>
        </w:rPr>
        <w:t xml:space="preserve"> female’s bank cards and leaving the address. Upon attendance to the flat I spoke to the victim who stated that she had met a male on an online dating site a week ago. Within that time the male had been staying at the flat</w:t>
      </w:r>
      <w:r w:rsidR="00742310">
        <w:rPr>
          <w:rFonts w:ascii="Calibri" w:eastAsia="Calibri" w:hAnsi="Calibri" w:cs="Times New Roman"/>
          <w:color w:val="auto"/>
          <w:sz w:val="22"/>
          <w:szCs w:val="22"/>
          <w:lang w:eastAsia="en-US"/>
        </w:rPr>
        <w:t xml:space="preserve"> with</w:t>
      </w:r>
      <w:r w:rsidRPr="00BD3B2B">
        <w:rPr>
          <w:rFonts w:ascii="Calibri" w:eastAsia="Calibri" w:hAnsi="Calibri" w:cs="Times New Roman"/>
          <w:color w:val="auto"/>
          <w:sz w:val="22"/>
          <w:szCs w:val="22"/>
          <w:lang w:eastAsia="en-US"/>
        </w:rPr>
        <w:t xml:space="preserve"> the victim, her mother and the mother’s boyfriend and had formed a Covid bubble with them</w:t>
      </w:r>
      <w:r w:rsidR="00742310">
        <w:rPr>
          <w:rFonts w:ascii="Calibri" w:eastAsia="Calibri" w:hAnsi="Calibri" w:cs="Times New Roman"/>
          <w:color w:val="auto"/>
          <w:sz w:val="22"/>
          <w:szCs w:val="22"/>
          <w:lang w:eastAsia="en-US"/>
        </w:rPr>
        <w:t>. Upon the time of the male stay</w:t>
      </w:r>
      <w:r w:rsidRPr="00BD3B2B">
        <w:rPr>
          <w:rFonts w:ascii="Calibri" w:eastAsia="Calibri" w:hAnsi="Calibri" w:cs="Times New Roman"/>
          <w:color w:val="auto"/>
          <w:sz w:val="22"/>
          <w:szCs w:val="22"/>
          <w:lang w:eastAsia="en-US"/>
        </w:rPr>
        <w:t>ing that the address the victim said that he displayed some odd behaviour. The male had told the victim along with her mother and her boyfriend that he had a lot of money that he had made via online crypto currency and also bragged that he had access to firearms by a friend that he would speak to regularly over a video conversation online. After a couple of days of staying at the address, the male had told the victim’s mother that he had filmed her daughter having sex with him on a laptop without her knowing and streamed it online. The mother then told the victim of this which led to an argument between the suspect and the victim. The victim then explained that the suspect climbed out of the bedroom window during the argument and left the address. A while later she realised her bank cards were missing. She then contacted the police to initiate me attending the address.</w:t>
      </w:r>
    </w:p>
    <w:p w14:paraId="70E8675C" w14:textId="295D4B83"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The first actions I initiated were to ask the victim contact her </w:t>
      </w:r>
      <w:r w:rsidR="00742310">
        <w:rPr>
          <w:rFonts w:ascii="Calibri" w:eastAsia="Calibri" w:hAnsi="Calibri" w:cs="Times New Roman"/>
          <w:color w:val="auto"/>
          <w:sz w:val="22"/>
          <w:szCs w:val="22"/>
          <w:lang w:eastAsia="en-US"/>
        </w:rPr>
        <w:t>bank and to cancel</w:t>
      </w:r>
      <w:r w:rsidRPr="00BD3B2B">
        <w:rPr>
          <w:rFonts w:ascii="Calibri" w:eastAsia="Calibri" w:hAnsi="Calibri" w:cs="Times New Roman"/>
          <w:color w:val="auto"/>
          <w:sz w:val="22"/>
          <w:szCs w:val="22"/>
          <w:lang w:eastAsia="en-US"/>
        </w:rPr>
        <w:t xml:space="preserve"> her cards. I then reached out to third party organisation run by the police by the name of Action Fraud. “Action Fraud is the UK’s national reporting centre for fraud and cybercrime where you should report fraud if you have been scammed, defrauded or experienced cyber-crime in England, Wales and Northern Ireland. (They provide a central point of contact for information about fraud and financially motivated internet crime. People are scammed, ripped off or conned every day and we want this to stop. The service is run by the City of London Police working alongside the National Fraud Intelligence Bureau (NFIB) who are responsible for assessment of the reports and to ensure that your fraud reports </w:t>
      </w:r>
      <w:r w:rsidRPr="00BD3B2B">
        <w:rPr>
          <w:rFonts w:ascii="Calibri" w:eastAsia="Calibri" w:hAnsi="Calibri" w:cs="Times New Roman"/>
          <w:color w:val="auto"/>
          <w:sz w:val="22"/>
          <w:szCs w:val="22"/>
          <w:lang w:eastAsia="en-US"/>
        </w:rPr>
        <w:lastRenderedPageBreak/>
        <w:t>reach the right place. The City of London Police is the national policing lead for economic crime.” (Action Fraud-2020)</w:t>
      </w:r>
    </w:p>
    <w:p w14:paraId="1ED2348D"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The victim had mild learning difficulties therefore an appropriate adult was necessary to take a victim statement which could potentially be used in court. Although the mother was present at the address she could not be used as an appropriate adult as she would be involved in the investigation due to the information that the suspect had told her. Therefore another family member attended the address to become her appropriate adult. The victim was able to give me the address of the suspect during the time I obtained a statement with her. </w:t>
      </w:r>
    </w:p>
    <w:p w14:paraId="0136D015" w14:textId="23E22E9A"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With this information I attended the suspect</w:t>
      </w:r>
      <w:r w:rsidR="00742310">
        <w:rPr>
          <w:rFonts w:ascii="Calibri" w:eastAsia="Calibri" w:hAnsi="Calibri" w:cs="Times New Roman"/>
          <w:color w:val="auto"/>
          <w:sz w:val="22"/>
          <w:szCs w:val="22"/>
          <w:lang w:eastAsia="en-US"/>
        </w:rPr>
        <w:t>’</w:t>
      </w:r>
      <w:r w:rsidRPr="00BD3B2B">
        <w:rPr>
          <w:rFonts w:ascii="Calibri" w:eastAsia="Calibri" w:hAnsi="Calibri" w:cs="Times New Roman"/>
          <w:color w:val="auto"/>
          <w:sz w:val="22"/>
          <w:szCs w:val="22"/>
          <w:lang w:eastAsia="en-US"/>
        </w:rPr>
        <w:t>s address and immediately told him that he was under arrest for suspicion of theft and voyeurism. I then appropriately cautioned the suspect with the “When questioned” caution to which she replied with “OK.” I then handcuffed the suspect to the rear to which he was compliant.  I then conducted a section 32 P.A.C.E search of his flat whereby I searched for electronic devices which had the ability to film sexual acts and streamed online. I therefore seized two laptops and a mobile phone device. Whilst conveying the suspect to Swansea Central Custody Suite I asked the suspect for the passwords to his laptops and mobile phone device. Initially the suspect was not willing to give me his passwords. However I informed the suspect that if he did not provide his passwords he would be committing an offence based on RIPPA 2000 (Regulation of Investigatory Powers Act.) “An Act to make provision for and about the interception of communications, the acquisition and disclosure of data relating to communications, the carrying out of surveillance, the use of covert human intelligence sources and the acquisition of the means by which electronic data protected by encryption or passwords may be decrypted or accessed; to provide for Commissioners and a tribunal with functions and jurisdiction in relation to those matters, to entries on and interferences with property or with wireless telegraphy and to the carrying out of their functions by the Security Service, the Secret Intelligence Service and the Government Communications Headquarters; and for connected purposes.” (RIPPA-2000)</w:t>
      </w:r>
    </w:p>
    <w:p w14:paraId="2ED9545A"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The devices were sent to the appropriate digital services within the police so they could be investigated towards the offences of theft, voyeurism and potentially fraud ready for the suspect to be interviewed. </w:t>
      </w:r>
    </w:p>
    <w:p w14:paraId="6285C64E"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Cybercrime such as fraud is more likely to target the older generation because they on average have more money sitting in the bank accounts and the online knowledge of safety is stereotypically less in the elderly. “Seniors over age 60 are the preferred victims of cybercrime against individuals. Senior fraud scams are increasingly common and result in significant losses each year. In 2018 alone:</w:t>
      </w:r>
    </w:p>
    <w:p w14:paraId="411579DC"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.62,085 victims age 60 or older reported $649,227,724 in losses to cybercrime.</w:t>
      </w:r>
    </w:p>
    <w:p w14:paraId="6FF0D512"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.An additional 48,642 victims ages 50-59 reported losses of $494,926,300 in the same year.</w:t>
      </w:r>
    </w:p>
    <w:p w14:paraId="052AFFD0"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That’s a combined amount of more than $1.14 billion in a single year between these two age groups” (C.Crane-2019)</w:t>
      </w:r>
    </w:p>
    <w:p w14:paraId="5DA4942B"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Although online fraud is mainly targeted at older generations, crime such as harassment which are assisted by online digital technologies mostly affect younger generations and people who identify as a woman. “Young people appear to experience the impact of online harassment at higher levels, 24% of 18 to 29 year olds have experienced mental or emotional stress as a result of online harassment, a further 15% report difficulties with friends and family, 14% state that their reputation has been damaged, 11% have had problems with relationships or at school and 7% have had problems at work These experiences are likely to be reported regardless of the specific type of </w:t>
      </w:r>
      <w:r w:rsidRPr="00BD3B2B">
        <w:rPr>
          <w:rFonts w:ascii="Calibri" w:eastAsia="Calibri" w:hAnsi="Calibri" w:cs="Times New Roman"/>
          <w:color w:val="auto"/>
          <w:sz w:val="22"/>
          <w:szCs w:val="22"/>
          <w:lang w:eastAsia="en-US"/>
        </w:rPr>
        <w:lastRenderedPageBreak/>
        <w:t>online harm that an individual has experienced. Women are more likely to be negatively affected by online harassment, and of those who had fallen victim to harassment, 35% found their most recent experience to be “extremely” or “very” upsetting as opposed to 16% of men. 12% of those who had suffered online harassment feared for their personal safety” (Prof J. Davidson)</w:t>
      </w:r>
    </w:p>
    <w:p w14:paraId="0DD52C03"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In conclusion it is very important to take the initial steps while dealing with crimes involving online technology as without taking fast action can lead to further loss or damage to property including finances in a bank account or explicit images been seen by more people. Also it is important to remember that at this current time it is elderly people who are more likely to be targeted by online fraudsters and that the young people and women are more likely to be targeted by online harassment. It is important to keep this in mind while doing investigations which rely on digital technology and to relay the appropriate information to digital services to make their investigations more effective.</w:t>
      </w:r>
    </w:p>
    <w:p w14:paraId="46062244"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BD3B2B">
        <w:rPr>
          <w:rFonts w:ascii="Calibri" w:eastAsia="Calibri" w:hAnsi="Calibri" w:cs="Times New Roman"/>
          <w:b/>
          <w:color w:val="auto"/>
          <w:sz w:val="22"/>
          <w:szCs w:val="22"/>
          <w:lang w:eastAsia="en-US"/>
        </w:rPr>
        <w:t>1244 Words</w:t>
      </w:r>
    </w:p>
    <w:p w14:paraId="592CAEBA" w14:textId="307D3281" w:rsidR="000F7ECD" w:rsidRPr="00270EEB" w:rsidRDefault="000F7ECD" w:rsidP="5B63D80E">
      <w:pPr>
        <w:ind w:right="237"/>
        <w:jc w:val="both"/>
        <w:rPr>
          <w:sz w:val="24"/>
          <w:szCs w:val="24"/>
        </w:rPr>
        <w:sectPr w:rsidR="000F7ECD" w:rsidRPr="00270EEB" w:rsidSect="00CF4C5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FDACD18"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Action Fraud. (2020). What is Action Fraud?. Available: https://www.actionfraud.police.uk/what-is-action-fraud. Last accessed 02 Dec 2020.</w:t>
      </w:r>
    </w:p>
    <w:p w14:paraId="54C15B27"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(2020). Anti-social Behaviour. Available: https://www.victimsupport.org.uk/crime-info/types-crime/antisocial-behaviour. Last accessed 02 Dec 2020.</w:t>
      </w:r>
    </w:p>
    <w:p w14:paraId="785AA3B1"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Bryant, R and Bryant, S (2018). Blackstone’s handbook for Policing Students. 13th ed. Oxford, UK: Oxford University Press. p492 (Apple Books Edition)</w:t>
      </w:r>
    </w:p>
    <w:p w14:paraId="3DE4E05F"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Casey Crane. (2019). 33 Alarming Cybercrime Statistics You Should Know in 2019. Available: https://www.thesslstore.com/blog/33-alarming-cybercrime-statistics-you-should-know/#cybercrime-statistics-who-are-the-victims. Last accessed 02 Dec 2020.</w:t>
      </w:r>
    </w:p>
    <w:p w14:paraId="08645651"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College of Policing (2014). Code of Ethics A Code of Practice for the Principles and Standards of Professional Behaviour for the Policing Profession of England and Wales. Ryton-on-Dunsmore Coventry: College of Policing Limited. P3.</w:t>
      </w:r>
    </w:p>
    <w:p w14:paraId="2065DE71" w14:textId="4FA30CFE" w:rsidR="00115403" w:rsidRDefault="00115403" w:rsidP="00115403">
      <w:pPr>
        <w:numPr>
          <w:ilvl w:val="0"/>
          <w:numId w:val="6"/>
        </w:numPr>
        <w:overflowPunct/>
        <w:autoSpaceDE/>
        <w:autoSpaceDN/>
        <w:adjustRightInd/>
        <w:spacing w:before="100" w:beforeAutospacing="1" w:after="100" w:afterAutospacing="1" w:line="259" w:lineRule="auto"/>
        <w:textAlignment w:val="auto"/>
        <w:rPr>
          <w:rFonts w:ascii="Verdana" w:hAnsi="Verdana" w:cs="Times New Roman"/>
        </w:rPr>
      </w:pPr>
      <w:r w:rsidRPr="00BD3B2B">
        <w:rPr>
          <w:rFonts w:ascii="Verdana" w:hAnsi="Verdana" w:cs="Times New Roman"/>
        </w:rPr>
        <w:t>European Court of Human Rights. (2010). </w:t>
      </w:r>
      <w:r w:rsidRPr="00BD3B2B">
        <w:rPr>
          <w:rFonts w:ascii="Verdana" w:hAnsi="Verdana" w:cs="Times New Roman"/>
          <w:i/>
          <w:iCs/>
        </w:rPr>
        <w:t>European Convention on Human Rights</w:t>
      </w:r>
      <w:r w:rsidRPr="00BD3B2B">
        <w:rPr>
          <w:rFonts w:ascii="Verdana" w:hAnsi="Verdana" w:cs="Times New Roman"/>
        </w:rPr>
        <w:t>. Protocol No. 14, p6.</w:t>
      </w:r>
    </w:p>
    <w:p w14:paraId="3D363B06" w14:textId="2D66B285" w:rsidR="00695678" w:rsidRPr="00BD3B2B" w:rsidRDefault="00695678" w:rsidP="00115403">
      <w:pPr>
        <w:numPr>
          <w:ilvl w:val="0"/>
          <w:numId w:val="6"/>
        </w:numPr>
        <w:overflowPunct/>
        <w:autoSpaceDE/>
        <w:autoSpaceDN/>
        <w:adjustRightInd/>
        <w:spacing w:before="100" w:beforeAutospacing="1" w:after="100" w:afterAutospacing="1" w:line="259" w:lineRule="auto"/>
        <w:textAlignment w:val="auto"/>
        <w:rPr>
          <w:rFonts w:ascii="Verdana" w:hAnsi="Verdana" w:cs="Times New Roman"/>
        </w:rPr>
      </w:pPr>
      <w:r w:rsidRPr="00695678">
        <w:rPr>
          <w:rFonts w:ascii="Verdana" w:hAnsi="Verdana" w:cs="Times New Roman"/>
        </w:rPr>
        <w:t>Home Office. (2014). Multi Agency Working and Information</w:t>
      </w:r>
      <w:r>
        <w:rPr>
          <w:rFonts w:ascii="Verdana" w:hAnsi="Verdana" w:cs="Times New Roman"/>
        </w:rPr>
        <w:t xml:space="preserve"> Sharing Project Final report.</w:t>
      </w:r>
      <w:r w:rsidRPr="00695678">
        <w:rPr>
          <w:rFonts w:ascii="Verdana" w:hAnsi="Verdana" w:cs="Times New Roman"/>
        </w:rPr>
        <w:t>p8.</w:t>
      </w:r>
    </w:p>
    <w:p w14:paraId="69E9FCE1" w14:textId="77777777" w:rsidR="00115403" w:rsidRPr="00BD3B2B" w:rsidRDefault="00115403" w:rsidP="00115403">
      <w:pPr>
        <w:numPr>
          <w:ilvl w:val="0"/>
          <w:numId w:val="6"/>
        </w:numPr>
        <w:overflowPunct/>
        <w:autoSpaceDE/>
        <w:autoSpaceDN/>
        <w:adjustRightInd/>
        <w:spacing w:before="100" w:beforeAutospacing="1" w:after="100" w:afterAutospacing="1" w:line="259" w:lineRule="auto"/>
        <w:textAlignment w:val="auto"/>
        <w:rPr>
          <w:rFonts w:ascii="Verdana" w:hAnsi="Verdana" w:cs="Times New Roman"/>
        </w:rPr>
      </w:pPr>
      <w:r w:rsidRPr="00BD3B2B">
        <w:rPr>
          <w:rFonts w:ascii="Verdana" w:hAnsi="Verdana" w:cs="Times New Roman"/>
        </w:rPr>
        <w:t>Home Office. (2013). Conducting a domestic homicide review: online learning. Available: https://www.gov.uk/guidance/conducting-a-domestic-homicide-review-online-learning. Last accessed 29th Nov 2020.</w:t>
      </w:r>
    </w:p>
    <w:p w14:paraId="4CE93A84"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J. Mitchell Miller. (2014). The Encyclopaedia of Theoretical Criminology, Blackwell Publishing Ltd. Published 2014 First Edition</w:t>
      </w:r>
    </w:p>
    <w:p w14:paraId="20FBC3E8" w14:textId="77777777" w:rsidR="00BD3B2B" w:rsidRPr="00BD3B2B" w:rsidRDefault="00BD3B2B" w:rsidP="00BD3B2B">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Mengstie, M.M. Perceived organizational justice and turnover intention among hospital healthcare workers. BMC Psychol 8, 19 (2020). </w:t>
      </w:r>
      <w:hyperlink r:id="rId26" w:history="1">
        <w:r w:rsidRPr="00BD3B2B">
          <w:rPr>
            <w:rFonts w:ascii="Calibri" w:eastAsia="Calibri" w:hAnsi="Calibri" w:cs="Times New Roman"/>
            <w:color w:val="0563C1"/>
            <w:sz w:val="22"/>
            <w:szCs w:val="22"/>
            <w:u w:val="single"/>
            <w:lang w:eastAsia="en-US"/>
          </w:rPr>
          <w:t>https://doi.org/10.1186/s40359-020-0387-8</w:t>
        </w:r>
      </w:hyperlink>
    </w:p>
    <w:p w14:paraId="5EBD1B88"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Prof Julia Davidson (2019). Adult Online Hate, Harassment and Abuse: A Rapid Evidence Assessment. London: University of East London.</w:t>
      </w:r>
    </w:p>
    <w:p w14:paraId="2629AFA1"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(2000). Regulation of Investigatory Powers Act 2000. Available: https://www.legislation.gov.uk/ukpga/2000/23/introduction. Last accessed 02 Dec 2020.</w:t>
      </w:r>
    </w:p>
    <w:p w14:paraId="75975486" w14:textId="77777777" w:rsidR="00BD3B2B" w:rsidRPr="00BD3B2B" w:rsidRDefault="00BD3B2B" w:rsidP="00BD3B2B">
      <w:pPr>
        <w:numPr>
          <w:ilvl w:val="0"/>
          <w:numId w:val="6"/>
        </w:numPr>
        <w:overflowPunct/>
        <w:autoSpaceDE/>
        <w:autoSpaceDN/>
        <w:adjustRightInd/>
        <w:spacing w:before="100" w:beforeAutospacing="1" w:after="100" w:afterAutospacing="1" w:line="259" w:lineRule="auto"/>
        <w:textAlignment w:val="auto"/>
        <w:rPr>
          <w:rFonts w:ascii="Verdana" w:hAnsi="Verdana" w:cs="Times New Roman"/>
        </w:rPr>
      </w:pPr>
      <w:r w:rsidRPr="00BD3B2B">
        <w:rPr>
          <w:rFonts w:ascii="Verdana" w:hAnsi="Verdana" w:cs="Times New Roman"/>
        </w:rPr>
        <w:t>Susanna Baldwin. (2006). Organisational Justice. In: Institute of employment studies. Brighton: University of Sussex</w:t>
      </w:r>
    </w:p>
    <w:p w14:paraId="49929031" w14:textId="77777777" w:rsidR="00BD3B2B" w:rsidRPr="00BD3B2B" w:rsidRDefault="00BD3B2B" w:rsidP="00BD3B2B">
      <w:pPr>
        <w:numPr>
          <w:ilvl w:val="0"/>
          <w:numId w:val="6"/>
        </w:numPr>
        <w:overflowPunct/>
        <w:autoSpaceDE/>
        <w:autoSpaceDN/>
        <w:adjustRightInd/>
        <w:spacing w:before="100" w:beforeAutospacing="1" w:after="100" w:afterAutospacing="1" w:line="259" w:lineRule="auto"/>
        <w:textAlignment w:val="auto"/>
        <w:rPr>
          <w:rFonts w:ascii="Verdana" w:hAnsi="Verdana" w:cs="Times New Roman"/>
        </w:rPr>
      </w:pPr>
      <w:r w:rsidRPr="00BD3B2B">
        <w:rPr>
          <w:rFonts w:ascii="Verdana" w:hAnsi="Verdana" w:cs="Times New Roman"/>
        </w:rPr>
        <w:t>Tara Schofield. Interactional Justice in the Workplace: Definition &amp; Overview. Available: https://study.com/academy/lesson/interactional-justice-in-the-workplace-definition-lesson-quiz.html. Last accessed 02 Dec 2020.</w:t>
      </w:r>
    </w:p>
    <w:p w14:paraId="6C30C69A" w14:textId="4F8CDC3D" w:rsidR="00BD3B2B" w:rsidRPr="00BD3B2B" w:rsidRDefault="00BD3B2B" w:rsidP="00BD3B2B">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Verdana" w:eastAsia="Calibri" w:hAnsi="Verdana" w:cs="Times New Roman"/>
          <w:lang w:eastAsia="en-US"/>
        </w:rPr>
        <w:t>(2020). </w:t>
      </w:r>
      <w:r w:rsidRPr="00BD3B2B">
        <w:rPr>
          <w:rFonts w:ascii="Verdana" w:eastAsia="Calibri" w:hAnsi="Verdana" w:cs="Times New Roman"/>
          <w:i/>
          <w:iCs/>
          <w:lang w:eastAsia="en-US"/>
        </w:rPr>
        <w:t>Why LanguageLine's Interpretation and Translation Services?.</w:t>
      </w:r>
      <w:r w:rsidRPr="00BD3B2B">
        <w:rPr>
          <w:rFonts w:ascii="Verdana" w:eastAsia="Calibri" w:hAnsi="Verdana" w:cs="Times New Roman"/>
          <w:lang w:eastAsia="en-US"/>
        </w:rPr>
        <w:t> Available: https://www.languageline.com/uk/wcu/. Last accessed 01 Dec 2020.</w:t>
      </w:r>
    </w:p>
    <w:p w14:paraId="62165D1A" w14:textId="07CFF7FC" w:rsidR="6E85A413" w:rsidRPr="00DD7FFD" w:rsidRDefault="6E85A413" w:rsidP="00DD7FFD">
      <w:pPr>
        <w:keepNext/>
        <w:ind w:right="237"/>
        <w:rPr>
          <w:b/>
          <w:sz w:val="24"/>
          <w:szCs w:val="24"/>
          <w:highlight w:val="yellow"/>
        </w:rPr>
      </w:pPr>
      <w:bookmarkStart w:id="12" w:name="_GoBack"/>
      <w:bookmarkEnd w:id="12"/>
    </w:p>
    <w:sectPr w:rsidR="6E85A413" w:rsidRPr="00DD7FFD" w:rsidSect="00CF4C50">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742310" w:rsidRDefault="00742310">
      <w:r>
        <w:separator/>
      </w:r>
    </w:p>
  </w:endnote>
  <w:endnote w:type="continuationSeparator" w:id="0">
    <w:p w14:paraId="3C56B659" w14:textId="77777777" w:rsidR="00742310" w:rsidRDefault="00742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7B5AB" w14:textId="4C032780" w:rsidR="00742310" w:rsidRDefault="00742310" w:rsidP="00CF4C50">
    <w:pPr>
      <w:pStyle w:val="Footer"/>
      <w:rPr>
        <w:sz w:val="17"/>
      </w:rPr>
    </w:pPr>
    <w:bookmarkStart w:id="2" w:name="TITUS1FooterEvenPages"/>
    <w:r w:rsidRPr="00CF4C50">
      <w:rPr>
        <w:sz w:val="17"/>
      </w:rPr>
      <w:t> </w:t>
    </w:r>
  </w:p>
  <w:bookmarkEnd w:id="2"/>
  <w:p w14:paraId="644C33AC" w14:textId="74B67F8C" w:rsidR="00742310" w:rsidRDefault="00742310" w:rsidP="00CF4C50">
    <w:pPr>
      <w:pStyle w:val="Footer"/>
      <w:jc w:val="right"/>
    </w:pPr>
    <w:r>
      <w:fldChar w:fldCharType="begin"/>
    </w:r>
    <w:r>
      <w:instrText xml:space="preserve"> PAGE   \* MERGEFORMAT </w:instrText>
    </w:r>
    <w:r>
      <w:fldChar w:fldCharType="separate"/>
    </w:r>
    <w:r w:rsidR="00A90D31">
      <w:rPr>
        <w:noProof/>
      </w:rPr>
      <w:t>6</w:t>
    </w:r>
    <w:r>
      <w:rPr>
        <w:noProof/>
      </w:rPr>
      <w:fldChar w:fldCharType="end"/>
    </w:r>
  </w:p>
  <w:p w14:paraId="5A6737BB" w14:textId="77777777" w:rsidR="00742310" w:rsidRPr="00BB5EAA" w:rsidRDefault="00742310" w:rsidP="00CF4C50">
    <w:pPr>
      <w:pStyle w:val="Footer"/>
      <w:ind w:right="360"/>
      <w:jc w:val="center"/>
    </w:pPr>
  </w:p>
  <w:p w14:paraId="6BFE3F75" w14:textId="77777777" w:rsidR="00742310" w:rsidRDefault="007423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A0513" w14:textId="31F3EA26" w:rsidR="00742310" w:rsidRDefault="00742310" w:rsidP="00CF4C50">
    <w:pPr>
      <w:pStyle w:val="Footer"/>
      <w:rPr>
        <w:sz w:val="17"/>
      </w:rPr>
    </w:pPr>
    <w:bookmarkStart w:id="3" w:name="TITUS1FooterPrimary"/>
    <w:r w:rsidRPr="00CF4C50">
      <w:rPr>
        <w:sz w:val="17"/>
      </w:rPr>
      <w:t> </w:t>
    </w:r>
  </w:p>
  <w:bookmarkEnd w:id="3"/>
  <w:p w14:paraId="50521BFA" w14:textId="42F86445" w:rsidR="00742310" w:rsidRDefault="00742310">
    <w:pPr>
      <w:pStyle w:val="Footer"/>
      <w:jc w:val="right"/>
    </w:pPr>
    <w:r>
      <w:fldChar w:fldCharType="begin"/>
    </w:r>
    <w:r>
      <w:instrText xml:space="preserve"> PAGE   \* MERGEFORMAT </w:instrText>
    </w:r>
    <w:r>
      <w:fldChar w:fldCharType="separate"/>
    </w:r>
    <w:r w:rsidR="00A90D31">
      <w:rPr>
        <w:noProof/>
      </w:rPr>
      <w:t>5</w:t>
    </w:r>
    <w:r>
      <w:rPr>
        <w:noProof/>
      </w:rPr>
      <w:fldChar w:fldCharType="end"/>
    </w:r>
  </w:p>
  <w:p w14:paraId="790812FF" w14:textId="77777777" w:rsidR="00742310" w:rsidRPr="00BB5EAA" w:rsidRDefault="0074231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4572A" w14:textId="60B48EA6" w:rsidR="00742310" w:rsidRDefault="00742310" w:rsidP="00CF4C50">
    <w:pPr>
      <w:pStyle w:val="Footer"/>
      <w:rPr>
        <w:sz w:val="17"/>
      </w:rPr>
    </w:pPr>
    <w:bookmarkStart w:id="5" w:name="TITUS1FooterFirstPage"/>
    <w:r w:rsidRPr="00CF4C50">
      <w:rPr>
        <w:sz w:val="17"/>
      </w:rPr>
      <w:t> </w:t>
    </w:r>
  </w:p>
  <w:bookmarkEnd w:id="5"/>
  <w:p w14:paraId="71768FAB" w14:textId="0A3CCB89" w:rsidR="00742310" w:rsidRDefault="00742310" w:rsidP="00CF4C50">
    <w:pPr>
      <w:pStyle w:val="Footer"/>
      <w:jc w:val="right"/>
    </w:pPr>
    <w:r>
      <w:fldChar w:fldCharType="begin"/>
    </w:r>
    <w:r>
      <w:instrText xml:space="preserve"> PAGE   \* MERGEFORMAT </w:instrText>
    </w:r>
    <w:r>
      <w:fldChar w:fldCharType="separate"/>
    </w:r>
    <w:r w:rsidR="00A90D31">
      <w:rPr>
        <w:noProof/>
      </w:rPr>
      <w:t>1</w:t>
    </w:r>
    <w:r>
      <w:rPr>
        <w:noProof/>
      </w:rPr>
      <w:fldChar w:fldCharType="end"/>
    </w:r>
  </w:p>
  <w:p w14:paraId="6C728FCD" w14:textId="77777777" w:rsidR="00742310" w:rsidRPr="00BB5EAA" w:rsidRDefault="00742310" w:rsidP="00CF4C50">
    <w:pPr>
      <w:pStyle w:val="Footer"/>
      <w:ind w:right="360"/>
      <w:jc w:val="center"/>
    </w:pPr>
  </w:p>
  <w:p w14:paraId="7BA58EB0" w14:textId="77777777" w:rsidR="00742310" w:rsidRDefault="0074231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86174" w14:textId="0CA1B6D3" w:rsidR="00742310" w:rsidRDefault="00742310" w:rsidP="00CF4C50">
    <w:pPr>
      <w:pStyle w:val="Footer"/>
      <w:rPr>
        <w:sz w:val="17"/>
      </w:rPr>
    </w:pPr>
    <w:bookmarkStart w:id="8" w:name="TITUS2FooterEvenPages"/>
    <w:r w:rsidRPr="00CF4C50">
      <w:rPr>
        <w:sz w:val="17"/>
      </w:rPr>
      <w:t> </w:t>
    </w:r>
  </w:p>
  <w:bookmarkEnd w:id="8"/>
  <w:p w14:paraId="09529EC4" w14:textId="77777777" w:rsidR="00742310" w:rsidRDefault="00742310" w:rsidP="00CF4C50">
    <w:pPr>
      <w:pStyle w:val="Footer"/>
      <w:jc w:val="right"/>
    </w:pPr>
  </w:p>
  <w:p w14:paraId="015F875F" w14:textId="5F194932" w:rsidR="00742310" w:rsidRDefault="00742310" w:rsidP="00CF4C50">
    <w:pPr>
      <w:pStyle w:val="Footer"/>
      <w:jc w:val="right"/>
    </w:pPr>
    <w:r>
      <w:fldChar w:fldCharType="begin"/>
    </w:r>
    <w:r>
      <w:instrText xml:space="preserve"> PAGE   \* MERGEFORMAT </w:instrText>
    </w:r>
    <w:r>
      <w:fldChar w:fldCharType="separate"/>
    </w:r>
    <w:r w:rsidR="00A90D31">
      <w:rPr>
        <w:noProof/>
      </w:rPr>
      <w:t>20</w:t>
    </w:r>
    <w:r>
      <w:rPr>
        <w:noProof/>
      </w:rPr>
      <w:fldChar w:fldCharType="end"/>
    </w:r>
  </w:p>
  <w:p w14:paraId="48D8EE06" w14:textId="77777777" w:rsidR="00742310" w:rsidRPr="00BB5EAA" w:rsidRDefault="00742310" w:rsidP="00CF4C50">
    <w:pPr>
      <w:pStyle w:val="Footer"/>
      <w:ind w:right="360"/>
      <w:jc w:val="center"/>
    </w:pPr>
  </w:p>
  <w:p w14:paraId="453043F5" w14:textId="77777777" w:rsidR="00742310" w:rsidRDefault="0074231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B576B" w14:textId="637A64D9" w:rsidR="00742310" w:rsidRDefault="00742310" w:rsidP="00CF4C50">
    <w:pPr>
      <w:pStyle w:val="Footer"/>
      <w:rPr>
        <w:sz w:val="17"/>
      </w:rPr>
    </w:pPr>
    <w:bookmarkStart w:id="9" w:name="TITUS2FooterPrimary"/>
    <w:r w:rsidRPr="00CF4C50">
      <w:rPr>
        <w:sz w:val="17"/>
      </w:rPr>
      <w:t> </w:t>
    </w:r>
  </w:p>
  <w:bookmarkEnd w:id="9"/>
  <w:p w14:paraId="308AB0C9" w14:textId="77777777" w:rsidR="00742310" w:rsidRDefault="00742310">
    <w:pPr>
      <w:pStyle w:val="Footer"/>
      <w:jc w:val="right"/>
    </w:pPr>
  </w:p>
  <w:p w14:paraId="66F58CEB" w14:textId="7FFA70CC" w:rsidR="00742310" w:rsidRDefault="00742310">
    <w:pPr>
      <w:pStyle w:val="Footer"/>
      <w:jc w:val="right"/>
    </w:pPr>
    <w:r>
      <w:fldChar w:fldCharType="begin"/>
    </w:r>
    <w:r>
      <w:instrText xml:space="preserve"> PAGE   \* MERGEFORMAT </w:instrText>
    </w:r>
    <w:r>
      <w:fldChar w:fldCharType="separate"/>
    </w:r>
    <w:r w:rsidR="00A90D31">
      <w:rPr>
        <w:noProof/>
      </w:rPr>
      <w:t>19</w:t>
    </w:r>
    <w:r>
      <w:rPr>
        <w:noProof/>
      </w:rPr>
      <w:fldChar w:fldCharType="end"/>
    </w:r>
  </w:p>
  <w:p w14:paraId="752C0688" w14:textId="77777777" w:rsidR="00742310" w:rsidRPr="00BB5EAA" w:rsidRDefault="0074231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3529F" w14:textId="3766D5B4" w:rsidR="00742310" w:rsidRDefault="00742310" w:rsidP="00CF4C50">
    <w:pPr>
      <w:pStyle w:val="Footer"/>
      <w:rPr>
        <w:sz w:val="17"/>
      </w:rPr>
    </w:pPr>
    <w:bookmarkStart w:id="11" w:name="TITUS2FooterFirstPage"/>
    <w:r w:rsidRPr="00CF4C50">
      <w:rPr>
        <w:sz w:val="17"/>
      </w:rPr>
      <w:t> </w:t>
    </w:r>
  </w:p>
  <w:bookmarkEnd w:id="11"/>
  <w:p w14:paraId="625A232D" w14:textId="77777777" w:rsidR="00742310" w:rsidRDefault="00742310" w:rsidP="00CF4C50">
    <w:pPr>
      <w:pStyle w:val="Footer"/>
      <w:jc w:val="right"/>
    </w:pPr>
  </w:p>
  <w:p w14:paraId="4C4582C4" w14:textId="361AED01" w:rsidR="00742310" w:rsidRDefault="00742310" w:rsidP="00CF4C50">
    <w:pPr>
      <w:pStyle w:val="Footer"/>
      <w:jc w:val="right"/>
    </w:pPr>
    <w:r>
      <w:fldChar w:fldCharType="begin"/>
    </w:r>
    <w:r>
      <w:instrText xml:space="preserve"> PAGE   \* MERGEFORMAT </w:instrText>
    </w:r>
    <w:r>
      <w:fldChar w:fldCharType="separate"/>
    </w:r>
    <w:r w:rsidR="00A90D31">
      <w:rPr>
        <w:noProof/>
      </w:rPr>
      <w:t>9</w:t>
    </w:r>
    <w:r>
      <w:rPr>
        <w:noProof/>
      </w:rPr>
      <w:fldChar w:fldCharType="end"/>
    </w:r>
  </w:p>
  <w:p w14:paraId="21B66D5A" w14:textId="77777777" w:rsidR="00742310" w:rsidRPr="00BB5EAA" w:rsidRDefault="00742310" w:rsidP="00CF4C50">
    <w:pPr>
      <w:pStyle w:val="Footer"/>
      <w:ind w:right="360"/>
      <w:jc w:val="center"/>
    </w:pPr>
  </w:p>
  <w:p w14:paraId="2CB45A80" w14:textId="77777777" w:rsidR="00742310" w:rsidRDefault="0074231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1F76E" w14:textId="72ACC640" w:rsidR="00742310" w:rsidRDefault="00742310" w:rsidP="00CF4C50">
    <w:pPr>
      <w:pStyle w:val="Footer"/>
      <w:rPr>
        <w:sz w:val="17"/>
      </w:rPr>
    </w:pPr>
    <w:bookmarkStart w:id="15" w:name="TITUS3FooterEvenPages"/>
    <w:r w:rsidRPr="00CF4C50">
      <w:rPr>
        <w:sz w:val="17"/>
      </w:rPr>
      <w:t> </w:t>
    </w:r>
  </w:p>
  <w:bookmarkEnd w:id="15"/>
  <w:p w14:paraId="6794D20C" w14:textId="77777777" w:rsidR="00742310" w:rsidRDefault="00742310" w:rsidP="00CF4C50">
    <w:pPr>
      <w:pStyle w:val="Footer"/>
      <w:jc w:val="right"/>
    </w:pPr>
  </w:p>
  <w:p w14:paraId="22DE1107" w14:textId="77777777" w:rsidR="00742310" w:rsidRDefault="00742310" w:rsidP="00CF4C50">
    <w:pPr>
      <w:pStyle w:val="Footer"/>
      <w:jc w:val="right"/>
    </w:pPr>
    <w:r>
      <w:fldChar w:fldCharType="begin"/>
    </w:r>
    <w:r>
      <w:instrText xml:space="preserve"> PAGE   \* MERGEFORMAT </w:instrText>
    </w:r>
    <w:r>
      <w:fldChar w:fldCharType="separate"/>
    </w:r>
    <w:r>
      <w:rPr>
        <w:noProof/>
      </w:rPr>
      <w:t>8</w:t>
    </w:r>
    <w:r>
      <w:rPr>
        <w:noProof/>
      </w:rPr>
      <w:fldChar w:fldCharType="end"/>
    </w:r>
  </w:p>
  <w:p w14:paraId="3C3FF9C2" w14:textId="77777777" w:rsidR="00742310" w:rsidRPr="00BB5EAA" w:rsidRDefault="00742310" w:rsidP="00CF4C50">
    <w:pPr>
      <w:pStyle w:val="Footer"/>
      <w:ind w:right="360"/>
      <w:jc w:val="center"/>
    </w:pPr>
  </w:p>
  <w:p w14:paraId="7D5D5480" w14:textId="77777777" w:rsidR="00742310" w:rsidRDefault="0074231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056D6" w14:textId="07AE2124" w:rsidR="00742310" w:rsidRDefault="00742310" w:rsidP="00CF4C50">
    <w:pPr>
      <w:pStyle w:val="Footer"/>
      <w:rPr>
        <w:sz w:val="17"/>
      </w:rPr>
    </w:pPr>
    <w:bookmarkStart w:id="16" w:name="TITUS3FooterPrimary"/>
    <w:r w:rsidRPr="00CF4C50">
      <w:rPr>
        <w:sz w:val="17"/>
      </w:rPr>
      <w:t> </w:t>
    </w:r>
  </w:p>
  <w:bookmarkEnd w:id="16"/>
  <w:p w14:paraId="1CC79F67" w14:textId="77777777" w:rsidR="00742310" w:rsidRDefault="00742310">
    <w:pPr>
      <w:pStyle w:val="Footer"/>
      <w:jc w:val="right"/>
    </w:pPr>
  </w:p>
  <w:p w14:paraId="2C4031E6" w14:textId="77777777" w:rsidR="00742310" w:rsidRDefault="00742310">
    <w:pPr>
      <w:pStyle w:val="Footer"/>
      <w:jc w:val="right"/>
    </w:pPr>
    <w:r>
      <w:fldChar w:fldCharType="begin"/>
    </w:r>
    <w:r>
      <w:instrText xml:space="preserve"> PAGE   \* MERGEFORMAT </w:instrText>
    </w:r>
    <w:r>
      <w:fldChar w:fldCharType="separate"/>
    </w:r>
    <w:r>
      <w:rPr>
        <w:noProof/>
      </w:rPr>
      <w:t>5</w:t>
    </w:r>
    <w:r>
      <w:rPr>
        <w:noProof/>
      </w:rPr>
      <w:fldChar w:fldCharType="end"/>
    </w:r>
  </w:p>
  <w:p w14:paraId="35C71C99" w14:textId="77777777" w:rsidR="00742310" w:rsidRPr="00BB5EAA" w:rsidRDefault="0074231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8E4A0" w14:textId="556CE488" w:rsidR="00742310" w:rsidRDefault="00742310" w:rsidP="00CF4C50">
    <w:pPr>
      <w:pStyle w:val="Footer"/>
      <w:rPr>
        <w:sz w:val="17"/>
      </w:rPr>
    </w:pPr>
    <w:bookmarkStart w:id="18" w:name="TITUS3FooterFirstPage"/>
    <w:r w:rsidRPr="00CF4C50">
      <w:rPr>
        <w:sz w:val="17"/>
      </w:rPr>
      <w:t> </w:t>
    </w:r>
  </w:p>
  <w:bookmarkEnd w:id="18"/>
  <w:p w14:paraId="002F40B3" w14:textId="77777777" w:rsidR="00742310" w:rsidRDefault="00742310" w:rsidP="00CF4C50">
    <w:pPr>
      <w:pStyle w:val="Footer"/>
      <w:jc w:val="right"/>
    </w:pPr>
  </w:p>
  <w:p w14:paraId="2767AF89" w14:textId="4EB469CD" w:rsidR="00742310" w:rsidRDefault="00742310" w:rsidP="00CF4C50">
    <w:pPr>
      <w:pStyle w:val="Footer"/>
      <w:jc w:val="right"/>
    </w:pPr>
    <w:r>
      <w:fldChar w:fldCharType="begin"/>
    </w:r>
    <w:r>
      <w:instrText xml:space="preserve"> PAGE   \* MERGEFORMAT </w:instrText>
    </w:r>
    <w:r>
      <w:fldChar w:fldCharType="separate"/>
    </w:r>
    <w:r w:rsidR="00A90D31">
      <w:rPr>
        <w:noProof/>
      </w:rPr>
      <w:t>21</w:t>
    </w:r>
    <w:r>
      <w:rPr>
        <w:noProof/>
      </w:rPr>
      <w:fldChar w:fldCharType="end"/>
    </w:r>
  </w:p>
  <w:p w14:paraId="4FC5D357" w14:textId="77777777" w:rsidR="00742310" w:rsidRPr="00BB5EAA" w:rsidRDefault="00742310" w:rsidP="00CF4C50">
    <w:pPr>
      <w:pStyle w:val="Footer"/>
      <w:ind w:right="360"/>
      <w:jc w:val="center"/>
    </w:pPr>
  </w:p>
  <w:p w14:paraId="6E7D0F29" w14:textId="77777777" w:rsidR="00742310" w:rsidRDefault="00742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742310" w:rsidRDefault="00742310">
      <w:r>
        <w:separator/>
      </w:r>
    </w:p>
  </w:footnote>
  <w:footnote w:type="continuationSeparator" w:id="0">
    <w:p w14:paraId="58F5E15C" w14:textId="77777777" w:rsidR="00742310" w:rsidRDefault="00742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CC501" w14:textId="1D8AE185" w:rsidR="00742310" w:rsidRDefault="00742310" w:rsidP="00CF4C50">
    <w:pPr>
      <w:pStyle w:val="Header"/>
      <w:rPr>
        <w:sz w:val="17"/>
      </w:rPr>
    </w:pPr>
    <w:bookmarkStart w:id="0" w:name="TITUS1HeaderEvenPages"/>
    <w:r w:rsidRPr="00CF4C50">
      <w:rPr>
        <w:sz w:val="17"/>
      </w:rPr>
      <w:t> </w:t>
    </w:r>
  </w:p>
  <w:bookmarkEnd w:id="0"/>
  <w:p w14:paraId="2512D9E5" w14:textId="77777777" w:rsidR="00742310" w:rsidRDefault="007423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2021F" w14:textId="70E13239" w:rsidR="00742310" w:rsidRDefault="00742310" w:rsidP="00CF4C50">
    <w:pPr>
      <w:pStyle w:val="Header"/>
      <w:rPr>
        <w:sz w:val="17"/>
      </w:rPr>
    </w:pPr>
    <w:bookmarkStart w:id="1" w:name="TITUS1HeaderPrimary"/>
    <w:r w:rsidRPr="00CF4C50">
      <w:rPr>
        <w:sz w:val="17"/>
      </w:rPr>
      <w:t> </w:t>
    </w:r>
  </w:p>
  <w:bookmarkEnd w:id="1"/>
  <w:p w14:paraId="0DB5E289" w14:textId="77777777" w:rsidR="00742310" w:rsidRDefault="007423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85FAF" w14:textId="02790518" w:rsidR="00742310" w:rsidRDefault="00742310" w:rsidP="00CF4C50">
    <w:pPr>
      <w:pStyle w:val="Header"/>
      <w:rPr>
        <w:sz w:val="17"/>
      </w:rPr>
    </w:pPr>
    <w:bookmarkStart w:id="4" w:name="TITUS1HeaderFirstPage"/>
    <w:r w:rsidRPr="00CF4C50">
      <w:rPr>
        <w:sz w:val="17"/>
      </w:rPr>
      <w:t> </w:t>
    </w:r>
  </w:p>
  <w:bookmarkEnd w:id="4"/>
  <w:p w14:paraId="5670BCA8" w14:textId="77777777" w:rsidR="00742310" w:rsidRDefault="0074231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128B6" w14:textId="239BD22C" w:rsidR="00742310" w:rsidRDefault="00742310" w:rsidP="00CF4C50">
    <w:pPr>
      <w:pStyle w:val="Header"/>
      <w:rPr>
        <w:sz w:val="17"/>
      </w:rPr>
    </w:pPr>
    <w:bookmarkStart w:id="6" w:name="TITUS2HeaderEvenPages"/>
    <w:r w:rsidRPr="00CF4C50">
      <w:rPr>
        <w:sz w:val="17"/>
      </w:rPr>
      <w:t> </w:t>
    </w:r>
  </w:p>
  <w:bookmarkEnd w:id="6"/>
  <w:p w14:paraId="79EEA6DD" w14:textId="77777777" w:rsidR="00742310" w:rsidRDefault="00742310" w:rsidP="00CF4C50">
    <w:pPr>
      <w:pStyle w:val="Header"/>
    </w:pPr>
  </w:p>
  <w:p w14:paraId="5CDC672F" w14:textId="77777777" w:rsidR="00742310" w:rsidRDefault="0074231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48C8" w14:textId="35F4F00A" w:rsidR="00742310" w:rsidRDefault="00742310" w:rsidP="00CF4C50">
    <w:pPr>
      <w:pStyle w:val="Header"/>
      <w:rPr>
        <w:sz w:val="17"/>
      </w:rPr>
    </w:pPr>
    <w:bookmarkStart w:id="7" w:name="TITUS2HeaderPrimary"/>
    <w:r w:rsidRPr="00CF4C50">
      <w:rPr>
        <w:sz w:val="17"/>
      </w:rPr>
      <w:t> </w:t>
    </w:r>
  </w:p>
  <w:bookmarkEnd w:id="7"/>
  <w:p w14:paraId="7B11AC2C" w14:textId="77777777" w:rsidR="00742310" w:rsidRDefault="0074231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A9623" w14:textId="3E761879" w:rsidR="00742310" w:rsidRDefault="00742310" w:rsidP="00CF4C50">
    <w:pPr>
      <w:pStyle w:val="Header"/>
      <w:rPr>
        <w:sz w:val="17"/>
      </w:rPr>
    </w:pPr>
    <w:bookmarkStart w:id="10" w:name="TITUS2HeaderFirstPage"/>
    <w:r w:rsidRPr="00CF4C50">
      <w:rPr>
        <w:sz w:val="17"/>
      </w:rPr>
      <w:t> </w:t>
    </w:r>
  </w:p>
  <w:bookmarkEnd w:id="10"/>
  <w:p w14:paraId="7B06054C" w14:textId="77777777" w:rsidR="00742310" w:rsidRDefault="00742310" w:rsidP="00CF4C50">
    <w:pPr>
      <w:pStyle w:val="Header"/>
    </w:pPr>
  </w:p>
  <w:p w14:paraId="264370C1" w14:textId="77777777" w:rsidR="00742310" w:rsidRDefault="0074231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0EC58" w14:textId="3A201FD0" w:rsidR="00742310" w:rsidRDefault="00742310" w:rsidP="00CF4C50">
    <w:pPr>
      <w:pStyle w:val="Header"/>
      <w:rPr>
        <w:sz w:val="17"/>
      </w:rPr>
    </w:pPr>
    <w:bookmarkStart w:id="13" w:name="TITUS3HeaderEvenPages"/>
    <w:r w:rsidRPr="00CF4C50">
      <w:rPr>
        <w:sz w:val="17"/>
      </w:rPr>
      <w:t> </w:t>
    </w:r>
  </w:p>
  <w:bookmarkEnd w:id="13"/>
  <w:p w14:paraId="3E7BD2A8" w14:textId="77777777" w:rsidR="00742310" w:rsidRDefault="00742310" w:rsidP="00CF4C50">
    <w:pPr>
      <w:pStyle w:val="Header"/>
    </w:pPr>
  </w:p>
  <w:p w14:paraId="79F7EA4B" w14:textId="77777777" w:rsidR="00742310" w:rsidRDefault="0074231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512A5" w14:textId="6D54ED12" w:rsidR="00742310" w:rsidRDefault="00742310" w:rsidP="00CF4C50">
    <w:pPr>
      <w:pStyle w:val="Header"/>
      <w:rPr>
        <w:sz w:val="17"/>
      </w:rPr>
    </w:pPr>
    <w:bookmarkStart w:id="14" w:name="TITUS3HeaderPrimary"/>
    <w:r w:rsidRPr="00CF4C50">
      <w:rPr>
        <w:sz w:val="17"/>
      </w:rPr>
      <w:t> </w:t>
    </w:r>
  </w:p>
  <w:bookmarkEnd w:id="14"/>
  <w:p w14:paraId="432A2853" w14:textId="77777777" w:rsidR="00742310" w:rsidRDefault="0074231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51E9F" w14:textId="67DB09C8" w:rsidR="00742310" w:rsidRDefault="00742310" w:rsidP="00CF4C50">
    <w:pPr>
      <w:pStyle w:val="Header"/>
      <w:rPr>
        <w:sz w:val="17"/>
      </w:rPr>
    </w:pPr>
    <w:bookmarkStart w:id="17" w:name="TITUS3HeaderFirstPage"/>
    <w:r w:rsidRPr="00CF4C50">
      <w:rPr>
        <w:sz w:val="17"/>
      </w:rPr>
      <w:t> </w:t>
    </w:r>
  </w:p>
  <w:bookmarkEnd w:id="17"/>
  <w:p w14:paraId="4263E0DC" w14:textId="77777777" w:rsidR="00742310" w:rsidRDefault="00742310" w:rsidP="00CF4C50">
    <w:pPr>
      <w:pStyle w:val="Header"/>
    </w:pPr>
  </w:p>
  <w:p w14:paraId="385BC746" w14:textId="77777777" w:rsidR="00742310" w:rsidRDefault="007423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62D7BF3"/>
    <w:multiLevelType w:val="hybridMultilevel"/>
    <w:tmpl w:val="FF180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5"/>
  </w:num>
  <w:num w:numId="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97769F7-7354-48C7-87CD-5E7A79F81118}"/>
    <w:docVar w:name="dgnword-eventsink" w:val="555206912"/>
  </w:docVars>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A4E5B"/>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15403"/>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2034"/>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652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5F3189"/>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5678"/>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373B4"/>
    <w:rsid w:val="007406E1"/>
    <w:rsid w:val="00742310"/>
    <w:rsid w:val="00743E40"/>
    <w:rsid w:val="00751263"/>
    <w:rsid w:val="0075704F"/>
    <w:rsid w:val="00763B2D"/>
    <w:rsid w:val="00770F54"/>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4CA3"/>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0C9B"/>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0D31"/>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D3B2B"/>
    <w:rsid w:val="00BE0F7B"/>
    <w:rsid w:val="00BE10C2"/>
    <w:rsid w:val="00BE4E31"/>
    <w:rsid w:val="00C01D14"/>
    <w:rsid w:val="00C025B4"/>
    <w:rsid w:val="00C11F61"/>
    <w:rsid w:val="00C161FD"/>
    <w:rsid w:val="00C21054"/>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CF4C50"/>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0A36"/>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186/s40359-020-0387-8"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DA98B25-435B-4B9D-AAF9-77DE45D9B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7734</Words>
  <Characters>41650</Characters>
  <Application>Microsoft Office Word</Application>
  <DocSecurity>0</DocSecurity>
  <Lines>347</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Hall,Rikki swp6396</cp:lastModifiedBy>
  <cp:revision>2</cp:revision>
  <cp:lastPrinted>2014-08-26T08:55:00Z</cp:lastPrinted>
  <dcterms:created xsi:type="dcterms:W3CDTF">2021-01-13T01:44:00Z</dcterms:created>
  <dcterms:modified xsi:type="dcterms:W3CDTF">2021-01-13T01:44:00Z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00a2dd9e-c5dc-4147-81e2-3829dd029cc9</vt:lpwstr>
  </property>
  <property fmtid="{D5CDD505-2E9C-101B-9397-08002B2CF9AE}" pid="4" name="Classification">
    <vt:lpwstr>OFFICIAL</vt:lpwstr>
  </property>
  <property fmtid="{D5CDD505-2E9C-101B-9397-08002B2CF9AE}" pid="5" name="Visibility">
    <vt:lpwstr>NOT VISIBLE</vt:lpwstr>
  </property>
</Properties>
</file>