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B9559E" w14:textId="77777777" w:rsidR="008E4C3A" w:rsidRDefault="008E4C3A" w:rsidP="008E4C3A">
      <w:pPr>
        <w:rPr>
          <w:rFonts w:ascii="Arial" w:hAnsi="Arial" w:cs="Arial"/>
          <w:sz w:val="22"/>
          <w:szCs w:val="22"/>
        </w:rPr>
      </w:pPr>
      <w:r>
        <w:rPr>
          <w:rFonts w:ascii="Arial" w:hAnsi="Arial" w:cs="Arial"/>
          <w:sz w:val="22"/>
          <w:szCs w:val="22"/>
        </w:rPr>
        <w:t xml:space="preserve">Under IAS 38 research costs should not be capitalised but expensed to profit and loss. Development costs can be </w:t>
      </w:r>
      <w:proofErr w:type="gramStart"/>
      <w:r>
        <w:rPr>
          <w:rFonts w:ascii="Arial" w:hAnsi="Arial" w:cs="Arial"/>
          <w:sz w:val="22"/>
          <w:szCs w:val="22"/>
        </w:rPr>
        <w:t>capitalised</w:t>
      </w:r>
      <w:proofErr w:type="gramEnd"/>
      <w:r>
        <w:rPr>
          <w:rFonts w:ascii="Arial" w:hAnsi="Arial" w:cs="Arial"/>
          <w:sz w:val="22"/>
          <w:szCs w:val="22"/>
        </w:rPr>
        <w:t xml:space="preserve"> but only once certain criteria are met. These relate to demonstrating the technical feasibility of the underlying development and the ability to exploit the development costs commercially. Having passed clinical trials for the drug, Lobster is now able to meet the capitalisation criteria. Development costs of £3.2 million (9.6-6.4) would be capitalised and amortisation of £640,000 charged against profit and loss leaving a carrying value for the development costs of £2.56 million at 30 April 2020. Research and development costs expensed in the year would amount to £12.4 million. </w:t>
      </w:r>
    </w:p>
    <w:p w14:paraId="0B25A7C5"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C3A"/>
    <w:rsid w:val="008E4C3A"/>
    <w:rsid w:val="009A6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D2546"/>
  <w15:chartTrackingRefBased/>
  <w15:docId w15:val="{16F3B5EF-2502-4CAE-A215-7E0C31879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C3A"/>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106</Words>
  <Characters>605</Characters>
  <Application>Microsoft Office Word</Application>
  <DocSecurity>0</DocSecurity>
  <Lines>5</Lines>
  <Paragraphs>1</Paragraphs>
  <ScaleCrop>false</ScaleCrop>
  <Company/>
  <LinksUpToDate>false</LinksUpToDate>
  <CharactersWithSpaces>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2021-03-11T11:33:00Z</dcterms:created>
  <dcterms:modified xsi:type="dcterms:W3CDTF">2021-03-11T11:33:00Z</dcterms:modified>
</cp:coreProperties>
</file>