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74488611"/>
        <w:docPartObj>
          <w:docPartGallery w:val="Cover Pages"/>
          <w:docPartUnique/>
        </w:docPartObj>
      </w:sdtPr>
      <w:sdtEndPr>
        <w:rPr>
          <w:b/>
          <w:bCs/>
          <w:color w:val="000000" w:themeColor="text1"/>
        </w:rPr>
      </w:sdtEndPr>
      <w:sdtContent>
        <w:p w14:paraId="16589899" w14:textId="06DCBB08" w:rsidR="00B366AC" w:rsidRDefault="00B366AC">
          <w:r>
            <w:rPr>
              <w:noProof/>
            </w:rPr>
            <mc:AlternateContent>
              <mc:Choice Requires="wpg">
                <w:drawing>
                  <wp:anchor distT="0" distB="0" distL="114300" distR="114300" simplePos="0" relativeHeight="251659264" behindDoc="1" locked="0" layoutInCell="1" allowOverlap="1" wp14:anchorId="5FE2EF89" wp14:editId="54A134EE">
                    <wp:simplePos x="0" y="0"/>
                    <wp:positionH relativeFrom="page">
                      <wp:align>center</wp:align>
                    </wp:positionH>
                    <wp:positionV relativeFrom="page">
                      <wp:align>center</wp:align>
                    </wp:positionV>
                    <wp:extent cx="6858000" cy="9123528"/>
                    <wp:effectExtent l="0" t="0" r="0" b="0"/>
                    <wp:wrapNone/>
                    <wp:docPr id="193" name="Group 198"/>
                    <wp:cNvGraphicFramePr/>
                    <a:graphic xmlns:a="http://schemas.openxmlformats.org/drawingml/2006/main">
                      <a:graphicData uri="http://schemas.microsoft.com/office/word/2010/wordprocessingGroup">
                        <wpg:wgp>
                          <wpg:cNvGrpSpPr/>
                          <wpg:grpSpPr>
                            <a:xfrm>
                              <a:off x="0" y="0"/>
                              <a:ext cx="6858000" cy="9123528"/>
                              <a:chOff x="0" y="0"/>
                              <a:chExt cx="6858000"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EAFA918" w14:textId="27469956" w:rsidR="00B366AC" w:rsidRDefault="00B366AC">
                                      <w:pPr>
                                        <w:pStyle w:val="NoSpacing"/>
                                        <w:spacing w:before="120"/>
                                        <w:jc w:val="center"/>
                                        <w:rPr>
                                          <w:color w:val="FFFFFF" w:themeColor="background1"/>
                                        </w:rPr>
                                      </w:pPr>
                                      <w:r>
                                        <w:rPr>
                                          <w:color w:val="FFFFFF" w:themeColor="background1"/>
                                        </w:rPr>
                                        <w:t>Umair Ahmed (2428436)</w:t>
                                      </w:r>
                                    </w:p>
                                  </w:sdtContent>
                                </w:sdt>
                                <w:p w14:paraId="63F6FFCB" w14:textId="5E26898D" w:rsidR="00B366AC"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981155">
                                        <w:rPr>
                                          <w:caps/>
                                          <w:color w:val="FFFFFF" w:themeColor="background1"/>
                                        </w:rPr>
                                        <w:t>LCBB4016</w:t>
                                      </w:r>
                                    </w:sdtContent>
                                  </w:sdt>
                                  <w:r w:rsidR="00B366AC">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835B32">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629" y="1635203"/>
                                <a:ext cx="6413221" cy="1711247"/>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02D7E71" w14:textId="0E77278A" w:rsidR="00B366AC" w:rsidRDefault="00B82D02">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Global business environment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5FE2EF89" id="Group 198" o:spid="_x0000_s1026" style="position:absolute;margin-left:0;margin-top:0;width:540pt;height:718.4pt;z-index:-251657216;mso-height-percent:909;mso-position-horizontal:center;mso-position-horizontal-relative:page;mso-position-vertical:center;mso-position-vertical-relative:page;mso-height-percent:909" coordsize="68580,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EAFA918" w14:textId="27469956" w:rsidR="00B366AC" w:rsidRDefault="00B366AC">
                                <w:pPr>
                                  <w:pStyle w:val="NoSpacing"/>
                                  <w:spacing w:before="120"/>
                                  <w:jc w:val="center"/>
                                  <w:rPr>
                                    <w:color w:val="FFFFFF" w:themeColor="background1"/>
                                  </w:rPr>
                                </w:pPr>
                                <w:r>
                                  <w:rPr>
                                    <w:color w:val="FFFFFF" w:themeColor="background1"/>
                                  </w:rPr>
                                  <w:t>Umair Ahmed (2428436)</w:t>
                                </w:r>
                              </w:p>
                            </w:sdtContent>
                          </w:sdt>
                          <w:p w14:paraId="63F6FFCB" w14:textId="5E26898D" w:rsidR="00B366AC" w:rsidRDefault="00B366A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981155">
                                  <w:rPr>
                                    <w:caps/>
                                    <w:color w:val="FFFFFF" w:themeColor="background1"/>
                                  </w:rPr>
                                  <w:t>LCBB4016</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835B32">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6;top:16352;width:64132;height:171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02D7E71" w14:textId="0E77278A" w:rsidR="00B366AC" w:rsidRDefault="00B82D02">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Global business environment</w:t>
                                </w:r>
                              </w:p>
                            </w:sdtContent>
                          </w:sdt>
                        </w:txbxContent>
                      </v:textbox>
                    </v:shape>
                    <w10:wrap anchorx="page" anchory="page"/>
                  </v:group>
                </w:pict>
              </mc:Fallback>
            </mc:AlternateContent>
          </w:r>
        </w:p>
        <w:p w14:paraId="6D346924" w14:textId="66C4E94B" w:rsidR="00B366AC" w:rsidRDefault="00B366AC">
          <w:pPr>
            <w:rPr>
              <w:b/>
              <w:bCs/>
              <w:color w:val="000000" w:themeColor="text1"/>
            </w:rPr>
          </w:pPr>
          <w:r>
            <w:rPr>
              <w:b/>
              <w:bCs/>
              <w:color w:val="000000" w:themeColor="text1"/>
            </w:rPr>
            <w:br w:type="page"/>
          </w:r>
        </w:p>
      </w:sdtContent>
    </w:sdt>
    <w:sdt>
      <w:sdtPr>
        <w:rPr>
          <w:rFonts w:asciiTheme="minorHAnsi" w:eastAsiaTheme="minorHAnsi" w:hAnsiTheme="minorHAnsi" w:cstheme="minorBidi"/>
          <w:b/>
          <w:bCs/>
          <w:color w:val="000000" w:themeColor="text1"/>
          <w:sz w:val="22"/>
          <w:szCs w:val="22"/>
          <w:lang w:eastAsia="en-US"/>
        </w:rPr>
        <w:id w:val="1169063105"/>
        <w:docPartObj>
          <w:docPartGallery w:val="Table of Contents"/>
          <w:docPartUnique/>
        </w:docPartObj>
      </w:sdtPr>
      <w:sdtEndPr>
        <w:rPr>
          <w:color w:val="auto"/>
        </w:rPr>
      </w:sdtEndPr>
      <w:sdtContent>
        <w:p w14:paraId="680C657B" w14:textId="1C43B99C" w:rsidR="00CB6879" w:rsidRPr="001736FA" w:rsidRDefault="00CB6879">
          <w:pPr>
            <w:pStyle w:val="TOCHeading"/>
            <w:rPr>
              <w:b/>
              <w:bCs/>
              <w:color w:val="000000" w:themeColor="text1"/>
            </w:rPr>
          </w:pPr>
          <w:r w:rsidRPr="001736FA">
            <w:rPr>
              <w:b/>
              <w:bCs/>
              <w:color w:val="000000" w:themeColor="text1"/>
            </w:rPr>
            <w:t>Table of Contents</w:t>
          </w:r>
        </w:p>
        <w:p w14:paraId="05D2DA80" w14:textId="6A846B39" w:rsidR="00A63F35" w:rsidRDefault="00CB6879">
          <w:pPr>
            <w:pStyle w:val="TOC2"/>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13680622" w:history="1">
            <w:r w:rsidR="00A63F35" w:rsidRPr="00D0291E">
              <w:rPr>
                <w:rStyle w:val="Hyperlink"/>
                <w:b/>
                <w:bCs/>
                <w:noProof/>
              </w:rPr>
              <w:t>1.Globalisation</w:t>
            </w:r>
            <w:r w:rsidR="00A63F35">
              <w:rPr>
                <w:noProof/>
                <w:webHidden/>
              </w:rPr>
              <w:tab/>
            </w:r>
            <w:r w:rsidR="00A63F35">
              <w:rPr>
                <w:noProof/>
                <w:webHidden/>
              </w:rPr>
              <w:fldChar w:fldCharType="begin"/>
            </w:r>
            <w:r w:rsidR="00A63F35">
              <w:rPr>
                <w:noProof/>
                <w:webHidden/>
              </w:rPr>
              <w:instrText xml:space="preserve"> PAGEREF _Toc213680622 \h </w:instrText>
            </w:r>
            <w:r w:rsidR="00A63F35">
              <w:rPr>
                <w:noProof/>
                <w:webHidden/>
              </w:rPr>
            </w:r>
            <w:r w:rsidR="00A63F35">
              <w:rPr>
                <w:noProof/>
                <w:webHidden/>
              </w:rPr>
              <w:fldChar w:fldCharType="separate"/>
            </w:r>
            <w:r w:rsidR="00A63F35">
              <w:rPr>
                <w:noProof/>
                <w:webHidden/>
              </w:rPr>
              <w:t>2</w:t>
            </w:r>
            <w:r w:rsidR="00A63F35">
              <w:rPr>
                <w:noProof/>
                <w:webHidden/>
              </w:rPr>
              <w:fldChar w:fldCharType="end"/>
            </w:r>
          </w:hyperlink>
        </w:p>
        <w:p w14:paraId="05150957" w14:textId="5C64F91C" w:rsidR="00A63F35" w:rsidRDefault="00A63F35">
          <w:pPr>
            <w:pStyle w:val="TOC1"/>
            <w:tabs>
              <w:tab w:val="right" w:leader="dot" w:pos="9016"/>
            </w:tabs>
            <w:rPr>
              <w:rFonts w:eastAsiaTheme="minorEastAsia"/>
              <w:noProof/>
              <w:kern w:val="2"/>
              <w:sz w:val="24"/>
              <w:szCs w:val="24"/>
              <w:lang w:eastAsia="en-GB"/>
              <w14:ligatures w14:val="standardContextual"/>
            </w:rPr>
          </w:pPr>
          <w:hyperlink w:anchor="_Toc213680623" w:history="1">
            <w:r w:rsidRPr="00D0291E">
              <w:rPr>
                <w:rStyle w:val="Hyperlink"/>
                <w:noProof/>
              </w:rPr>
              <w:t>Introduction</w:t>
            </w:r>
            <w:r>
              <w:rPr>
                <w:noProof/>
                <w:webHidden/>
              </w:rPr>
              <w:tab/>
            </w:r>
            <w:r>
              <w:rPr>
                <w:noProof/>
                <w:webHidden/>
              </w:rPr>
              <w:fldChar w:fldCharType="begin"/>
            </w:r>
            <w:r>
              <w:rPr>
                <w:noProof/>
                <w:webHidden/>
              </w:rPr>
              <w:instrText xml:space="preserve"> PAGEREF _Toc213680623 \h </w:instrText>
            </w:r>
            <w:r>
              <w:rPr>
                <w:noProof/>
                <w:webHidden/>
              </w:rPr>
            </w:r>
            <w:r>
              <w:rPr>
                <w:noProof/>
                <w:webHidden/>
              </w:rPr>
              <w:fldChar w:fldCharType="separate"/>
            </w:r>
            <w:r>
              <w:rPr>
                <w:noProof/>
                <w:webHidden/>
              </w:rPr>
              <w:t>2</w:t>
            </w:r>
            <w:r>
              <w:rPr>
                <w:noProof/>
                <w:webHidden/>
              </w:rPr>
              <w:fldChar w:fldCharType="end"/>
            </w:r>
          </w:hyperlink>
        </w:p>
        <w:p w14:paraId="131401DC" w14:textId="5A7E6F95" w:rsidR="00A63F35" w:rsidRDefault="00A63F35">
          <w:pPr>
            <w:pStyle w:val="TOC2"/>
            <w:tabs>
              <w:tab w:val="right" w:leader="dot" w:pos="9016"/>
            </w:tabs>
            <w:rPr>
              <w:rFonts w:eastAsiaTheme="minorEastAsia"/>
              <w:noProof/>
              <w:kern w:val="2"/>
              <w:sz w:val="24"/>
              <w:szCs w:val="24"/>
              <w:lang w:eastAsia="en-GB"/>
              <w14:ligatures w14:val="standardContextual"/>
            </w:rPr>
          </w:pPr>
          <w:hyperlink w:anchor="_Toc213680624" w:history="1">
            <w:r w:rsidRPr="00D0291E">
              <w:rPr>
                <w:rStyle w:val="Hyperlink"/>
                <w:b/>
                <w:bCs/>
                <w:noProof/>
              </w:rPr>
              <w:t>2.Global Forces:Opportunities and Challenges;</w:t>
            </w:r>
            <w:r>
              <w:rPr>
                <w:noProof/>
                <w:webHidden/>
              </w:rPr>
              <w:tab/>
            </w:r>
            <w:r>
              <w:rPr>
                <w:noProof/>
                <w:webHidden/>
              </w:rPr>
              <w:fldChar w:fldCharType="begin"/>
            </w:r>
            <w:r>
              <w:rPr>
                <w:noProof/>
                <w:webHidden/>
              </w:rPr>
              <w:instrText xml:space="preserve"> PAGEREF _Toc213680624 \h </w:instrText>
            </w:r>
            <w:r>
              <w:rPr>
                <w:noProof/>
                <w:webHidden/>
              </w:rPr>
            </w:r>
            <w:r>
              <w:rPr>
                <w:noProof/>
                <w:webHidden/>
              </w:rPr>
              <w:fldChar w:fldCharType="separate"/>
            </w:r>
            <w:r>
              <w:rPr>
                <w:noProof/>
                <w:webHidden/>
              </w:rPr>
              <w:t>2</w:t>
            </w:r>
            <w:r>
              <w:rPr>
                <w:noProof/>
                <w:webHidden/>
              </w:rPr>
              <w:fldChar w:fldCharType="end"/>
            </w:r>
          </w:hyperlink>
        </w:p>
        <w:p w14:paraId="019811B1" w14:textId="67A5A754" w:rsidR="00A63F35" w:rsidRDefault="00A63F35">
          <w:pPr>
            <w:pStyle w:val="TOC2"/>
            <w:tabs>
              <w:tab w:val="right" w:leader="dot" w:pos="9016"/>
            </w:tabs>
            <w:rPr>
              <w:rFonts w:eastAsiaTheme="minorEastAsia"/>
              <w:noProof/>
              <w:kern w:val="2"/>
              <w:sz w:val="24"/>
              <w:szCs w:val="24"/>
              <w:lang w:eastAsia="en-GB"/>
              <w14:ligatures w14:val="standardContextual"/>
            </w:rPr>
          </w:pPr>
          <w:hyperlink w:anchor="_Toc213680625" w:history="1">
            <w:r w:rsidRPr="00D0291E">
              <w:rPr>
                <w:rStyle w:val="Hyperlink"/>
                <w:b/>
                <w:bCs/>
                <w:noProof/>
              </w:rPr>
              <w:t>AI Adoption and Digital Transformation:</w:t>
            </w:r>
            <w:r>
              <w:rPr>
                <w:noProof/>
                <w:webHidden/>
              </w:rPr>
              <w:tab/>
            </w:r>
            <w:r>
              <w:rPr>
                <w:noProof/>
                <w:webHidden/>
              </w:rPr>
              <w:fldChar w:fldCharType="begin"/>
            </w:r>
            <w:r>
              <w:rPr>
                <w:noProof/>
                <w:webHidden/>
              </w:rPr>
              <w:instrText xml:space="preserve"> PAGEREF _Toc213680625 \h </w:instrText>
            </w:r>
            <w:r>
              <w:rPr>
                <w:noProof/>
                <w:webHidden/>
              </w:rPr>
            </w:r>
            <w:r>
              <w:rPr>
                <w:noProof/>
                <w:webHidden/>
              </w:rPr>
              <w:fldChar w:fldCharType="separate"/>
            </w:r>
            <w:r>
              <w:rPr>
                <w:noProof/>
                <w:webHidden/>
              </w:rPr>
              <w:t>2</w:t>
            </w:r>
            <w:r>
              <w:rPr>
                <w:noProof/>
                <w:webHidden/>
              </w:rPr>
              <w:fldChar w:fldCharType="end"/>
            </w:r>
          </w:hyperlink>
        </w:p>
        <w:p w14:paraId="41EB72B1" w14:textId="062A007C" w:rsidR="00A63F35" w:rsidRDefault="00A63F35">
          <w:pPr>
            <w:pStyle w:val="TOC2"/>
            <w:tabs>
              <w:tab w:val="right" w:leader="dot" w:pos="9016"/>
            </w:tabs>
            <w:rPr>
              <w:rFonts w:eastAsiaTheme="minorEastAsia"/>
              <w:noProof/>
              <w:kern w:val="2"/>
              <w:sz w:val="24"/>
              <w:szCs w:val="24"/>
              <w:lang w:eastAsia="en-GB"/>
              <w14:ligatures w14:val="standardContextual"/>
            </w:rPr>
          </w:pPr>
          <w:hyperlink w:anchor="_Toc213680626" w:history="1">
            <w:r w:rsidRPr="00D0291E">
              <w:rPr>
                <w:rStyle w:val="Hyperlink"/>
                <w:noProof/>
              </w:rPr>
              <w:t>Opportunities:</w:t>
            </w:r>
            <w:r>
              <w:rPr>
                <w:noProof/>
                <w:webHidden/>
              </w:rPr>
              <w:tab/>
            </w:r>
            <w:r>
              <w:rPr>
                <w:noProof/>
                <w:webHidden/>
              </w:rPr>
              <w:fldChar w:fldCharType="begin"/>
            </w:r>
            <w:r>
              <w:rPr>
                <w:noProof/>
                <w:webHidden/>
              </w:rPr>
              <w:instrText xml:space="preserve"> PAGEREF _Toc213680626 \h </w:instrText>
            </w:r>
            <w:r>
              <w:rPr>
                <w:noProof/>
                <w:webHidden/>
              </w:rPr>
            </w:r>
            <w:r>
              <w:rPr>
                <w:noProof/>
                <w:webHidden/>
              </w:rPr>
              <w:fldChar w:fldCharType="separate"/>
            </w:r>
            <w:r>
              <w:rPr>
                <w:noProof/>
                <w:webHidden/>
              </w:rPr>
              <w:t>2</w:t>
            </w:r>
            <w:r>
              <w:rPr>
                <w:noProof/>
                <w:webHidden/>
              </w:rPr>
              <w:fldChar w:fldCharType="end"/>
            </w:r>
          </w:hyperlink>
        </w:p>
        <w:p w14:paraId="009BBD68" w14:textId="73E5C5D0" w:rsidR="00A63F35" w:rsidRDefault="00A63F35">
          <w:pPr>
            <w:pStyle w:val="TOC2"/>
            <w:tabs>
              <w:tab w:val="right" w:leader="dot" w:pos="9016"/>
            </w:tabs>
            <w:rPr>
              <w:rFonts w:eastAsiaTheme="minorEastAsia"/>
              <w:noProof/>
              <w:kern w:val="2"/>
              <w:sz w:val="24"/>
              <w:szCs w:val="24"/>
              <w:lang w:eastAsia="en-GB"/>
              <w14:ligatures w14:val="standardContextual"/>
            </w:rPr>
          </w:pPr>
          <w:hyperlink w:anchor="_Toc213680627" w:history="1">
            <w:r w:rsidRPr="00D0291E">
              <w:rPr>
                <w:rStyle w:val="Hyperlink"/>
                <w:noProof/>
              </w:rPr>
              <w:t>Challenges:</w:t>
            </w:r>
            <w:r>
              <w:rPr>
                <w:noProof/>
                <w:webHidden/>
              </w:rPr>
              <w:tab/>
            </w:r>
            <w:r>
              <w:rPr>
                <w:noProof/>
                <w:webHidden/>
              </w:rPr>
              <w:fldChar w:fldCharType="begin"/>
            </w:r>
            <w:r>
              <w:rPr>
                <w:noProof/>
                <w:webHidden/>
              </w:rPr>
              <w:instrText xml:space="preserve"> PAGEREF _Toc213680627 \h </w:instrText>
            </w:r>
            <w:r>
              <w:rPr>
                <w:noProof/>
                <w:webHidden/>
              </w:rPr>
            </w:r>
            <w:r>
              <w:rPr>
                <w:noProof/>
                <w:webHidden/>
              </w:rPr>
              <w:fldChar w:fldCharType="separate"/>
            </w:r>
            <w:r>
              <w:rPr>
                <w:noProof/>
                <w:webHidden/>
              </w:rPr>
              <w:t>2</w:t>
            </w:r>
            <w:r>
              <w:rPr>
                <w:noProof/>
                <w:webHidden/>
              </w:rPr>
              <w:fldChar w:fldCharType="end"/>
            </w:r>
          </w:hyperlink>
        </w:p>
        <w:p w14:paraId="71BDFA32" w14:textId="24DB03AD" w:rsidR="00A63F35" w:rsidRDefault="00A63F35">
          <w:pPr>
            <w:pStyle w:val="TOC2"/>
            <w:tabs>
              <w:tab w:val="right" w:leader="dot" w:pos="9016"/>
            </w:tabs>
            <w:rPr>
              <w:rFonts w:eastAsiaTheme="minorEastAsia"/>
              <w:noProof/>
              <w:kern w:val="2"/>
              <w:sz w:val="24"/>
              <w:szCs w:val="24"/>
              <w:lang w:eastAsia="en-GB"/>
              <w14:ligatures w14:val="standardContextual"/>
            </w:rPr>
          </w:pPr>
          <w:hyperlink w:anchor="_Toc213680628" w:history="1">
            <w:r w:rsidRPr="00D0291E">
              <w:rPr>
                <w:rStyle w:val="Hyperlink"/>
                <w:rFonts w:ascii="Arial" w:hAnsi="Arial" w:cs="Arial"/>
                <w:b/>
                <w:bCs/>
                <w:noProof/>
              </w:rPr>
              <w:t>Geopolitical Tensions and Supply Chain:</w:t>
            </w:r>
            <w:r>
              <w:rPr>
                <w:noProof/>
                <w:webHidden/>
              </w:rPr>
              <w:tab/>
            </w:r>
            <w:r>
              <w:rPr>
                <w:noProof/>
                <w:webHidden/>
              </w:rPr>
              <w:fldChar w:fldCharType="begin"/>
            </w:r>
            <w:r>
              <w:rPr>
                <w:noProof/>
                <w:webHidden/>
              </w:rPr>
              <w:instrText xml:space="preserve"> PAGEREF _Toc213680628 \h </w:instrText>
            </w:r>
            <w:r>
              <w:rPr>
                <w:noProof/>
                <w:webHidden/>
              </w:rPr>
            </w:r>
            <w:r>
              <w:rPr>
                <w:noProof/>
                <w:webHidden/>
              </w:rPr>
              <w:fldChar w:fldCharType="separate"/>
            </w:r>
            <w:r>
              <w:rPr>
                <w:noProof/>
                <w:webHidden/>
              </w:rPr>
              <w:t>3</w:t>
            </w:r>
            <w:r>
              <w:rPr>
                <w:noProof/>
                <w:webHidden/>
              </w:rPr>
              <w:fldChar w:fldCharType="end"/>
            </w:r>
          </w:hyperlink>
        </w:p>
        <w:p w14:paraId="203451F1" w14:textId="16662AC7" w:rsidR="00A63F35" w:rsidRDefault="00A63F35">
          <w:pPr>
            <w:pStyle w:val="TOC2"/>
            <w:tabs>
              <w:tab w:val="right" w:leader="dot" w:pos="9016"/>
            </w:tabs>
            <w:rPr>
              <w:rFonts w:eastAsiaTheme="minorEastAsia"/>
              <w:noProof/>
              <w:kern w:val="2"/>
              <w:sz w:val="24"/>
              <w:szCs w:val="24"/>
              <w:lang w:eastAsia="en-GB"/>
              <w14:ligatures w14:val="standardContextual"/>
            </w:rPr>
          </w:pPr>
          <w:hyperlink w:anchor="_Toc213680629" w:history="1">
            <w:r w:rsidRPr="00D0291E">
              <w:rPr>
                <w:rStyle w:val="Hyperlink"/>
                <w:rFonts w:ascii="Arial" w:hAnsi="Arial" w:cs="Arial"/>
                <w:noProof/>
              </w:rPr>
              <w:t>Opportunities:</w:t>
            </w:r>
            <w:r>
              <w:rPr>
                <w:noProof/>
                <w:webHidden/>
              </w:rPr>
              <w:tab/>
            </w:r>
            <w:r>
              <w:rPr>
                <w:noProof/>
                <w:webHidden/>
              </w:rPr>
              <w:fldChar w:fldCharType="begin"/>
            </w:r>
            <w:r>
              <w:rPr>
                <w:noProof/>
                <w:webHidden/>
              </w:rPr>
              <w:instrText xml:space="preserve"> PAGEREF _Toc213680629 \h </w:instrText>
            </w:r>
            <w:r>
              <w:rPr>
                <w:noProof/>
                <w:webHidden/>
              </w:rPr>
            </w:r>
            <w:r>
              <w:rPr>
                <w:noProof/>
                <w:webHidden/>
              </w:rPr>
              <w:fldChar w:fldCharType="separate"/>
            </w:r>
            <w:r>
              <w:rPr>
                <w:noProof/>
                <w:webHidden/>
              </w:rPr>
              <w:t>3</w:t>
            </w:r>
            <w:r>
              <w:rPr>
                <w:noProof/>
                <w:webHidden/>
              </w:rPr>
              <w:fldChar w:fldCharType="end"/>
            </w:r>
          </w:hyperlink>
        </w:p>
        <w:p w14:paraId="123860A6" w14:textId="24F7F232" w:rsidR="00A63F35" w:rsidRDefault="00A63F35">
          <w:pPr>
            <w:pStyle w:val="TOC2"/>
            <w:tabs>
              <w:tab w:val="right" w:leader="dot" w:pos="9016"/>
            </w:tabs>
            <w:rPr>
              <w:rFonts w:eastAsiaTheme="minorEastAsia"/>
              <w:noProof/>
              <w:kern w:val="2"/>
              <w:sz w:val="24"/>
              <w:szCs w:val="24"/>
              <w:lang w:eastAsia="en-GB"/>
              <w14:ligatures w14:val="standardContextual"/>
            </w:rPr>
          </w:pPr>
          <w:hyperlink w:anchor="_Toc213680630" w:history="1">
            <w:r w:rsidRPr="00D0291E">
              <w:rPr>
                <w:rStyle w:val="Hyperlink"/>
                <w:rFonts w:ascii="Arial" w:hAnsi="Arial" w:cs="Arial"/>
                <w:noProof/>
              </w:rPr>
              <w:t>Challenges</w:t>
            </w:r>
            <w:r>
              <w:rPr>
                <w:noProof/>
                <w:webHidden/>
              </w:rPr>
              <w:tab/>
            </w:r>
            <w:r>
              <w:rPr>
                <w:noProof/>
                <w:webHidden/>
              </w:rPr>
              <w:fldChar w:fldCharType="begin"/>
            </w:r>
            <w:r>
              <w:rPr>
                <w:noProof/>
                <w:webHidden/>
              </w:rPr>
              <w:instrText xml:space="preserve"> PAGEREF _Toc213680630 \h </w:instrText>
            </w:r>
            <w:r>
              <w:rPr>
                <w:noProof/>
                <w:webHidden/>
              </w:rPr>
            </w:r>
            <w:r>
              <w:rPr>
                <w:noProof/>
                <w:webHidden/>
              </w:rPr>
              <w:fldChar w:fldCharType="separate"/>
            </w:r>
            <w:r>
              <w:rPr>
                <w:noProof/>
                <w:webHidden/>
              </w:rPr>
              <w:t>3</w:t>
            </w:r>
            <w:r>
              <w:rPr>
                <w:noProof/>
                <w:webHidden/>
              </w:rPr>
              <w:fldChar w:fldCharType="end"/>
            </w:r>
          </w:hyperlink>
        </w:p>
        <w:p w14:paraId="17E06878" w14:textId="15E9B3CB" w:rsidR="00A63F35" w:rsidRDefault="00A63F35">
          <w:pPr>
            <w:pStyle w:val="TOC2"/>
            <w:tabs>
              <w:tab w:val="right" w:leader="dot" w:pos="9016"/>
            </w:tabs>
            <w:rPr>
              <w:rFonts w:eastAsiaTheme="minorEastAsia"/>
              <w:noProof/>
              <w:kern w:val="2"/>
              <w:sz w:val="24"/>
              <w:szCs w:val="24"/>
              <w:lang w:eastAsia="en-GB"/>
              <w14:ligatures w14:val="standardContextual"/>
            </w:rPr>
          </w:pPr>
          <w:hyperlink w:anchor="_Toc213680631" w:history="1">
            <w:r w:rsidRPr="00D0291E">
              <w:rPr>
                <w:rStyle w:val="Hyperlink"/>
                <w:rFonts w:ascii="Arial" w:hAnsi="Arial" w:cs="Arial"/>
                <w:b/>
                <w:bCs/>
                <w:noProof/>
              </w:rPr>
              <w:t>Sustainability and the EU Corporate Sustainability Reporting Directive (CSRD)</w:t>
            </w:r>
            <w:r>
              <w:rPr>
                <w:noProof/>
                <w:webHidden/>
              </w:rPr>
              <w:tab/>
            </w:r>
            <w:r>
              <w:rPr>
                <w:noProof/>
                <w:webHidden/>
              </w:rPr>
              <w:fldChar w:fldCharType="begin"/>
            </w:r>
            <w:r>
              <w:rPr>
                <w:noProof/>
                <w:webHidden/>
              </w:rPr>
              <w:instrText xml:space="preserve"> PAGEREF _Toc213680631 \h </w:instrText>
            </w:r>
            <w:r>
              <w:rPr>
                <w:noProof/>
                <w:webHidden/>
              </w:rPr>
            </w:r>
            <w:r>
              <w:rPr>
                <w:noProof/>
                <w:webHidden/>
              </w:rPr>
              <w:fldChar w:fldCharType="separate"/>
            </w:r>
            <w:r>
              <w:rPr>
                <w:noProof/>
                <w:webHidden/>
              </w:rPr>
              <w:t>3</w:t>
            </w:r>
            <w:r>
              <w:rPr>
                <w:noProof/>
                <w:webHidden/>
              </w:rPr>
              <w:fldChar w:fldCharType="end"/>
            </w:r>
          </w:hyperlink>
        </w:p>
        <w:p w14:paraId="171484DC" w14:textId="2B2388B3" w:rsidR="00A63F35" w:rsidRDefault="00A63F35">
          <w:pPr>
            <w:pStyle w:val="TOC2"/>
            <w:tabs>
              <w:tab w:val="right" w:leader="dot" w:pos="9016"/>
            </w:tabs>
            <w:rPr>
              <w:rFonts w:eastAsiaTheme="minorEastAsia"/>
              <w:noProof/>
              <w:kern w:val="2"/>
              <w:sz w:val="24"/>
              <w:szCs w:val="24"/>
              <w:lang w:eastAsia="en-GB"/>
              <w14:ligatures w14:val="standardContextual"/>
            </w:rPr>
          </w:pPr>
          <w:hyperlink w:anchor="_Toc213680632" w:history="1">
            <w:r w:rsidRPr="00D0291E">
              <w:rPr>
                <w:rStyle w:val="Hyperlink"/>
                <w:rFonts w:ascii="Arial" w:hAnsi="Arial" w:cs="Arial"/>
                <w:noProof/>
              </w:rPr>
              <w:t>Opportunities</w:t>
            </w:r>
            <w:r w:rsidRPr="00D0291E">
              <w:rPr>
                <w:rStyle w:val="Hyperlink"/>
                <w:noProof/>
              </w:rPr>
              <w:t>:</w:t>
            </w:r>
            <w:r>
              <w:rPr>
                <w:noProof/>
                <w:webHidden/>
              </w:rPr>
              <w:tab/>
            </w:r>
            <w:r>
              <w:rPr>
                <w:noProof/>
                <w:webHidden/>
              </w:rPr>
              <w:fldChar w:fldCharType="begin"/>
            </w:r>
            <w:r>
              <w:rPr>
                <w:noProof/>
                <w:webHidden/>
              </w:rPr>
              <w:instrText xml:space="preserve"> PAGEREF _Toc213680632 \h </w:instrText>
            </w:r>
            <w:r>
              <w:rPr>
                <w:noProof/>
                <w:webHidden/>
              </w:rPr>
            </w:r>
            <w:r>
              <w:rPr>
                <w:noProof/>
                <w:webHidden/>
              </w:rPr>
              <w:fldChar w:fldCharType="separate"/>
            </w:r>
            <w:r>
              <w:rPr>
                <w:noProof/>
                <w:webHidden/>
              </w:rPr>
              <w:t>3</w:t>
            </w:r>
            <w:r>
              <w:rPr>
                <w:noProof/>
                <w:webHidden/>
              </w:rPr>
              <w:fldChar w:fldCharType="end"/>
            </w:r>
          </w:hyperlink>
        </w:p>
        <w:p w14:paraId="0939A76B" w14:textId="6C149559" w:rsidR="00A63F35" w:rsidRDefault="00A63F35">
          <w:pPr>
            <w:pStyle w:val="TOC2"/>
            <w:tabs>
              <w:tab w:val="right" w:leader="dot" w:pos="9016"/>
            </w:tabs>
            <w:rPr>
              <w:rFonts w:eastAsiaTheme="minorEastAsia"/>
              <w:noProof/>
              <w:kern w:val="2"/>
              <w:sz w:val="24"/>
              <w:szCs w:val="24"/>
              <w:lang w:eastAsia="en-GB"/>
              <w14:ligatures w14:val="standardContextual"/>
            </w:rPr>
          </w:pPr>
          <w:hyperlink w:anchor="_Toc213680633" w:history="1">
            <w:r w:rsidRPr="00D0291E">
              <w:rPr>
                <w:rStyle w:val="Hyperlink"/>
                <w:rFonts w:ascii="Arial" w:hAnsi="Arial" w:cs="Arial"/>
                <w:noProof/>
              </w:rPr>
              <w:t>Challenges</w:t>
            </w:r>
            <w:r>
              <w:rPr>
                <w:noProof/>
                <w:webHidden/>
              </w:rPr>
              <w:tab/>
            </w:r>
            <w:r>
              <w:rPr>
                <w:noProof/>
                <w:webHidden/>
              </w:rPr>
              <w:fldChar w:fldCharType="begin"/>
            </w:r>
            <w:r>
              <w:rPr>
                <w:noProof/>
                <w:webHidden/>
              </w:rPr>
              <w:instrText xml:space="preserve"> PAGEREF _Toc213680633 \h </w:instrText>
            </w:r>
            <w:r>
              <w:rPr>
                <w:noProof/>
                <w:webHidden/>
              </w:rPr>
            </w:r>
            <w:r>
              <w:rPr>
                <w:noProof/>
                <w:webHidden/>
              </w:rPr>
              <w:fldChar w:fldCharType="separate"/>
            </w:r>
            <w:r>
              <w:rPr>
                <w:noProof/>
                <w:webHidden/>
              </w:rPr>
              <w:t>3</w:t>
            </w:r>
            <w:r>
              <w:rPr>
                <w:noProof/>
                <w:webHidden/>
              </w:rPr>
              <w:fldChar w:fldCharType="end"/>
            </w:r>
          </w:hyperlink>
        </w:p>
        <w:p w14:paraId="03D86FE5" w14:textId="12679990" w:rsidR="00A63F35" w:rsidRDefault="00A63F35">
          <w:pPr>
            <w:pStyle w:val="TOC1"/>
            <w:tabs>
              <w:tab w:val="right" w:leader="dot" w:pos="9016"/>
            </w:tabs>
            <w:rPr>
              <w:rFonts w:eastAsiaTheme="minorEastAsia"/>
              <w:noProof/>
              <w:kern w:val="2"/>
              <w:sz w:val="24"/>
              <w:szCs w:val="24"/>
              <w:lang w:eastAsia="en-GB"/>
              <w14:ligatures w14:val="standardContextual"/>
            </w:rPr>
          </w:pPr>
          <w:hyperlink w:anchor="_Toc213680634" w:history="1">
            <w:r w:rsidRPr="00D0291E">
              <w:rPr>
                <w:rStyle w:val="Hyperlink"/>
                <w:rFonts w:ascii="Arial" w:hAnsi="Arial" w:cs="Arial"/>
                <w:b/>
                <w:bCs/>
                <w:noProof/>
              </w:rPr>
              <w:t>3.Impact on the Organisation's International Strategy and Corporations</w:t>
            </w:r>
            <w:r>
              <w:rPr>
                <w:noProof/>
                <w:webHidden/>
              </w:rPr>
              <w:tab/>
            </w:r>
            <w:r>
              <w:rPr>
                <w:noProof/>
                <w:webHidden/>
              </w:rPr>
              <w:fldChar w:fldCharType="begin"/>
            </w:r>
            <w:r>
              <w:rPr>
                <w:noProof/>
                <w:webHidden/>
              </w:rPr>
              <w:instrText xml:space="preserve"> PAGEREF _Toc213680634 \h </w:instrText>
            </w:r>
            <w:r>
              <w:rPr>
                <w:noProof/>
                <w:webHidden/>
              </w:rPr>
            </w:r>
            <w:r>
              <w:rPr>
                <w:noProof/>
                <w:webHidden/>
              </w:rPr>
              <w:fldChar w:fldCharType="separate"/>
            </w:r>
            <w:r>
              <w:rPr>
                <w:noProof/>
                <w:webHidden/>
              </w:rPr>
              <w:t>4</w:t>
            </w:r>
            <w:r>
              <w:rPr>
                <w:noProof/>
                <w:webHidden/>
              </w:rPr>
              <w:fldChar w:fldCharType="end"/>
            </w:r>
          </w:hyperlink>
        </w:p>
        <w:p w14:paraId="21494443" w14:textId="226C8EF4" w:rsidR="00A63F35" w:rsidRDefault="00A63F35">
          <w:pPr>
            <w:pStyle w:val="TOC2"/>
            <w:tabs>
              <w:tab w:val="right" w:leader="dot" w:pos="9016"/>
            </w:tabs>
            <w:rPr>
              <w:rFonts w:eastAsiaTheme="minorEastAsia"/>
              <w:noProof/>
              <w:kern w:val="2"/>
              <w:sz w:val="24"/>
              <w:szCs w:val="24"/>
              <w:lang w:eastAsia="en-GB"/>
              <w14:ligatures w14:val="standardContextual"/>
            </w:rPr>
          </w:pPr>
          <w:hyperlink w:anchor="_Toc213680635" w:history="1">
            <w:r w:rsidRPr="00D0291E">
              <w:rPr>
                <w:rStyle w:val="Hyperlink"/>
                <w:rFonts w:ascii="Arial" w:hAnsi="Arial" w:cs="Arial"/>
                <w:noProof/>
              </w:rPr>
              <w:t>Marketing Position and Innovation:</w:t>
            </w:r>
            <w:r>
              <w:rPr>
                <w:noProof/>
                <w:webHidden/>
              </w:rPr>
              <w:tab/>
            </w:r>
            <w:r>
              <w:rPr>
                <w:noProof/>
                <w:webHidden/>
              </w:rPr>
              <w:fldChar w:fldCharType="begin"/>
            </w:r>
            <w:r>
              <w:rPr>
                <w:noProof/>
                <w:webHidden/>
              </w:rPr>
              <w:instrText xml:space="preserve"> PAGEREF _Toc213680635 \h </w:instrText>
            </w:r>
            <w:r>
              <w:rPr>
                <w:noProof/>
                <w:webHidden/>
              </w:rPr>
            </w:r>
            <w:r>
              <w:rPr>
                <w:noProof/>
                <w:webHidden/>
              </w:rPr>
              <w:fldChar w:fldCharType="separate"/>
            </w:r>
            <w:r>
              <w:rPr>
                <w:noProof/>
                <w:webHidden/>
              </w:rPr>
              <w:t>4</w:t>
            </w:r>
            <w:r>
              <w:rPr>
                <w:noProof/>
                <w:webHidden/>
              </w:rPr>
              <w:fldChar w:fldCharType="end"/>
            </w:r>
          </w:hyperlink>
        </w:p>
        <w:p w14:paraId="12CC8E4B" w14:textId="6F2288E3" w:rsidR="00A63F35" w:rsidRDefault="00A63F35">
          <w:pPr>
            <w:pStyle w:val="TOC2"/>
            <w:tabs>
              <w:tab w:val="right" w:leader="dot" w:pos="9016"/>
            </w:tabs>
            <w:rPr>
              <w:rFonts w:eastAsiaTheme="minorEastAsia"/>
              <w:noProof/>
              <w:kern w:val="2"/>
              <w:sz w:val="24"/>
              <w:szCs w:val="24"/>
              <w:lang w:eastAsia="en-GB"/>
              <w14:ligatures w14:val="standardContextual"/>
            </w:rPr>
          </w:pPr>
          <w:hyperlink w:anchor="_Toc213680636" w:history="1">
            <w:r w:rsidRPr="00D0291E">
              <w:rPr>
                <w:rStyle w:val="Hyperlink"/>
                <w:rFonts w:ascii="Arial" w:hAnsi="Arial" w:cs="Arial"/>
                <w:noProof/>
              </w:rPr>
              <w:t>Talent Management and Competitiveness:</w:t>
            </w:r>
            <w:r>
              <w:rPr>
                <w:noProof/>
                <w:webHidden/>
              </w:rPr>
              <w:tab/>
            </w:r>
            <w:r>
              <w:rPr>
                <w:noProof/>
                <w:webHidden/>
              </w:rPr>
              <w:fldChar w:fldCharType="begin"/>
            </w:r>
            <w:r>
              <w:rPr>
                <w:noProof/>
                <w:webHidden/>
              </w:rPr>
              <w:instrText xml:space="preserve"> PAGEREF _Toc213680636 \h </w:instrText>
            </w:r>
            <w:r>
              <w:rPr>
                <w:noProof/>
                <w:webHidden/>
              </w:rPr>
            </w:r>
            <w:r>
              <w:rPr>
                <w:noProof/>
                <w:webHidden/>
              </w:rPr>
              <w:fldChar w:fldCharType="separate"/>
            </w:r>
            <w:r>
              <w:rPr>
                <w:noProof/>
                <w:webHidden/>
              </w:rPr>
              <w:t>4</w:t>
            </w:r>
            <w:r>
              <w:rPr>
                <w:noProof/>
                <w:webHidden/>
              </w:rPr>
              <w:fldChar w:fldCharType="end"/>
            </w:r>
          </w:hyperlink>
        </w:p>
        <w:p w14:paraId="4C7B7F74" w14:textId="2ECAA8B2" w:rsidR="00A63F35" w:rsidRDefault="00A63F35">
          <w:pPr>
            <w:pStyle w:val="TOC1"/>
            <w:tabs>
              <w:tab w:val="right" w:leader="dot" w:pos="9016"/>
            </w:tabs>
            <w:rPr>
              <w:rFonts w:eastAsiaTheme="minorEastAsia"/>
              <w:noProof/>
              <w:kern w:val="2"/>
              <w:sz w:val="24"/>
              <w:szCs w:val="24"/>
              <w:lang w:eastAsia="en-GB"/>
              <w14:ligatures w14:val="standardContextual"/>
            </w:rPr>
          </w:pPr>
          <w:hyperlink w:anchor="_Toc213680637" w:history="1">
            <w:r w:rsidRPr="00D0291E">
              <w:rPr>
                <w:rStyle w:val="Hyperlink"/>
                <w:rFonts w:ascii="Arial" w:hAnsi="Arial" w:cs="Arial"/>
                <w:b/>
                <w:bCs/>
                <w:noProof/>
              </w:rPr>
              <w:t>4.Strategic Recommendations:</w:t>
            </w:r>
            <w:r>
              <w:rPr>
                <w:noProof/>
                <w:webHidden/>
              </w:rPr>
              <w:tab/>
            </w:r>
            <w:r>
              <w:rPr>
                <w:noProof/>
                <w:webHidden/>
              </w:rPr>
              <w:fldChar w:fldCharType="begin"/>
            </w:r>
            <w:r>
              <w:rPr>
                <w:noProof/>
                <w:webHidden/>
              </w:rPr>
              <w:instrText xml:space="preserve"> PAGEREF _Toc213680637 \h </w:instrText>
            </w:r>
            <w:r>
              <w:rPr>
                <w:noProof/>
                <w:webHidden/>
              </w:rPr>
            </w:r>
            <w:r>
              <w:rPr>
                <w:noProof/>
                <w:webHidden/>
              </w:rPr>
              <w:fldChar w:fldCharType="separate"/>
            </w:r>
            <w:r>
              <w:rPr>
                <w:noProof/>
                <w:webHidden/>
              </w:rPr>
              <w:t>4</w:t>
            </w:r>
            <w:r>
              <w:rPr>
                <w:noProof/>
                <w:webHidden/>
              </w:rPr>
              <w:fldChar w:fldCharType="end"/>
            </w:r>
          </w:hyperlink>
        </w:p>
        <w:p w14:paraId="38D5656D" w14:textId="08CAE4F2" w:rsidR="00A63F35" w:rsidRDefault="00A63F35">
          <w:pPr>
            <w:pStyle w:val="TOC1"/>
            <w:tabs>
              <w:tab w:val="right" w:leader="dot" w:pos="9016"/>
            </w:tabs>
            <w:rPr>
              <w:rFonts w:eastAsiaTheme="minorEastAsia"/>
              <w:noProof/>
              <w:kern w:val="2"/>
              <w:sz w:val="24"/>
              <w:szCs w:val="24"/>
              <w:lang w:eastAsia="en-GB"/>
              <w14:ligatures w14:val="standardContextual"/>
            </w:rPr>
          </w:pPr>
          <w:hyperlink w:anchor="_Toc213680638" w:history="1">
            <w:r w:rsidRPr="00D0291E">
              <w:rPr>
                <w:rStyle w:val="Hyperlink"/>
                <w:b/>
                <w:bCs/>
                <w:noProof/>
              </w:rPr>
              <w:t>5.</w:t>
            </w:r>
            <w:r w:rsidRPr="00D0291E">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_Toc213680638 \h </w:instrText>
            </w:r>
            <w:r>
              <w:rPr>
                <w:noProof/>
                <w:webHidden/>
              </w:rPr>
            </w:r>
            <w:r>
              <w:rPr>
                <w:noProof/>
                <w:webHidden/>
              </w:rPr>
              <w:fldChar w:fldCharType="separate"/>
            </w:r>
            <w:r>
              <w:rPr>
                <w:noProof/>
                <w:webHidden/>
              </w:rPr>
              <w:t>4</w:t>
            </w:r>
            <w:r>
              <w:rPr>
                <w:noProof/>
                <w:webHidden/>
              </w:rPr>
              <w:fldChar w:fldCharType="end"/>
            </w:r>
          </w:hyperlink>
        </w:p>
        <w:p w14:paraId="6DA0C9BB" w14:textId="0E056EF1" w:rsidR="00A63F35" w:rsidRDefault="00A63F35">
          <w:pPr>
            <w:pStyle w:val="TOC2"/>
            <w:tabs>
              <w:tab w:val="right" w:leader="dot" w:pos="9016"/>
            </w:tabs>
            <w:rPr>
              <w:rFonts w:eastAsiaTheme="minorEastAsia"/>
              <w:noProof/>
              <w:kern w:val="2"/>
              <w:sz w:val="24"/>
              <w:szCs w:val="24"/>
              <w:lang w:eastAsia="en-GB"/>
              <w14:ligatures w14:val="standardContextual"/>
            </w:rPr>
          </w:pPr>
          <w:hyperlink w:anchor="_Toc213680639" w:history="1">
            <w:r w:rsidRPr="00D0291E">
              <w:rPr>
                <w:rStyle w:val="Hyperlink"/>
                <w:b/>
                <w:bCs/>
                <w:noProof/>
              </w:rPr>
              <w:t>References:</w:t>
            </w:r>
            <w:r>
              <w:rPr>
                <w:noProof/>
                <w:webHidden/>
              </w:rPr>
              <w:tab/>
            </w:r>
            <w:r>
              <w:rPr>
                <w:noProof/>
                <w:webHidden/>
              </w:rPr>
              <w:fldChar w:fldCharType="begin"/>
            </w:r>
            <w:r>
              <w:rPr>
                <w:noProof/>
                <w:webHidden/>
              </w:rPr>
              <w:instrText xml:space="preserve"> PAGEREF _Toc213680639 \h </w:instrText>
            </w:r>
            <w:r>
              <w:rPr>
                <w:noProof/>
                <w:webHidden/>
              </w:rPr>
            </w:r>
            <w:r>
              <w:rPr>
                <w:noProof/>
                <w:webHidden/>
              </w:rPr>
              <w:fldChar w:fldCharType="separate"/>
            </w:r>
            <w:r>
              <w:rPr>
                <w:noProof/>
                <w:webHidden/>
              </w:rPr>
              <w:t>5</w:t>
            </w:r>
            <w:r>
              <w:rPr>
                <w:noProof/>
                <w:webHidden/>
              </w:rPr>
              <w:fldChar w:fldCharType="end"/>
            </w:r>
          </w:hyperlink>
        </w:p>
        <w:p w14:paraId="3E9E092F" w14:textId="4C68018B" w:rsidR="00CB6879" w:rsidRDefault="00CB6879">
          <w:r>
            <w:rPr>
              <w:b/>
              <w:bCs/>
            </w:rPr>
            <w:fldChar w:fldCharType="end"/>
          </w:r>
        </w:p>
      </w:sdtContent>
    </w:sdt>
    <w:p w14:paraId="3418CA06" w14:textId="77777777" w:rsidR="00CB6879" w:rsidRDefault="00CB6879" w:rsidP="00CB6879">
      <w:pPr>
        <w:pStyle w:val="Heading2"/>
        <w:rPr>
          <w:b/>
          <w:bCs/>
          <w:color w:val="auto"/>
        </w:rPr>
      </w:pPr>
    </w:p>
    <w:p w14:paraId="5FE65C5F" w14:textId="77777777" w:rsidR="00CB6879" w:rsidRDefault="00CB6879">
      <w:pPr>
        <w:rPr>
          <w:rFonts w:asciiTheme="majorHAnsi" w:eastAsiaTheme="majorEastAsia" w:hAnsiTheme="majorHAnsi" w:cstheme="majorBidi"/>
          <w:b/>
          <w:bCs/>
          <w:sz w:val="32"/>
          <w:szCs w:val="32"/>
        </w:rPr>
      </w:pPr>
      <w:r>
        <w:rPr>
          <w:b/>
          <w:bCs/>
        </w:rPr>
        <w:br w:type="page"/>
      </w:r>
    </w:p>
    <w:p w14:paraId="39EC76E0" w14:textId="79C7B281" w:rsidR="00644858" w:rsidRPr="00CB6879" w:rsidRDefault="00CB6879" w:rsidP="00CB6879">
      <w:pPr>
        <w:pStyle w:val="Heading2"/>
        <w:rPr>
          <w:b/>
          <w:bCs/>
          <w:color w:val="auto"/>
        </w:rPr>
      </w:pPr>
      <w:bookmarkStart w:id="0" w:name="_Toc213680622"/>
      <w:r>
        <w:rPr>
          <w:b/>
          <w:bCs/>
          <w:color w:val="auto"/>
        </w:rPr>
        <w:t>1.</w:t>
      </w:r>
      <w:r w:rsidRPr="00CB6879">
        <w:rPr>
          <w:b/>
          <w:bCs/>
          <w:color w:val="auto"/>
        </w:rPr>
        <w:t>Globalisation</w:t>
      </w:r>
      <w:bookmarkEnd w:id="0"/>
    </w:p>
    <w:p w14:paraId="10F02D9F" w14:textId="3EB5C78C" w:rsidR="00BC0188" w:rsidRDefault="00BC0188">
      <w:bookmarkStart w:id="1" w:name="_Toc213680623"/>
      <w:r w:rsidRPr="00CB6879">
        <w:rPr>
          <w:rStyle w:val="Heading1Char"/>
          <w:color w:val="auto"/>
          <w:sz w:val="32"/>
          <w:szCs w:val="32"/>
        </w:rPr>
        <w:t>Introduction</w:t>
      </w:r>
      <w:bookmarkEnd w:id="1"/>
      <w:r>
        <w:t>:</w:t>
      </w:r>
    </w:p>
    <w:p w14:paraId="762AFCD1" w14:textId="6666263C" w:rsidR="006154FB" w:rsidRPr="006154FB" w:rsidRDefault="006154FB" w:rsidP="005435E8">
      <w:pPr>
        <w:ind w:firstLine="720"/>
      </w:pPr>
      <w:r>
        <w:t xml:space="preserve">Globalisation </w:t>
      </w:r>
      <w:r w:rsidRPr="006154FB">
        <w:t>"is the process of the world getting smaller, things getting closer, and distances getting shorter." It has to do with how much easier it is for people on different sides of the globe to communicate, to mutual gain, with a person on the other side of the globe</w:t>
      </w:r>
      <w:r w:rsidR="005435E8">
        <w:t xml:space="preserve">, stated by </w:t>
      </w:r>
      <w:r w:rsidRPr="006154FB">
        <w:t>Thomas Larsson</w:t>
      </w:r>
      <w:r w:rsidR="005435E8">
        <w:t>’s</w:t>
      </w:r>
      <w:r w:rsidRPr="006154FB">
        <w:t xml:space="preserve"> book The Race to the Top: The Real Story of Globalization (2001)</w:t>
      </w:r>
      <w:r>
        <w:t xml:space="preserve">. </w:t>
      </w:r>
      <w:r w:rsidRPr="006154FB">
        <w:t>Global factors like artificial intelligence (AI), geopolitical upheavals, and sustainability laws are changing the competitive terrain in which modern multinational businesses (MNEs) operate (Rugman &amp; Verbeke, 2017).</w:t>
      </w:r>
    </w:p>
    <w:p w14:paraId="0562A27A" w14:textId="3767F9AB" w:rsidR="005435E8" w:rsidRDefault="005B5834" w:rsidP="005435E8">
      <w:pPr>
        <w:ind w:firstLine="720"/>
      </w:pPr>
      <w:r>
        <w:t>This paper focuses on Shell, a UK based</w:t>
      </w:r>
      <w:r w:rsidRPr="005B5834">
        <w:t xml:space="preserve"> multinational oil and gas corporation that works in the petrochemical and energy industries worldwide, with its headquarters located in London, U</w:t>
      </w:r>
      <w:r w:rsidR="005435E8">
        <w:t>K</w:t>
      </w:r>
      <w:r w:rsidRPr="005B5834">
        <w:t xml:space="preserve">. </w:t>
      </w:r>
      <w:r w:rsidR="005435E8">
        <w:t>It operates in more than 70 countries with 103,000 workers,</w:t>
      </w:r>
      <w:r w:rsidRPr="005B5834">
        <w:t xml:space="preserve"> it is one of the biggest investor-owned oil and gas firms globally.</w:t>
      </w:r>
    </w:p>
    <w:p w14:paraId="7FC9FF21" w14:textId="27013A49" w:rsidR="005435E8" w:rsidRDefault="005435E8" w:rsidP="005435E8">
      <w:r>
        <w:tab/>
      </w:r>
      <w:r w:rsidRPr="005435E8">
        <w:t xml:space="preserve">This essay aims to critically analyse how Shell's international strategy and operations are being impacted by three major global forces in 2024–2025: the adoption of artificial intelligence, geopolitical supply chain challenges, and sustainability regulations. </w:t>
      </w:r>
    </w:p>
    <w:p w14:paraId="39653BDC" w14:textId="372F8C4E" w:rsidR="00CB6879" w:rsidRDefault="00CB6879" w:rsidP="00CB6879">
      <w:pPr>
        <w:pStyle w:val="Heading2"/>
        <w:rPr>
          <w:b/>
          <w:bCs/>
          <w:color w:val="auto"/>
        </w:rPr>
      </w:pPr>
      <w:bookmarkStart w:id="2" w:name="_Toc213680624"/>
      <w:r>
        <w:rPr>
          <w:b/>
          <w:bCs/>
          <w:color w:val="auto"/>
        </w:rPr>
        <w:t>2.</w:t>
      </w:r>
      <w:r w:rsidR="00CB7B0C">
        <w:rPr>
          <w:b/>
          <w:bCs/>
          <w:color w:val="auto"/>
        </w:rPr>
        <w:t>Global Forces:</w:t>
      </w:r>
      <w:r w:rsidRPr="00CB6879">
        <w:rPr>
          <w:b/>
          <w:bCs/>
          <w:color w:val="auto"/>
        </w:rPr>
        <w:t>Opportunities and Challenges</w:t>
      </w:r>
      <w:r w:rsidR="00CB7B0C">
        <w:rPr>
          <w:b/>
          <w:bCs/>
          <w:color w:val="auto"/>
        </w:rPr>
        <w:t>;</w:t>
      </w:r>
      <w:bookmarkEnd w:id="2"/>
    </w:p>
    <w:p w14:paraId="0A46C7A5" w14:textId="77777777" w:rsidR="0050497A" w:rsidRPr="008D279E" w:rsidRDefault="0050497A" w:rsidP="0050497A">
      <w:pPr>
        <w:rPr>
          <w:rFonts w:ascii="Times New Roman" w:hAnsi="Times New Roman" w:cs="Times New Roman"/>
        </w:rPr>
      </w:pPr>
      <w:r w:rsidRPr="008D279E">
        <w:rPr>
          <w:rFonts w:ascii="Times New Roman" w:hAnsi="Times New Roman" w:cs="Times New Roman"/>
        </w:rPr>
        <w:t>AI, geopolitics, and sustainability reporting are three convergent global dynamics that interact to produce a very complicated operating environment for Shell rather than acting independently.</w:t>
      </w:r>
    </w:p>
    <w:p w14:paraId="5DBA52CB" w14:textId="7103F12F" w:rsidR="0050497A" w:rsidRDefault="004A6457" w:rsidP="004A6457">
      <w:pPr>
        <w:pStyle w:val="Heading2"/>
        <w:rPr>
          <w:b/>
          <w:bCs/>
          <w:color w:val="000000" w:themeColor="text1"/>
        </w:rPr>
      </w:pPr>
      <w:bookmarkStart w:id="3" w:name="_Toc213680625"/>
      <w:r w:rsidRPr="004A6457">
        <w:rPr>
          <w:b/>
          <w:bCs/>
          <w:color w:val="000000" w:themeColor="text1"/>
        </w:rPr>
        <w:t>AI Adoption and Digital Transformation:</w:t>
      </w:r>
      <w:bookmarkEnd w:id="3"/>
      <w:r w:rsidRPr="004A6457">
        <w:rPr>
          <w:b/>
          <w:bCs/>
          <w:color w:val="000000" w:themeColor="text1"/>
        </w:rPr>
        <w:t xml:space="preserve"> </w:t>
      </w:r>
    </w:p>
    <w:p w14:paraId="2F4F5CEA" w14:textId="06CB8A99" w:rsidR="004A6457" w:rsidRPr="008A7902" w:rsidRDefault="00414B22" w:rsidP="00414B22">
      <w:pPr>
        <w:pStyle w:val="Heading2"/>
        <w:rPr>
          <w:color w:val="000000" w:themeColor="text1"/>
        </w:rPr>
      </w:pPr>
      <w:bookmarkStart w:id="4" w:name="_Toc213680626"/>
      <w:r w:rsidRPr="008A7902">
        <w:rPr>
          <w:color w:val="000000" w:themeColor="text1"/>
        </w:rPr>
        <w:t>Opportunities:</w:t>
      </w:r>
      <w:bookmarkEnd w:id="4"/>
    </w:p>
    <w:p w14:paraId="57636D84" w14:textId="77777777" w:rsidR="000C4B7F" w:rsidRPr="008D279E" w:rsidRDefault="000C4B7F" w:rsidP="000C4B7F">
      <w:pPr>
        <w:rPr>
          <w:rFonts w:ascii="Times New Roman" w:hAnsi="Times New Roman" w:cs="Times New Roman"/>
        </w:rPr>
      </w:pPr>
      <w:r w:rsidRPr="008D279E">
        <w:rPr>
          <w:rFonts w:ascii="Times New Roman" w:hAnsi="Times New Roman" w:cs="Times New Roman"/>
        </w:rPr>
        <w:t>For many years, Shell has led the way in the creation and application of digital technology in the oil and gas industry. They currently have over 100 AI applications in various stages of development and implementation across their businesses, including a data lake with trillions of rows of data and machine learning-based monitoring of thousands of industrial equipment pieces across assets in manufacturing, integrated gas, upstream, and downstream.</w:t>
      </w:r>
    </w:p>
    <w:p w14:paraId="704C0296" w14:textId="3E5054DB" w:rsidR="006D1613" w:rsidRPr="008D279E" w:rsidRDefault="008C4D64" w:rsidP="006D1613">
      <w:pPr>
        <w:rPr>
          <w:rFonts w:ascii="Times New Roman" w:hAnsi="Times New Roman" w:cs="Times New Roman"/>
        </w:rPr>
      </w:pPr>
      <w:r w:rsidRPr="008D279E">
        <w:rPr>
          <w:rFonts w:ascii="Times New Roman" w:hAnsi="Times New Roman" w:cs="Times New Roman"/>
        </w:rPr>
        <w:t xml:space="preserve">Shell has implemented sophisticated predictive maintenance algorithms in collaboration with businesses such as C3 AI. </w:t>
      </w:r>
      <w:r w:rsidR="006D1613" w:rsidRPr="008D279E">
        <w:rPr>
          <w:rFonts w:ascii="Times New Roman" w:hAnsi="Times New Roman" w:cs="Times New Roman"/>
        </w:rPr>
        <w:t>AI is used by Shell to maximise asset performance. It manages operational, financial, and technical limitations together.</w:t>
      </w:r>
      <w:r w:rsidR="00913988" w:rsidRPr="008D279E">
        <w:rPr>
          <w:rFonts w:ascii="Times New Roman" w:hAnsi="Times New Roman" w:cs="Times New Roman"/>
        </w:rPr>
        <w:t xml:space="preserve"> Shell is also using digitalization and AI to reduce the footprint of its operations. For example, it uses AI to improve inventory demand planning, reduce waste of products and raw materials, and uses AR, robotics and digital twin technologies to reduce the need for travel. AI is also helping Shell offer low-carbon energy solutions to its customers, from AI solutions that reduce the fuel consumption of ships, to smart charging of electric vehicles that optimizes renewable energy use on the grid, to virtual power plants that connect decentralized energy units, to solar, bio-energy, and hydropower.</w:t>
      </w:r>
    </w:p>
    <w:p w14:paraId="6D68925F" w14:textId="378087DC" w:rsidR="00F12CB4" w:rsidRPr="001736FA" w:rsidRDefault="00F12CB4" w:rsidP="001736FA">
      <w:pPr>
        <w:pStyle w:val="Heading2"/>
        <w:rPr>
          <w:color w:val="000000" w:themeColor="text1"/>
        </w:rPr>
      </w:pPr>
      <w:bookmarkStart w:id="5" w:name="_Toc213680627"/>
      <w:r w:rsidRPr="001736FA">
        <w:rPr>
          <w:color w:val="000000" w:themeColor="text1"/>
        </w:rPr>
        <w:t>Challenges:</w:t>
      </w:r>
      <w:bookmarkEnd w:id="5"/>
      <w:r w:rsidRPr="001736FA">
        <w:rPr>
          <w:color w:val="000000" w:themeColor="text1"/>
        </w:rPr>
        <w:t xml:space="preserve"> </w:t>
      </w:r>
    </w:p>
    <w:p w14:paraId="7B29F8D4" w14:textId="574032BB" w:rsidR="00245397" w:rsidRPr="008D279E" w:rsidRDefault="00DA24B3" w:rsidP="00245397">
      <w:pPr>
        <w:rPr>
          <w:rFonts w:ascii="Times New Roman" w:hAnsi="Times New Roman" w:cs="Times New Roman"/>
        </w:rPr>
      </w:pPr>
      <w:r w:rsidRPr="008D279E">
        <w:rPr>
          <w:rFonts w:ascii="Times New Roman" w:hAnsi="Times New Roman" w:cs="Times New Roman"/>
        </w:rPr>
        <w:t>The human factor and the energy paradox provide two challenges. For AI to be successfully integrated and scaled throughout Shell's global operations, a significant change in workforce strategy is needed, going beyond typical engineering roles to include digital literacy and citizen development initiatives. (Caroll et al</w:t>
      </w:r>
      <w:r w:rsidR="00182049" w:rsidRPr="008D279E">
        <w:rPr>
          <w:rFonts w:ascii="Times New Roman" w:hAnsi="Times New Roman" w:cs="Times New Roman"/>
        </w:rPr>
        <w:t xml:space="preserve">., 2023). </w:t>
      </w:r>
      <w:r w:rsidR="00245397" w:rsidRPr="008D279E">
        <w:rPr>
          <w:rFonts w:ascii="Times New Roman" w:hAnsi="Times New Roman" w:cs="Times New Roman"/>
        </w:rPr>
        <w:t>Maintaining cultural value consensus and fostering this human aspect across several worldwide subsidiaries continue to be major operational challenges.</w:t>
      </w:r>
    </w:p>
    <w:p w14:paraId="20D2CDE7" w14:textId="268CFC3B" w:rsidR="00C7300E" w:rsidRPr="00A63F35" w:rsidRDefault="00203DEF" w:rsidP="00203DEF">
      <w:pPr>
        <w:pStyle w:val="Heading2"/>
        <w:rPr>
          <w:rFonts w:ascii="Arial" w:hAnsi="Arial" w:cs="Arial"/>
          <w:b/>
          <w:bCs/>
          <w:color w:val="000000" w:themeColor="text1"/>
          <w:sz w:val="28"/>
          <w:szCs w:val="28"/>
        </w:rPr>
      </w:pPr>
      <w:bookmarkStart w:id="6" w:name="_Toc213680628"/>
      <w:r w:rsidRPr="00A63F35">
        <w:rPr>
          <w:rFonts w:ascii="Arial" w:hAnsi="Arial" w:cs="Arial"/>
          <w:b/>
          <w:bCs/>
          <w:color w:val="000000" w:themeColor="text1"/>
          <w:sz w:val="28"/>
          <w:szCs w:val="28"/>
        </w:rPr>
        <w:t>Geopolitical Tensions and Supply Chain:</w:t>
      </w:r>
      <w:bookmarkEnd w:id="6"/>
    </w:p>
    <w:p w14:paraId="07F40401" w14:textId="53E1C088" w:rsidR="00203DEF" w:rsidRPr="00A63F35" w:rsidRDefault="00203DEF" w:rsidP="001736FA">
      <w:pPr>
        <w:pStyle w:val="Heading2"/>
        <w:rPr>
          <w:rFonts w:ascii="Arial" w:hAnsi="Arial" w:cs="Arial"/>
          <w:color w:val="000000" w:themeColor="text1"/>
          <w:sz w:val="28"/>
          <w:szCs w:val="28"/>
        </w:rPr>
      </w:pPr>
      <w:bookmarkStart w:id="7" w:name="_Toc213680629"/>
      <w:r w:rsidRPr="00A63F35">
        <w:rPr>
          <w:rFonts w:ascii="Arial" w:hAnsi="Arial" w:cs="Arial"/>
          <w:color w:val="000000" w:themeColor="text1"/>
          <w:sz w:val="28"/>
          <w:szCs w:val="28"/>
        </w:rPr>
        <w:t>Opportunities:</w:t>
      </w:r>
      <w:bookmarkEnd w:id="7"/>
    </w:p>
    <w:p w14:paraId="3B978D48" w14:textId="73C47593" w:rsidR="001C6445" w:rsidRPr="008D279E" w:rsidRDefault="001C6445" w:rsidP="00245397">
      <w:pPr>
        <w:rPr>
          <w:rFonts w:ascii="Times New Roman" w:hAnsi="Times New Roman" w:cs="Times New Roman"/>
        </w:rPr>
      </w:pPr>
      <w:r w:rsidRPr="008D279E">
        <w:rPr>
          <w:rFonts w:ascii="Times New Roman" w:hAnsi="Times New Roman" w:cs="Times New Roman"/>
        </w:rPr>
        <w:t>Global markets are tense due to the Israel-Iran war, and oil prices are rising as concerns about possible interruptions in the Strait of Hormuz—a vital route for 20% of the world's oil—grow.</w:t>
      </w:r>
      <w:r w:rsidR="00F05C21" w:rsidRPr="008D279E">
        <w:rPr>
          <w:rFonts w:ascii="Times New Roman" w:hAnsi="Times New Roman" w:cs="Times New Roman"/>
        </w:rPr>
        <w:t xml:space="preserve"> Iran, Israel tensions has opened many ways and opportunities for Shell .</w:t>
      </w:r>
      <w:r w:rsidR="0024136C" w:rsidRPr="008D279E">
        <w:rPr>
          <w:rFonts w:ascii="Times New Roman" w:eastAsia="Times New Roman" w:hAnsi="Times New Roman" w:cs="Times New Roman"/>
          <w:sz w:val="24"/>
          <w:szCs w:val="24"/>
          <w:lang w:eastAsia="en-GB"/>
        </w:rPr>
        <w:t xml:space="preserve"> </w:t>
      </w:r>
      <w:r w:rsidR="0024136C" w:rsidRPr="008D279E">
        <w:rPr>
          <w:rFonts w:ascii="Times New Roman" w:hAnsi="Times New Roman" w:cs="Times New Roman"/>
        </w:rPr>
        <w:t>The Strait of Hormuz is is essential to the world's energy supply. This 21-mile-wide pipeline handles almost 20 million barrels of oil each day, or 20% of the world's total consumption. Therefore, supply might be severely impacted if Iran were to disrupt or even temporarily close the strait</w:t>
      </w:r>
      <w:r w:rsidR="0096338F" w:rsidRPr="008D279E">
        <w:rPr>
          <w:rFonts w:ascii="Times New Roman" w:hAnsi="Times New Roman" w:cs="Times New Roman"/>
        </w:rPr>
        <w:t>.</w:t>
      </w:r>
      <w:r w:rsidR="0087053F" w:rsidRPr="008D279E">
        <w:rPr>
          <w:rFonts w:ascii="Times New Roman" w:hAnsi="Times New Roman" w:cs="Times New Roman"/>
        </w:rPr>
        <w:t xml:space="preserve"> In the current market, Shell stands out as a leader in the global energy sector that is trading at a discount, supported by robust shareholder returns</w:t>
      </w:r>
      <w:r w:rsidR="00A95088" w:rsidRPr="008D279E">
        <w:rPr>
          <w:rFonts w:ascii="Times New Roman" w:hAnsi="Times New Roman" w:cs="Times New Roman"/>
        </w:rPr>
        <w:t>.</w:t>
      </w:r>
      <w:r w:rsidR="0087053F" w:rsidRPr="008D279E">
        <w:rPr>
          <w:rFonts w:ascii="Times New Roman" w:hAnsi="Times New Roman" w:cs="Times New Roman"/>
        </w:rPr>
        <w:t xml:space="preserve"> The Strait of Hormuz and the Israel-Iran conflict pose ongoing dangers that could maintain high oil prices and increase Shell's earnings potential.</w:t>
      </w:r>
    </w:p>
    <w:p w14:paraId="0FE1B3FA" w14:textId="77777777" w:rsidR="001736FA" w:rsidRDefault="00203DEF" w:rsidP="006219A9">
      <w:pPr>
        <w:rPr>
          <w:rFonts w:ascii="Times New Roman" w:eastAsia="Times New Roman" w:hAnsi="Times New Roman" w:cs="Times New Roman"/>
          <w:sz w:val="24"/>
          <w:szCs w:val="24"/>
          <w:lang w:eastAsia="en-GB"/>
        </w:rPr>
      </w:pPr>
      <w:bookmarkStart w:id="8" w:name="_Toc213680630"/>
      <w:r w:rsidRPr="00A63F35">
        <w:rPr>
          <w:rStyle w:val="Heading2Char"/>
          <w:rFonts w:ascii="Arial" w:hAnsi="Arial" w:cs="Arial"/>
          <w:color w:val="000000" w:themeColor="text1"/>
          <w:sz w:val="28"/>
          <w:szCs w:val="28"/>
        </w:rPr>
        <w:t>Challenges</w:t>
      </w:r>
      <w:bookmarkEnd w:id="8"/>
      <w:r>
        <w:t>:</w:t>
      </w:r>
      <w:r w:rsidR="00201AEF" w:rsidRPr="00201AEF">
        <w:rPr>
          <w:rFonts w:ascii="Times New Roman" w:eastAsia="Times New Roman" w:hAnsi="Times New Roman" w:cs="Times New Roman"/>
          <w:sz w:val="24"/>
          <w:szCs w:val="24"/>
          <w:lang w:eastAsia="en-GB"/>
        </w:rPr>
        <w:t xml:space="preserve"> </w:t>
      </w:r>
    </w:p>
    <w:p w14:paraId="098575CC" w14:textId="6F513696" w:rsidR="006219A9" w:rsidRPr="008D279E" w:rsidRDefault="00201AEF" w:rsidP="006219A9">
      <w:pPr>
        <w:rPr>
          <w:rFonts w:ascii="Times New Roman" w:hAnsi="Times New Roman" w:cs="Times New Roman"/>
        </w:rPr>
      </w:pPr>
      <w:r w:rsidRPr="008D279E">
        <w:rPr>
          <w:rFonts w:ascii="Times New Roman" w:hAnsi="Times New Roman" w:cs="Times New Roman"/>
        </w:rPr>
        <w:t>However, Shell's operations have been greatly impacted by ongoing geopolitical tensions. Due to the Houthi rebel attacks in the Red Sea, ships carrying LNG and crude oil have been forced to reroute around the Cape of Good Hope, increasing the distance, duration, and fuel expenses of travel between Asia and Europe.</w:t>
      </w:r>
      <w:r w:rsidR="00F03EDD" w:rsidRPr="008D279E">
        <w:rPr>
          <w:rFonts w:ascii="Times New Roman" w:eastAsia="Times New Roman" w:hAnsi="Times New Roman" w:cs="Times New Roman"/>
          <w:sz w:val="24"/>
          <w:szCs w:val="24"/>
          <w:lang w:eastAsia="en-GB"/>
        </w:rPr>
        <w:t xml:space="preserve"> </w:t>
      </w:r>
      <w:r w:rsidR="00F03EDD" w:rsidRPr="008D279E">
        <w:rPr>
          <w:rFonts w:ascii="Times New Roman" w:hAnsi="Times New Roman" w:cs="Times New Roman"/>
        </w:rPr>
        <w:t>There are repercussions to this change in operational strategy. Rerouting shipping routes can result in longer transit times and possibly greater costs, which can have an impact on a number of industries that depend on these marine routes.</w:t>
      </w:r>
      <w:r w:rsidR="006219A9" w:rsidRPr="008D279E">
        <w:rPr>
          <w:rFonts w:ascii="Times New Roman" w:hAnsi="Times New Roman" w:cs="Times New Roman"/>
        </w:rPr>
        <w:t xml:space="preserve"> The current state of affairs in the Red Sea is a dynamic and changing problem that may have an impact on international energy markets, marine logistics, and geopolitical stability.</w:t>
      </w:r>
    </w:p>
    <w:p w14:paraId="1CCF569D" w14:textId="12D067D6" w:rsidR="008300B6" w:rsidRPr="008D279E" w:rsidRDefault="005F3202" w:rsidP="005F3202">
      <w:pPr>
        <w:pStyle w:val="Heading2"/>
        <w:rPr>
          <w:rFonts w:ascii="Arial" w:hAnsi="Arial" w:cs="Arial"/>
          <w:b/>
          <w:bCs/>
          <w:color w:val="000000" w:themeColor="text1"/>
          <w:sz w:val="28"/>
          <w:szCs w:val="28"/>
        </w:rPr>
      </w:pPr>
      <w:bookmarkStart w:id="9" w:name="_Toc213680631"/>
      <w:r w:rsidRPr="008D279E">
        <w:rPr>
          <w:rFonts w:ascii="Arial" w:hAnsi="Arial" w:cs="Arial"/>
          <w:b/>
          <w:bCs/>
          <w:color w:val="000000" w:themeColor="text1"/>
          <w:sz w:val="28"/>
          <w:szCs w:val="28"/>
        </w:rPr>
        <w:t>Sustainability and the EU Corporate Sustainability Reporting Directive (CSRD)</w:t>
      </w:r>
      <w:bookmarkEnd w:id="9"/>
    </w:p>
    <w:p w14:paraId="2BAD7A45" w14:textId="0312BF51" w:rsidR="005A205C" w:rsidRPr="001736FA" w:rsidRDefault="005A205C" w:rsidP="001736FA">
      <w:pPr>
        <w:pStyle w:val="Heading2"/>
        <w:rPr>
          <w:color w:val="000000" w:themeColor="text1"/>
        </w:rPr>
      </w:pPr>
      <w:bookmarkStart w:id="10" w:name="_Toc213680632"/>
      <w:r w:rsidRPr="008D279E">
        <w:rPr>
          <w:rFonts w:ascii="Arial" w:hAnsi="Arial" w:cs="Arial"/>
          <w:color w:val="000000" w:themeColor="text1"/>
          <w:sz w:val="28"/>
          <w:szCs w:val="28"/>
        </w:rPr>
        <w:t>Opportunities</w:t>
      </w:r>
      <w:r w:rsidRPr="001736FA">
        <w:rPr>
          <w:color w:val="000000" w:themeColor="text1"/>
        </w:rPr>
        <w:t>:</w:t>
      </w:r>
      <w:bookmarkEnd w:id="10"/>
    </w:p>
    <w:p w14:paraId="1E2A5348" w14:textId="77777777" w:rsidR="00404A57" w:rsidRPr="008D279E" w:rsidRDefault="005A205C" w:rsidP="00404A57">
      <w:pPr>
        <w:rPr>
          <w:rFonts w:ascii="Times New Roman" w:hAnsi="Times New Roman" w:cs="Times New Roman"/>
        </w:rPr>
      </w:pPr>
      <w:r w:rsidRPr="008D279E">
        <w:rPr>
          <w:rFonts w:ascii="Times New Roman" w:hAnsi="Times New Roman" w:cs="Times New Roman"/>
        </w:rPr>
        <w:t>The CSRD offers Shell a vital chance to win back the public's confidence and draw in the growing amount of international ESG (Environmental, Social, and Governance) investment. Shell wants to establish itself as an open leader in its industry by voluntarily implementing the CSRD requirements in its 2024 Annual Report and Accounts.</w:t>
      </w:r>
      <w:r w:rsidR="00700018" w:rsidRPr="008D279E">
        <w:rPr>
          <w:rFonts w:ascii="Times New Roman" w:hAnsi="Times New Roman" w:cs="Times New Roman"/>
        </w:rPr>
        <w:t xml:space="preserve"> (Shell Global, 2024b). </w:t>
      </w:r>
      <w:r w:rsidR="00404A57" w:rsidRPr="008D279E">
        <w:rPr>
          <w:rFonts w:ascii="Times New Roman" w:hAnsi="Times New Roman" w:cs="Times New Roman"/>
        </w:rPr>
        <w:t>Strong, auditable CSRD reporting can show a company's dedication to its Energy Transition Strategy (ETS) and function as a powerful strategic communication tool. In European capital markets, where sustainable financing is becoming more and more important, it might set Shell apart and possibly reduce its cost of capital in comparison to less transparent or non-compliant rivals. In order to improve internal decision-making and resource allocation for low-carbon initiatives like hydrogen and carbon capture and storage (CCS), Shell is compelled by the CSRD to systematise the data supporting its decarbonisation ambitions.</w:t>
      </w:r>
    </w:p>
    <w:p w14:paraId="670A09B1" w14:textId="3597EAD3" w:rsidR="005A205C" w:rsidRDefault="00404A57" w:rsidP="005F3202">
      <w:bookmarkStart w:id="11" w:name="_Toc213680633"/>
      <w:r w:rsidRPr="008D279E">
        <w:rPr>
          <w:rStyle w:val="Heading2Char"/>
          <w:rFonts w:ascii="Arial" w:hAnsi="Arial" w:cs="Arial"/>
          <w:color w:val="000000" w:themeColor="text1"/>
          <w:sz w:val="28"/>
          <w:szCs w:val="28"/>
        </w:rPr>
        <w:t>Challenges</w:t>
      </w:r>
      <w:bookmarkEnd w:id="11"/>
      <w:r>
        <w:t>:</w:t>
      </w:r>
    </w:p>
    <w:p w14:paraId="64541A23" w14:textId="4E9F38BE" w:rsidR="00404A57" w:rsidRPr="008D279E" w:rsidRDefault="00B16210" w:rsidP="005F3202">
      <w:pPr>
        <w:rPr>
          <w:rFonts w:ascii="Times New Roman" w:hAnsi="Times New Roman" w:cs="Times New Roman"/>
        </w:rPr>
      </w:pPr>
      <w:r w:rsidRPr="008D279E">
        <w:rPr>
          <w:rFonts w:ascii="Times New Roman" w:hAnsi="Times New Roman" w:cs="Times New Roman"/>
        </w:rPr>
        <w:t xml:space="preserve">A major compliance challenge is the requirement for a "double materiality" assessment, forcing Shell to report on both how sustainability issues (like climate change) impact the company, and how the company’s activities impact society and the environment. This directive, combined with escalating climate litigation risks—highlighted by legal claims filed against Shell concerning its contribution to climate change impacts (Ashurst, 2024). </w:t>
      </w:r>
    </w:p>
    <w:p w14:paraId="47477CA5" w14:textId="08B94D4C" w:rsidR="002B67FD" w:rsidRPr="008D279E" w:rsidRDefault="001736FA" w:rsidP="002B67FD">
      <w:pPr>
        <w:pStyle w:val="Heading1"/>
        <w:rPr>
          <w:rFonts w:ascii="Arial" w:hAnsi="Arial" w:cs="Arial"/>
          <w:b/>
          <w:bCs/>
          <w:color w:val="000000" w:themeColor="text1"/>
          <w:sz w:val="28"/>
          <w:szCs w:val="28"/>
        </w:rPr>
      </w:pPr>
      <w:bookmarkStart w:id="12" w:name="_Toc213680634"/>
      <w:r w:rsidRPr="008D279E">
        <w:rPr>
          <w:rFonts w:ascii="Arial" w:hAnsi="Arial" w:cs="Arial"/>
          <w:b/>
          <w:bCs/>
          <w:color w:val="000000" w:themeColor="text1"/>
          <w:sz w:val="28"/>
          <w:szCs w:val="28"/>
        </w:rPr>
        <w:t>3.</w:t>
      </w:r>
      <w:r w:rsidR="002B67FD" w:rsidRPr="008D279E">
        <w:rPr>
          <w:rFonts w:ascii="Arial" w:hAnsi="Arial" w:cs="Arial"/>
          <w:b/>
          <w:bCs/>
          <w:color w:val="000000" w:themeColor="text1"/>
          <w:sz w:val="28"/>
          <w:szCs w:val="28"/>
        </w:rPr>
        <w:t>Impact on the Organisation's International Strategy and Corporations</w:t>
      </w:r>
      <w:bookmarkEnd w:id="12"/>
    </w:p>
    <w:p w14:paraId="3F59F3E6" w14:textId="04A630AE" w:rsidR="00796380" w:rsidRPr="008D279E" w:rsidRDefault="00796380" w:rsidP="002B67FD">
      <w:pPr>
        <w:pStyle w:val="Heading2"/>
        <w:rPr>
          <w:rFonts w:ascii="Arial" w:hAnsi="Arial" w:cs="Arial"/>
          <w:color w:val="000000" w:themeColor="text1"/>
          <w:sz w:val="28"/>
          <w:szCs w:val="28"/>
        </w:rPr>
      </w:pPr>
      <w:bookmarkStart w:id="13" w:name="_Toc213680635"/>
      <w:r w:rsidRPr="008D279E">
        <w:rPr>
          <w:rFonts w:ascii="Arial" w:hAnsi="Arial" w:cs="Arial"/>
          <w:color w:val="000000" w:themeColor="text1"/>
          <w:sz w:val="28"/>
          <w:szCs w:val="28"/>
        </w:rPr>
        <w:t>Marketing Position and Innovation:</w:t>
      </w:r>
      <w:bookmarkEnd w:id="13"/>
      <w:r w:rsidRPr="008D279E">
        <w:rPr>
          <w:rFonts w:ascii="Arial" w:hAnsi="Arial" w:cs="Arial"/>
          <w:color w:val="000000" w:themeColor="text1"/>
          <w:sz w:val="28"/>
          <w:szCs w:val="28"/>
        </w:rPr>
        <w:t xml:space="preserve"> </w:t>
      </w:r>
    </w:p>
    <w:p w14:paraId="17473094" w14:textId="702E4915" w:rsidR="00667BBA" w:rsidRPr="008D279E" w:rsidRDefault="00796380" w:rsidP="00667BBA">
      <w:pPr>
        <w:rPr>
          <w:rFonts w:ascii="Times New Roman" w:hAnsi="Times New Roman" w:cs="Times New Roman"/>
        </w:rPr>
      </w:pPr>
      <w:r w:rsidRPr="008D279E">
        <w:rPr>
          <w:rFonts w:ascii="Times New Roman" w:hAnsi="Times New Roman" w:cs="Times New Roman"/>
        </w:rPr>
        <w:t>Shell is forced to adopt a complicated dual strategy due to the convergence of forces. The durability and profitability of the legacy Upstream and Integrated Gas assets are maximised by AI's efficiency gains, guaranteeing that they supply the cash flow required to finance the energy transformation. CSRD reporting simultaneously promotes investment in the future low-carbon portfolio and transparency.</w:t>
      </w:r>
      <w:r w:rsidR="006C0B44" w:rsidRPr="008D279E">
        <w:rPr>
          <w:rFonts w:ascii="Times New Roman" w:hAnsi="Times New Roman" w:cs="Times New Roman"/>
        </w:rPr>
        <w:t xml:space="preserve"> (shell Global, 2024). </w:t>
      </w:r>
      <w:r w:rsidR="00667BBA" w:rsidRPr="008D279E">
        <w:rPr>
          <w:rFonts w:ascii="Times New Roman" w:hAnsi="Times New Roman" w:cs="Times New Roman"/>
        </w:rPr>
        <w:t>Clear decisions in innovation have resulted from this strategic duality: In order to prioritise value over volume in its decarbonisation activities, Shell is concentrating its integrated power business on high-value, commercial segments in specific areas</w:t>
      </w:r>
      <w:r w:rsidR="00836654" w:rsidRPr="008D279E">
        <w:rPr>
          <w:rFonts w:ascii="Times New Roman" w:hAnsi="Times New Roman" w:cs="Times New Roman"/>
        </w:rPr>
        <w:t>6</w:t>
      </w:r>
      <w:r w:rsidR="00667BBA" w:rsidRPr="008D279E">
        <w:rPr>
          <w:rFonts w:ascii="Times New Roman" w:hAnsi="Times New Roman" w:cs="Times New Roman"/>
        </w:rPr>
        <w:t xml:space="preserve"> (such as Australia, Europe, India, and the USA) and pulling out of lower-margin European residential retail energy supplies.</w:t>
      </w:r>
    </w:p>
    <w:p w14:paraId="3210018B" w14:textId="4C496B47" w:rsidR="00156782" w:rsidRPr="008D279E" w:rsidRDefault="00156782" w:rsidP="00156782">
      <w:pPr>
        <w:pStyle w:val="Heading2"/>
        <w:rPr>
          <w:rFonts w:ascii="Arial" w:hAnsi="Arial" w:cs="Arial"/>
          <w:color w:val="000000" w:themeColor="text1"/>
          <w:sz w:val="28"/>
          <w:szCs w:val="28"/>
        </w:rPr>
      </w:pPr>
      <w:bookmarkStart w:id="14" w:name="_Toc213680636"/>
      <w:r w:rsidRPr="008D279E">
        <w:rPr>
          <w:rFonts w:ascii="Arial" w:hAnsi="Arial" w:cs="Arial"/>
          <w:color w:val="000000" w:themeColor="text1"/>
          <w:sz w:val="28"/>
          <w:szCs w:val="28"/>
        </w:rPr>
        <w:t>Talent Management and Competitiveness:</w:t>
      </w:r>
      <w:bookmarkEnd w:id="14"/>
    </w:p>
    <w:p w14:paraId="1C5E8FF4" w14:textId="07B6FBEF" w:rsidR="00ED6B4F" w:rsidRPr="008D279E" w:rsidRDefault="00156782" w:rsidP="00ED6B4F">
      <w:pPr>
        <w:rPr>
          <w:rFonts w:ascii="Times New Roman" w:hAnsi="Times New Roman" w:cs="Times New Roman"/>
        </w:rPr>
      </w:pPr>
      <w:r w:rsidRPr="008D279E">
        <w:rPr>
          <w:rFonts w:ascii="Times New Roman" w:hAnsi="Times New Roman" w:cs="Times New Roman"/>
        </w:rPr>
        <w:t>Shell's talent needs are significantly impacted by the company's transition to a digital, geopolitically sensitive, and sustainability-focused business model. Success depends on the smooth integration of digital specialists, technical experts, and regulatory compliance specialists. By enabling staff members to create do-it-yourself applications, the "citizen development" program aims to integrate digital transformation deeply into the company culture while solving the human aspect issue of AI adoption.</w:t>
      </w:r>
      <w:r w:rsidR="001363AA" w:rsidRPr="008D279E">
        <w:rPr>
          <w:rFonts w:ascii="Times New Roman" w:hAnsi="Times New Roman" w:cs="Times New Roman"/>
        </w:rPr>
        <w:t>(Carroll et al., 2023).</w:t>
      </w:r>
      <w:r w:rsidR="00ED6B4F" w:rsidRPr="008D279E">
        <w:rPr>
          <w:rFonts w:ascii="Times New Roman" w:eastAsia="Times New Roman" w:hAnsi="Times New Roman" w:cs="Times New Roman"/>
          <w:sz w:val="24"/>
          <w:szCs w:val="24"/>
          <w:lang w:eastAsia="en-GB"/>
        </w:rPr>
        <w:t xml:space="preserve"> </w:t>
      </w:r>
      <w:r w:rsidR="00ED6B4F" w:rsidRPr="008D279E">
        <w:rPr>
          <w:rFonts w:ascii="Times New Roman" w:hAnsi="Times New Roman" w:cs="Times New Roman"/>
        </w:rPr>
        <w:t>Shell's scale and global reach become important assets in terms of its ability to compete internationally. Its ability to manage complex logistics, such as rerouting oil and gas tankers away from the Red Sea, offers a competitive stability premium to customers. It has a first-mover advantage in transparency because to its early and voluntary implementation of the CSRD, making it a favoured investment vehicle for major European funds that are benchmarked against ESRS norms.</w:t>
      </w:r>
    </w:p>
    <w:p w14:paraId="030E8559" w14:textId="23AA49F9" w:rsidR="00D7636A" w:rsidRPr="008D279E" w:rsidRDefault="001736FA" w:rsidP="00AE2132">
      <w:pPr>
        <w:pStyle w:val="Heading1"/>
        <w:rPr>
          <w:rFonts w:ascii="Arial" w:hAnsi="Arial" w:cs="Arial"/>
          <w:b/>
          <w:bCs/>
          <w:color w:val="000000" w:themeColor="text1"/>
          <w:sz w:val="28"/>
          <w:szCs w:val="28"/>
        </w:rPr>
      </w:pPr>
      <w:bookmarkStart w:id="15" w:name="_Toc213680637"/>
      <w:r w:rsidRPr="008D279E">
        <w:rPr>
          <w:rFonts w:ascii="Arial" w:hAnsi="Arial" w:cs="Arial"/>
          <w:b/>
          <w:bCs/>
          <w:color w:val="000000" w:themeColor="text1"/>
          <w:sz w:val="28"/>
          <w:szCs w:val="28"/>
        </w:rPr>
        <w:t>4.</w:t>
      </w:r>
      <w:r w:rsidR="00D7636A" w:rsidRPr="008D279E">
        <w:rPr>
          <w:rFonts w:ascii="Arial" w:hAnsi="Arial" w:cs="Arial"/>
          <w:b/>
          <w:bCs/>
          <w:color w:val="000000" w:themeColor="text1"/>
          <w:sz w:val="28"/>
          <w:szCs w:val="28"/>
        </w:rPr>
        <w:t>Strategic Recommendations:</w:t>
      </w:r>
      <w:bookmarkEnd w:id="15"/>
    </w:p>
    <w:p w14:paraId="794C2EF5" w14:textId="4A16A6BD" w:rsidR="00AE2132" w:rsidRPr="00AE2132" w:rsidRDefault="00AE2132" w:rsidP="00C101EC">
      <w:r w:rsidRPr="00982469">
        <w:rPr>
          <w:b/>
          <w:bCs/>
        </w:rPr>
        <w:t>Accelerate AI Governance Frameworks:</w:t>
      </w:r>
      <w:r w:rsidRPr="00AE2132">
        <w:t xml:space="preserve"> </w:t>
      </w:r>
      <w:r w:rsidRPr="008D279E">
        <w:rPr>
          <w:rFonts w:ascii="Times New Roman" w:hAnsi="Times New Roman" w:cs="Times New Roman"/>
        </w:rPr>
        <w:t>To guarantee openness, equity, and cybersecurity, Shell should set up strong AI ethics and governance frameworks. Stakeholder confidence can be increased and data misuse can be prevented with clear accountability mechanisms</w:t>
      </w:r>
      <w:r w:rsidRPr="00AE2132">
        <w:t>.</w:t>
      </w:r>
      <w:r w:rsidRPr="00AE2132">
        <w:br/>
      </w:r>
      <w:r w:rsidRPr="00982469">
        <w:rPr>
          <w:b/>
          <w:bCs/>
        </w:rPr>
        <w:t>Diversify Supply Chain Partnerships</w:t>
      </w:r>
      <w:r w:rsidRPr="00AE2132">
        <w:t xml:space="preserve">: </w:t>
      </w:r>
      <w:r w:rsidR="001C11F8" w:rsidRPr="008D279E">
        <w:rPr>
          <w:rFonts w:ascii="Times New Roman" w:hAnsi="Times New Roman" w:cs="Times New Roman"/>
        </w:rPr>
        <w:t>They</w:t>
      </w:r>
      <w:r w:rsidRPr="008D279E">
        <w:rPr>
          <w:rFonts w:ascii="Times New Roman" w:hAnsi="Times New Roman" w:cs="Times New Roman"/>
        </w:rPr>
        <w:t xml:space="preserve"> may reduce the risk of geopolitical disruptions by investing in regional supply hubs, especially in Africa and Southeast Asia. Working together with logistics technology companies will enhance predictive risk analysis and real-time monitoring.</w:t>
      </w:r>
      <w:r w:rsidR="00C101EC" w:rsidRPr="008D279E">
        <w:rPr>
          <w:rFonts w:ascii="Times New Roman" w:hAnsi="Times New Roman" w:cs="Times New Roman"/>
        </w:rPr>
        <w:t xml:space="preserve"> </w:t>
      </w:r>
      <w:r w:rsidRPr="008D279E">
        <w:rPr>
          <w:rFonts w:ascii="Times New Roman" w:hAnsi="Times New Roman" w:cs="Times New Roman"/>
        </w:rPr>
        <w:br/>
      </w:r>
      <w:r w:rsidRPr="008D279E">
        <w:rPr>
          <w:rFonts w:ascii="Times New Roman" w:hAnsi="Times New Roman" w:cs="Times New Roman"/>
          <w:b/>
          <w:bCs/>
        </w:rPr>
        <w:t>Boost Sustainability Leadership:</w:t>
      </w:r>
      <w:r w:rsidRPr="008D279E">
        <w:rPr>
          <w:rFonts w:ascii="Times New Roman" w:hAnsi="Times New Roman" w:cs="Times New Roman"/>
        </w:rPr>
        <w:t xml:space="preserve"> By including sustainability measures into executive</w:t>
      </w:r>
      <w:r w:rsidRPr="00AE2132">
        <w:t xml:space="preserve"> performance reviews and investor communications, Shell may use the CSRD framework as a strategic advantage rather than only for compliance.</w:t>
      </w:r>
      <w:r w:rsidRPr="00AE2132">
        <w:br/>
      </w:r>
      <w:r w:rsidRPr="00982469">
        <w:rPr>
          <w:b/>
          <w:bCs/>
        </w:rPr>
        <w:t>Invest in Workforce Reskilling:</w:t>
      </w:r>
      <w:r w:rsidRPr="00AE2132">
        <w:t xml:space="preserve"> </w:t>
      </w:r>
      <w:r w:rsidRPr="008D279E">
        <w:rPr>
          <w:rFonts w:ascii="Times New Roman" w:hAnsi="Times New Roman" w:cs="Times New Roman"/>
        </w:rPr>
        <w:t>Future-proofing talent pipelines and fostering inclusive change can be achieved by establishing a global digital academy to retrain staff in AI analytics, renewable energy systems, and sustainable operations</w:t>
      </w:r>
      <w:r w:rsidRPr="00AE2132">
        <w:t>.</w:t>
      </w:r>
    </w:p>
    <w:p w14:paraId="365D4A36" w14:textId="77777777" w:rsidR="00D7636A" w:rsidRPr="00ED6B4F" w:rsidRDefault="00D7636A" w:rsidP="00ED6B4F"/>
    <w:p w14:paraId="1BCBF913" w14:textId="1A5A33FF" w:rsidR="001363AA" w:rsidRDefault="001736FA" w:rsidP="001363AA">
      <w:bookmarkStart w:id="16" w:name="_Toc213680638"/>
      <w:r>
        <w:rPr>
          <w:rStyle w:val="Heading1Char"/>
          <w:b/>
          <w:bCs/>
          <w:color w:val="000000" w:themeColor="text1"/>
          <w:sz w:val="32"/>
          <w:szCs w:val="32"/>
        </w:rPr>
        <w:t>5.</w:t>
      </w:r>
      <w:r w:rsidR="00F839A9" w:rsidRPr="008D279E">
        <w:rPr>
          <w:rStyle w:val="Heading1Char"/>
          <w:rFonts w:ascii="Arial" w:hAnsi="Arial" w:cs="Arial"/>
          <w:b/>
          <w:bCs/>
          <w:color w:val="000000" w:themeColor="text1"/>
          <w:sz w:val="28"/>
          <w:szCs w:val="28"/>
        </w:rPr>
        <w:t>Conclusion</w:t>
      </w:r>
      <w:bookmarkEnd w:id="16"/>
      <w:r w:rsidR="00F839A9">
        <w:t>:</w:t>
      </w:r>
    </w:p>
    <w:p w14:paraId="3EEE767C" w14:textId="3D414A90" w:rsidR="00A30055" w:rsidRPr="008D279E" w:rsidRDefault="00A30055" w:rsidP="00A30055">
      <w:pPr>
        <w:rPr>
          <w:rFonts w:ascii="Times New Roman" w:hAnsi="Times New Roman" w:cs="Times New Roman"/>
        </w:rPr>
      </w:pPr>
      <w:r w:rsidRPr="008D279E">
        <w:rPr>
          <w:rFonts w:ascii="Times New Roman" w:hAnsi="Times New Roman" w:cs="Times New Roman"/>
        </w:rPr>
        <w:t>Radical technology advancement, unstable geopolitics, and required sustainability accountability characterise Shell plc's operational environment in 2024–2025. The growing external threat of geopolitical instability, however, offsets this and necessitates greater resilience and diversification in Shell's extensive supply chains. Shell is under to severe stakeholder scrutiny and legal pressure as a result of the EU's CSRD, which sets a strict new level of transparency and requires the corporation to report its substantial impacts and risks, especially with regard to its massive Scope 3 emissions.</w:t>
      </w:r>
    </w:p>
    <w:p w14:paraId="6C70A7ED" w14:textId="77777777" w:rsidR="00141CB4" w:rsidRPr="008D279E" w:rsidRDefault="00141CB4" w:rsidP="00141CB4">
      <w:pPr>
        <w:rPr>
          <w:rFonts w:ascii="Times New Roman" w:hAnsi="Times New Roman" w:cs="Times New Roman"/>
        </w:rPr>
      </w:pPr>
      <w:r w:rsidRPr="008D279E">
        <w:rPr>
          <w:rFonts w:ascii="Times New Roman" w:hAnsi="Times New Roman" w:cs="Times New Roman"/>
        </w:rPr>
        <w:t>In order to ensure the long-term profitability of its legacy assets through digital efficiency and to accelerate the growth and observable impact of its low-carbon portfolio under the open scrutiny of the CSRD framework, Shell must master this twin transformation. A flexible, integrated approach that makes use of technology, strengthens geopolitical resilience, and proactively use reporting compliance as a vehicle for competitive advantage and trust-building is necessary to successfully navigate these dynamics. Understanding these global dynamics is no longer optional for Shell or any other multinational company; in fact, it is the essence of a sustainable corporate strategy.</w:t>
      </w:r>
    </w:p>
    <w:p w14:paraId="0B808955" w14:textId="77777777" w:rsidR="006154FB" w:rsidRDefault="006154FB" w:rsidP="006154FB"/>
    <w:p w14:paraId="5E986F43" w14:textId="77777777" w:rsidR="006154FB" w:rsidRDefault="006154FB" w:rsidP="006154FB"/>
    <w:p w14:paraId="2DE3D5E0" w14:textId="77777777" w:rsidR="009D0877" w:rsidRDefault="009D0877" w:rsidP="006154FB"/>
    <w:p w14:paraId="04AF7A66" w14:textId="77777777" w:rsidR="009D0877" w:rsidRDefault="009D0877" w:rsidP="006154FB"/>
    <w:p w14:paraId="4B150F3A" w14:textId="77777777" w:rsidR="009D0877" w:rsidRDefault="009D0877" w:rsidP="006154FB"/>
    <w:p w14:paraId="5067DE41" w14:textId="77777777" w:rsidR="009D0877" w:rsidRDefault="009D0877" w:rsidP="006154FB"/>
    <w:p w14:paraId="52FE41F3" w14:textId="77777777" w:rsidR="009D0877" w:rsidRDefault="009D0877" w:rsidP="006154FB"/>
    <w:p w14:paraId="7C6B0883" w14:textId="2DF38C67" w:rsidR="006154FB" w:rsidRPr="00CB6879" w:rsidRDefault="006154FB" w:rsidP="00CB6879">
      <w:pPr>
        <w:pStyle w:val="Heading2"/>
        <w:rPr>
          <w:b/>
          <w:bCs/>
          <w:color w:val="auto"/>
        </w:rPr>
      </w:pPr>
      <w:bookmarkStart w:id="17" w:name="_Toc213680639"/>
      <w:r w:rsidRPr="00CB6879">
        <w:rPr>
          <w:b/>
          <w:bCs/>
          <w:color w:val="auto"/>
        </w:rPr>
        <w:t>References:</w:t>
      </w:r>
      <w:bookmarkEnd w:id="17"/>
    </w:p>
    <w:p w14:paraId="7CF65016" w14:textId="08438E81" w:rsidR="006154FB" w:rsidRDefault="006154FB" w:rsidP="006154FB">
      <w:pPr>
        <w:pStyle w:val="ListParagraph"/>
        <w:numPr>
          <w:ilvl w:val="0"/>
          <w:numId w:val="4"/>
        </w:numPr>
      </w:pPr>
      <w:r w:rsidRPr="006154FB">
        <w:t xml:space="preserve">Al-Rodhan, N.R. and </w:t>
      </w:r>
      <w:proofErr w:type="spellStart"/>
      <w:r w:rsidRPr="006154FB">
        <w:t>Stoudmann</w:t>
      </w:r>
      <w:proofErr w:type="spellEnd"/>
      <w:r w:rsidRPr="006154FB">
        <w:t>, G.,</w:t>
      </w:r>
      <w:r w:rsidR="004868BC">
        <w:t>(</w:t>
      </w:r>
      <w:r w:rsidRPr="006154FB">
        <w:t xml:space="preserve"> 2006</w:t>
      </w:r>
      <w:r w:rsidR="004868BC">
        <w:t>)</w:t>
      </w:r>
      <w:r w:rsidRPr="006154FB">
        <w:t>. Definitions of globalization: A comprehensive overview and a proposed definition. </w:t>
      </w:r>
      <w:r w:rsidRPr="006154FB">
        <w:rPr>
          <w:i/>
          <w:iCs/>
        </w:rPr>
        <w:t>Program on the geopolitical implications of globalization and transnational security</w:t>
      </w:r>
      <w:r w:rsidRPr="006154FB">
        <w:t>, </w:t>
      </w:r>
      <w:r w:rsidRPr="006154FB">
        <w:rPr>
          <w:i/>
          <w:iCs/>
        </w:rPr>
        <w:t>6</w:t>
      </w:r>
      <w:r w:rsidRPr="006154FB">
        <w:t>(1-21).</w:t>
      </w:r>
      <w:r w:rsidR="005435E8">
        <w:t xml:space="preserve"> </w:t>
      </w:r>
      <w:r w:rsidR="00481ABC">
        <w:t>(</w:t>
      </w:r>
      <w:r w:rsidR="005435E8">
        <w:t>Accessed on 28</w:t>
      </w:r>
      <w:r w:rsidR="00481ABC">
        <w:t xml:space="preserve">  October 2025)  </w:t>
      </w:r>
    </w:p>
    <w:p w14:paraId="30D7D57D" w14:textId="386A10C4" w:rsidR="003F3B36" w:rsidRDefault="003F3B36" w:rsidP="003F3B36">
      <w:pPr>
        <w:pStyle w:val="NormalWeb"/>
        <w:numPr>
          <w:ilvl w:val="0"/>
          <w:numId w:val="4"/>
        </w:numPr>
      </w:pPr>
      <w:r>
        <w:t xml:space="preserve">Ashurst. (2024). </w:t>
      </w:r>
      <w:r>
        <w:rPr>
          <w:rStyle w:val="Emphasis"/>
          <w:rFonts w:eastAsiaTheme="majorEastAsia"/>
        </w:rPr>
        <w:t>Dutch Court of Appeal Overturns Shell Emissions Ruling: Implications for Corporate Climate Responsibility</w:t>
      </w:r>
      <w:r>
        <w:t xml:space="preserve">. Available at: </w:t>
      </w:r>
      <w:hyperlink r:id="rId6" w:history="1">
        <w:r w:rsidRPr="001175EF">
          <w:rPr>
            <w:rStyle w:val="Hyperlink"/>
          </w:rPr>
          <w:t>https://www.ashurst.com/en/insights/dutch-court-of-appeal-overturns-shell-emissions-ruling/</w:t>
        </w:r>
      </w:hyperlink>
      <w:r>
        <w:t>. Accessed at (02</w:t>
      </w:r>
      <w:r w:rsidR="00164C89">
        <w:t xml:space="preserve">  November  </w:t>
      </w:r>
      <w:r>
        <w:t xml:space="preserve">2025. </w:t>
      </w:r>
    </w:p>
    <w:p w14:paraId="7934C34E" w14:textId="08D27E7E" w:rsidR="006154FB" w:rsidRDefault="006154FB" w:rsidP="006154FB">
      <w:pPr>
        <w:pStyle w:val="ListParagraph"/>
        <w:numPr>
          <w:ilvl w:val="0"/>
          <w:numId w:val="4"/>
        </w:numPr>
      </w:pPr>
      <w:r w:rsidRPr="006154FB">
        <w:t xml:space="preserve">Verbeke, A., </w:t>
      </w:r>
      <w:r w:rsidR="004868BC">
        <w:t>(</w:t>
      </w:r>
      <w:r w:rsidRPr="006154FB">
        <w:t>2013</w:t>
      </w:r>
      <w:r w:rsidR="004868BC">
        <w:t>)</w:t>
      </w:r>
      <w:r w:rsidRPr="006154FB">
        <w:t>. </w:t>
      </w:r>
      <w:r w:rsidRPr="006154FB">
        <w:rPr>
          <w:i/>
          <w:iCs/>
        </w:rPr>
        <w:t>International business strategy</w:t>
      </w:r>
      <w:r w:rsidRPr="006154FB">
        <w:t>. Cambridge university press.</w:t>
      </w:r>
      <w:r w:rsidR="005435E8">
        <w:t xml:space="preserve"> </w:t>
      </w:r>
      <w:r w:rsidR="00481ABC">
        <w:t>(</w:t>
      </w:r>
      <w:r w:rsidR="005435E8">
        <w:t>Accessed on 28</w:t>
      </w:r>
      <w:r w:rsidR="00481ABC">
        <w:t xml:space="preserve">   October  </w:t>
      </w:r>
      <w:r w:rsidR="005435E8">
        <w:t>2025</w:t>
      </w:r>
      <w:r w:rsidR="00481ABC">
        <w:t>)</w:t>
      </w:r>
      <w:r w:rsidR="005435E8">
        <w:t xml:space="preserve">. </w:t>
      </w:r>
    </w:p>
    <w:p w14:paraId="2676A369" w14:textId="795592F3" w:rsidR="0054503F" w:rsidRDefault="00270C23" w:rsidP="006154FB">
      <w:pPr>
        <w:pStyle w:val="ListParagraph"/>
        <w:numPr>
          <w:ilvl w:val="0"/>
          <w:numId w:val="4"/>
        </w:numPr>
      </w:pPr>
      <w:r>
        <w:t>C3.ai</w:t>
      </w:r>
      <w:r w:rsidR="007D0657">
        <w:t>(2022)</w:t>
      </w:r>
      <w:r>
        <w:t>, Shell’s Ai Global Effort</w:t>
      </w:r>
      <w:r w:rsidR="0054503F">
        <w:t xml:space="preserve">: Available at </w:t>
      </w:r>
      <w:r w:rsidR="0054503F" w:rsidRPr="0054503F">
        <w:t>https://c3.ai/enterprise-ai-at-shell/</w:t>
      </w:r>
      <w:r w:rsidR="0054503F">
        <w:t xml:space="preserve"> . </w:t>
      </w:r>
      <w:r w:rsidR="00164C89">
        <w:t>(</w:t>
      </w:r>
      <w:r w:rsidR="0054503F">
        <w:t>Accessed on 28</w:t>
      </w:r>
      <w:r w:rsidR="00481ABC">
        <w:t xml:space="preserve">   October  </w:t>
      </w:r>
      <w:r w:rsidR="0054503F">
        <w:t>2025).</w:t>
      </w:r>
    </w:p>
    <w:p w14:paraId="3660E414" w14:textId="7006B4C0" w:rsidR="001942D6" w:rsidRDefault="001942D6" w:rsidP="001942D6">
      <w:pPr>
        <w:pStyle w:val="NormalWeb"/>
        <w:numPr>
          <w:ilvl w:val="0"/>
          <w:numId w:val="4"/>
        </w:numPr>
      </w:pPr>
      <w:r>
        <w:t xml:space="preserve">Carroll, N., et al. (2023). How Shell </w:t>
      </w:r>
      <w:proofErr w:type="spellStart"/>
      <w:r>
        <w:t>Fueled</w:t>
      </w:r>
      <w:proofErr w:type="spellEnd"/>
      <w:r>
        <w:t xml:space="preserve"> Digital Transformation by Establishing DIY Software Development. </w:t>
      </w:r>
      <w:r>
        <w:rPr>
          <w:rStyle w:val="Emphasis"/>
          <w:rFonts w:eastAsiaTheme="majorEastAsia"/>
        </w:rPr>
        <w:t>MIS Quarterly Executive</w:t>
      </w:r>
      <w:r>
        <w:t xml:space="preserve">, </w:t>
      </w:r>
      <w:r>
        <w:rPr>
          <w:rStyle w:val="Emphasis"/>
          <w:rFonts w:eastAsiaTheme="majorEastAsia"/>
        </w:rPr>
        <w:t>22</w:t>
      </w:r>
      <w:r>
        <w:t xml:space="preserve">(2). Available at: </w:t>
      </w:r>
      <w:hyperlink r:id="rId7" w:history="1">
        <w:r w:rsidR="00026995" w:rsidRPr="001175EF">
          <w:rPr>
            <w:rStyle w:val="Hyperlink"/>
          </w:rPr>
          <w:t>https://www.researchgate.net/publication/366606376_How_Shell_Fueled_Digital_Transformation_by_Establishing_DIY_Software_Development</w:t>
        </w:r>
      </w:hyperlink>
      <w:r w:rsidR="00164C89">
        <w:t>.  (Accessed on  29 October 2025).</w:t>
      </w:r>
    </w:p>
    <w:p w14:paraId="027F4ABA" w14:textId="14F8E5BA" w:rsidR="00026995" w:rsidRDefault="00026995" w:rsidP="00026995">
      <w:pPr>
        <w:pStyle w:val="NormalWeb"/>
        <w:numPr>
          <w:ilvl w:val="0"/>
          <w:numId w:val="4"/>
        </w:numPr>
      </w:pPr>
      <w:r>
        <w:t xml:space="preserve">DevelopmentAid. (2024). </w:t>
      </w:r>
      <w:r>
        <w:rPr>
          <w:rStyle w:val="Emphasis"/>
          <w:rFonts w:eastAsiaTheme="majorEastAsia"/>
        </w:rPr>
        <w:t>Shell publishes Energy Transition Strategy 2024</w:t>
      </w:r>
      <w:r>
        <w:t xml:space="preserve">. Available at: </w:t>
      </w:r>
      <w:hyperlink r:id="rId8" w:history="1">
        <w:r w:rsidRPr="001175EF">
          <w:rPr>
            <w:rStyle w:val="Hyperlink"/>
          </w:rPr>
          <w:t>https://www.developmentaid.org/news-stream/post/176320/shell-energy-transition-strategy-2024</w:t>
        </w:r>
      </w:hyperlink>
      <w:r>
        <w:t xml:space="preserve">. </w:t>
      </w:r>
      <w:r w:rsidR="00164C89">
        <w:t>(</w:t>
      </w:r>
      <w:r>
        <w:t xml:space="preserve">Accessed </w:t>
      </w:r>
      <w:r w:rsidR="00164C89">
        <w:t>on</w:t>
      </w:r>
      <w:r>
        <w:t xml:space="preserve"> 03</w:t>
      </w:r>
      <w:r w:rsidR="00164C89">
        <w:t xml:space="preserve">  </w:t>
      </w:r>
      <w:proofErr w:type="spellStart"/>
      <w:r w:rsidR="00164C89">
        <w:t>Nnovember</w:t>
      </w:r>
      <w:proofErr w:type="spellEnd"/>
      <w:r w:rsidR="00164C89">
        <w:t xml:space="preserve">  </w:t>
      </w:r>
      <w:r>
        <w:t>2025</w:t>
      </w:r>
      <w:r w:rsidR="00164C89">
        <w:t>)</w:t>
      </w:r>
      <w:r>
        <w:t xml:space="preserve">. </w:t>
      </w:r>
    </w:p>
    <w:p w14:paraId="771BB5EB" w14:textId="61FD8E91" w:rsidR="006F2CEB" w:rsidRDefault="00270C23" w:rsidP="006F2CEB">
      <w:pPr>
        <w:pStyle w:val="ListParagraph"/>
        <w:numPr>
          <w:ilvl w:val="0"/>
          <w:numId w:val="4"/>
        </w:numPr>
      </w:pPr>
      <w:r>
        <w:t xml:space="preserve"> </w:t>
      </w:r>
      <w:r w:rsidR="006F2CEB" w:rsidRPr="006F2CEB">
        <w:t xml:space="preserve">Shell Global. (2025). </w:t>
      </w:r>
      <w:r w:rsidR="006F2CEB" w:rsidRPr="006F2CEB">
        <w:rPr>
          <w:i/>
          <w:iCs/>
        </w:rPr>
        <w:t>The 2025 Energy Security Scenarios</w:t>
      </w:r>
      <w:r w:rsidR="006F2CEB" w:rsidRPr="006F2CEB">
        <w:t xml:space="preserve">. Available at: </w:t>
      </w:r>
      <w:hyperlink r:id="rId9" w:history="1">
        <w:r w:rsidR="006F2CEB" w:rsidRPr="001175EF">
          <w:rPr>
            <w:rStyle w:val="Hyperlink"/>
          </w:rPr>
          <w:t>https://www.shell.com/news-and-insights/scenarios/the-2025-energy-security-scenarios.html</w:t>
        </w:r>
      </w:hyperlink>
      <w:r w:rsidR="006F2CEB">
        <w:t xml:space="preserve">. </w:t>
      </w:r>
      <w:r w:rsidR="00164C89">
        <w:t>(</w:t>
      </w:r>
      <w:r w:rsidR="006F2CEB">
        <w:t>Accessed at</w:t>
      </w:r>
      <w:r w:rsidR="00164C89">
        <w:t xml:space="preserve">  28  October </w:t>
      </w:r>
      <w:r w:rsidR="006F2CEB">
        <w:t xml:space="preserve"> 2025).</w:t>
      </w:r>
    </w:p>
    <w:p w14:paraId="03AA593B" w14:textId="5D18184A" w:rsidR="006F2CEB" w:rsidRPr="006F2CEB" w:rsidRDefault="00862A6B" w:rsidP="006F2CEB">
      <w:pPr>
        <w:pStyle w:val="ListParagraph"/>
        <w:numPr>
          <w:ilvl w:val="0"/>
          <w:numId w:val="4"/>
        </w:numPr>
      </w:pPr>
      <w:proofErr w:type="spellStart"/>
      <w:r>
        <w:t>Linkedin</w:t>
      </w:r>
      <w:proofErr w:type="spellEnd"/>
      <w:r>
        <w:t xml:space="preserve"> (2024): Shell Pauses Red Sea Operations Amidst Rising Geopolitical Tensions; Available at; </w:t>
      </w:r>
      <w:hyperlink r:id="rId10" w:history="1">
        <w:r w:rsidR="008F0783" w:rsidRPr="001175EF">
          <w:rPr>
            <w:rStyle w:val="Hyperlink"/>
          </w:rPr>
          <w:t>https://www.linkedin.com/pulse/shell-pauses-red-sea-operations-amidst-rising-geopolitical-3ajee</w:t>
        </w:r>
      </w:hyperlink>
      <w:r w:rsidR="008F0783">
        <w:t xml:space="preserve">. </w:t>
      </w:r>
      <w:r w:rsidR="00164C89">
        <w:t>(</w:t>
      </w:r>
      <w:r w:rsidR="008F0783">
        <w:t>Accessed at 28</w:t>
      </w:r>
      <w:r w:rsidR="00164C89">
        <w:t xml:space="preserve">  October  </w:t>
      </w:r>
      <w:r w:rsidR="008F0783">
        <w:t xml:space="preserve">2025). </w:t>
      </w:r>
    </w:p>
    <w:p w14:paraId="7B1C3FA5" w14:textId="1B72DFA9" w:rsidR="006154FB" w:rsidRDefault="00213C09" w:rsidP="006154FB">
      <w:pPr>
        <w:pStyle w:val="ListParagraph"/>
        <w:numPr>
          <w:ilvl w:val="0"/>
          <w:numId w:val="4"/>
        </w:numPr>
      </w:pPr>
      <w:r>
        <w:t xml:space="preserve">N. </w:t>
      </w:r>
      <w:proofErr w:type="spellStart"/>
      <w:r>
        <w:t>Sismanis</w:t>
      </w:r>
      <w:proofErr w:type="spellEnd"/>
      <w:r>
        <w:t xml:space="preserve">(2025): </w:t>
      </w:r>
      <w:r w:rsidR="002178B8">
        <w:t>Geopolitical Chaos in the Middle East Emboldens Shell’s Revenue Ambitions</w:t>
      </w:r>
      <w:r w:rsidR="00B81360">
        <w:t xml:space="preserve">; Available at: </w:t>
      </w:r>
      <w:hyperlink r:id="rId11" w:history="1">
        <w:r w:rsidR="009834E9" w:rsidRPr="008D4E2E">
          <w:rPr>
            <w:rStyle w:val="Hyperlink"/>
          </w:rPr>
          <w:t>https://www.tipranks.com/news/geopolitical-chaos-in-the-middle-east-emboldens-shells-shel-revenue-ambitions</w:t>
        </w:r>
      </w:hyperlink>
      <w:r w:rsidR="009834E9">
        <w:t xml:space="preserve">. </w:t>
      </w:r>
      <w:r w:rsidR="00B81360">
        <w:t xml:space="preserve"> ; </w:t>
      </w:r>
      <w:r w:rsidR="009834E9">
        <w:t>(</w:t>
      </w:r>
      <w:r w:rsidR="00B81360">
        <w:t xml:space="preserve">Accessed at </w:t>
      </w:r>
      <w:r w:rsidR="009834E9">
        <w:t xml:space="preserve">29  October </w:t>
      </w:r>
      <w:r w:rsidR="00B81360">
        <w:t>2025)</w:t>
      </w:r>
    </w:p>
    <w:p w14:paraId="3A78171A" w14:textId="225C5B47" w:rsidR="00C77521" w:rsidRDefault="00C77521" w:rsidP="00C77521">
      <w:pPr>
        <w:pStyle w:val="NormalWeb"/>
        <w:numPr>
          <w:ilvl w:val="0"/>
          <w:numId w:val="4"/>
        </w:numPr>
      </w:pPr>
      <w:r>
        <w:t xml:space="preserve">Shell Global. (2024b). </w:t>
      </w:r>
      <w:r>
        <w:rPr>
          <w:rStyle w:val="Emphasis"/>
          <w:rFonts w:eastAsiaTheme="majorEastAsia"/>
        </w:rPr>
        <w:t>Annual Report and Accounts 2024</w:t>
      </w:r>
      <w:r>
        <w:t xml:space="preserve">. Available at: </w:t>
      </w:r>
      <w:hyperlink r:id="rId12" w:history="1">
        <w:r w:rsidRPr="001175EF">
          <w:rPr>
            <w:rStyle w:val="Hyperlink"/>
          </w:rPr>
          <w:t>https://www.shell.com/investors/results-and-reporting/annual-report.html</w:t>
        </w:r>
      </w:hyperlink>
      <w:r>
        <w:t xml:space="preserve">. </w:t>
      </w:r>
      <w:r w:rsidR="009834E9">
        <w:t>(</w:t>
      </w:r>
      <w:r>
        <w:t>Accessed</w:t>
      </w:r>
      <w:r w:rsidR="009834E9">
        <w:t xml:space="preserve"> on 02  November </w:t>
      </w:r>
      <w:r>
        <w:t>2025).</w:t>
      </w:r>
    </w:p>
    <w:p w14:paraId="248A7E5C" w14:textId="021C7878" w:rsidR="00171317" w:rsidRDefault="00171317" w:rsidP="009F0554">
      <w:pPr>
        <w:pStyle w:val="NormalWeb"/>
        <w:numPr>
          <w:ilvl w:val="0"/>
          <w:numId w:val="4"/>
        </w:numPr>
      </w:pPr>
      <w:r>
        <w:t xml:space="preserve">Shell Global. (2024c). </w:t>
      </w:r>
      <w:r>
        <w:rPr>
          <w:rStyle w:val="Emphasis"/>
          <w:rFonts w:eastAsiaTheme="majorEastAsia"/>
        </w:rPr>
        <w:t>Shell Energy Transition Strategy 2024</w:t>
      </w:r>
      <w:r>
        <w:t xml:space="preserve">. Available at: </w:t>
      </w:r>
      <w:hyperlink r:id="rId13" w:history="1">
        <w:r w:rsidRPr="001175EF">
          <w:rPr>
            <w:rStyle w:val="Hyperlink"/>
          </w:rPr>
          <w:t>https://www.shell.com/sustainability/climate/shell-energy-transition-strategy.html</w:t>
        </w:r>
      </w:hyperlink>
      <w:r>
        <w:t xml:space="preserve">. </w:t>
      </w:r>
      <w:r w:rsidR="009834E9">
        <w:t>(</w:t>
      </w:r>
      <w:r>
        <w:t>Accessed at 02</w:t>
      </w:r>
      <w:r w:rsidR="009F0554">
        <w:t xml:space="preserve">  November  </w:t>
      </w:r>
      <w:r>
        <w:t xml:space="preserve">2025). </w:t>
      </w:r>
    </w:p>
    <w:p w14:paraId="14F6D2EB" w14:textId="77777777" w:rsidR="006154FB" w:rsidRDefault="006154FB" w:rsidP="006154FB"/>
    <w:p w14:paraId="78BB313F" w14:textId="77777777" w:rsidR="006154FB" w:rsidRDefault="006154FB" w:rsidP="006154FB"/>
    <w:p w14:paraId="5288BC85" w14:textId="77777777" w:rsidR="006154FB" w:rsidRDefault="006154FB" w:rsidP="006154FB"/>
    <w:p w14:paraId="59D59D0D" w14:textId="77777777" w:rsidR="006154FB" w:rsidRDefault="006154FB" w:rsidP="006154FB"/>
    <w:p w14:paraId="06C9F4AE" w14:textId="77777777" w:rsidR="006154FB" w:rsidRDefault="006154FB" w:rsidP="006154FB"/>
    <w:p w14:paraId="3480A629" w14:textId="77777777" w:rsidR="006154FB" w:rsidRDefault="006154FB" w:rsidP="006154FB"/>
    <w:p w14:paraId="4F456620" w14:textId="77777777" w:rsidR="006154FB" w:rsidRDefault="006154FB" w:rsidP="006154FB"/>
    <w:p w14:paraId="234F2837" w14:textId="77777777" w:rsidR="006154FB" w:rsidRDefault="006154FB" w:rsidP="006154FB"/>
    <w:p w14:paraId="10AF7DD9" w14:textId="77777777" w:rsidR="006154FB" w:rsidRDefault="006154FB" w:rsidP="006154FB"/>
    <w:p w14:paraId="2051FE0F" w14:textId="77777777" w:rsidR="006154FB" w:rsidRDefault="006154FB" w:rsidP="006154FB"/>
    <w:p w14:paraId="145957C9" w14:textId="77777777" w:rsidR="006154FB" w:rsidRPr="006154FB" w:rsidRDefault="006154FB" w:rsidP="006154FB"/>
    <w:p w14:paraId="63911E97" w14:textId="77777777" w:rsidR="00BC0188" w:rsidRDefault="00BC0188"/>
    <w:sectPr w:rsidR="00BC0188" w:rsidSect="00B366A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60DAA"/>
    <w:multiLevelType w:val="multilevel"/>
    <w:tmpl w:val="C61836E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1A9C0339"/>
    <w:multiLevelType w:val="hybridMultilevel"/>
    <w:tmpl w:val="AEF0C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DB4143"/>
    <w:multiLevelType w:val="multilevel"/>
    <w:tmpl w:val="D5F837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3F3042F7"/>
    <w:multiLevelType w:val="hybridMultilevel"/>
    <w:tmpl w:val="98B4D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D9322A"/>
    <w:multiLevelType w:val="hybridMultilevel"/>
    <w:tmpl w:val="8AE86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41289B"/>
    <w:multiLevelType w:val="multilevel"/>
    <w:tmpl w:val="DBACE1B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1544750302">
    <w:abstractNumId w:val="2"/>
  </w:num>
  <w:num w:numId="2" w16cid:durableId="1293557164">
    <w:abstractNumId w:val="5"/>
  </w:num>
  <w:num w:numId="3" w16cid:durableId="1820078273">
    <w:abstractNumId w:val="0"/>
  </w:num>
  <w:num w:numId="4" w16cid:durableId="1305963845">
    <w:abstractNumId w:val="3"/>
  </w:num>
  <w:num w:numId="5" w16cid:durableId="781458865">
    <w:abstractNumId w:val="4"/>
  </w:num>
  <w:num w:numId="6" w16cid:durableId="17837683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188"/>
    <w:rsid w:val="00026995"/>
    <w:rsid w:val="000C136C"/>
    <w:rsid w:val="000C4B7F"/>
    <w:rsid w:val="001363AA"/>
    <w:rsid w:val="00141CB4"/>
    <w:rsid w:val="00156782"/>
    <w:rsid w:val="00156E3D"/>
    <w:rsid w:val="00164C89"/>
    <w:rsid w:val="00171317"/>
    <w:rsid w:val="001736FA"/>
    <w:rsid w:val="001811E6"/>
    <w:rsid w:val="00182049"/>
    <w:rsid w:val="001942D6"/>
    <w:rsid w:val="0019464E"/>
    <w:rsid w:val="001964AD"/>
    <w:rsid w:val="001C11F8"/>
    <w:rsid w:val="001C6445"/>
    <w:rsid w:val="00201AEF"/>
    <w:rsid w:val="00203DEF"/>
    <w:rsid w:val="00213C09"/>
    <w:rsid w:val="002178B8"/>
    <w:rsid w:val="0024136C"/>
    <w:rsid w:val="00245397"/>
    <w:rsid w:val="0025473B"/>
    <w:rsid w:val="00270C23"/>
    <w:rsid w:val="002B67FD"/>
    <w:rsid w:val="003B2841"/>
    <w:rsid w:val="003F3B36"/>
    <w:rsid w:val="00404A57"/>
    <w:rsid w:val="00414B22"/>
    <w:rsid w:val="00481ABC"/>
    <w:rsid w:val="004868BC"/>
    <w:rsid w:val="004A6457"/>
    <w:rsid w:val="0050497A"/>
    <w:rsid w:val="005232AB"/>
    <w:rsid w:val="005435E8"/>
    <w:rsid w:val="0054503F"/>
    <w:rsid w:val="005A205C"/>
    <w:rsid w:val="005B5834"/>
    <w:rsid w:val="005F3202"/>
    <w:rsid w:val="006154FB"/>
    <w:rsid w:val="0061688F"/>
    <w:rsid w:val="006219A9"/>
    <w:rsid w:val="00644858"/>
    <w:rsid w:val="00667BBA"/>
    <w:rsid w:val="00684DBB"/>
    <w:rsid w:val="006A7FD1"/>
    <w:rsid w:val="006C0B44"/>
    <w:rsid w:val="006D1613"/>
    <w:rsid w:val="006F2CEB"/>
    <w:rsid w:val="00700018"/>
    <w:rsid w:val="00785F96"/>
    <w:rsid w:val="00796380"/>
    <w:rsid w:val="007C48EB"/>
    <w:rsid w:val="007D0657"/>
    <w:rsid w:val="00824BDA"/>
    <w:rsid w:val="008300B6"/>
    <w:rsid w:val="00835B32"/>
    <w:rsid w:val="00836654"/>
    <w:rsid w:val="00862A6B"/>
    <w:rsid w:val="0087053F"/>
    <w:rsid w:val="00887DFD"/>
    <w:rsid w:val="008A7902"/>
    <w:rsid w:val="008C4D64"/>
    <w:rsid w:val="008D279E"/>
    <w:rsid w:val="008F0783"/>
    <w:rsid w:val="00913988"/>
    <w:rsid w:val="009208DF"/>
    <w:rsid w:val="0096338F"/>
    <w:rsid w:val="00981155"/>
    <w:rsid w:val="00982469"/>
    <w:rsid w:val="009834E9"/>
    <w:rsid w:val="009D0877"/>
    <w:rsid w:val="009D651D"/>
    <w:rsid w:val="009F0554"/>
    <w:rsid w:val="00A30055"/>
    <w:rsid w:val="00A44AC5"/>
    <w:rsid w:val="00A5736D"/>
    <w:rsid w:val="00A63F35"/>
    <w:rsid w:val="00A727F5"/>
    <w:rsid w:val="00A95088"/>
    <w:rsid w:val="00AE2132"/>
    <w:rsid w:val="00B16210"/>
    <w:rsid w:val="00B366AC"/>
    <w:rsid w:val="00B44AE4"/>
    <w:rsid w:val="00B81360"/>
    <w:rsid w:val="00B82D02"/>
    <w:rsid w:val="00BC0188"/>
    <w:rsid w:val="00C101EC"/>
    <w:rsid w:val="00C7300E"/>
    <w:rsid w:val="00C77521"/>
    <w:rsid w:val="00CA543A"/>
    <w:rsid w:val="00CB6879"/>
    <w:rsid w:val="00CB7B0C"/>
    <w:rsid w:val="00D12A1A"/>
    <w:rsid w:val="00D42449"/>
    <w:rsid w:val="00D70A24"/>
    <w:rsid w:val="00D7636A"/>
    <w:rsid w:val="00DA24B3"/>
    <w:rsid w:val="00DC0313"/>
    <w:rsid w:val="00E444FB"/>
    <w:rsid w:val="00E91F75"/>
    <w:rsid w:val="00EB4FD3"/>
    <w:rsid w:val="00ED6B4F"/>
    <w:rsid w:val="00EF38B5"/>
    <w:rsid w:val="00F03EDD"/>
    <w:rsid w:val="00F05C21"/>
    <w:rsid w:val="00F12CB4"/>
    <w:rsid w:val="00F839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85E5F"/>
  <w15:chartTrackingRefBased/>
  <w15:docId w15:val="{53837A5F-7081-4F04-8FA4-B3C6D0AB5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01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01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01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01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01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01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01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01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01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01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01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01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01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01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01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01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01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0188"/>
    <w:rPr>
      <w:rFonts w:eastAsiaTheme="majorEastAsia" w:cstheme="majorBidi"/>
      <w:color w:val="272727" w:themeColor="text1" w:themeTint="D8"/>
    </w:rPr>
  </w:style>
  <w:style w:type="paragraph" w:styleId="Title">
    <w:name w:val="Title"/>
    <w:basedOn w:val="Normal"/>
    <w:next w:val="Normal"/>
    <w:link w:val="TitleChar"/>
    <w:uiPriority w:val="10"/>
    <w:qFormat/>
    <w:rsid w:val="00BC01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1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01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01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0188"/>
    <w:pPr>
      <w:spacing w:before="160"/>
      <w:jc w:val="center"/>
    </w:pPr>
    <w:rPr>
      <w:i/>
      <w:iCs/>
      <w:color w:val="404040" w:themeColor="text1" w:themeTint="BF"/>
    </w:rPr>
  </w:style>
  <w:style w:type="character" w:customStyle="1" w:styleId="QuoteChar">
    <w:name w:val="Quote Char"/>
    <w:basedOn w:val="DefaultParagraphFont"/>
    <w:link w:val="Quote"/>
    <w:uiPriority w:val="29"/>
    <w:rsid w:val="00BC0188"/>
    <w:rPr>
      <w:i/>
      <w:iCs/>
      <w:color w:val="404040" w:themeColor="text1" w:themeTint="BF"/>
    </w:rPr>
  </w:style>
  <w:style w:type="paragraph" w:styleId="ListParagraph">
    <w:name w:val="List Paragraph"/>
    <w:basedOn w:val="Normal"/>
    <w:uiPriority w:val="34"/>
    <w:qFormat/>
    <w:rsid w:val="00BC0188"/>
    <w:pPr>
      <w:ind w:left="720"/>
      <w:contextualSpacing/>
    </w:pPr>
  </w:style>
  <w:style w:type="character" w:styleId="IntenseEmphasis">
    <w:name w:val="Intense Emphasis"/>
    <w:basedOn w:val="DefaultParagraphFont"/>
    <w:uiPriority w:val="21"/>
    <w:qFormat/>
    <w:rsid w:val="00BC0188"/>
    <w:rPr>
      <w:i/>
      <w:iCs/>
      <w:color w:val="0F4761" w:themeColor="accent1" w:themeShade="BF"/>
    </w:rPr>
  </w:style>
  <w:style w:type="paragraph" w:styleId="IntenseQuote">
    <w:name w:val="Intense Quote"/>
    <w:basedOn w:val="Normal"/>
    <w:next w:val="Normal"/>
    <w:link w:val="IntenseQuoteChar"/>
    <w:uiPriority w:val="30"/>
    <w:qFormat/>
    <w:rsid w:val="00BC01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0188"/>
    <w:rPr>
      <w:i/>
      <w:iCs/>
      <w:color w:val="0F4761" w:themeColor="accent1" w:themeShade="BF"/>
    </w:rPr>
  </w:style>
  <w:style w:type="character" w:styleId="IntenseReference">
    <w:name w:val="Intense Reference"/>
    <w:basedOn w:val="DefaultParagraphFont"/>
    <w:uiPriority w:val="32"/>
    <w:qFormat/>
    <w:rsid w:val="00BC0188"/>
    <w:rPr>
      <w:b/>
      <w:bCs/>
      <w:smallCaps/>
      <w:color w:val="0F4761" w:themeColor="accent1" w:themeShade="BF"/>
      <w:spacing w:val="5"/>
    </w:rPr>
  </w:style>
  <w:style w:type="paragraph" w:styleId="TOCHeading">
    <w:name w:val="TOC Heading"/>
    <w:basedOn w:val="Heading1"/>
    <w:next w:val="Normal"/>
    <w:uiPriority w:val="39"/>
    <w:unhideWhenUsed/>
    <w:qFormat/>
    <w:rsid w:val="00CB6879"/>
    <w:pPr>
      <w:spacing w:before="240" w:after="0"/>
      <w:outlineLvl w:val="9"/>
    </w:pPr>
    <w:rPr>
      <w:sz w:val="32"/>
      <w:szCs w:val="32"/>
      <w:lang w:eastAsia="en-GB"/>
    </w:rPr>
  </w:style>
  <w:style w:type="paragraph" w:styleId="TOC2">
    <w:name w:val="toc 2"/>
    <w:basedOn w:val="Normal"/>
    <w:next w:val="Normal"/>
    <w:autoRedefine/>
    <w:uiPriority w:val="39"/>
    <w:unhideWhenUsed/>
    <w:rsid w:val="00CB6879"/>
    <w:pPr>
      <w:spacing w:after="100"/>
      <w:ind w:left="220"/>
    </w:pPr>
  </w:style>
  <w:style w:type="paragraph" w:styleId="TOC1">
    <w:name w:val="toc 1"/>
    <w:basedOn w:val="Normal"/>
    <w:next w:val="Normal"/>
    <w:autoRedefine/>
    <w:uiPriority w:val="39"/>
    <w:unhideWhenUsed/>
    <w:rsid w:val="00CB6879"/>
    <w:pPr>
      <w:spacing w:after="100"/>
    </w:pPr>
  </w:style>
  <w:style w:type="character" w:styleId="Hyperlink">
    <w:name w:val="Hyperlink"/>
    <w:basedOn w:val="DefaultParagraphFont"/>
    <w:uiPriority w:val="99"/>
    <w:unhideWhenUsed/>
    <w:rsid w:val="00CB6879"/>
    <w:rPr>
      <w:color w:val="467886" w:themeColor="hyperlink"/>
      <w:u w:val="single"/>
    </w:rPr>
  </w:style>
  <w:style w:type="character" w:styleId="UnresolvedMention">
    <w:name w:val="Unresolved Mention"/>
    <w:basedOn w:val="DefaultParagraphFont"/>
    <w:uiPriority w:val="99"/>
    <w:semiHidden/>
    <w:unhideWhenUsed/>
    <w:rsid w:val="0054503F"/>
    <w:rPr>
      <w:color w:val="605E5C"/>
      <w:shd w:val="clear" w:color="auto" w:fill="E1DFDD"/>
    </w:rPr>
  </w:style>
  <w:style w:type="paragraph" w:styleId="NormalWeb">
    <w:name w:val="Normal (Web)"/>
    <w:basedOn w:val="Normal"/>
    <w:uiPriority w:val="99"/>
    <w:unhideWhenUsed/>
    <w:rsid w:val="001942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942D6"/>
    <w:rPr>
      <w:i/>
      <w:iCs/>
    </w:rPr>
  </w:style>
  <w:style w:type="paragraph" w:styleId="NoSpacing">
    <w:name w:val="No Spacing"/>
    <w:link w:val="NoSpacingChar"/>
    <w:uiPriority w:val="1"/>
    <w:qFormat/>
    <w:rsid w:val="00B366AC"/>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B366AC"/>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velopmentaid.org/news-stream/post/176320/shell-energy-transition-strategy-2024" TargetMode="External"/><Relationship Id="rId13" Type="http://schemas.openxmlformats.org/officeDocument/2006/relationships/hyperlink" Target="https://www.shell.com/sustainability/climate/shell-energy-transition-strategy.html" TargetMode="External"/><Relationship Id="rId3" Type="http://schemas.openxmlformats.org/officeDocument/2006/relationships/styles" Target="styles.xml"/><Relationship Id="rId7" Type="http://schemas.openxmlformats.org/officeDocument/2006/relationships/hyperlink" Target="https://www.researchgate.net/publication/366606376_How_Shell_Fueled_Digital_Transformation_by_Establishing_DIY_Software_Development" TargetMode="External"/><Relationship Id="rId12" Type="http://schemas.openxmlformats.org/officeDocument/2006/relationships/hyperlink" Target="https://www.shell.com/investors/results-and-reporting/annual-report.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shurst.com/en/insights/dutch-court-of-appeal-overturns-shell-emissions-ruling/" TargetMode="External"/><Relationship Id="rId11" Type="http://schemas.openxmlformats.org/officeDocument/2006/relationships/hyperlink" Target="https://www.tipranks.com/news/geopolitical-chaos-in-the-middle-east-emboldens-shells-shel-revenue-ambition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inkedin.com/pulse/shell-pauses-red-sea-operations-amidst-rising-geopolitical-3ajee" TargetMode="External"/><Relationship Id="rId4" Type="http://schemas.openxmlformats.org/officeDocument/2006/relationships/settings" Target="settings.xml"/><Relationship Id="rId9" Type="http://schemas.openxmlformats.org/officeDocument/2006/relationships/hyperlink" Target="https://www.shell.com/news-and-insights/scenarios/the-2025-energy-security-scenarios.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644748-F996-44DC-80BA-8ACB77A9DBA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2353</Words>
  <Characters>13415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LCBB4016</Company>
  <LinksUpToDate>false</LinksUpToDate>
  <CharactersWithSpaces>15737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business environment</dc:title>
  <dc:subject/>
  <dc:creator>Umair Ahmed (2428436)</dc:creator>
  <cp:keywords/>
  <dc:description/>
  <cp:lastModifiedBy>Ramsha Iftikhar</cp:lastModifiedBy>
  <cp:revision>94</cp:revision>
  <dcterms:created xsi:type="dcterms:W3CDTF">2025-10-28T10:37:00Z</dcterms:created>
  <dcterms:modified xsi:type="dcterms:W3CDTF">2025-11-15T13:26:00Z</dcterms:modified>
</cp:coreProperties>
</file>