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CEFFD" w14:textId="77777777" w:rsidR="00BD548C" w:rsidRDefault="00BD548C" w:rsidP="00BD548C">
      <w:pPr>
        <w:jc w:val="center"/>
        <w:rPr>
          <w:rFonts w:ascii="Arial" w:hAnsi="Arial" w:cs="Arial"/>
          <w:b/>
          <w:bCs/>
          <w:sz w:val="24"/>
          <w:szCs w:val="24"/>
        </w:rPr>
      </w:pPr>
      <w:r>
        <w:rPr>
          <w:rFonts w:ascii="Arial" w:hAnsi="Arial" w:cs="Arial"/>
          <w:b/>
          <w:bCs/>
          <w:sz w:val="24"/>
          <w:szCs w:val="24"/>
        </w:rPr>
        <w:t>BMBM4009 - Contemporary Challenges: Making a Difference</w:t>
      </w:r>
    </w:p>
    <w:p w14:paraId="060FB2C7" w14:textId="77777777" w:rsidR="00BD548C" w:rsidRDefault="00BD548C" w:rsidP="00BD548C">
      <w:pPr>
        <w:rPr>
          <w:rFonts w:ascii="Arial" w:hAnsi="Arial" w:cs="Arial"/>
          <w:b/>
          <w:bCs/>
        </w:rPr>
      </w:pPr>
      <w:r>
        <w:rPr>
          <w:rFonts w:ascii="Arial" w:hAnsi="Arial" w:cs="Arial"/>
          <w:b/>
          <w:bCs/>
        </w:rPr>
        <w:t xml:space="preserve">Assignment 2: Group Presentation and Supporting Material </w:t>
      </w:r>
    </w:p>
    <w:p w14:paraId="234A250E" w14:textId="77777777" w:rsidR="00BD548C" w:rsidRDefault="00BD548C" w:rsidP="00BD548C">
      <w:pPr>
        <w:rPr>
          <w:rFonts w:ascii="Arial" w:hAnsi="Arial" w:cs="Arial"/>
        </w:rPr>
      </w:pPr>
      <w:r>
        <w:rPr>
          <w:rFonts w:ascii="Arial" w:hAnsi="Arial" w:cs="Arial"/>
        </w:rPr>
        <w:t>Your group leader should</w:t>
      </w:r>
      <w:r>
        <w:rPr>
          <w:rFonts w:ascii="Arial" w:hAnsi="Arial" w:cs="Arial"/>
          <w:b/>
          <w:bCs/>
        </w:rPr>
        <w:t xml:space="preserve"> submit a link to your group presentation AND a full copy of your group’s supporting materials.</w:t>
      </w:r>
      <w:r>
        <w:rPr>
          <w:rFonts w:ascii="Arial" w:hAnsi="Arial" w:cs="Arial"/>
        </w:rPr>
        <w:t xml:space="preserve"> </w:t>
      </w:r>
    </w:p>
    <w:p w14:paraId="6E7C5CBB" w14:textId="77777777" w:rsidR="00BD548C" w:rsidRDefault="00BD548C" w:rsidP="00BD548C">
      <w:pPr>
        <w:rPr>
          <w:rFonts w:ascii="Arial" w:hAnsi="Arial" w:cs="Arial"/>
          <w:b/>
          <w:bCs/>
        </w:rPr>
      </w:pPr>
      <w:r>
        <w:rPr>
          <w:rFonts w:ascii="Arial" w:hAnsi="Arial" w:cs="Arial"/>
        </w:rPr>
        <w:t>Each member of the group should</w:t>
      </w:r>
      <w:r>
        <w:rPr>
          <w:rFonts w:ascii="Arial" w:hAnsi="Arial" w:cs="Arial"/>
          <w:b/>
          <w:bCs/>
        </w:rPr>
        <w:t xml:space="preserve"> submit an individual statement of contribution to Turnitin</w:t>
      </w:r>
      <w:r>
        <w:rPr>
          <w:rFonts w:ascii="Arial" w:hAnsi="Arial" w:cs="Arial"/>
        </w:rPr>
        <w:t>.</w:t>
      </w:r>
    </w:p>
    <w:p w14:paraId="33FE5930" w14:textId="77777777" w:rsidR="00BD548C" w:rsidRDefault="00BD548C" w:rsidP="00BD548C">
      <w:pPr>
        <w:rPr>
          <w:rFonts w:ascii="Arial" w:hAnsi="Arial" w:cs="Arial"/>
        </w:rPr>
      </w:pPr>
      <w:r>
        <w:rPr>
          <w:rFonts w:ascii="Arial" w:hAnsi="Arial" w:cs="Arial"/>
        </w:rPr>
        <w:t xml:space="preserve">Please provide the </w:t>
      </w:r>
      <w:r>
        <w:rPr>
          <w:rFonts w:ascii="Arial" w:hAnsi="Arial" w:cs="Arial"/>
          <w:b/>
          <w:bCs/>
        </w:rPr>
        <w:t>link to your Video Presentation</w:t>
      </w:r>
      <w:r>
        <w:rPr>
          <w:rFonts w:ascii="Arial" w:hAnsi="Arial" w:cs="Arial"/>
        </w:rPr>
        <w:t xml:space="preserve"> in the box below:</w:t>
      </w:r>
    </w:p>
    <w:tbl>
      <w:tblPr>
        <w:tblStyle w:val="TableGrid"/>
        <w:tblW w:w="0" w:type="auto"/>
        <w:tblInd w:w="0" w:type="dxa"/>
        <w:tblLook w:val="04A0" w:firstRow="1" w:lastRow="0" w:firstColumn="1" w:lastColumn="0" w:noHBand="0" w:noVBand="1"/>
      </w:tblPr>
      <w:tblGrid>
        <w:gridCol w:w="9016"/>
      </w:tblGrid>
      <w:tr w:rsidR="00BD548C" w14:paraId="32C3FA4D" w14:textId="77777777" w:rsidTr="00BD548C">
        <w:tc>
          <w:tcPr>
            <w:tcW w:w="9016" w:type="dxa"/>
            <w:tcBorders>
              <w:top w:val="single" w:sz="4" w:space="0" w:color="auto"/>
              <w:left w:val="single" w:sz="4" w:space="0" w:color="auto"/>
              <w:bottom w:val="single" w:sz="4" w:space="0" w:color="auto"/>
              <w:right w:val="single" w:sz="4" w:space="0" w:color="auto"/>
            </w:tcBorders>
          </w:tcPr>
          <w:p w14:paraId="3FB0459A" w14:textId="77777777" w:rsidR="00BD548C" w:rsidRDefault="00BD548C">
            <w:pPr>
              <w:spacing w:after="0" w:line="240" w:lineRule="auto"/>
              <w:rPr>
                <w:rFonts w:ascii="Arial" w:hAnsi="Arial" w:cs="Arial"/>
              </w:rPr>
            </w:pPr>
          </w:p>
          <w:p w14:paraId="686B0381" w14:textId="77777777" w:rsidR="00BD548C" w:rsidRDefault="00BD548C">
            <w:pPr>
              <w:spacing w:line="240" w:lineRule="auto"/>
              <w:rPr>
                <w:rFonts w:ascii="Arial" w:hAnsi="Arial" w:cs="Arial"/>
              </w:rPr>
            </w:pPr>
          </w:p>
          <w:p w14:paraId="6C724E8B" w14:textId="01848E34" w:rsidR="00BD548C" w:rsidRDefault="00C36AE3">
            <w:pPr>
              <w:spacing w:line="240" w:lineRule="auto"/>
              <w:rPr>
                <w:rFonts w:ascii="Arial" w:hAnsi="Arial" w:cs="Arial"/>
              </w:rPr>
            </w:pPr>
            <w:hyperlink r:id="rId7" w:history="1">
              <w:r>
                <w:rPr>
                  <w:rStyle w:val="Hyperlink"/>
                </w:rPr>
                <w:t>Contemporary Challenges Making a Difference assigmant2.mp4</w:t>
              </w:r>
            </w:hyperlink>
            <w:r>
              <w:t xml:space="preserve"> </w:t>
            </w:r>
          </w:p>
          <w:p w14:paraId="783C0CCD" w14:textId="77777777" w:rsidR="00BD548C" w:rsidRDefault="00BD548C">
            <w:pPr>
              <w:spacing w:line="240" w:lineRule="auto"/>
              <w:rPr>
                <w:rFonts w:ascii="Arial" w:hAnsi="Arial" w:cs="Arial"/>
              </w:rPr>
            </w:pPr>
          </w:p>
        </w:tc>
      </w:tr>
    </w:tbl>
    <w:p w14:paraId="2366301F" w14:textId="77777777" w:rsidR="00BD548C" w:rsidRDefault="00BD548C" w:rsidP="00BD548C">
      <w:pPr>
        <w:rPr>
          <w:rFonts w:ascii="Arial" w:hAnsi="Arial" w:cs="Arial"/>
        </w:rPr>
      </w:pPr>
    </w:p>
    <w:p w14:paraId="2250C811" w14:textId="77777777" w:rsidR="00BD548C" w:rsidRDefault="00BD548C" w:rsidP="00BD548C">
      <w:pPr>
        <w:rPr>
          <w:rFonts w:ascii="Arial" w:hAnsi="Arial" w:cs="Arial"/>
        </w:rPr>
      </w:pPr>
      <w:r>
        <w:rPr>
          <w:rFonts w:ascii="Arial" w:hAnsi="Arial" w:cs="Arial"/>
        </w:rPr>
        <w:t xml:space="preserve">Please provide the </w:t>
      </w:r>
      <w:r>
        <w:rPr>
          <w:rFonts w:ascii="Arial" w:hAnsi="Arial" w:cs="Arial"/>
          <w:b/>
          <w:bCs/>
        </w:rPr>
        <w:t>names of the members of your group</w:t>
      </w:r>
      <w:r>
        <w:rPr>
          <w:rFonts w:ascii="Arial" w:hAnsi="Arial" w:cs="Arial"/>
        </w:rPr>
        <w:t xml:space="preserve"> below:</w:t>
      </w:r>
    </w:p>
    <w:tbl>
      <w:tblPr>
        <w:tblStyle w:val="TableGrid"/>
        <w:tblW w:w="0" w:type="auto"/>
        <w:tblInd w:w="0" w:type="dxa"/>
        <w:tblLook w:val="04A0" w:firstRow="1" w:lastRow="0" w:firstColumn="1" w:lastColumn="0" w:noHBand="0" w:noVBand="1"/>
      </w:tblPr>
      <w:tblGrid>
        <w:gridCol w:w="9016"/>
      </w:tblGrid>
      <w:tr w:rsidR="00BD548C" w14:paraId="576E4948" w14:textId="77777777" w:rsidTr="00BD548C">
        <w:tc>
          <w:tcPr>
            <w:tcW w:w="9016" w:type="dxa"/>
            <w:tcBorders>
              <w:top w:val="single" w:sz="4" w:space="0" w:color="auto"/>
              <w:left w:val="single" w:sz="4" w:space="0" w:color="auto"/>
              <w:bottom w:val="single" w:sz="4" w:space="0" w:color="auto"/>
              <w:right w:val="single" w:sz="4" w:space="0" w:color="auto"/>
            </w:tcBorders>
          </w:tcPr>
          <w:p w14:paraId="1017ED80" w14:textId="65554A76" w:rsidR="00BD548C" w:rsidRDefault="00BD548C">
            <w:pPr>
              <w:spacing w:line="360" w:lineRule="auto"/>
              <w:rPr>
                <w:rFonts w:ascii="Arial" w:hAnsi="Arial" w:cs="Arial"/>
              </w:rPr>
            </w:pPr>
            <w:r>
              <w:rPr>
                <w:rFonts w:ascii="Arial" w:hAnsi="Arial" w:cs="Arial"/>
              </w:rPr>
              <w:t xml:space="preserve">Ali </w:t>
            </w:r>
            <w:r w:rsidR="00FA6A1B">
              <w:rPr>
                <w:rFonts w:ascii="Arial" w:hAnsi="Arial" w:cs="Arial"/>
              </w:rPr>
              <w:t>Yasin</w:t>
            </w:r>
            <w:r>
              <w:rPr>
                <w:rFonts w:ascii="Arial" w:hAnsi="Arial" w:cs="Arial"/>
              </w:rPr>
              <w:t xml:space="preserve"> </w:t>
            </w:r>
            <w:r w:rsidR="00F93829">
              <w:rPr>
                <w:rFonts w:ascii="Arial" w:hAnsi="Arial" w:cs="Arial"/>
              </w:rPr>
              <w:t>(211</w:t>
            </w:r>
            <w:r w:rsidR="00837E33">
              <w:rPr>
                <w:rFonts w:ascii="Arial" w:hAnsi="Arial" w:cs="Arial"/>
              </w:rPr>
              <w:t>4939)</w:t>
            </w:r>
          </w:p>
          <w:p w14:paraId="58DF7E83" w14:textId="30D6422A" w:rsidR="00BD548C" w:rsidRDefault="00BD548C">
            <w:pPr>
              <w:spacing w:after="0" w:line="360" w:lineRule="auto"/>
              <w:rPr>
                <w:rFonts w:ascii="Arial" w:hAnsi="Arial" w:cs="Arial"/>
              </w:rPr>
            </w:pPr>
            <w:r>
              <w:rPr>
                <w:rFonts w:ascii="Arial" w:hAnsi="Arial" w:cs="Arial"/>
              </w:rPr>
              <w:t xml:space="preserve">Amer Alkadri </w:t>
            </w:r>
            <w:r w:rsidR="00837E33">
              <w:rPr>
                <w:rFonts w:ascii="Arial" w:hAnsi="Arial" w:cs="Arial"/>
              </w:rPr>
              <w:t>(2123935)</w:t>
            </w:r>
          </w:p>
          <w:p w14:paraId="00FEF942" w14:textId="77777777" w:rsidR="00BD548C" w:rsidRDefault="00BD548C">
            <w:pPr>
              <w:spacing w:line="360" w:lineRule="auto"/>
              <w:rPr>
                <w:rFonts w:ascii="Arial" w:hAnsi="Arial" w:cs="Arial"/>
              </w:rPr>
            </w:pPr>
          </w:p>
          <w:p w14:paraId="50ACFD77" w14:textId="77777777" w:rsidR="00BD548C" w:rsidRDefault="00BD548C">
            <w:pPr>
              <w:spacing w:line="360" w:lineRule="auto"/>
              <w:rPr>
                <w:rFonts w:ascii="Arial" w:hAnsi="Arial" w:cs="Arial"/>
              </w:rPr>
            </w:pPr>
          </w:p>
          <w:p w14:paraId="1784A9AE" w14:textId="77777777" w:rsidR="00BD548C" w:rsidRDefault="00BD548C">
            <w:pPr>
              <w:spacing w:line="360" w:lineRule="auto"/>
              <w:rPr>
                <w:rFonts w:ascii="Arial" w:hAnsi="Arial" w:cs="Arial"/>
              </w:rPr>
            </w:pPr>
          </w:p>
        </w:tc>
      </w:tr>
    </w:tbl>
    <w:p w14:paraId="3CFE3D87" w14:textId="77777777" w:rsidR="00BD548C" w:rsidRDefault="00BD548C" w:rsidP="00BD548C">
      <w:pPr>
        <w:rPr>
          <w:rFonts w:ascii="Arial" w:hAnsi="Arial" w:cs="Arial"/>
        </w:rPr>
      </w:pPr>
    </w:p>
    <w:p w14:paraId="008B2CE1" w14:textId="77777777" w:rsidR="00BD548C" w:rsidRDefault="00BD548C" w:rsidP="00BD548C">
      <w:pPr>
        <w:rPr>
          <w:rFonts w:ascii="Arial" w:hAnsi="Arial" w:cs="Arial"/>
          <w:b/>
          <w:bCs/>
        </w:rPr>
      </w:pPr>
      <w:r>
        <w:rPr>
          <w:rFonts w:ascii="Arial" w:hAnsi="Arial" w:cs="Arial"/>
          <w:b/>
          <w:bCs/>
        </w:rPr>
        <w:t xml:space="preserve">Please complete your statement of contribution below: </w:t>
      </w:r>
    </w:p>
    <w:tbl>
      <w:tblPr>
        <w:tblStyle w:val="TableGrid"/>
        <w:tblW w:w="0" w:type="auto"/>
        <w:tblInd w:w="0" w:type="dxa"/>
        <w:tblLook w:val="04A0" w:firstRow="1" w:lastRow="0" w:firstColumn="1" w:lastColumn="0" w:noHBand="0" w:noVBand="1"/>
      </w:tblPr>
      <w:tblGrid>
        <w:gridCol w:w="9016"/>
      </w:tblGrid>
      <w:tr w:rsidR="00BD548C" w14:paraId="58674F71" w14:textId="77777777" w:rsidTr="00BD548C">
        <w:tc>
          <w:tcPr>
            <w:tcW w:w="9016" w:type="dxa"/>
            <w:tcBorders>
              <w:top w:val="single" w:sz="4" w:space="0" w:color="auto"/>
              <w:left w:val="single" w:sz="4" w:space="0" w:color="auto"/>
              <w:bottom w:val="single" w:sz="4" w:space="0" w:color="auto"/>
              <w:right w:val="single" w:sz="4" w:space="0" w:color="auto"/>
            </w:tcBorders>
          </w:tcPr>
          <w:p w14:paraId="76455621" w14:textId="77777777" w:rsidR="00BD548C" w:rsidRDefault="00BD548C">
            <w:pPr>
              <w:spacing w:after="0" w:line="240" w:lineRule="auto"/>
              <w:rPr>
                <w:rFonts w:ascii="Arial" w:hAnsi="Arial" w:cs="Arial"/>
              </w:rPr>
            </w:pPr>
          </w:p>
          <w:p w14:paraId="3138610C" w14:textId="77777777" w:rsidR="00114CBD" w:rsidRPr="008570E2" w:rsidRDefault="00C413EF" w:rsidP="00114CBD">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b/>
                <w:bCs/>
                <w:color w:val="374151"/>
                <w:sz w:val="28"/>
                <w:szCs w:val="28"/>
              </w:rPr>
            </w:pPr>
            <w:r w:rsidRPr="008570E2">
              <w:rPr>
                <w:rFonts w:ascii="Segoe UI" w:hAnsi="Segoe UI" w:cs="Segoe UI"/>
                <w:b/>
                <w:bCs/>
                <w:color w:val="374151"/>
                <w:sz w:val="28"/>
                <w:szCs w:val="28"/>
              </w:rPr>
              <w:t>Introduction:</w:t>
            </w:r>
          </w:p>
          <w:p w14:paraId="7E98C058" w14:textId="4E48267D" w:rsidR="00C413EF" w:rsidRDefault="00C413EF" w:rsidP="00114CBD">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 Recycling </w:t>
            </w:r>
            <w:r w:rsidR="0039049B">
              <w:rPr>
                <w:rFonts w:ascii="Segoe UI" w:hAnsi="Segoe UI" w:cs="Segoe UI"/>
                <w:color w:val="374151"/>
              </w:rPr>
              <w:t>behaviour</w:t>
            </w:r>
            <w:r>
              <w:rPr>
                <w:rFonts w:ascii="Segoe UI" w:hAnsi="Segoe UI" w:cs="Segoe UI"/>
                <w:color w:val="374151"/>
              </w:rPr>
              <w:t xml:space="preserve"> at the Waterfront Campus of UWTSD is currently poor, leading to mixed rubbish in the recycling bins. This situation poses significant challenges for the university in capitalizing on potential cost savings resulting from waste reduction and increased recycling rates. The primary objective of this project is to mitigate waste disposal costs by exploring strategies for waste reduction, reuse, and recycling. By improving recycling </w:t>
            </w:r>
            <w:r w:rsidR="0039049B">
              <w:rPr>
                <w:rFonts w:ascii="Segoe UI" w:hAnsi="Segoe UI" w:cs="Segoe UI"/>
                <w:color w:val="374151"/>
              </w:rPr>
              <w:t>behaviour</w:t>
            </w:r>
            <w:r>
              <w:rPr>
                <w:rFonts w:ascii="Segoe UI" w:hAnsi="Segoe UI" w:cs="Segoe UI"/>
                <w:color w:val="374151"/>
              </w:rPr>
              <w:t>, the university can maximize the financial benefits of efficient waste management while also promoting environmental sustainability.</w:t>
            </w:r>
          </w:p>
          <w:p w14:paraId="696ACEB2" w14:textId="77777777" w:rsidR="00114CBD" w:rsidRPr="008570E2"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b/>
                <w:bCs/>
                <w:color w:val="374151"/>
                <w:sz w:val="28"/>
                <w:szCs w:val="28"/>
              </w:rPr>
            </w:pPr>
            <w:r w:rsidRPr="008570E2">
              <w:rPr>
                <w:rFonts w:ascii="Segoe UI" w:hAnsi="Segoe UI" w:cs="Segoe UI"/>
                <w:b/>
                <w:bCs/>
                <w:color w:val="374151"/>
                <w:sz w:val="28"/>
                <w:szCs w:val="28"/>
              </w:rPr>
              <w:t>Section 1:</w:t>
            </w:r>
          </w:p>
          <w:p w14:paraId="4517DD84" w14:textId="77FFEB0B"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 Analysis of Current Recycling </w:t>
            </w:r>
            <w:r w:rsidR="0039049B">
              <w:rPr>
                <w:rFonts w:ascii="Segoe UI" w:hAnsi="Segoe UI" w:cs="Segoe UI"/>
                <w:color w:val="374151"/>
              </w:rPr>
              <w:t>Behaviour</w:t>
            </w:r>
            <w:r>
              <w:rPr>
                <w:rFonts w:ascii="Segoe UI" w:hAnsi="Segoe UI" w:cs="Segoe UI"/>
                <w:color w:val="374151"/>
              </w:rPr>
              <w:t xml:space="preserve">: At the Waterfront Campus, the existing recycling facilities consist of one bin for general rubbish and another for all recyclable material. However, these bins are often filled with mixed rubbish, hindering the university's ability to take advantage of potential savings. Poor recycling </w:t>
            </w:r>
            <w:r w:rsidR="0039049B">
              <w:rPr>
                <w:rFonts w:ascii="Segoe UI" w:hAnsi="Segoe UI" w:cs="Segoe UI"/>
                <w:color w:val="374151"/>
              </w:rPr>
              <w:t>behaviour</w:t>
            </w:r>
            <w:r>
              <w:rPr>
                <w:rFonts w:ascii="Segoe UI" w:hAnsi="Segoe UI" w:cs="Segoe UI"/>
                <w:color w:val="374151"/>
              </w:rPr>
              <w:t xml:space="preserve"> can be attributed to various factors, including a lack of </w:t>
            </w:r>
            <w:r>
              <w:rPr>
                <w:rFonts w:ascii="Segoe UI" w:hAnsi="Segoe UI" w:cs="Segoe UI"/>
                <w:color w:val="374151"/>
              </w:rPr>
              <w:lastRenderedPageBreak/>
              <w:t>awareness among students and staff, inconvenient bin placement, and inadequate signage. Mixed rubbish in the recycling bins not only complicates the waste management process but also increases waste disposal costs for the university.</w:t>
            </w:r>
          </w:p>
          <w:p w14:paraId="3F99DA02" w14:textId="7CA9EB8F"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Drawing upon theories of </w:t>
            </w:r>
            <w:r w:rsidR="0039049B">
              <w:rPr>
                <w:rFonts w:ascii="Segoe UI" w:hAnsi="Segoe UI" w:cs="Segoe UI"/>
                <w:color w:val="374151"/>
              </w:rPr>
              <w:t>behaviour</w:t>
            </w:r>
            <w:r>
              <w:rPr>
                <w:rFonts w:ascii="Segoe UI" w:hAnsi="Segoe UI" w:cs="Segoe UI"/>
                <w:color w:val="374151"/>
              </w:rPr>
              <w:t xml:space="preserve"> change and waste management, it becomes evident that effective recycling programs require clear communication, education, and convenient infrastructure. Applying concepts such as the Theory of Planned </w:t>
            </w:r>
            <w:r w:rsidR="0039049B">
              <w:rPr>
                <w:rFonts w:ascii="Segoe UI" w:hAnsi="Segoe UI" w:cs="Segoe UI"/>
                <w:color w:val="374151"/>
              </w:rPr>
              <w:t>Behaviour</w:t>
            </w:r>
            <w:r>
              <w:rPr>
                <w:rFonts w:ascii="Segoe UI" w:hAnsi="Segoe UI" w:cs="Segoe UI"/>
                <w:color w:val="374151"/>
              </w:rPr>
              <w:t xml:space="preserve">, which emphasizes the role of attitudes, subjective norms, and perceived </w:t>
            </w:r>
            <w:r w:rsidR="0039049B">
              <w:rPr>
                <w:rFonts w:ascii="Segoe UI" w:hAnsi="Segoe UI" w:cs="Segoe UI"/>
                <w:color w:val="374151"/>
              </w:rPr>
              <w:t>behavioural</w:t>
            </w:r>
            <w:r>
              <w:rPr>
                <w:rFonts w:ascii="Segoe UI" w:hAnsi="Segoe UI" w:cs="Segoe UI"/>
                <w:color w:val="374151"/>
              </w:rPr>
              <w:t xml:space="preserve"> control, can help understand and address the underlying motivations and barriers to recycling. Additionally, adopting persuasive design principles can enhance the visibility and accessibility of recycling bins, improving their </w:t>
            </w:r>
            <w:r w:rsidR="00CA2487">
              <w:rPr>
                <w:rFonts w:ascii="Segoe UI" w:hAnsi="Segoe UI" w:cs="Segoe UI"/>
                <w:color w:val="374151"/>
              </w:rPr>
              <w:t>usability,</w:t>
            </w:r>
            <w:r>
              <w:rPr>
                <w:rFonts w:ascii="Segoe UI" w:hAnsi="Segoe UI" w:cs="Segoe UI"/>
                <w:color w:val="374151"/>
              </w:rPr>
              <w:t xml:space="preserve"> and encouraging proper waste separation.</w:t>
            </w:r>
          </w:p>
          <w:p w14:paraId="0C4D5C64" w14:textId="37F4953B"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To gain a comprehensive understanding of the current recycling </w:t>
            </w:r>
            <w:r w:rsidR="0039049B">
              <w:rPr>
                <w:rFonts w:ascii="Segoe UI" w:hAnsi="Segoe UI" w:cs="Segoe UI"/>
                <w:color w:val="374151"/>
              </w:rPr>
              <w:t>behaviour</w:t>
            </w:r>
            <w:r>
              <w:rPr>
                <w:rFonts w:ascii="Segoe UI" w:hAnsi="Segoe UI" w:cs="Segoe UI"/>
                <w:color w:val="374151"/>
              </w:rPr>
              <w:t xml:space="preserve">, the project team conducted an analysis of the existing recycling facilities and practices at the Waterfront Campus. This analysis involved on-site observations, interviews with campus staff, and a review of relevant literature on recycling </w:t>
            </w:r>
            <w:r w:rsidR="0039049B">
              <w:rPr>
                <w:rFonts w:ascii="Segoe UI" w:hAnsi="Segoe UI" w:cs="Segoe UI"/>
                <w:color w:val="374151"/>
              </w:rPr>
              <w:t>behaviour</w:t>
            </w:r>
            <w:r>
              <w:rPr>
                <w:rFonts w:ascii="Segoe UI" w:hAnsi="Segoe UI" w:cs="Segoe UI"/>
                <w:color w:val="374151"/>
              </w:rPr>
              <w:t xml:space="preserve"> and waste management. The findings revealed a significant gap between the intended recycling practices and the actual </w:t>
            </w:r>
            <w:r w:rsidR="0039049B">
              <w:rPr>
                <w:rFonts w:ascii="Segoe UI" w:hAnsi="Segoe UI" w:cs="Segoe UI"/>
                <w:color w:val="374151"/>
              </w:rPr>
              <w:t>behaviour</w:t>
            </w:r>
            <w:r>
              <w:rPr>
                <w:rFonts w:ascii="Segoe UI" w:hAnsi="Segoe UI" w:cs="Segoe UI"/>
                <w:color w:val="374151"/>
              </w:rPr>
              <w:t xml:space="preserve"> of individuals on campus.</w:t>
            </w:r>
          </w:p>
          <w:p w14:paraId="0EDE1DC1" w14:textId="43C7E543"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One of the key contributing factors to poor recycling </w:t>
            </w:r>
            <w:r w:rsidR="0039049B">
              <w:rPr>
                <w:rFonts w:ascii="Segoe UI" w:hAnsi="Segoe UI" w:cs="Segoe UI"/>
                <w:color w:val="374151"/>
              </w:rPr>
              <w:t>behaviour</w:t>
            </w:r>
            <w:r>
              <w:rPr>
                <w:rFonts w:ascii="Segoe UI" w:hAnsi="Segoe UI" w:cs="Segoe UI"/>
                <w:color w:val="374151"/>
              </w:rPr>
              <w:t xml:space="preserve"> was a lack of awareness and understanding of the importance of recycling. Many individuals on campus were unaware of the potential cost savings and environmental benefits associated with recycling. Moreover, the limited availability of clear and visible signage made it challenging for individuals to distinguish between general waste bins and recycling bins, leading to mixed rubbish.</w:t>
            </w:r>
          </w:p>
          <w:p w14:paraId="7A283C24" w14:textId="4117160D"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Another significant barrier to effective recycling was the inconvenience of recycling facilities. The current bin placement and infrastructure did not encourage proper waste separation. For example, recycling bins were often placed far away from common areas, resulting in individuals opting for the nearest general waste bin instead. This convenience factor played a crucial role in shaping recycling </w:t>
            </w:r>
            <w:r w:rsidR="0039049B">
              <w:rPr>
                <w:rFonts w:ascii="Segoe UI" w:hAnsi="Segoe UI" w:cs="Segoe UI"/>
                <w:color w:val="374151"/>
              </w:rPr>
              <w:t>behaviour</w:t>
            </w:r>
            <w:r>
              <w:rPr>
                <w:rFonts w:ascii="Segoe UI" w:hAnsi="Segoe UI" w:cs="Segoe UI"/>
                <w:color w:val="374151"/>
              </w:rPr>
              <w:t>.</w:t>
            </w:r>
          </w:p>
          <w:p w14:paraId="749838C5" w14:textId="77777777"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The consequences of mixed rubbish in the recycling bins were also explored during the analysis. It was evident that the presence of mixed rubbish increased waste disposal costs for the university. When recyclable materials were contaminated with general waste, it became difficult and costly to separate and recycle those materials effectively. Moreover, the university missed out on potential revenue from recycling programs and lost the opportunity to reduce waste management expenses.</w:t>
            </w:r>
          </w:p>
          <w:p w14:paraId="0EC6DBF9" w14:textId="1491539B"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In conclusion, the analysis of the current recycling </w:t>
            </w:r>
            <w:r w:rsidR="0039049B">
              <w:rPr>
                <w:rFonts w:ascii="Segoe UI" w:hAnsi="Segoe UI" w:cs="Segoe UI"/>
                <w:color w:val="374151"/>
              </w:rPr>
              <w:t>behaviour</w:t>
            </w:r>
            <w:r>
              <w:rPr>
                <w:rFonts w:ascii="Segoe UI" w:hAnsi="Segoe UI" w:cs="Segoe UI"/>
                <w:color w:val="374151"/>
              </w:rPr>
              <w:t xml:space="preserve"> at the Waterfront Campus highlighted the need for targeted interventions to address the lack of </w:t>
            </w:r>
            <w:r>
              <w:rPr>
                <w:rFonts w:ascii="Segoe UI" w:hAnsi="Segoe UI" w:cs="Segoe UI"/>
                <w:color w:val="374151"/>
              </w:rPr>
              <w:lastRenderedPageBreak/>
              <w:t xml:space="preserve">awareness, inconvenience, and inadequate signage. By understanding the underlying factors contributing to poor recycling </w:t>
            </w:r>
            <w:r w:rsidR="0039049B">
              <w:rPr>
                <w:rFonts w:ascii="Segoe UI" w:hAnsi="Segoe UI" w:cs="Segoe UI"/>
                <w:color w:val="374151"/>
              </w:rPr>
              <w:t>behaviour</w:t>
            </w:r>
            <w:r>
              <w:rPr>
                <w:rFonts w:ascii="Segoe UI" w:hAnsi="Segoe UI" w:cs="Segoe UI"/>
                <w:color w:val="374151"/>
              </w:rPr>
              <w:t>, the project team could design effective strategies and interventions for improvement.</w:t>
            </w:r>
          </w:p>
          <w:p w14:paraId="324939A2" w14:textId="77777777" w:rsidR="008570E2" w:rsidRPr="008570E2"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b/>
                <w:bCs/>
                <w:color w:val="374151"/>
                <w:sz w:val="28"/>
                <w:szCs w:val="28"/>
              </w:rPr>
            </w:pPr>
            <w:r w:rsidRPr="008570E2">
              <w:rPr>
                <w:rFonts w:ascii="Segoe UI" w:hAnsi="Segoe UI" w:cs="Segoe UI"/>
                <w:b/>
                <w:bCs/>
                <w:color w:val="374151"/>
                <w:sz w:val="28"/>
                <w:szCs w:val="28"/>
              </w:rPr>
              <w:t xml:space="preserve">Section 2: </w:t>
            </w:r>
          </w:p>
          <w:p w14:paraId="7DF1A36A" w14:textId="0DD33EC0"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Prototype Development: To address the poor recycling </w:t>
            </w:r>
            <w:r w:rsidR="0039049B">
              <w:rPr>
                <w:rFonts w:ascii="Segoe UI" w:hAnsi="Segoe UI" w:cs="Segoe UI"/>
                <w:color w:val="374151"/>
              </w:rPr>
              <w:t>behaviour</w:t>
            </w:r>
            <w:r>
              <w:rPr>
                <w:rFonts w:ascii="Segoe UI" w:hAnsi="Segoe UI" w:cs="Segoe UI"/>
                <w:color w:val="374151"/>
              </w:rPr>
              <w:t xml:space="preserve"> at the Waterfront Campus, the project team embarked on a prototype development process using a Design Thinking approach. This approach allowed for a systematic and user-</w:t>
            </w:r>
            <w:r w:rsidR="0039049B">
              <w:rPr>
                <w:rFonts w:ascii="Segoe UI" w:hAnsi="Segoe UI" w:cs="Segoe UI"/>
                <w:color w:val="374151"/>
              </w:rPr>
              <w:t>cantered</w:t>
            </w:r>
            <w:r>
              <w:rPr>
                <w:rFonts w:ascii="Segoe UI" w:hAnsi="Segoe UI" w:cs="Segoe UI"/>
                <w:color w:val="374151"/>
              </w:rPr>
              <w:t xml:space="preserve"> exploration of potential solutions. The prototype aimed to improve recycling </w:t>
            </w:r>
            <w:r w:rsidR="0039049B">
              <w:rPr>
                <w:rFonts w:ascii="Segoe UI" w:hAnsi="Segoe UI" w:cs="Segoe UI"/>
                <w:color w:val="374151"/>
              </w:rPr>
              <w:t>behaviour</w:t>
            </w:r>
            <w:r>
              <w:rPr>
                <w:rFonts w:ascii="Segoe UI" w:hAnsi="Segoe UI" w:cs="Segoe UI"/>
                <w:color w:val="374151"/>
              </w:rPr>
              <w:t xml:space="preserve"> through three main interventions: improved recycling bin signage, educational campaigns, and enhanced waste separation systems.</w:t>
            </w:r>
          </w:p>
          <w:p w14:paraId="3A17100C" w14:textId="77777777"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The development of the prototype began with an extensive research phase. The team conducted a review of best practices in recycling behaviour change and waste management, drawing insights from academic literature, case studies, and successful initiatives in other educational institutions. The research provided a foundation of knowledge to inform the subsequent steps of the prototype development process.</w:t>
            </w:r>
          </w:p>
          <w:p w14:paraId="21CF5DA0" w14:textId="77777777"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Brainstorming and ideation sessions were then conducted to generate a range of concepts and ideas. The team leveraged their research findings and insights to develop innovative approaches to address the identified challenges. Concepts such as gamification, rewards systems, and social influence techniques were explored to encourage positive recycling behaviour. After careful evaluation, the most promising concept was selected for further development.</w:t>
            </w:r>
          </w:p>
          <w:p w14:paraId="2B477E9F" w14:textId="6F33863D"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The selected concept involved a multi-faceted approach that integrated improved recycling bin signage, educational campaigns, and enhanced waste separation systems. The new signage aimed to provide clear instructions, visual cues, and engaging messages to increase awareness and guide users in proper waste disposal. By using intuitive symbols, </w:t>
            </w:r>
            <w:r w:rsidR="0039049B">
              <w:rPr>
                <w:rFonts w:ascii="Segoe UI" w:hAnsi="Segoe UI" w:cs="Segoe UI"/>
                <w:color w:val="374151"/>
              </w:rPr>
              <w:t>colour</w:t>
            </w:r>
            <w:r>
              <w:rPr>
                <w:rFonts w:ascii="Segoe UI" w:hAnsi="Segoe UI" w:cs="Segoe UI"/>
                <w:color w:val="374151"/>
              </w:rPr>
              <w:t xml:space="preserve"> coding, and concise instructions, the signage aimed to simplify the recycling process and eliminate confusion.</w:t>
            </w:r>
          </w:p>
          <w:p w14:paraId="70D155C7" w14:textId="77777777"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The educational campaigns were designed to educate and raise awareness among students and staff about the importance of recycling and the impact of their actions on the environment. These campaigns utilized a variety of mediums, including posters, social media, and workshops, to disseminate information and engage the campus community. The goal was to foster a sense of responsibility and collective ownership over recycling practices, emphasizing the positive environmental and financial outcomes associated with recycling.</w:t>
            </w:r>
          </w:p>
          <w:p w14:paraId="29D4A017" w14:textId="77777777"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lastRenderedPageBreak/>
              <w:t>To enhance waste separation, the prototype introduced a redesigned bin layout and color-coded bins. The bins were strategically placed in high-traffic areas, making recycling more convenient and accessible for individuals on campus. By clearly differentiating between general waste and recyclable materials, the enhanced waste separation systems aimed to minimize contamination and maximize recycling efficiency.</w:t>
            </w:r>
          </w:p>
          <w:p w14:paraId="5D0E624D" w14:textId="77777777"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During the development phase, the project team experienced a sense of enthusiasm and determination to make a positive impact on campus recycling. The multidisciplinary nature of the team allowed for diverse perspectives and expertise, contributing to the development of a comprehensive and innovative prototype. However, the team also encountered challenges, particularly in securing financial resources and collaborating with various stakeholders.</w:t>
            </w:r>
          </w:p>
          <w:p w14:paraId="0BDE1CE9" w14:textId="77777777" w:rsidR="00C413EF" w:rsidRDefault="00C413EF" w:rsidP="00C413E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The importance of effective communication and negotiation skills became evident during the prototype development phase. The team needed to communicate the benefits of the proposed interventions to stakeholders, gain their support, and secure the necessary resources. Collaborating with campus facilities management, environmental committees, and student organizations played a vital role in garnering support and creating a sense of ownership among different groups.</w:t>
            </w:r>
          </w:p>
          <w:p w14:paraId="0137E560" w14:textId="541C7888" w:rsidR="00BD548C" w:rsidRPr="00865E43" w:rsidRDefault="00C413EF" w:rsidP="00865E43">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rPr>
            </w:pPr>
            <w:r>
              <w:rPr>
                <w:rFonts w:ascii="Segoe UI" w:hAnsi="Segoe UI" w:cs="Segoe UI"/>
                <w:color w:val="374151"/>
              </w:rPr>
              <w:t>In conclusion, the prototype development phase involved rigorous research, ideation, and collaboration to design a comprehensive intervention aimed at improving recycling behaviour at the Waterfront Campus. The prototype integrated improved signage, educational campaigns, and enhanced waste separation systems to address the identified challenges and encourage positive recycling practices.</w:t>
            </w:r>
          </w:p>
        </w:tc>
      </w:tr>
    </w:tbl>
    <w:p w14:paraId="0E5F8B68" w14:textId="77777777" w:rsidR="00BD548C" w:rsidRDefault="00BD548C" w:rsidP="00BD548C">
      <w:pPr>
        <w:rPr>
          <w:rFonts w:ascii="Arial" w:hAnsi="Arial" w:cs="Arial"/>
        </w:rPr>
      </w:pPr>
    </w:p>
    <w:p w14:paraId="571F299B" w14:textId="6EAD967C" w:rsidR="002B6F31" w:rsidRDefault="002B6F31" w:rsidP="00BD548C"/>
    <w:sectPr w:rsidR="002B6F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48C"/>
    <w:rsid w:val="00114CBD"/>
    <w:rsid w:val="00234175"/>
    <w:rsid w:val="0027249D"/>
    <w:rsid w:val="002B6F31"/>
    <w:rsid w:val="00387C33"/>
    <w:rsid w:val="0039049B"/>
    <w:rsid w:val="00837E33"/>
    <w:rsid w:val="008570E2"/>
    <w:rsid w:val="00865E43"/>
    <w:rsid w:val="00BD548C"/>
    <w:rsid w:val="00C36AE3"/>
    <w:rsid w:val="00C413EF"/>
    <w:rsid w:val="00CA2487"/>
    <w:rsid w:val="00EB4026"/>
    <w:rsid w:val="00F93829"/>
    <w:rsid w:val="00FA6A1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D92EA"/>
  <w15:chartTrackingRefBased/>
  <w15:docId w15:val="{98FD4693-9B89-442A-BFE1-7DB0F903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48C"/>
    <w:pPr>
      <w:spacing w:line="256"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D548C"/>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413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36AE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25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uowtsd-my.sharepoint.com/:v:/r/personal/2123935_student_uwtsd_ac_uk/Documents/Contemporary%20Challenges%20Making%20a%20Difference%20assigmant2.mp4?csf=1&amp;web=1&amp;e=Mwc9I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cfc01e556e2c5266183835c54dab3af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7c5fa2d576dc11d03293fe559dc6e1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15346DDD-BB51-4436-A0F3-2329DF37E1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49903F-A235-409C-9AA0-C78E46391F17}">
  <ds:schemaRefs>
    <ds:schemaRef ds:uri="http://schemas.microsoft.com/sharepoint/v3/contenttype/forms"/>
  </ds:schemaRefs>
</ds:datastoreItem>
</file>

<file path=customXml/itemProps3.xml><?xml version="1.0" encoding="utf-8"?>
<ds:datastoreItem xmlns:ds="http://schemas.openxmlformats.org/officeDocument/2006/customXml" ds:itemID="{280CF0A1-45E9-411F-A3E5-6A605A0C7678}">
  <ds:schemaRefs>
    <ds:schemaRef ds:uri="http://schemas.microsoft.com/office/2006/metadata/properties"/>
    <ds:schemaRef ds:uri="http://purl.org/dc/dcmitype/"/>
    <ds:schemaRef ds:uri="http://schemas.microsoft.com/office/infopath/2007/PartnerControls"/>
    <ds:schemaRef ds:uri="da3f2772-8f1e-4acb-bd98-3a0ee892f48a"/>
    <ds:schemaRef ds:uri="http://purl.org/dc/elements/1.1/"/>
    <ds:schemaRef ds:uri="http://schemas.microsoft.com/office/2006/documentManagement/types"/>
    <ds:schemaRef ds:uri="http://purl.org/dc/terms/"/>
    <ds:schemaRef ds:uri="http://www.w3.org/XML/1998/namespace"/>
    <ds:schemaRef ds:uri="http://schemas.openxmlformats.org/package/2006/metadata/core-properties"/>
    <ds:schemaRef ds:uri="0cb976d4-72d8-43fd-a100-21d54766e9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1332</Words>
  <Characters>7596</Characters>
  <Application>Microsoft Office Word</Application>
  <DocSecurity>0</DocSecurity>
  <Lines>63</Lines>
  <Paragraphs>17</Paragraphs>
  <ScaleCrop>false</ScaleCrop>
  <Company/>
  <LinksUpToDate>false</LinksUpToDate>
  <CharactersWithSpaces>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Amer Alkadri (2123935)</dc:creator>
  <cp:keywords/>
  <dc:description/>
  <cp:lastModifiedBy>Amer Alkadri (2123935)</cp:lastModifiedBy>
  <cp:revision>2</cp:revision>
  <dcterms:created xsi:type="dcterms:W3CDTF">2023-05-19T01:03:00Z</dcterms:created>
  <dcterms:modified xsi:type="dcterms:W3CDTF">2023-05-19T01:03:00Z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