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71E25" w14:textId="77777777" w:rsidR="008B279C" w:rsidRDefault="008B279C" w:rsidP="008B279C">
      <w:pPr>
        <w:pStyle w:val="a0"/>
        <w:ind w:firstLine="0"/>
        <w:rPr>
          <w:rFonts w:ascii="Times New Roman" w:hAnsi="Times New Roman" w:cs="Times New Roman"/>
        </w:rPr>
      </w:pPr>
    </w:p>
    <w:p w14:paraId="5634205F" w14:textId="77777777" w:rsidR="008B279C" w:rsidRDefault="008B279C" w:rsidP="008B279C">
      <w:pPr>
        <w:pStyle w:val="a0"/>
        <w:ind w:firstLine="0"/>
        <w:rPr>
          <w:rFonts w:ascii="Times New Roman" w:hAnsi="Times New Roman" w:cs="Times New Roman"/>
        </w:rPr>
      </w:pPr>
    </w:p>
    <w:p w14:paraId="06408FA9" w14:textId="77777777" w:rsidR="008B279C" w:rsidRDefault="008B279C" w:rsidP="008B279C">
      <w:pPr>
        <w:pStyle w:val="a0"/>
        <w:ind w:firstLine="0"/>
        <w:rPr>
          <w:rFonts w:ascii="Times New Roman" w:hAnsi="Times New Roman" w:cs="Times New Roman"/>
        </w:rPr>
      </w:pPr>
    </w:p>
    <w:p w14:paraId="60F4A85F" w14:textId="77777777" w:rsidR="008B279C" w:rsidRDefault="008B279C" w:rsidP="008B279C">
      <w:pPr>
        <w:pStyle w:val="a0"/>
        <w:ind w:firstLine="0"/>
        <w:rPr>
          <w:rFonts w:ascii="Times New Roman" w:hAnsi="Times New Roman" w:cs="Times New Roman"/>
        </w:rPr>
      </w:pPr>
    </w:p>
    <w:p w14:paraId="53831D0B" w14:textId="75D3FF43" w:rsidR="0063248F" w:rsidRDefault="00E20869" w:rsidP="008B279C">
      <w:pPr>
        <w:pStyle w:val="a0"/>
        <w:ind w:firstLine="0"/>
        <w:rPr>
          <w:rFonts w:ascii="Times New Roman" w:hAnsi="Times New Roman" w:cs="Times New Roman"/>
        </w:rPr>
      </w:pPr>
      <w:r w:rsidRPr="008B279C">
        <w:rPr>
          <w:rFonts w:ascii="Times New Roman" w:hAnsi="Times New Roman" w:cs="Times New Roman"/>
        </w:rPr>
        <w:t>Strategic Assessment and of Personalized Customer Care in Konami Corporation</w:t>
      </w:r>
    </w:p>
    <w:p w14:paraId="12D0A34D" w14:textId="77777777" w:rsidR="008B279C" w:rsidRDefault="008B279C" w:rsidP="008B279C"/>
    <w:p w14:paraId="76077E1F" w14:textId="77777777" w:rsidR="008B279C" w:rsidRDefault="008B279C" w:rsidP="008B279C"/>
    <w:p w14:paraId="4224A60D" w14:textId="77777777" w:rsidR="008B279C" w:rsidRDefault="008B279C" w:rsidP="008B279C"/>
    <w:p w14:paraId="78080487" w14:textId="77777777" w:rsidR="008B279C" w:rsidRDefault="008B279C" w:rsidP="008B279C"/>
    <w:p w14:paraId="06C2DCC0" w14:textId="77777777" w:rsidR="008B279C" w:rsidRDefault="008B279C" w:rsidP="008B279C"/>
    <w:p w14:paraId="6DDDF264" w14:textId="77777777" w:rsidR="008B279C" w:rsidRDefault="008B279C" w:rsidP="008B279C"/>
    <w:p w14:paraId="4576259F" w14:textId="77777777" w:rsidR="008B279C" w:rsidRDefault="008B279C" w:rsidP="008B279C"/>
    <w:p w14:paraId="49E4ECD6" w14:textId="77777777" w:rsidR="008B279C" w:rsidRPr="008B279C" w:rsidRDefault="008B279C" w:rsidP="008B279C">
      <w:pPr>
        <w:rPr>
          <w:rFonts w:hint="eastAsia"/>
        </w:rPr>
      </w:pPr>
    </w:p>
    <w:p w14:paraId="11DFB6CD" w14:textId="77777777" w:rsidR="008B279C" w:rsidRDefault="008B279C" w:rsidP="008B279C"/>
    <w:p w14:paraId="67C601FB" w14:textId="77777777" w:rsidR="008B279C" w:rsidRDefault="008B279C" w:rsidP="008B279C"/>
    <w:p w14:paraId="672043B9" w14:textId="77777777" w:rsidR="008B279C" w:rsidRDefault="008B279C" w:rsidP="008B279C"/>
    <w:p w14:paraId="478607B8" w14:textId="77777777" w:rsidR="008B279C" w:rsidRDefault="008B279C" w:rsidP="008B279C"/>
    <w:p w14:paraId="4C1413F4" w14:textId="77777777" w:rsidR="008B279C" w:rsidRDefault="008B279C" w:rsidP="008B279C"/>
    <w:p w14:paraId="0EC09487" w14:textId="77777777" w:rsidR="008B279C" w:rsidRDefault="008B279C" w:rsidP="008B279C"/>
    <w:p w14:paraId="09FA11F0" w14:textId="77777777" w:rsidR="008B279C" w:rsidRDefault="008B279C" w:rsidP="008B279C"/>
    <w:p w14:paraId="6C551D0B" w14:textId="77777777" w:rsidR="008B279C" w:rsidRPr="002072FB" w:rsidRDefault="008B279C" w:rsidP="008B279C">
      <w:pPr>
        <w:spacing w:line="360" w:lineRule="auto"/>
        <w:ind w:firstLineChars="650" w:firstLine="1560"/>
        <w:jc w:val="left"/>
        <w:rPr>
          <w:szCs w:val="32"/>
        </w:rPr>
      </w:pPr>
      <w:proofErr w:type="gramStart"/>
      <w:r w:rsidRPr="002072FB">
        <w:rPr>
          <w:szCs w:val="32"/>
        </w:rPr>
        <w:t>Name :</w:t>
      </w:r>
      <w:proofErr w:type="gramEnd"/>
      <w:r w:rsidRPr="00A4601B">
        <w:rPr>
          <w:szCs w:val="32"/>
          <w:u w:val="single"/>
        </w:rPr>
        <w:t xml:space="preserve">            Huang </w:t>
      </w:r>
      <w:proofErr w:type="spellStart"/>
      <w:r w:rsidRPr="00A4601B">
        <w:rPr>
          <w:szCs w:val="32"/>
          <w:u w:val="single"/>
        </w:rPr>
        <w:t>Dongxue</w:t>
      </w:r>
      <w:proofErr w:type="spellEnd"/>
      <w:r w:rsidRPr="00A4601B">
        <w:rPr>
          <w:szCs w:val="32"/>
          <w:u w:val="single"/>
        </w:rPr>
        <w:t xml:space="preserve">           </w:t>
      </w:r>
    </w:p>
    <w:p w14:paraId="184823AA" w14:textId="77777777" w:rsidR="008B279C" w:rsidRPr="002072FB" w:rsidRDefault="008B279C" w:rsidP="008B279C">
      <w:pPr>
        <w:spacing w:line="360" w:lineRule="auto"/>
        <w:ind w:firstLineChars="650" w:firstLine="1560"/>
        <w:jc w:val="left"/>
        <w:rPr>
          <w:szCs w:val="32"/>
        </w:rPr>
      </w:pPr>
      <w:r w:rsidRPr="002072FB">
        <w:rPr>
          <w:szCs w:val="32"/>
        </w:rPr>
        <w:t xml:space="preserve">Student </w:t>
      </w:r>
      <w:proofErr w:type="gramStart"/>
      <w:r w:rsidRPr="002072FB">
        <w:rPr>
          <w:szCs w:val="32"/>
        </w:rPr>
        <w:t>number :</w:t>
      </w:r>
      <w:proofErr w:type="gramEnd"/>
      <w:r w:rsidRPr="00A4601B">
        <w:rPr>
          <w:szCs w:val="32"/>
          <w:u w:val="single"/>
        </w:rPr>
        <w:t xml:space="preserve">       2229180              </w:t>
      </w:r>
    </w:p>
    <w:p w14:paraId="228CDD31" w14:textId="77777777" w:rsidR="008B279C" w:rsidRPr="002072FB" w:rsidRDefault="008B279C" w:rsidP="008B279C">
      <w:pPr>
        <w:spacing w:line="360" w:lineRule="auto"/>
        <w:ind w:firstLineChars="650" w:firstLine="1560"/>
        <w:jc w:val="left"/>
        <w:rPr>
          <w:szCs w:val="32"/>
        </w:rPr>
      </w:pPr>
      <w:r w:rsidRPr="002072FB">
        <w:rPr>
          <w:szCs w:val="32"/>
        </w:rPr>
        <w:t xml:space="preserve">Module </w:t>
      </w:r>
      <w:proofErr w:type="gramStart"/>
      <w:r w:rsidRPr="002072FB">
        <w:rPr>
          <w:szCs w:val="32"/>
        </w:rPr>
        <w:t>code :</w:t>
      </w:r>
      <w:proofErr w:type="gramEnd"/>
      <w:r w:rsidRPr="00A4601B">
        <w:rPr>
          <w:szCs w:val="32"/>
          <w:u w:val="single"/>
        </w:rPr>
        <w:t xml:space="preserve">         BMMB70</w:t>
      </w:r>
      <w:r>
        <w:rPr>
          <w:szCs w:val="32"/>
          <w:u w:val="single"/>
        </w:rPr>
        <w:t>13</w:t>
      </w:r>
      <w:r w:rsidRPr="00A4601B">
        <w:rPr>
          <w:szCs w:val="32"/>
          <w:u w:val="single"/>
        </w:rPr>
        <w:t xml:space="preserve">           </w:t>
      </w:r>
    </w:p>
    <w:p w14:paraId="110E6FA1" w14:textId="77777777" w:rsidR="008B279C" w:rsidRDefault="008B279C" w:rsidP="008B279C">
      <w:pPr>
        <w:spacing w:line="360" w:lineRule="auto"/>
        <w:ind w:firstLineChars="650" w:firstLine="1560"/>
        <w:jc w:val="left"/>
        <w:rPr>
          <w:szCs w:val="32"/>
        </w:rPr>
      </w:pPr>
      <w:r w:rsidRPr="002072FB">
        <w:rPr>
          <w:szCs w:val="32"/>
        </w:rPr>
        <w:t xml:space="preserve">Module </w:t>
      </w:r>
      <w:proofErr w:type="gramStart"/>
      <w:r w:rsidRPr="002072FB">
        <w:rPr>
          <w:szCs w:val="32"/>
        </w:rPr>
        <w:t>name :</w:t>
      </w:r>
      <w:proofErr w:type="gramEnd"/>
      <w:r w:rsidRPr="00A4601B">
        <w:rPr>
          <w:u w:val="single"/>
        </w:rPr>
        <w:t xml:space="preserve">  </w:t>
      </w:r>
      <w:r>
        <w:rPr>
          <w:szCs w:val="32"/>
          <w:u w:val="single"/>
        </w:rPr>
        <w:t xml:space="preserve">      </w:t>
      </w:r>
      <w:r w:rsidRPr="008B279C">
        <w:rPr>
          <w:szCs w:val="32"/>
          <w:u w:val="single"/>
        </w:rPr>
        <w:t>Strategic Management</w:t>
      </w:r>
      <w:r>
        <w:rPr>
          <w:szCs w:val="32"/>
          <w:u w:val="single"/>
        </w:rPr>
        <w:t xml:space="preserve">   </w:t>
      </w:r>
    </w:p>
    <w:p w14:paraId="73B266B5" w14:textId="77777777" w:rsidR="008B279C" w:rsidRPr="008B279C" w:rsidRDefault="008B279C" w:rsidP="008B279C">
      <w:pPr>
        <w:ind w:firstLine="0"/>
        <w:rPr>
          <w:rFonts w:hint="eastAsia"/>
        </w:rPr>
      </w:pPr>
    </w:p>
    <w:p w14:paraId="112C9F72" w14:textId="77777777" w:rsidR="008B279C" w:rsidRDefault="008B279C" w:rsidP="008B279C"/>
    <w:p w14:paraId="6ED49EBB" w14:textId="77777777" w:rsidR="008B279C" w:rsidRDefault="008B279C" w:rsidP="008B279C"/>
    <w:p w14:paraId="6D9621ED" w14:textId="77777777" w:rsidR="008B279C" w:rsidRDefault="008B279C" w:rsidP="008B279C"/>
    <w:p w14:paraId="2F92F876" w14:textId="77777777" w:rsidR="008B279C" w:rsidRDefault="008B279C" w:rsidP="008B279C"/>
    <w:p w14:paraId="60A9F466" w14:textId="77777777" w:rsidR="008B279C" w:rsidRDefault="008B279C" w:rsidP="008B279C"/>
    <w:p w14:paraId="1971C230" w14:textId="77777777" w:rsidR="0063248F" w:rsidRPr="0063248F" w:rsidRDefault="0063248F" w:rsidP="0063248F">
      <w:pPr>
        <w:rPr>
          <w:rFonts w:hint="eastAsia"/>
        </w:rPr>
      </w:pPr>
    </w:p>
    <w:p w14:paraId="29425505" w14:textId="77777777" w:rsidR="008E562A" w:rsidRDefault="008E562A" w:rsidP="008E562A">
      <w:pPr>
        <w:pStyle w:val="10"/>
      </w:pPr>
      <w:r>
        <w:lastRenderedPageBreak/>
        <w:t>I. Preface</w:t>
      </w:r>
    </w:p>
    <w:p w14:paraId="70C47602" w14:textId="77777777" w:rsidR="008E562A" w:rsidRDefault="008E562A" w:rsidP="008E562A">
      <w:pPr>
        <w:pStyle w:val="2"/>
      </w:pPr>
      <w:r>
        <w:t>1.1. The Purpose and Goals of the Project</w:t>
      </w:r>
    </w:p>
    <w:p w14:paraId="3BF018B9" w14:textId="77777777" w:rsidR="008E562A" w:rsidRDefault="008E562A" w:rsidP="008E562A">
      <w:r>
        <w:t>In the face of the vast transformative tide sweeping across business operations globally, significantly catalyzed by the COVID-19 pandemic, organizations of all magnitudes are burdened with pressing challenges and a compelling need to adapt. Given this landscape, the quintessence of this project is to devise a strategy adept at negotiating these upheavals. It aspires to pave a new way forward for organizations, foster innovative customer service, and secure enduring resilience and competitive edge for the future.</w:t>
      </w:r>
    </w:p>
    <w:p w14:paraId="04F13D90" w14:textId="77777777" w:rsidR="008E562A" w:rsidRDefault="008E562A" w:rsidP="008E562A">
      <w:r>
        <w:t>In crafting this strategy, we shall scrutinize Konami comprehensively and profoundly, evaluating its internal and external environment, critically assessing its current strategies, and exploring avenues to foster a more personalized customer experience. This report will delve into an in-depth analysis of Konami, serving not only as a valuable reservoir of insights for its senior management but also as a reference for other organizations striving to carve their path in this era of relentless challenges and flux.</w:t>
      </w:r>
    </w:p>
    <w:p w14:paraId="35D37450" w14:textId="77777777" w:rsidR="008E562A" w:rsidRDefault="008E562A" w:rsidP="008E562A">
      <w:pPr>
        <w:pStyle w:val="2"/>
      </w:pPr>
      <w:r>
        <w:t>1.2. A Brief Overview of Konami Corporation</w:t>
      </w:r>
    </w:p>
    <w:p w14:paraId="0C21E0FB" w14:textId="77777777" w:rsidR="008E562A" w:rsidRDefault="008E562A" w:rsidP="008E562A">
      <w:r>
        <w:t>Konami Corporation is a globally influential force in the gaming software industry, committed since its inception in 1969 to providing users with innovative and engaging gaming experiences. Konami's business pivots on three main pillars: Digital Entertainment, Gaming and Systems, and Fitness and Sporting Equipment.</w:t>
      </w:r>
    </w:p>
    <w:p w14:paraId="0AC0AE57" w14:textId="77777777" w:rsidR="008E562A" w:rsidRDefault="008E562A" w:rsidP="008E562A">
      <w:r>
        <w:t xml:space="preserve">In the realm of digital entertainment, Konami develops and markets games across various platforms, including mobile, PC, and console games. The portfolio boasts numerous renowned series such as Pro Evolution Soccer, </w:t>
      </w:r>
      <w:proofErr w:type="spellStart"/>
      <w:r>
        <w:t>Castlevania</w:t>
      </w:r>
      <w:proofErr w:type="spellEnd"/>
      <w:r>
        <w:t>, and Metal Gear, all having a substantial following worldwide and forming a core part of Konami's business. In the Gaming and Systems sector, Konami develops and sells various gaming machines and systems. These products have a significant presence in the home gaming market and are also widely used in electronic gaming entertainment centers and other public amusement venues. Moreover, Konami is one of the world's leading producers of card games, including popular titles like "Yu-Gi-Oh!".</w:t>
      </w:r>
    </w:p>
    <w:p w14:paraId="1CECF914" w14:textId="77777777" w:rsidR="008E562A" w:rsidRDefault="008E562A" w:rsidP="008E562A">
      <w:r>
        <w:t>Despite its robust brand influence and diverse product line in the gaming market, Konami faces several challenges. Foremost amongst these is the market competition. The advent of technology and changing user demands have seen an influx of emerging companies in the gaming market, thereby introducing new competitive pressures. Additionally, the constantly evolving demands of the gaming market necessitate Konami to continually innovate and refresh its products to satisfy user needs.</w:t>
      </w:r>
    </w:p>
    <w:p w14:paraId="4A1C33F4" w14:textId="77777777" w:rsidR="008E562A" w:rsidRDefault="008E562A" w:rsidP="008E562A">
      <w:pPr>
        <w:pStyle w:val="10"/>
      </w:pPr>
      <w:r>
        <w:lastRenderedPageBreak/>
        <w:t>II. External Analysis</w:t>
      </w:r>
    </w:p>
    <w:p w14:paraId="3702009E" w14:textId="77777777" w:rsidR="008E562A" w:rsidRDefault="008E562A" w:rsidP="008E562A">
      <w:pPr>
        <w:pStyle w:val="2"/>
      </w:pPr>
      <w:r>
        <w:t>2.1. PEST Analysis</w:t>
      </w:r>
    </w:p>
    <w:p w14:paraId="62DE733B" w14:textId="77777777" w:rsidR="008E562A" w:rsidRDefault="008E562A" w:rsidP="008E562A">
      <w:pPr>
        <w:pStyle w:val="3"/>
      </w:pPr>
      <w:r>
        <w:t>2.1.1. Political Factors</w:t>
      </w:r>
    </w:p>
    <w:p w14:paraId="0AF7835E" w14:textId="77777777" w:rsidR="008E562A" w:rsidRDefault="008E562A" w:rsidP="008E562A">
      <w:r w:rsidRPr="00453309">
        <w:t>Political factors have a profound impact on company operations and strategy formulation. Government policies, regulations, and international trade agreements can influence market entry, competitiveness, and profitability of a company (Peng, 2001).</w:t>
      </w:r>
    </w:p>
    <w:p w14:paraId="547753F6" w14:textId="77777777" w:rsidR="008E562A" w:rsidRDefault="008E562A" w:rsidP="008E562A">
      <w:r>
        <w:t>Being a global enterprise, Konami's products and services are sold and consumed worldwide, making global political stability a significant consideration. For instance, political conflicts and instability could create market uncertainties, affect consumer demand for games, or impact Konami's operations in specific markets. Similarly, political instability could affect currency exchange rates, impacting Konami's overseas revenues.</w:t>
      </w:r>
    </w:p>
    <w:p w14:paraId="00DCE1A8" w14:textId="77777777" w:rsidR="008E562A" w:rsidRDefault="008E562A" w:rsidP="008E562A">
      <w:r>
        <w:t>National policies, including the attitude and policies towards the gaming industry, tax policies, censorship policies, and protectionist measures, could significantly impact Konami's operations. Countries with strict content censorship and age restrictions on video games could limit Konami's product lines and target demographics in those markets. Moreover, tax policies, such as research and development tax incentives, could impact Konami's profits.</w:t>
      </w:r>
    </w:p>
    <w:p w14:paraId="34C9A2FA" w14:textId="77777777" w:rsidR="008E562A" w:rsidRDefault="008E562A" w:rsidP="008E562A">
      <w:r w:rsidRPr="00453309">
        <w:t>In the context of globalization, international relations and trade agreements also have a significant impact on the company's internationalization strategy (Buckley et al., 2007).</w:t>
      </w:r>
      <w:r>
        <w:t xml:space="preserve"> Trade agreements between nations could impact the sale of Konami's products in specific markets, such as tariff or quota restrictions. Furthermore, international tensions or conflicts could impact Konami's operations in certain markets. International data protection and privacy agreements could also influence Konami's operations, especially in regions like the European Union and the United States, where these agreements enforce strict regulations on data collection and usage.</w:t>
      </w:r>
    </w:p>
    <w:p w14:paraId="367E2C76" w14:textId="77777777" w:rsidR="008E562A" w:rsidRDefault="008E562A" w:rsidP="008E562A">
      <w:r w:rsidRPr="00453309">
        <w:t>Moreover, the government's level and style of video game regulation can greatly influence a company's business (King et al., 2010).</w:t>
      </w:r>
      <w:r>
        <w:t xml:space="preserve"> The extent and manner of government regulation on video games could affect Konami's game design and sales strategies. For instance, countries with stringent regulations on gambling elements in video games could restrict the sale of some of Konami's products in these markets.</w:t>
      </w:r>
    </w:p>
    <w:p w14:paraId="217C6F77" w14:textId="77777777" w:rsidR="008E562A" w:rsidRDefault="008E562A" w:rsidP="008E562A">
      <w:r>
        <w:t>Moreover, the level of intellectual property protection in a country could impact Konami's operations. If a country's protection of intellectual property rights is weak, it could lead to the piracy of Konami's games, impacting its sales revenue. Conversely, strong intellectual property protection could increase Konami's competitive edge and protect its innovative game designs.</w:t>
      </w:r>
    </w:p>
    <w:p w14:paraId="3DCCFA0D" w14:textId="77777777" w:rsidR="008E562A" w:rsidRDefault="008E562A" w:rsidP="008E562A">
      <w:pPr>
        <w:pStyle w:val="3"/>
      </w:pPr>
      <w:r>
        <w:t>2.1.2. Economic Factors</w:t>
      </w:r>
    </w:p>
    <w:p w14:paraId="7BA1AC0C" w14:textId="77777777" w:rsidR="008E562A" w:rsidRDefault="008E562A" w:rsidP="008E562A">
      <w:r>
        <w:t>Economic factors are another critical component when conducting a macro-</w:t>
      </w:r>
      <w:r>
        <w:lastRenderedPageBreak/>
        <w:t>environmental analysis for a company. This includes the global economic situation, regional economic development level, exchange rates, inflation, consumer purchasing power, and economic cycles.</w:t>
      </w:r>
    </w:p>
    <w:p w14:paraId="045234B6" w14:textId="77777777" w:rsidR="008E562A" w:rsidRDefault="008E562A" w:rsidP="008E562A">
      <w:r>
        <w:t>First, the global economic conditions and their impact on Konami should be considered. As a company operating globally, the overall health of the global economy profoundly influences Konami. Prosperity in the global economy often comes with increased consumer spending, beneficial to the gaming industry and Konami. Conversely, a global economic downturn may lead to consumers cutting back on non-essential purchases, potentially negatively affecting Konami's sales.</w:t>
      </w:r>
    </w:p>
    <w:p w14:paraId="60BCD067" w14:textId="77777777" w:rsidR="008E562A" w:rsidRDefault="008E562A" w:rsidP="008E562A">
      <w:r>
        <w:t>Second, the economic development levels of different regions also impact Konami. Consumers in developed regions such as North America and Europe usually have higher purchasing power, a positive factor for higher-priced, high-quality games. In developing countries and emerging markets, consumer purchasing power may be lower, but the overall market size may still be considerable due to large population size and high growth potential.</w:t>
      </w:r>
      <w:r w:rsidRPr="00FC1233">
        <w:t xml:space="preserve"> Konami has done exceedingly well in this regard. Apart from traditional games, Konami has achieved immense multinational success under the '</w:t>
      </w:r>
      <w:proofErr w:type="spellStart"/>
      <w:r w:rsidRPr="00FC1233">
        <w:t>YuGiOh</w:t>
      </w:r>
      <w:proofErr w:type="spellEnd"/>
      <w:r w:rsidRPr="00FC1233">
        <w:t>!' brand, developed and produced by its subsidiary Konami Digital Entertainment (Konami, 2022). This brand has evolved into one of the most well-known card games, holding a significant market share that continues to grow annually (Batchelor, 2019). In this card game, considering the economic disparities between players in different regions, Konami has made efforts to lower the cost of entry for playing the game as much as possible. The cheapest pack of cards costs less than one British pound, while the limited-edition collectible cards are worth tens of thousands of pounds. Apart from their appearance, there are no differences between them. Even with the cheapest cards, players can still enjoy the game.</w:t>
      </w:r>
    </w:p>
    <w:p w14:paraId="4693F8A7" w14:textId="77777777" w:rsidR="008E562A" w:rsidRDefault="008E562A" w:rsidP="008E562A">
      <w:r>
        <w:t>Exchange rate fluctuations are another crucial economic factor affecting Konami. As Konami operates globally, its income and costs may involve multiple currencies. Therefore, changes in exchange rates may have a significant impact on Konami's revenue and profits. For instance, if the Japanese yen appreciates against other currencies, Konami's foreign income may decrease when converted back to yen. On the contrary, if the yen depreciates, it may increase Konami's foreign income.</w:t>
      </w:r>
    </w:p>
    <w:p w14:paraId="35B6F476" w14:textId="77777777" w:rsidR="008E562A" w:rsidRDefault="008E562A" w:rsidP="008E562A">
      <w:r>
        <w:t>Inflation is another economic factor to consider. Inflation could lead to increased operating costs for Konami, such as employee salaries and office equipment costs. If Konami cannot offset these cost increases by raising prices or improving efficiency, its profits may be affected.</w:t>
      </w:r>
    </w:p>
    <w:p w14:paraId="46CD2BE2" w14:textId="77777777" w:rsidR="008E562A" w:rsidRDefault="008E562A" w:rsidP="008E562A">
      <w:r>
        <w:t>Economic cycles significantly impact Konami. During economic booms, consumers tend to spend more freely, potentially increasing Konami's sales. During economic recessions, consumers may cut back on game spending, which could negatively affect Konami's sales.</w:t>
      </w:r>
    </w:p>
    <w:p w14:paraId="48194ED9" w14:textId="77777777" w:rsidR="008E562A" w:rsidRDefault="008E562A" w:rsidP="008E562A">
      <w:pPr>
        <w:pStyle w:val="3"/>
      </w:pPr>
      <w:r>
        <w:t>2.1.3. Social Factors</w:t>
      </w:r>
    </w:p>
    <w:p w14:paraId="0DF2BB31" w14:textId="77777777" w:rsidR="008E562A" w:rsidRDefault="008E562A" w:rsidP="008E562A">
      <w:r>
        <w:t>Social factors include the impacts of social trends, cultural factors, demographic data, and societal attitudes on Konami. These factors are crucial to Konami's position and success in the global market.</w:t>
      </w:r>
    </w:p>
    <w:p w14:paraId="340410E8" w14:textId="77777777" w:rsidR="008E562A" w:rsidRDefault="008E562A" w:rsidP="008E562A">
      <w:r>
        <w:lastRenderedPageBreak/>
        <w:t>First, the changing societal attitudes towards the gaming industry should be considered. In recent years, video games have transitioned from fringe entertainment products to mainstream culture, widely appreciated by people of all age groups. The rise of eSports and the application of video games in education and rehabilitation therapy all reflect the increasing societal acceptance of the gaming industry. For Konami, this is a massive opportunity. It can meet these changing needs through innovative products and services.</w:t>
      </w:r>
    </w:p>
    <w:p w14:paraId="1B096069" w14:textId="77777777" w:rsidR="008E562A" w:rsidRDefault="008E562A" w:rsidP="008E562A">
      <w:r>
        <w:t>Second, demographic changes have also impacted Konami. The global population structure is changing, with a decreasing proportion of young people and an increasing proportion of elderly people, most severe in Japan, a key market for Konami. This may change the demand and consumption habits of the gaming market. Young people may prefer action and competitive games, while older people may lean towards leisure and puzzle games. Konami needs to flexibly adjust its product line to adapt to these demographic changes.</w:t>
      </w:r>
    </w:p>
    <w:p w14:paraId="51C46499" w14:textId="77777777" w:rsidR="008E562A" w:rsidRDefault="008E562A" w:rsidP="008E562A">
      <w:r>
        <w:t>Cultural differences are an essential factor for Konami to consider when operating globally. Since Konami's business spans the globe, it needs to consider cultural differences in different regions, such as language, values, and behavioral habits. This requires Konami to consider regional cultural differences when designing and promoting games, ensuring its games can adapt to different cultural environments.</w:t>
      </w:r>
    </w:p>
    <w:p w14:paraId="76543438" w14:textId="77777777" w:rsidR="008E562A" w:rsidRDefault="008E562A" w:rsidP="008E562A">
      <w:pPr>
        <w:pStyle w:val="3"/>
      </w:pPr>
      <w:r>
        <w:t>2.1.4. Technological Factors</w:t>
      </w:r>
    </w:p>
    <w:p w14:paraId="1764451A" w14:textId="77777777" w:rsidR="008E562A" w:rsidRDefault="008E562A" w:rsidP="008E562A">
      <w:r>
        <w:t>In today's world, technology is the main driver of the gaming industry's development and has a profound impact on Konami's business. Below are some primary technological factors and their impact on Konami.</w:t>
      </w:r>
    </w:p>
    <w:p w14:paraId="7CBBBA8D" w14:textId="77777777" w:rsidR="008E562A" w:rsidRDefault="008E562A" w:rsidP="008E562A">
      <w:r w:rsidRPr="002F6602">
        <w:t xml:space="preserve">The development of internet technology has greatly changed the operation of the gaming industry. The rise of online games and mobile games, as well as the shift in game distribution model from traditional physical retail to digital distribution, has given Konami the opportunity to reach a wider range of users </w:t>
      </w:r>
      <w:proofErr w:type="gramStart"/>
      <w:r w:rsidRPr="002F6602">
        <w:t>globally</w:t>
      </w:r>
      <w:r>
        <w:t>(</w:t>
      </w:r>
      <w:proofErr w:type="gramEnd"/>
      <w:r>
        <w:t>Konami, 2022)</w:t>
      </w:r>
      <w:r w:rsidRPr="002F6602">
        <w:t>. However, this also means that Konami needs to invest more resources in cyber security and data pr</w:t>
      </w:r>
      <w:r w:rsidRPr="002F6602">
        <w:rPr>
          <w:rFonts w:hint="eastAsia"/>
        </w:rPr>
        <w:t>o</w:t>
      </w:r>
      <w:r w:rsidRPr="002F6602">
        <w:t>tection to ensure the safety of user information. Furthermore, after the COVID-19 pandemic, the long-term lockdown in many regions has indirectly promoted the development of internet technology in gaming, with various improvements in game applications, such as the expansion of payment channels for online games. These advancements are, in fact, a form of reflection activity in strict pandemic policies, where many people rely on games as a life diversion, reducing psychological pressure from work and life during the pandemic (Sari et al, 2022). However, for Konami, which has Japan and the United States as its main markets, both major markets remained relatively open during the pandemic. While this made their games easier to promote during the pandemic, it also resulted in them missing some opportunities for advancements in in-game internet technology</w:t>
      </w:r>
      <w:r>
        <w:t>.</w:t>
      </w:r>
    </w:p>
    <w:p w14:paraId="48F0B7B2" w14:textId="77777777" w:rsidR="008E562A" w:rsidRDefault="008E562A" w:rsidP="008E562A">
      <w:r>
        <w:t xml:space="preserve">Second, advancements in hardware technology, such as more powerful processors, more realistic image rendering technology, and the development of Virtual Reality (VR) and Augmented Reality (AR) technology, have brought new possibilities for games. Konami can leverage these technological innovations to provide players with a more </w:t>
      </w:r>
      <w:r>
        <w:lastRenderedPageBreak/>
        <w:t>immersive and realistic gaming experience, further enhancing the attractiveness of its products.</w:t>
      </w:r>
    </w:p>
    <w:p w14:paraId="55C406E6" w14:textId="77777777" w:rsidR="008E562A" w:rsidRDefault="008E562A" w:rsidP="008E562A">
      <w:r>
        <w:t>Moreover, the development of Artificial Intelligence (AI) and Machine Learning (ML) technologies brings new opportunities to the gaming industry. These technologies can be used in game development and design, for example, creating more realistic and complex virtual environments and characters using AI and ML. They can also be used to optimize the balance and playability of games. At the same time, these technologies can be used to analyze and predict player behavior, providing more personalized and accurate services.</w:t>
      </w:r>
    </w:p>
    <w:p w14:paraId="5C497A39" w14:textId="77777777" w:rsidR="008E562A" w:rsidRDefault="008E562A" w:rsidP="008E562A">
      <w:pPr>
        <w:pStyle w:val="2"/>
      </w:pPr>
      <w:r>
        <w:t>2.2. Industry Analysis</w:t>
      </w:r>
    </w:p>
    <w:p w14:paraId="09E2C04A" w14:textId="77777777" w:rsidR="008E562A" w:rsidRDefault="008E562A" w:rsidP="008E562A">
      <w:pPr>
        <w:pStyle w:val="3"/>
      </w:pPr>
      <w:r>
        <w:t>2.2.1. Gaming Industry Overview</w:t>
      </w:r>
    </w:p>
    <w:p w14:paraId="5AF799B8" w14:textId="77777777" w:rsidR="008E562A" w:rsidRDefault="008E562A" w:rsidP="008E562A">
      <w:r>
        <w:t>The gaming industry is an essential part of the global entertainment market. With the development of technology, especially the widespread application of the internet, smart devices, and cloud computing, this industry is undergoing profound changes and showing a sustained growth trend.</w:t>
      </w:r>
    </w:p>
    <w:p w14:paraId="67D10294" w14:textId="77777777" w:rsidR="008E562A" w:rsidRDefault="008E562A" w:rsidP="008E562A">
      <w:r>
        <w:t>The global gaming market size was valued at USD 249.55 billion in 2022 and is anticipated to grow from USD 281.77 billion in 2023 to USD 665.77 billion by 2030, exhibiting a CAGR of 13.1% during the forecast period (2023-2030) (Fortune Business Insights, 2023). This indicates that despite various challenges, the gaming industry still maintains robust growth momentum.</w:t>
      </w:r>
    </w:p>
    <w:p w14:paraId="585CE6B1" w14:textId="77777777" w:rsidR="008E562A" w:rsidRDefault="008E562A" w:rsidP="008E562A">
      <w:r>
        <w:t xml:space="preserve">In terms of regional distribution, Asia is the largest gaming market globally, especially China, which leads the global gaming market. Western markets are also essential, especially the United States, whose gaming market size is the second largest globally. Additionally, emerging markets like Latin America and Eastern Europe are gradually emerging (Marie </w:t>
      </w:r>
      <w:proofErr w:type="spellStart"/>
      <w:r>
        <w:t>Dealessandri</w:t>
      </w:r>
      <w:proofErr w:type="spellEnd"/>
      <w:r>
        <w:t>, 2023).</w:t>
      </w:r>
    </w:p>
    <w:p w14:paraId="7F0B08F6" w14:textId="77777777" w:rsidR="008E562A" w:rsidRDefault="008E562A" w:rsidP="008E562A">
      <w:r>
        <w:t>Regarding game types, eSports and mobile games are the fastest-growing fields in recent years. eSports attract many players and viewers, with tournament prizes and audience numbers continuously reaching new heights. Mobile games have become the primary source of global gaming revenue due to their convenience and ubiquity.</w:t>
      </w:r>
      <w:r w:rsidRPr="00780BF4">
        <w:t xml:space="preserve"> From a business model perspective, while players previously paid all the costs to purchase a game upfront, more and more games are adopting a free-to-play model with in-app purchases or subscriptions. This also reflects the changing business model of the gaming industry.</w:t>
      </w:r>
    </w:p>
    <w:p w14:paraId="3E8E2FFF" w14:textId="6A128210" w:rsidR="008E562A" w:rsidRDefault="008E562A" w:rsidP="008E562A">
      <w:r>
        <w:t xml:space="preserve">Even though the outlook for the gaming industry appears bright, it is also faced with a number of challenges. Firstly, competition in the gaming industry is fierce. Competition among large companies and innovation from smaller companies both intensify the competition within the industry. Secondly, the gaming industry also faces pressures from policy and regulation. The regulatory environment and policies in different regions can all potentially affect the operation and business development of gaming companies. Moreover, the rapid changes in technology also set higher requirements for gaming companies. They need to continuously innovate technologically to adapt to market </w:t>
      </w:r>
      <w:proofErr w:type="spellStart"/>
      <w:proofErr w:type="gramStart"/>
      <w:r>
        <w:t>changes.</w:t>
      </w:r>
      <w:r w:rsidRPr="00FB136D">
        <w:t>For</w:t>
      </w:r>
      <w:proofErr w:type="spellEnd"/>
      <w:proofErr w:type="gramEnd"/>
      <w:r w:rsidRPr="00FB136D">
        <w:t xml:space="preserve"> example, game marketing in the past </w:t>
      </w:r>
      <w:r w:rsidRPr="00FB136D">
        <w:lastRenderedPageBreak/>
        <w:t>often took place in brick-and-mortar game stores, at various exhibitions, or on TV shows, but now most game marketing occurs online. As a company that places a high emphasis on online channels, Konami carried out effective digital marketing during the pandemic through social media platforms and video streaming websites (Nelva, 2021). However, as a relatively conservative Japanese gaming company, their focus on the internet is noticeably less than that of Western gaming companies. For Konami, understanding and mastering the trends and developments in the gaming industry are critically important for the formulation and implementation of its business strategies.</w:t>
      </w:r>
    </w:p>
    <w:p w14:paraId="6FD42AE4" w14:textId="77777777" w:rsidR="008E562A" w:rsidRDefault="008E562A" w:rsidP="008E562A">
      <w:pPr>
        <w:pStyle w:val="3"/>
      </w:pPr>
      <w:r>
        <w:t>2.2.2. Main Competitor Analysis</w:t>
      </w:r>
    </w:p>
    <w:p w14:paraId="397E6431" w14:textId="77777777" w:rsidR="008E562A" w:rsidRDefault="008E562A" w:rsidP="008E562A">
      <w:r>
        <w:t xml:space="preserve">In the global gaming industry, Konami faces competition from many sides. To better understand Konami's market position, it is necessary to know its main competitors in detail. The main direct competitors of Konami in the gaming sector include Bandai Namco, CAPCOM, and EA. EA, a large gaming company in the United States, is known for its series of games such as "NBA" and "FIFA". EA's strength lies in its global sales network and strong marketing capabilities, but its performance in innovation and user experience is not always rated as the best. EA's FIFA series, a football sports game, is the biggest competitor of Konami's PES series. </w:t>
      </w:r>
      <w:r w:rsidRPr="008D0223">
        <w:t>Research shows that playing sports interactive games has a positive effect on players' social life and physical health, as it enhances endurance, muscle strength, and rhythm, and creates an environment where new friends can be made (</w:t>
      </w:r>
      <w:proofErr w:type="spellStart"/>
      <w:r w:rsidRPr="008D0223">
        <w:t>Hoysniemi</w:t>
      </w:r>
      <w:proofErr w:type="spellEnd"/>
      <w:r w:rsidRPr="008D0223">
        <w:t>, 2006). This is also the common perception many people have towards sports video games. Compared to other types of games, sports games are relatively politically correct and therefore can be easily promoted even in countries with more restrictions on the gaming industry. Hence, competing in the sports game market is something Konami absolutely cannot give up.</w:t>
      </w:r>
    </w:p>
    <w:p w14:paraId="40D66CEA" w14:textId="77777777" w:rsidR="008E562A" w:rsidRDefault="008E562A" w:rsidP="008E562A">
      <w:r>
        <w:t xml:space="preserve">CAPCOM, a large gaming company in Japan, owns game series like "Street Fighter" and "Resident Evil". It is the most recognized game company in the action game sector of the gaming industry and competes fiercely with Konami in game production and distribution. Moreover, its rating among users is much higher than Konami, with very few players giving negative reviews to CAPCOM, but there are many players giving negative reviews to Konami. </w:t>
      </w:r>
    </w:p>
    <w:p w14:paraId="7D1D20ED" w14:textId="77777777" w:rsidR="008E562A" w:rsidRDefault="008E562A" w:rsidP="008E562A">
      <w:r>
        <w:t xml:space="preserve">Bandai Namco, an entertainment industry group headquartered in Japan, was formed by the merger of Bandai and Namco on September 29, 2005. The industries it is involved in include video games, model toys, and entertainment products related to its intellectual property rights, such as video and music. It also manufactures many well-known anime and game model toys and capsule products, and its famous products include GUNDAM and PAC-MAN. Although most of the games produced and released by this company do not directly compete with Konami due to different genres, it has a considerable overlap with Konami's business in the field of game models and toys. Especially in Japan, Bandai Namco, whose main profit direction is game-related toys, has always been in fierce competition with Konami's key business, the "Yu-Gi-Oh!" cards, due to its production of </w:t>
      </w:r>
      <w:proofErr w:type="spellStart"/>
      <w:r>
        <w:t>Pokemon</w:t>
      </w:r>
      <w:proofErr w:type="spellEnd"/>
      <w:r>
        <w:t xml:space="preserve"> series cards. It is Konami's main competitor in the field of game-related toys.</w:t>
      </w:r>
    </w:p>
    <w:p w14:paraId="61850EB8" w14:textId="77777777" w:rsidR="008E562A" w:rsidRDefault="008E562A" w:rsidP="008E562A">
      <w:pPr>
        <w:pStyle w:val="10"/>
      </w:pPr>
      <w:r>
        <w:lastRenderedPageBreak/>
        <w:t>III. Internal Analysis</w:t>
      </w:r>
    </w:p>
    <w:p w14:paraId="489294F7" w14:textId="77777777" w:rsidR="008E562A" w:rsidRDefault="008E562A" w:rsidP="008E562A">
      <w:pPr>
        <w:pStyle w:val="2"/>
      </w:pPr>
      <w:r>
        <w:t xml:space="preserve">3.1. Resources and </w:t>
      </w:r>
      <w:r w:rsidRPr="008E562A">
        <w:t>Capabilities</w:t>
      </w:r>
      <w:r>
        <w:t xml:space="preserve"> of Konami Company</w:t>
      </w:r>
    </w:p>
    <w:p w14:paraId="3A69A5B1" w14:textId="77777777" w:rsidR="008E562A" w:rsidRDefault="008E562A" w:rsidP="008E562A">
      <w:pPr>
        <w:pStyle w:val="3"/>
      </w:pPr>
      <w:r>
        <w:t>3.1.1. Financial Resources and Capabilities</w:t>
      </w:r>
    </w:p>
    <w:p w14:paraId="0206489A" w14:textId="77777777" w:rsidR="008E562A" w:rsidRDefault="008E562A" w:rsidP="008E562A">
      <w:r>
        <w:t>Refer to Appendix 1 of this article, Konami's total operating income showed an upward trend from 2020 to 2022, especially in 2022, the total operating income was £1,866,758.7 thousand, an increase of 9.85% year-on-year. This data reflects Konami's sales performance and market acceptance on the global market. More importantly, this continuous growth in operating income shows the effectiveness of Konami's market strategy and the market demand for its products. The growth in operating profit can better reflect its operating efficiency and benefits. In 2022, its operating profit reached £500,560.0 thousand, an increase of 25.17% year-on-year. This shows that Konami has done very well in product sales and cost control. Especially against the backdrop of the pandemic, such growth in operating profit undoubtedly demonstrates Konami's strong adaptability and excellent management level. In terms of net profit, Konami's performance is equally impressive. In 2022, its net profit was £341,576.2 thousand, an increase of 69.88% year-on-year. This data directly reflects Konami's profitability. This growth mainly comes from the increase in Konami's sales revenue and effective cost control, and also benefits from the advantages of its business model and the competitiveness of high-quality products. Cash flow is an important indicator to measure the operating situation and financial health of the company. Konami performed well in terms of cash flow from operating activities, with cash flow from operating activities in 2022 being £601,694.1 thousand, an increase from £460,075.8 thousand in 2021. This means that Konami's main business performs well in generating cash flow, indicating that the company's main business operations are good.</w:t>
      </w:r>
    </w:p>
    <w:p w14:paraId="461BF27E" w14:textId="77777777" w:rsidR="008E562A" w:rsidRDefault="008E562A" w:rsidP="008E562A">
      <w:r>
        <w:t>Some of Konami's key financial ratios also reflect its financial health and profitability. For example, the gross margin of sales in 2022 was 45.02%. This means that Konami can retain 45.02% of the income as gross profit for every unit of product or service sold. This high gross margin indicates Konami's advantage in cost control and pricing strategy. In addition, the net profit margin of sales in 2022 was 18.30%. This shows that after deducting all costs and expenses, Konami can retain 18.30% of the income as net profit for every unit of product or service sold. This high net profit rate shows that Konami has a good profitability. Furthermore, Konami's debt-to-asset ratio was 34.15%. This is a relatively low ratio, indicating that Konami has a robust financial structure and is not overly reliant on debt financing.</w:t>
      </w:r>
    </w:p>
    <w:p w14:paraId="3932AE9B" w14:textId="77777777" w:rsidR="008E562A" w:rsidRDefault="008E562A" w:rsidP="008E562A">
      <w:pPr>
        <w:pStyle w:val="3"/>
      </w:pPr>
      <w:r>
        <w:t>3.1.2. Human Resources and Capabilities</w:t>
      </w:r>
    </w:p>
    <w:p w14:paraId="68615130" w14:textId="77777777" w:rsidR="008E562A" w:rsidRDefault="008E562A" w:rsidP="008E562A">
      <w:r>
        <w:t xml:space="preserve">Against the backdrop of globalization, Konami's human resources and capabilities form its core competitive advantage in the industry. Konami's human resource strategy is not only reflected in its unique organizational structure and departmental setup, but </w:t>
      </w:r>
      <w:r>
        <w:lastRenderedPageBreak/>
        <w:t>also in its talent development, employee benefits, and R&amp;D investment.</w:t>
      </w:r>
    </w:p>
    <w:p w14:paraId="78749951" w14:textId="77777777" w:rsidR="008E562A" w:rsidRDefault="008E562A" w:rsidP="008E562A">
      <w:r>
        <w:t>The human resources structure of the Konami Group is manifested in its diversified subsidiaries and departmental setup. For instance, companies such as KCE Tokyo and KCE Osaka have led the development of many classic games; KCE JAPAN is divided into WEST and EAST groups, each handling different types of game development tasks. KCE STUDIO focuses on the 'Muscle Ranking' series and the '</w:t>
      </w:r>
      <w:proofErr w:type="spellStart"/>
      <w:r>
        <w:t>pop'n</w:t>
      </w:r>
      <w:proofErr w:type="spellEnd"/>
      <w:r>
        <w:t xml:space="preserve"> music' series. KCE SCHOOL is responsible for training new talents for Konami, with strict teaching standards ensuring the quality of new employees. AM Division and GM Division focus on manufacturing commercial video game machines, and their healthy competition has resulted in many classic products. CS Division is responsible for selling Konami's home games, while CP Division is specifically responsible for producing and selling game peripherals. Such division of labor and organizational structure optimizes Konami's human resource allocation and improves its operational efficiency.</w:t>
      </w:r>
    </w:p>
    <w:p w14:paraId="2C2AB46F" w14:textId="77777777" w:rsidR="008E562A" w:rsidRDefault="008E562A" w:rsidP="008E562A">
      <w:r>
        <w:t>In addition, Konami values talent cultivation and development. The existence of KCE SCHOOL is clear evidence, through strict teaching standards, Konami can continuously cultivate excellent talents for its business development centers. Konami also pays attention to improving employee benefits. The number of employees at Konami fluctuated slightly over the past few years but overall remained stable, reflecting the company's good management of human resources. From 2020 to 2022, the number of employees decreased from 5057 to 4894, a slight drop of about 3.2%. However, during this period, Konami's net profit greatly increased, rising from 14,884.09 million GBP in 2020 to 34,157.62 million GBP in 2022, an increase of nearly 130%. This indicates that the efficiency of Konami's employees has significantly improved, demonstrating its achievements in human resource management. In addition, Konami continues to strive to improve employee treatment, further enhancing employee satisfaction and loyalty. For example, the company has increased the average base salary by 50,000 JPY/month, i.e., 600,000 JPY/year, and the starting salary for new employees has been raised to 290,000 JPY/month (Konami, 2022). This kind of treatment improvement not only helps to attract and retain talents but also enhances the work enthusiasm and innovative ability of employees, thereby improving the overall performance of the company.</w:t>
      </w:r>
    </w:p>
    <w:p w14:paraId="7D58D179" w14:textId="77777777" w:rsidR="008E562A" w:rsidRDefault="008E562A" w:rsidP="008E562A">
      <w:pPr>
        <w:pStyle w:val="2"/>
      </w:pPr>
      <w:r>
        <w:t>3.2. Organizational Structure and Culture</w:t>
      </w:r>
    </w:p>
    <w:p w14:paraId="53691647" w14:textId="77777777" w:rsidR="008E562A" w:rsidRDefault="008E562A" w:rsidP="008E562A">
      <w:r w:rsidRPr="00502063">
        <w:t>Organizational structure plays a crucial role in the success of a company as it defines how tasks are assigned, who is accountable to whom, and how decisions are made (Mintzberg, 1980). Konami's organizational structure and culture reflect its leadership position and core values in the gaming industry. The company's structure is compact, divided into various business departments to deal with different challenges and opportunities. This also allows the company to quickly adapt and respond to market changes. Research shows that a flexible organizational structure can enhance a company's adaptability to market changes, thereby improving its competitive advantage (</w:t>
      </w:r>
      <w:proofErr w:type="spellStart"/>
      <w:r w:rsidRPr="00502063">
        <w:t>Volberda</w:t>
      </w:r>
      <w:proofErr w:type="spellEnd"/>
      <w:r w:rsidRPr="00502063">
        <w:t>, 1996).</w:t>
      </w:r>
    </w:p>
    <w:p w14:paraId="01887D6F" w14:textId="77777777" w:rsidR="008E562A" w:rsidRDefault="008E562A" w:rsidP="008E562A">
      <w:r w:rsidRPr="00502063">
        <w:t xml:space="preserve">On the other hand, corporate culture is an essential force in shaping and maintaining employee behavior, ways of thinking, and organizational values (Schein, </w:t>
      </w:r>
      <w:r w:rsidRPr="00502063">
        <w:lastRenderedPageBreak/>
        <w:t xml:space="preserve">1985). Konami's corporate culture emphasizes innovation, collaboration, and respect. The company encourages employees to actively innovate, continuously improving the quality of products and services to meet the needs of global players. Konami also advocates for teamwork, believing that every employee has unique value, and greater achievements can be realized through the power of the team. Respect is reflected in Konami's attitude towards employees, customers, and partners; the company respects each person's contribution, market rules, and fair competition. An innovative corporate culture can enhance employees' innovation capabilities, thereby improving the company's competitiveness (Martins and Terblanche, 2003). Respectful and collaborative corporate culture also contributes to increasing employee job satisfaction and enthusiasm, thereby improving the overall effectiveness of the organization (Zhang and </w:t>
      </w:r>
      <w:proofErr w:type="spellStart"/>
      <w:r w:rsidRPr="00502063">
        <w:t>Bartol</w:t>
      </w:r>
      <w:proofErr w:type="spellEnd"/>
      <w:r w:rsidRPr="00502063">
        <w:t>, 2010). Thus, although Konami once had its treatment of talent questioned due to Hideo Kojima's departure, this incident was fundamentally a dispute over production decision-making power within the company. Regarding the general treatment of talent and respect and encouragement for employees, Konami has not had negative news to date</w:t>
      </w:r>
      <w:r>
        <w:t>.</w:t>
      </w:r>
    </w:p>
    <w:p w14:paraId="6C40C46B" w14:textId="77777777" w:rsidR="008E562A" w:rsidRDefault="008E562A" w:rsidP="008E562A">
      <w:pPr>
        <w:pStyle w:val="2"/>
      </w:pPr>
      <w:r>
        <w:t>3.3. Customer Care Situation Analysis</w:t>
      </w:r>
    </w:p>
    <w:p w14:paraId="0BBC2673" w14:textId="77777777" w:rsidR="008E562A" w:rsidRDefault="008E562A" w:rsidP="008E562A">
      <w:r>
        <w:t>Konami's current customer care status is reflected in its various actions. The company has always been committed to providing high-quality products and services to meet the needs of different types of players. Firstly, Konami, through continuous R&amp;D investment, has developed a variety of popular games that cater to players of various ages and interests. These games include sports, adventure, strategy, role-playing, etc., meeting the needs of a wide range of players. In addition, Konami also values player feedback, promptly updating and improving games to enhance the gaming experience. Although some of its games have been proven to be failures by sales, Konami's attempts to listen and respond to player feedback are commendable. Secondly, Konami provides multiple channels for players to receive support and services. The company's official website and social media platforms regularly publish news and updates, such as www.konami.com/games/, https://cardgame-network.konami.net/, allowing players to know about the latest games and activities. Moreover, the company has a customer service center, and players can get help through phone calls, emails, or online chats. On the packaging of the physical version of console games, customer service contact information and feedback channels are usually provided.</w:t>
      </w:r>
    </w:p>
    <w:p w14:paraId="4C1BC63E" w14:textId="77777777" w:rsidR="008E562A" w:rsidRDefault="008E562A" w:rsidP="008E562A">
      <w:pPr>
        <w:pStyle w:val="10"/>
      </w:pPr>
      <w:r>
        <w:lastRenderedPageBreak/>
        <w:t>IV. Evaluating the Strategic Options for Konami Corporation's Personalized Customer Care</w:t>
      </w:r>
    </w:p>
    <w:p w14:paraId="609128C4" w14:textId="77777777" w:rsidR="008E562A" w:rsidRDefault="008E562A" w:rsidP="008E562A">
      <w:pPr>
        <w:pStyle w:val="2"/>
      </w:pPr>
      <w:r>
        <w:t>4.1. Feasibility</w:t>
      </w:r>
    </w:p>
    <w:p w14:paraId="3BD5C4CA" w14:textId="77777777" w:rsidR="008E562A" w:rsidRDefault="008E562A" w:rsidP="008E562A">
      <w:pPr>
        <w:pStyle w:val="3"/>
      </w:pPr>
      <w:r>
        <w:t>4.1.1. Resource Allocation</w:t>
      </w:r>
    </w:p>
    <w:p w14:paraId="12EB4E34" w14:textId="77777777" w:rsidR="008E562A" w:rsidRDefault="008E562A" w:rsidP="008E562A">
      <w:r>
        <w:t xml:space="preserve">As a globally renowned video game developer and publisher, Konami possesses a wealth of resources, including human resources, financial resources, intellectual resources, and brand influence, etc. All of these lay a solid foundation for Konami to implement a personalized customer care strategy. For instance, the company's R&amp;D department can devise and execute targeted improvement plans according to players' demands. However, as demonstrated by Trustpilot user Wisam Ali's review, some games from Konami have been criticized for having issues, even allegations of stealing players' funds (Trustpilot, 2023). Such problems might reflect issues in Konami's resource allocation, including trust issues with players and the degree of attention paid to solving game problems. Additionally, user Tom </w:t>
      </w:r>
      <w:proofErr w:type="spellStart"/>
      <w:r>
        <w:t>McCavangh</w:t>
      </w:r>
      <w:proofErr w:type="spellEnd"/>
      <w:r>
        <w:t xml:space="preserve"> mentioned in his review that he was dissatisfied with Konami's product and the refund process took as long as three months (Trustpilot, 2023). This also reveals potential issues in Konami's human resources and financial management. Konami needs to enhance its service quality, especially in terms of refund policy and process, to avoid inconveniencing customers, while also improving the efficient and rational utilization of company resources.</w:t>
      </w:r>
    </w:p>
    <w:p w14:paraId="6823EC0B" w14:textId="77777777" w:rsidR="008E562A" w:rsidRDefault="008E562A" w:rsidP="008E562A">
      <w:pPr>
        <w:pStyle w:val="3"/>
      </w:pPr>
      <w:r>
        <w:t>4.1.2. Technical Capability</w:t>
      </w:r>
    </w:p>
    <w:p w14:paraId="452342F4" w14:textId="77777777" w:rsidR="008E562A" w:rsidRDefault="008E562A" w:rsidP="008E562A">
      <w:r>
        <w:t xml:space="preserve">Konami is renowned for its high-quality video game technology, which is crucial for implementing a personalized customer care strategy. However, according to reviews from Git Fitz and </w:t>
      </w:r>
      <w:proofErr w:type="spellStart"/>
      <w:r>
        <w:t>Abir</w:t>
      </w:r>
      <w:proofErr w:type="spellEnd"/>
      <w:r>
        <w:t xml:space="preserve"> on Trustpilot, there are some technical issues with Konami's game products, such as AI interference, game network latency, and handling of game errors (Trustpilot, 2023). These issues indicate that the company is lacking in some technical aspects and needs improvement, possibly due to insufficient technical development and updates and inadequate problem-solving capacity and speed. Konami needs to constantly enhance its technical capability, perform regular maintenance and updates on its games to avoid technical issues. Moreover, Konami also needs to improve its data analysis and processing ability to better understand players' needs and behaviors, hence providing superior personalized services.</w:t>
      </w:r>
    </w:p>
    <w:p w14:paraId="74CC6620" w14:textId="77777777" w:rsidR="008E562A" w:rsidRDefault="008E562A" w:rsidP="008E562A">
      <w:pPr>
        <w:pStyle w:val="3"/>
      </w:pPr>
      <w:r>
        <w:t>4.1.3. Understanding of the Market</w:t>
      </w:r>
    </w:p>
    <w:p w14:paraId="6076D182" w14:textId="77777777" w:rsidR="008E562A" w:rsidRDefault="008E562A" w:rsidP="008E562A">
      <w:r>
        <w:t xml:space="preserve">As a globally renowned game company, Konami has a deep understanding of the gaming market, which is crucial for implementing a personalized customer care strategy. However, as per the reviews from Trustpilot users </w:t>
      </w:r>
      <w:proofErr w:type="spellStart"/>
      <w:r>
        <w:t>Islambek</w:t>
      </w:r>
      <w:proofErr w:type="spellEnd"/>
      <w:r>
        <w:t xml:space="preserve"> </w:t>
      </w:r>
      <w:proofErr w:type="spellStart"/>
      <w:r>
        <w:t>Usupov</w:t>
      </w:r>
      <w:proofErr w:type="spellEnd"/>
      <w:r>
        <w:t xml:space="preserve"> and Mathew Brock, </w:t>
      </w:r>
      <w:r>
        <w:lastRenderedPageBreak/>
        <w:t xml:space="preserve">there might be some issues with Konami's understanding of the market. </w:t>
      </w:r>
      <w:proofErr w:type="spellStart"/>
      <w:r>
        <w:t>Islambek</w:t>
      </w:r>
      <w:proofErr w:type="spellEnd"/>
      <w:r>
        <w:t xml:space="preserve"> </w:t>
      </w:r>
      <w:proofErr w:type="spellStart"/>
      <w:r>
        <w:t>Usupov</w:t>
      </w:r>
      <w:proofErr w:type="spellEnd"/>
      <w:r>
        <w:t xml:space="preserve"> pointed out that Konami has canceled some popular game series, like "Bloody Roar" and "Silent Hill," which might reflect that Konami has failed to timely understand and adapt to market changes and satisfy players' needs (Trustpilot, 2023). Mathew Brock's review reveals issues in Konami's customer service, as he found their customer service confusing and terrifying, reflecting issues in understanding customer needs and providing satisfactory services (Trustpilot, 2023). Therefore, Konami needs to continually update its market understanding, pay more attention to and understand the needs and expectations of players, as well as market changes and trends. At the same time, Konami also needs to strengthen its customer service, improve service quality and efficiency to provide better personalized services.</w:t>
      </w:r>
    </w:p>
    <w:p w14:paraId="49505A0B" w14:textId="77777777" w:rsidR="008E562A" w:rsidRDefault="008E562A" w:rsidP="008E562A">
      <w:pPr>
        <w:pStyle w:val="2"/>
      </w:pPr>
      <w:r>
        <w:t>4.2. Rationality</w:t>
      </w:r>
    </w:p>
    <w:p w14:paraId="2A9B2E77" w14:textId="77777777" w:rsidR="008E562A" w:rsidRDefault="008E562A" w:rsidP="008E562A">
      <w:pPr>
        <w:pStyle w:val="3"/>
      </w:pPr>
      <w:r>
        <w:t>4.2.1. Understanding Customer Needs</w:t>
      </w:r>
    </w:p>
    <w:p w14:paraId="1E52563C" w14:textId="77777777" w:rsidR="008E562A" w:rsidRDefault="008E562A" w:rsidP="008E562A">
      <w:r>
        <w:t xml:space="preserve">Understanding customer needs is the foundation for Konami to devise and implement a personalized customer care strategy. Only by deeply understanding customer needs and expectations can they provide products and services that meet customer needs. </w:t>
      </w:r>
      <w:r w:rsidRPr="00FB652C">
        <w:t xml:space="preserve">Indeed, to overcome inconveniences caused by the pandemic and to meet the demand of players wanting to play card games and participate in competitions during the pandemic, Konami developed the online tournament 'Remote </w:t>
      </w:r>
      <w:proofErr w:type="gramStart"/>
      <w:r w:rsidRPr="00FB652C">
        <w:t>Duel</w:t>
      </w:r>
      <w:proofErr w:type="gramEnd"/>
      <w:r w:rsidRPr="00FB652C">
        <w:t xml:space="preserve"> Yu-Gi-Oh! Championship Series' (RDYCS). The tournament is streamed worldwide via platforms like YouTube, and its success and positive user feedback led Konami to decide to hold the event annually after 2021 (Konami, 2021</w:t>
      </w:r>
      <w:proofErr w:type="gramStart"/>
      <w:r w:rsidRPr="00FB652C">
        <w:t>).</w:t>
      </w:r>
      <w:r>
        <w:t>But</w:t>
      </w:r>
      <w:proofErr w:type="gramEnd"/>
      <w:r>
        <w:t>, According to user reviews on Trustpilot, there are some issues with Konami's fulfillment of customer needs. For instance, user John the red expressed his dissatisfaction with Konami's sponsorship of Manchester United, vowing only to purchase Konami's products when they stop sponsoring Manchester United (Trustpilot, 2023). This situation indicates that Konami needs to consider customer emotions and expectations more when making decisions, to avoid provoking customer antagonism and damaging the company's brand image.</w:t>
      </w:r>
    </w:p>
    <w:p w14:paraId="57C30ED1" w14:textId="77777777" w:rsidR="008E562A" w:rsidRDefault="008E562A" w:rsidP="008E562A">
      <w:pPr>
        <w:pStyle w:val="3"/>
      </w:pPr>
      <w:r>
        <w:t>4.2.2. Control Over Product Quality</w:t>
      </w:r>
    </w:p>
    <w:p w14:paraId="711C4BA7" w14:textId="77777777" w:rsidR="008E562A" w:rsidRDefault="008E562A" w:rsidP="008E562A">
      <w:r>
        <w:t>Product quality is a vital factor influencing customer satisfaction and loyalty. Konami must ensure the quality and performance of its products to meet customer needs and enhance customer satisfaction and loyalty. However, some user reviews on Trustpilot indicate that there are issues with some Konami products. For example, user Charlie expressed dissatisfaction with certain problems in Konami games. He believes that games like PES20 are clearly unreasonable in difficulty settings and lack design in game difficulty curve (Trustpilot, 2023). This situation suggests that Konami needs to pay more attention to product quality and performance to meet customer needs.</w:t>
      </w:r>
    </w:p>
    <w:p w14:paraId="658F3CCD" w14:textId="77777777" w:rsidR="008E562A" w:rsidRDefault="008E562A" w:rsidP="008E562A">
      <w:pPr>
        <w:pStyle w:val="3"/>
      </w:pPr>
      <w:r>
        <w:lastRenderedPageBreak/>
        <w:t>4.2.3. Emphasis on Customer Service</w:t>
      </w:r>
    </w:p>
    <w:p w14:paraId="431C7D7B" w14:textId="77777777" w:rsidR="008E562A" w:rsidRDefault="008E562A" w:rsidP="008E562A">
      <w:r>
        <w:t>High-quality customer service is key to enhancing customer satisfaction and loyalty. Konami needs to provide professional, efficient customer service to resolve customer issues and meet their needs. However, some user reviews on Trustpilot indicate that there are issues with Konami's customer service. For example, user Daniel expressed dissatisfaction with Konami's customer service, stating that it only provided vague answers without offering solutions to his problems. Another user, Gavin Lau, criticized Konami's customer service personnel for not being able to properly answer his questions and criticized Konami's game servers for having issues 24/7, 365 days a year (Trustpilot, 2023). This situation indicates that Konami needs to improve its customer service, offering more professional, more efficient services to meet customer needs.</w:t>
      </w:r>
    </w:p>
    <w:p w14:paraId="3706BEF0" w14:textId="77777777" w:rsidR="008E562A" w:rsidRDefault="008E562A" w:rsidP="008E562A">
      <w:pPr>
        <w:pStyle w:val="2"/>
      </w:pPr>
      <w:r>
        <w:t>4.3. Risks</w:t>
      </w:r>
    </w:p>
    <w:p w14:paraId="18D7BC34" w14:textId="77777777" w:rsidR="008E562A" w:rsidRDefault="008E562A" w:rsidP="008E562A">
      <w:pPr>
        <w:pStyle w:val="3"/>
      </w:pPr>
      <w:r>
        <w:t>4.3.1. Brand Image Risk</w:t>
      </w:r>
    </w:p>
    <w:p w14:paraId="275BE784" w14:textId="77777777" w:rsidR="008E562A" w:rsidRDefault="008E562A" w:rsidP="008E562A">
      <w:r>
        <w:t xml:space="preserve">In Trustpilot reviews, some users have expressed dissatisfaction with Konami's business decisions and product quality. For example, Git Fitz and </w:t>
      </w:r>
      <w:proofErr w:type="spellStart"/>
      <w:r>
        <w:t>Islambek</w:t>
      </w:r>
      <w:proofErr w:type="spellEnd"/>
      <w:r>
        <w:t xml:space="preserve"> </w:t>
      </w:r>
      <w:proofErr w:type="spellStart"/>
      <w:r>
        <w:t>Usupov</w:t>
      </w:r>
      <w:proofErr w:type="spellEnd"/>
      <w:r>
        <w:t xml:space="preserve"> have expressed great disappointment with Konami's game products, believing that Konami has ruined some of the games they love (Trustpilot, 2023). Such negative feedback could potentially harm Konami's brand image, thereby affecting its market share and profitability.</w:t>
      </w:r>
    </w:p>
    <w:p w14:paraId="0BCD7784" w14:textId="77777777" w:rsidR="008E562A" w:rsidRDefault="008E562A" w:rsidP="008E562A">
      <w:pPr>
        <w:pStyle w:val="3"/>
      </w:pPr>
      <w:r>
        <w:t>4.3.2. Customer Service Risk</w:t>
      </w:r>
    </w:p>
    <w:p w14:paraId="646EBE25" w14:textId="77777777" w:rsidR="008E562A" w:rsidRDefault="008E562A" w:rsidP="008E562A">
      <w:r>
        <w:t>Some users have complained about Konami's customer service. For example, Mathew Brock found it extremely difficult and confusing to deal with Konami's customer service, leaving him feeling frustrated and unsure about what to do next (Trustpilot, 2023). Such service experiences could lead Konami to lose customers, who might turn to competitors offering better customer service. Moreover, if Konami fails to improve its customer service, it could further damage its brand image and potentially lead to legal disputes.</w:t>
      </w:r>
    </w:p>
    <w:p w14:paraId="07817E51" w14:textId="77777777" w:rsidR="008E562A" w:rsidRDefault="008E562A" w:rsidP="008E562A">
      <w:pPr>
        <w:pStyle w:val="3"/>
      </w:pPr>
      <w:r>
        <w:t>4.3.3. Product Quality Risk</w:t>
      </w:r>
    </w:p>
    <w:p w14:paraId="0DD799FC" w14:textId="77777777" w:rsidR="008E562A" w:rsidRDefault="008E562A" w:rsidP="008E562A">
      <w:r>
        <w:t xml:space="preserve">Based on user feedback, some of Konami's games have issues. For instance, user Tom </w:t>
      </w:r>
      <w:proofErr w:type="spellStart"/>
      <w:r>
        <w:t>McCavangh</w:t>
      </w:r>
      <w:proofErr w:type="spellEnd"/>
      <w:r>
        <w:t xml:space="preserve"> was unsatisfied after using a Konami product and spent three months getting a refund (Trustpilot, 2023). If Konami can't resolve these issues promptly, users may lose confidence in its products and might switch to those of other competitors. Furthermore, product quality issues could lead to an increase in refund requests, thereby increasing Konami's operational costs.</w:t>
      </w:r>
    </w:p>
    <w:p w14:paraId="233B00A3" w14:textId="77777777" w:rsidR="008E562A" w:rsidRDefault="008E562A" w:rsidP="008E562A">
      <w:pPr>
        <w:pStyle w:val="3"/>
      </w:pPr>
      <w:r>
        <w:t>4.3.4. Strategic Risk</w:t>
      </w:r>
    </w:p>
    <w:p w14:paraId="29942783" w14:textId="77777777" w:rsidR="008E562A" w:rsidRDefault="008E562A" w:rsidP="008E562A">
      <w:r>
        <w:t xml:space="preserve">In terms of Konami's strategic decisions, some users have expressed their concerns. </w:t>
      </w:r>
      <w:r>
        <w:lastRenderedPageBreak/>
        <w:t>For example, several users like Account Number are disappointed that Konami did not launch the original Silent Hill and Silent Hill 4 on PS4. They believe this was a misguided decision that should be corrected by remaking the games (Trustpilot, 2023). This might suggest problems with Konami's strategic decision-making. If Konami fails to address these issues appropriately, it might lose some customers and potentially have a negative impact on its long-term development.</w:t>
      </w:r>
    </w:p>
    <w:p w14:paraId="33BC8C34" w14:textId="77777777" w:rsidR="008E562A" w:rsidRDefault="008E562A" w:rsidP="008E562A">
      <w:pPr>
        <w:pStyle w:val="10"/>
      </w:pPr>
      <w:r>
        <w:t>V. Strategy Implementation</w:t>
      </w:r>
    </w:p>
    <w:p w14:paraId="635B88E5" w14:textId="77777777" w:rsidR="008E562A" w:rsidRDefault="008E562A" w:rsidP="008E562A">
      <w:pPr>
        <w:pStyle w:val="2"/>
      </w:pPr>
      <w:r>
        <w:t>5.1. Proposing a New Customer Care Strategy</w:t>
      </w:r>
    </w:p>
    <w:p w14:paraId="499FA982" w14:textId="77777777" w:rsidR="008E562A" w:rsidRDefault="008E562A" w:rsidP="008E562A">
      <w:pPr>
        <w:pStyle w:val="3"/>
      </w:pPr>
      <w:r>
        <w:t>5.1.1. Strengthen the Customer Service System</w:t>
      </w:r>
    </w:p>
    <w:p w14:paraId="0D36C4C9" w14:textId="77777777" w:rsidR="008E562A" w:rsidRDefault="008E562A" w:rsidP="008E562A">
      <w:r>
        <w:t>Given user feedback, there are certain issues with Konami's customer service. As a solution, Konami can improve its customer service quality and establish more effective channels for problem resolution. For example, Konami can set up a 24/7 online customer service center, so users can get help anytime. Additionally, Konami can add more comprehensive and detailed FAQs on its website and social media, allowing users to solve some common problems themselves.</w:t>
      </w:r>
    </w:p>
    <w:p w14:paraId="0927FD5C" w14:textId="77777777" w:rsidR="008E562A" w:rsidRDefault="008E562A" w:rsidP="008E562A">
      <w:pPr>
        <w:pStyle w:val="3"/>
      </w:pPr>
      <w:r>
        <w:t>5.1.2. Enhance Communication with Users</w:t>
      </w:r>
    </w:p>
    <w:p w14:paraId="5E2F5796" w14:textId="77777777" w:rsidR="008E562A" w:rsidRDefault="008E562A" w:rsidP="008E562A">
      <w:r>
        <w:t>Konami can enhance communication with users to understand their needs and expectations. For example, Konami can regularly conduct surveys on social media or organize user forums to allow users to share their thoughts and suggestions. Additionally, Konami can regularly send the company's latest news to users via email or social media, including new product releases, the development of new features, and the company's strategic planning.</w:t>
      </w:r>
    </w:p>
    <w:p w14:paraId="593FF2ED" w14:textId="77777777" w:rsidR="008E562A" w:rsidRDefault="008E562A" w:rsidP="008E562A">
      <w:pPr>
        <w:pStyle w:val="3"/>
      </w:pPr>
      <w:r>
        <w:t>5.1.3. Improve Product Quality and User Experience</w:t>
      </w:r>
    </w:p>
    <w:p w14:paraId="05575B59" w14:textId="77777777" w:rsidR="008E562A" w:rsidRDefault="008E562A" w:rsidP="008E562A">
      <w:r>
        <w:t>To meet user expectations, Konami needs to improve its product quality and user experience. Specifically, Konami can extend its product testing phase to discover and fix possible issues early. Moreover, based on user feedback, Konami can improve its product designs and functionalities. For instance, according to user feedback, Konami could enhance its football game's AI design, making the game more challenging and competitive.</w:t>
      </w:r>
    </w:p>
    <w:p w14:paraId="0358125E" w14:textId="77777777" w:rsidR="008E562A" w:rsidRDefault="008E562A" w:rsidP="008E562A">
      <w:pPr>
        <w:pStyle w:val="3"/>
      </w:pPr>
      <w:r>
        <w:t>5.1.4. Strengthen Brand Image Building</w:t>
      </w:r>
    </w:p>
    <w:p w14:paraId="64C559FE" w14:textId="77777777" w:rsidR="008E562A" w:rsidRDefault="008E562A" w:rsidP="008E562A">
      <w:r>
        <w:t xml:space="preserve">To strengthen Konami's brand image, the company needs to devise effective brand promotion strategies. For example, Konami can organize online or offline events like gaming tournaments, user meetups, and charity events to increase brand exposure. Additionally, Konami can invite well-known gaming bloggers or influencers for game </w:t>
      </w:r>
      <w:r>
        <w:lastRenderedPageBreak/>
        <w:t>promotion and reviews.</w:t>
      </w:r>
    </w:p>
    <w:p w14:paraId="021A47CF" w14:textId="77777777" w:rsidR="008E562A" w:rsidRDefault="008E562A" w:rsidP="008E562A">
      <w:pPr>
        <w:pStyle w:val="2"/>
      </w:pPr>
      <w:r>
        <w:t>5.2. Impact on Different Company Departments</w:t>
      </w:r>
    </w:p>
    <w:p w14:paraId="45417E35" w14:textId="77777777" w:rsidR="008E562A" w:rsidRDefault="008E562A" w:rsidP="008E562A">
      <w:pPr>
        <w:pStyle w:val="3"/>
      </w:pPr>
      <w:r>
        <w:t>5.2.1. Customer Service Department</w:t>
      </w:r>
    </w:p>
    <w:p w14:paraId="417A8DB1" w14:textId="1B42074B" w:rsidR="008E562A" w:rsidRDefault="008E562A" w:rsidP="008E562A">
      <w:r>
        <w:t>The Customer Service department is the frontline of the customer care strategy and has a significant impact on enhancing the company's image and ensuring customer satisfaction. They need to demonstrate efficiency and professionalism when addressing customer issues, and win customer trust and satisfaction through positive attitudes and excellent communication skills. For Konami, investing in the customer service department, including staff training and system upgrading, is a crucial step in implementing the customer care strategy.</w:t>
      </w:r>
    </w:p>
    <w:p w14:paraId="159A8F8D" w14:textId="77777777" w:rsidR="008E562A" w:rsidRDefault="008E562A" w:rsidP="008E562A">
      <w:pPr>
        <w:pStyle w:val="3"/>
      </w:pPr>
      <w:r>
        <w:t>5.2.2. Development Department</w:t>
      </w:r>
    </w:p>
    <w:p w14:paraId="6581DC4D" w14:textId="77777777" w:rsidR="008E562A" w:rsidRDefault="008E562A" w:rsidP="008E562A">
      <w:r>
        <w:t>The Development department has a decisive impact on product quality and user experience. They need to pay close attention to customer feedback to timely fix issues in products, and they need to be innovative and flexible, proposing and implementing new features that can improve user experience. In the new customer care strategy, the development department needs to play a larger role in responding to customer needs and promoting product innovation.</w:t>
      </w:r>
    </w:p>
    <w:p w14:paraId="41ED6C23" w14:textId="77777777" w:rsidR="008E562A" w:rsidRDefault="008E562A" w:rsidP="008E562A">
      <w:pPr>
        <w:pStyle w:val="3"/>
      </w:pPr>
      <w:r>
        <w:t>5.2.3. Marketing Department</w:t>
      </w:r>
    </w:p>
    <w:p w14:paraId="4C5A3F59" w14:textId="77777777" w:rsidR="008E562A" w:rsidRDefault="008E562A" w:rsidP="008E562A">
      <w:r>
        <w:t>The Marketing department is responsible for formulating and executing the company's brand promotion strategies, and their work directly affects the company's brand image and market influence. Konami's marketing department needs to work closely with other departments to ensure the company's information and activities effectively reach the target users. They also need to design and implement a series of brand promotion activities to enhance Konami's brand image and awareness.</w:t>
      </w:r>
    </w:p>
    <w:p w14:paraId="3D3D21DC" w14:textId="77777777" w:rsidR="008E562A" w:rsidRDefault="008E562A" w:rsidP="008E562A">
      <w:pPr>
        <w:pStyle w:val="3"/>
      </w:pPr>
      <w:r>
        <w:t>5.2.4. Decision-making Department</w:t>
      </w:r>
    </w:p>
    <w:p w14:paraId="6D48B74E" w14:textId="77777777" w:rsidR="008E562A" w:rsidRDefault="008E562A" w:rsidP="008E562A">
      <w:r>
        <w:t>The Decision-making department, including the company's senior management and board of directors, has a decisive influence on the company's strategic direction and business decisions. They need to understand and support the new customer care strategy and provide necessary resources and support. When implementing the new customer care strategy, the decision-making department needs to consider the company's long-term development and interests, and actively respond to potential risks and challenges.</w:t>
      </w:r>
    </w:p>
    <w:p w14:paraId="19AD28FE" w14:textId="77777777" w:rsidR="008E562A" w:rsidRDefault="008E562A" w:rsidP="008E562A">
      <w:pPr>
        <w:pStyle w:val="2"/>
      </w:pPr>
      <w:r>
        <w:t>5.3. Long-term and Short-term Strategic Plans</w:t>
      </w:r>
    </w:p>
    <w:p w14:paraId="230A6347" w14:textId="77777777" w:rsidR="008E562A" w:rsidRDefault="008E562A" w:rsidP="008E562A">
      <w:pPr>
        <w:pStyle w:val="3"/>
      </w:pPr>
      <w:r>
        <w:t>5.3.1. Short-term Strategic Plan</w:t>
      </w:r>
    </w:p>
    <w:p w14:paraId="608F6DD0" w14:textId="77777777" w:rsidR="008E562A" w:rsidRDefault="008E562A" w:rsidP="008E562A">
      <w:r>
        <w:t xml:space="preserve">In the short term, Konami should focus on improving customer service and </w:t>
      </w:r>
      <w:r>
        <w:lastRenderedPageBreak/>
        <w:t>enhancing user experience. Firstly, the response speed and problem-solving efficiency of customer service should be improved. To achieve this goal, Konami should enhance the technical level of the service team, for example, by providing more comprehensive product knowledge and skill training, or adopting advanced customer service systems to process user requests faster. Secondly, Konami should improve products according to user feedback, such as fixing issues in the PES series games, to increase user experience satisfaction. This requires the development team to work closely with the customer service department to better understand and meet user needs.</w:t>
      </w:r>
    </w:p>
    <w:p w14:paraId="7974A84A" w14:textId="77777777" w:rsidR="008E562A" w:rsidRDefault="008E562A" w:rsidP="008E562A">
      <w:pPr>
        <w:pStyle w:val="3"/>
      </w:pPr>
      <w:r>
        <w:t>5.3.2. Long-term Strategic Plan</w:t>
      </w:r>
    </w:p>
    <w:p w14:paraId="0B691606" w14:textId="77777777" w:rsidR="008E562A" w:rsidRDefault="008E562A" w:rsidP="008E562A">
      <w:r>
        <w:t>In the long term, Konami should focus on enhancing its brand image and expanding its market share. To achieve this goal, Konami needs to build and maintain deep relationships with users. This can be achieved by launching personalized user experiences, such as offering customized game content and promotional activities based on users' gaming habits and preferences, or iterating and improving products based on user feedback. Additionally, Konami needs to pay close attention to market changes to seize new business opportunities in time. For example, Konami can further expand its share in the mobile gaming market, or explore the possibilities of emerging technologies such as virtual reality and augmented reality.</w:t>
      </w:r>
    </w:p>
    <w:p w14:paraId="597E9076" w14:textId="77777777" w:rsidR="008E562A" w:rsidRDefault="008E562A" w:rsidP="008E562A">
      <w:r>
        <w:t>In general, Konami's short-term and long-term strategic plans should be combined with its current business environment and development goals to achieve continuous growth and profitability. This requires coordination and cooperation among various departments of the company, as well as firm confidence and determination from the company's leadership towards new strategic objectives. Only in this way can Konami successfully implement its new customer care strategy and enhance its position in the highly competitive gaming market.</w:t>
      </w:r>
    </w:p>
    <w:p w14:paraId="6778E61E" w14:textId="77777777" w:rsidR="008E562A" w:rsidRDefault="008E562A" w:rsidP="008E562A">
      <w:pPr>
        <w:pStyle w:val="10"/>
      </w:pPr>
      <w:r>
        <w:t>VI. Conclusion</w:t>
      </w:r>
    </w:p>
    <w:p w14:paraId="54A4FCCB" w14:textId="2420F247" w:rsidR="00027AB0" w:rsidRDefault="008E562A" w:rsidP="008E562A">
      <w:r>
        <w:t>Through the above analysis, it can be seen that Konami's personalized customer care strategy needs to be balanced and optimized in terms of feasibility, rationality, and risk. From the perspective of feasibility, Konami has extensive game development experience and a wide user base, which provides the basis for implementing a personalized customer care strategy. From the perspective of rationality, by improving customer service, optimizing user experience, enhancing brand image, and expanding market share, Konami can achieve business growth and profitability. However, Konami also needs to be alert to the risks that its personalized customer care strategy may bring, such as user dissatisfaction, product quality issues, brand reputation damage, etc.</w:t>
      </w:r>
    </w:p>
    <w:p w14:paraId="15CE9A83" w14:textId="77777777" w:rsidR="008E562A" w:rsidRDefault="008E562A" w:rsidP="0063248F"/>
    <w:p w14:paraId="06B6504B" w14:textId="77777777" w:rsidR="00231D22" w:rsidRDefault="00231D22" w:rsidP="0063248F">
      <w:pPr>
        <w:pStyle w:val="10"/>
      </w:pPr>
      <w:r>
        <w:lastRenderedPageBreak/>
        <w:t>References</w:t>
      </w:r>
    </w:p>
    <w:p w14:paraId="79A86546" w14:textId="77777777" w:rsidR="008E562A" w:rsidRDefault="008E562A" w:rsidP="008E562A">
      <w:pPr>
        <w:pStyle w:val="a8"/>
        <w:numPr>
          <w:ilvl w:val="0"/>
          <w:numId w:val="1"/>
        </w:numPr>
        <w:ind w:firstLineChars="0"/>
      </w:pPr>
      <w:r>
        <w:t>Batchelor, J., 2019. Konami enjoys fifth consecutive year of profit growth. [online] GamesIndustry.biz. Available at: https://www.gamesindustry.biz/articles/2019-05-09-konami-enjoys-fifth-consecutive-year-of-profit-growth [Accessed 16 July 2023].</w:t>
      </w:r>
    </w:p>
    <w:p w14:paraId="4C423826" w14:textId="77777777" w:rsidR="008E562A" w:rsidRDefault="008E562A" w:rsidP="008E562A">
      <w:pPr>
        <w:pStyle w:val="a8"/>
        <w:numPr>
          <w:ilvl w:val="0"/>
          <w:numId w:val="1"/>
        </w:numPr>
        <w:ind w:firstLineChars="0"/>
      </w:pPr>
      <w:r>
        <w:t>Bian, Y., Zhou, C., Gai, W., Liu, J. &amp; Yang, C. 2023. The effect of embodied interaction designs on flow experience: examination in VR games. Virtual Reality, (2). doi:10.1007/S10055-023-00758-3.</w:t>
      </w:r>
    </w:p>
    <w:p w14:paraId="2370DE40" w14:textId="77777777" w:rsidR="008E562A" w:rsidRDefault="008E562A" w:rsidP="008E562A">
      <w:pPr>
        <w:pStyle w:val="a8"/>
        <w:numPr>
          <w:ilvl w:val="0"/>
          <w:numId w:val="1"/>
        </w:numPr>
        <w:ind w:firstLineChars="0"/>
      </w:pPr>
      <w:r>
        <w:t>Buck, A. R. 2022. The Price of Consent: Identity Wages in the Games Industry. Journal of Contemporary Ethnography, (6).</w:t>
      </w:r>
    </w:p>
    <w:p w14:paraId="3C0B0BED" w14:textId="77777777" w:rsidR="008E562A" w:rsidRDefault="008E562A" w:rsidP="008E562A">
      <w:pPr>
        <w:pStyle w:val="a8"/>
        <w:numPr>
          <w:ilvl w:val="0"/>
          <w:numId w:val="1"/>
        </w:numPr>
        <w:ind w:firstLineChars="0"/>
      </w:pPr>
      <w:r>
        <w:t>Buckley, P. J., Pass, C. L., &amp; Prescott, K., 2007. The international business environment. Palgrave Macmillan.</w:t>
      </w:r>
    </w:p>
    <w:p w14:paraId="0ED5524D" w14:textId="77777777" w:rsidR="008E562A" w:rsidRDefault="008E562A" w:rsidP="008E562A">
      <w:pPr>
        <w:pStyle w:val="a8"/>
        <w:numPr>
          <w:ilvl w:val="0"/>
          <w:numId w:val="1"/>
        </w:numPr>
        <w:ind w:firstLineChars="0"/>
      </w:pPr>
      <w:r>
        <w:t>Cai, R. 2018. The Monopoly and Exploitation Logic of Platform Capitalism: On the "</w:t>
      </w:r>
      <w:proofErr w:type="spellStart"/>
      <w:r>
        <w:t>Platformization</w:t>
      </w:r>
      <w:proofErr w:type="spellEnd"/>
      <w:r>
        <w:t>" and "</w:t>
      </w:r>
      <w:proofErr w:type="spellStart"/>
      <w:r>
        <w:t>Laborization</w:t>
      </w:r>
      <w:proofErr w:type="spellEnd"/>
      <w:r>
        <w:t>" of the Gaming Industry. Journalism World, (02), 73-81.</w:t>
      </w:r>
    </w:p>
    <w:p w14:paraId="28C3073A" w14:textId="77777777" w:rsidR="008E562A" w:rsidRDefault="008E562A" w:rsidP="008E562A">
      <w:pPr>
        <w:pStyle w:val="a8"/>
        <w:numPr>
          <w:ilvl w:val="0"/>
          <w:numId w:val="1"/>
        </w:numPr>
        <w:ind w:firstLineChars="0"/>
      </w:pPr>
      <w:r>
        <w:t>Cao, S. 2021. Gaming as Labor: Creation, Production, and Exploitation of Digital Game Players. News and Writing, (02), 22-28.</w:t>
      </w:r>
    </w:p>
    <w:p w14:paraId="5CF8F8D6" w14:textId="77777777" w:rsidR="008E562A" w:rsidRDefault="008E562A" w:rsidP="008E562A">
      <w:pPr>
        <w:pStyle w:val="a8"/>
        <w:numPr>
          <w:ilvl w:val="0"/>
          <w:numId w:val="1"/>
        </w:numPr>
        <w:ind w:firstLineChars="0"/>
      </w:pPr>
      <w:proofErr w:type="spellStart"/>
      <w:r>
        <w:t>Consalvo</w:t>
      </w:r>
      <w:proofErr w:type="spellEnd"/>
      <w:r>
        <w:t>, M., 2009. Convergence and globalization in the Japanese videogame industry. Cinema Journal, 48(3), pp.135-141.</w:t>
      </w:r>
    </w:p>
    <w:p w14:paraId="566F0F7E" w14:textId="77777777" w:rsidR="008E562A" w:rsidRDefault="008E562A" w:rsidP="008E562A">
      <w:pPr>
        <w:pStyle w:val="a8"/>
        <w:numPr>
          <w:ilvl w:val="0"/>
          <w:numId w:val="1"/>
        </w:numPr>
        <w:ind w:firstLineChars="0"/>
      </w:pPr>
      <w:proofErr w:type="spellStart"/>
      <w:r>
        <w:t>Dealessandri</w:t>
      </w:r>
      <w:proofErr w:type="spellEnd"/>
      <w:r>
        <w:t>, M., 2023. China's games market reached $45.5bn in 2022. [online] GamesIndustry.biz. Available at: https://www.gamesindustry.biz/chinas-games-market-reached-455bn-in-2022 [Accessed 13 July 2023].</w:t>
      </w:r>
    </w:p>
    <w:p w14:paraId="7DB2483C" w14:textId="77777777" w:rsidR="008E562A" w:rsidRDefault="008E562A" w:rsidP="008E562A">
      <w:pPr>
        <w:pStyle w:val="a8"/>
        <w:numPr>
          <w:ilvl w:val="0"/>
          <w:numId w:val="1"/>
        </w:numPr>
        <w:ind w:firstLineChars="0"/>
      </w:pPr>
      <w:r>
        <w:t>Do, Q., Li, Y., Kane, G. A, McGuire, J. T &amp; Scott, B. B. 2022. Assessing evidence accumulation and rule learning in humans with an online game. Journal of Neurophysiology. doi:10.1152/JN.00124.2022.</w:t>
      </w:r>
    </w:p>
    <w:p w14:paraId="3B8A227A" w14:textId="77777777" w:rsidR="008E562A" w:rsidRDefault="008E562A" w:rsidP="008E562A">
      <w:pPr>
        <w:pStyle w:val="a8"/>
        <w:numPr>
          <w:ilvl w:val="0"/>
          <w:numId w:val="1"/>
        </w:numPr>
        <w:ind w:firstLineChars="0"/>
      </w:pPr>
      <w:r>
        <w:t>Fields, T., &amp; Cotton, B. 2011. Social game design: Monetization methods and mechanics. CRC Press.</w:t>
      </w:r>
    </w:p>
    <w:p w14:paraId="3D5985C0" w14:textId="77777777" w:rsidR="008E562A" w:rsidRDefault="008E562A" w:rsidP="008E562A">
      <w:pPr>
        <w:pStyle w:val="a8"/>
        <w:numPr>
          <w:ilvl w:val="0"/>
          <w:numId w:val="1"/>
        </w:numPr>
        <w:ind w:firstLineChars="0"/>
      </w:pPr>
      <w:r>
        <w:t>Fortune Business Insights, 2023. Gaming Market Size, Share &amp; COVID-19 Impact Analysis, By Game Type (Shooter, Action, Sports, Role Playing, and Others), By Device Type (PC/MMO, Tablet, Mobile Phone, and TV/Console), By End-User (Male and Female), and Regional Forecast, 2023-2030. Market Research Report, pp.1-180.</w:t>
      </w:r>
    </w:p>
    <w:p w14:paraId="2E6CF204" w14:textId="77777777" w:rsidR="008E562A" w:rsidRDefault="008E562A" w:rsidP="008E562A">
      <w:pPr>
        <w:pStyle w:val="a8"/>
        <w:numPr>
          <w:ilvl w:val="0"/>
          <w:numId w:val="1"/>
        </w:numPr>
        <w:ind w:firstLineChars="0"/>
      </w:pPr>
      <w:proofErr w:type="spellStart"/>
      <w:r>
        <w:t>Hoysniemi</w:t>
      </w:r>
      <w:proofErr w:type="spellEnd"/>
      <w:r>
        <w:t xml:space="preserve">, J., 2006. International survey on the Dance </w:t>
      </w:r>
      <w:proofErr w:type="spellStart"/>
      <w:r>
        <w:t>Dance</w:t>
      </w:r>
      <w:proofErr w:type="spellEnd"/>
      <w:r>
        <w:t xml:space="preserve"> Revolution game. Computers in Entertainment (CIE), 4(2), 8-es.</w:t>
      </w:r>
    </w:p>
    <w:p w14:paraId="248D4012" w14:textId="77777777" w:rsidR="008E562A" w:rsidRDefault="008E562A" w:rsidP="008E562A">
      <w:pPr>
        <w:pStyle w:val="a8"/>
        <w:numPr>
          <w:ilvl w:val="0"/>
          <w:numId w:val="1"/>
        </w:numPr>
        <w:ind w:firstLineChars="0"/>
      </w:pPr>
      <w:proofErr w:type="spellStart"/>
      <w:r>
        <w:t>Jin</w:t>
      </w:r>
      <w:proofErr w:type="spellEnd"/>
      <w:r>
        <w:t>, D. Y. 2010. Korea's online gaming empire. The MIT Press.</w:t>
      </w:r>
    </w:p>
    <w:p w14:paraId="59DFCA5B" w14:textId="77777777" w:rsidR="008E562A" w:rsidRDefault="008E562A" w:rsidP="008E562A">
      <w:pPr>
        <w:pStyle w:val="a8"/>
        <w:numPr>
          <w:ilvl w:val="0"/>
          <w:numId w:val="1"/>
        </w:numPr>
        <w:ind w:firstLineChars="0"/>
      </w:pPr>
      <w:proofErr w:type="spellStart"/>
      <w:r>
        <w:t>Jørgensen</w:t>
      </w:r>
      <w:proofErr w:type="spellEnd"/>
      <w:r>
        <w:t>, K. 2019. Newcomers in a global industry: Challenges of a Norwegian game company. Games and Culture, 14(6), 660-679.</w:t>
      </w:r>
    </w:p>
    <w:p w14:paraId="7962DA66" w14:textId="77777777" w:rsidR="008E562A" w:rsidRDefault="008E562A" w:rsidP="008E562A">
      <w:pPr>
        <w:pStyle w:val="a8"/>
        <w:numPr>
          <w:ilvl w:val="0"/>
          <w:numId w:val="1"/>
        </w:numPr>
        <w:ind w:firstLineChars="0"/>
      </w:pPr>
      <w:r>
        <w:t xml:space="preserve">King, D. L., </w:t>
      </w:r>
      <w:proofErr w:type="spellStart"/>
      <w:r>
        <w:t>Delfabbro</w:t>
      </w:r>
      <w:proofErr w:type="spellEnd"/>
      <w:r>
        <w:t>, P. H., &amp; Griffiths, M. D., 2010. The convergence of gambling and digital media: Implications for gambling in young people. Journal of Gambling Studies, 26(2), pp.175-187.</w:t>
      </w:r>
    </w:p>
    <w:p w14:paraId="606176FC" w14:textId="77777777" w:rsidR="008E562A" w:rsidRDefault="008E562A" w:rsidP="008E562A">
      <w:pPr>
        <w:pStyle w:val="a8"/>
        <w:numPr>
          <w:ilvl w:val="0"/>
          <w:numId w:val="1"/>
        </w:numPr>
        <w:ind w:firstLineChars="0"/>
      </w:pPr>
      <w:r>
        <w:t xml:space="preserve">Kim, K. &amp; Wang, X. 2017. A Study of Industrial Policies for the Development of the Cultural Industry: Taking Esports Industry as an Example. Economic Research </w:t>
      </w:r>
      <w:r>
        <w:lastRenderedPageBreak/>
        <w:t>Reference, (56), 58-64.</w:t>
      </w:r>
    </w:p>
    <w:p w14:paraId="161E8C2C" w14:textId="77777777" w:rsidR="008E562A" w:rsidRDefault="008E562A" w:rsidP="008E562A">
      <w:pPr>
        <w:pStyle w:val="a8"/>
        <w:numPr>
          <w:ilvl w:val="0"/>
          <w:numId w:val="1"/>
        </w:numPr>
        <w:ind w:firstLineChars="0"/>
      </w:pPr>
      <w:r>
        <w:t>Konami, 2022. News - KONAMI GROUP CORPORATION. [online] Konami.com. Available at: https://www.konami.com/news/en/news.html?year=2022 [Accessed 11 July 2023].</w:t>
      </w:r>
    </w:p>
    <w:p w14:paraId="2CF439AB" w14:textId="77777777" w:rsidR="008E562A" w:rsidRDefault="008E562A" w:rsidP="008E562A">
      <w:pPr>
        <w:pStyle w:val="a8"/>
        <w:numPr>
          <w:ilvl w:val="0"/>
          <w:numId w:val="1"/>
        </w:numPr>
        <w:ind w:firstLineChars="0"/>
      </w:pPr>
      <w:r>
        <w:t xml:space="preserve">Konami, 2021. Remote </w:t>
      </w:r>
      <w:proofErr w:type="gramStart"/>
      <w:r>
        <w:t>Duel</w:t>
      </w:r>
      <w:proofErr w:type="gramEnd"/>
      <w:r>
        <w:t xml:space="preserve"> Yu-Gi-Oh! Championship Series 2021 | Yu-Gi-Oh! TRADING CARD GAME. [online] Img.yugioh-card.com. Available at: https://img.yugioh-card.com/uk/events/detail.php?id=10520 [Accessed 16 July 2023].</w:t>
      </w:r>
    </w:p>
    <w:p w14:paraId="30552C1D" w14:textId="77777777" w:rsidR="008E562A" w:rsidRDefault="008E562A" w:rsidP="008E562A">
      <w:pPr>
        <w:pStyle w:val="a8"/>
        <w:numPr>
          <w:ilvl w:val="0"/>
          <w:numId w:val="1"/>
        </w:numPr>
        <w:ind w:firstLineChars="0"/>
      </w:pPr>
      <w:r>
        <w:t>Konami, 2022. Corporate Data - KONAMI HOLDINGS CORPORATION. [online] Konami.com. Available at: https://www.konami.com/corporate/en/data/ [Accessed 14 July 2023].</w:t>
      </w:r>
    </w:p>
    <w:p w14:paraId="4E8A29F4" w14:textId="77777777" w:rsidR="008E562A" w:rsidRDefault="008E562A" w:rsidP="008E562A">
      <w:pPr>
        <w:pStyle w:val="a8"/>
        <w:numPr>
          <w:ilvl w:val="0"/>
          <w:numId w:val="1"/>
        </w:numPr>
        <w:ind w:firstLineChars="0"/>
      </w:pPr>
      <w:r>
        <w:t>Konami, 2022. Digital Entertainment Business - KONAMI HOLDINGS CORPORATION. [online] Konami.com. Available at: https://www.konami.com/corporate/en/business/digitalentertainment.html [Accessed 14 July 2023].</w:t>
      </w:r>
    </w:p>
    <w:p w14:paraId="2578522E" w14:textId="77777777" w:rsidR="008E562A" w:rsidRDefault="008E562A" w:rsidP="008E562A">
      <w:pPr>
        <w:pStyle w:val="a8"/>
        <w:numPr>
          <w:ilvl w:val="0"/>
          <w:numId w:val="1"/>
        </w:numPr>
        <w:ind w:firstLineChars="0"/>
      </w:pPr>
      <w:proofErr w:type="spellStart"/>
      <w:r>
        <w:t>Kröger</w:t>
      </w:r>
      <w:proofErr w:type="spellEnd"/>
      <w:r>
        <w:t xml:space="preserve">, J. L., </w:t>
      </w:r>
      <w:proofErr w:type="spellStart"/>
      <w:r>
        <w:t>Raschke</w:t>
      </w:r>
      <w:proofErr w:type="spellEnd"/>
      <w:r>
        <w:t>, P., Percy Campbell, J. &amp; Ullrich, S. 2023. Surveilling the gamers: Privacy impacts of the video game industry. Entertainment Computing.</w:t>
      </w:r>
    </w:p>
    <w:p w14:paraId="13F56EB4" w14:textId="77777777" w:rsidR="008E562A" w:rsidRDefault="008E562A" w:rsidP="008E562A">
      <w:pPr>
        <w:pStyle w:val="a8"/>
        <w:numPr>
          <w:ilvl w:val="0"/>
          <w:numId w:val="1"/>
        </w:numPr>
        <w:ind w:firstLineChars="0"/>
      </w:pPr>
      <w:r>
        <w:t>Li, N. &amp; Li, Y. 2008. A Review of Domestic and Foreign Research Literature on Online Game Industry. Value Engineering, (12), 96-101.</w:t>
      </w:r>
    </w:p>
    <w:p w14:paraId="49A4A783" w14:textId="77777777" w:rsidR="008E562A" w:rsidRDefault="008E562A" w:rsidP="008E562A">
      <w:pPr>
        <w:pStyle w:val="a8"/>
        <w:numPr>
          <w:ilvl w:val="0"/>
          <w:numId w:val="1"/>
        </w:numPr>
        <w:ind w:firstLineChars="0"/>
      </w:pPr>
      <w:r>
        <w:t>Mao, X. 2007. Changes in the Structure of China's Online Game Industry and the Choice of Corporate Behavior: From the Perspective of the Elasticity of Value in the Competitive Position of the Industrial Value Chain. Contemporary Finance, (08), 98-102.</w:t>
      </w:r>
    </w:p>
    <w:p w14:paraId="4CBB284D" w14:textId="77777777" w:rsidR="008E562A" w:rsidRDefault="008E562A" w:rsidP="008E562A">
      <w:pPr>
        <w:pStyle w:val="a8"/>
        <w:numPr>
          <w:ilvl w:val="0"/>
          <w:numId w:val="1"/>
        </w:numPr>
        <w:ind w:firstLineChars="0"/>
      </w:pPr>
      <w:r>
        <w:t xml:space="preserve">Martins, E. C., &amp; Terblanche, F., 2003. Building </w:t>
      </w:r>
      <w:proofErr w:type="spellStart"/>
      <w:r>
        <w:t>organisational</w:t>
      </w:r>
      <w:proofErr w:type="spellEnd"/>
      <w:r>
        <w:t xml:space="preserve"> culture that stimulates creativity and innovation. European Journal of innovation management.</w:t>
      </w:r>
    </w:p>
    <w:p w14:paraId="4305F866" w14:textId="77777777" w:rsidR="008E562A" w:rsidRDefault="008E562A" w:rsidP="008E562A">
      <w:pPr>
        <w:pStyle w:val="a8"/>
        <w:numPr>
          <w:ilvl w:val="0"/>
          <w:numId w:val="1"/>
        </w:numPr>
        <w:ind w:firstLineChars="0"/>
      </w:pPr>
      <w:r>
        <w:t>Mintzberg, H., 1980. Structure in 5's: A synthesis of the research on organization design. Management science, 26(3), pp.322-341.</w:t>
      </w:r>
    </w:p>
    <w:p w14:paraId="57174682" w14:textId="77777777" w:rsidR="008E562A" w:rsidRDefault="008E562A" w:rsidP="008E562A">
      <w:pPr>
        <w:pStyle w:val="a8"/>
        <w:numPr>
          <w:ilvl w:val="0"/>
          <w:numId w:val="1"/>
        </w:numPr>
        <w:ind w:firstLineChars="0"/>
      </w:pPr>
      <w:r>
        <w:t xml:space="preserve">Nelva, G., 2021. Konami Reveals Financial Results Reporting Growth in Both Revenue &amp; Profit. [online] </w:t>
      </w:r>
      <w:proofErr w:type="spellStart"/>
      <w:r>
        <w:t>Twinfinite</w:t>
      </w:r>
      <w:proofErr w:type="spellEnd"/>
      <w:r>
        <w:t>. Available at: https://twinfinite.net/2021/11/konami-financial-results-q2-2022/ [Accessed 16 July 2023].</w:t>
      </w:r>
    </w:p>
    <w:p w14:paraId="32F8C0D2" w14:textId="77777777" w:rsidR="008E562A" w:rsidRDefault="008E562A" w:rsidP="008E562A">
      <w:pPr>
        <w:pStyle w:val="a8"/>
        <w:numPr>
          <w:ilvl w:val="0"/>
          <w:numId w:val="1"/>
        </w:numPr>
        <w:ind w:firstLineChars="0"/>
      </w:pPr>
      <w:r>
        <w:t>Peng, M. W., 2001. The resource-based view and international business. Journal of management, 27(6), pp.803-829.</w:t>
      </w:r>
    </w:p>
    <w:p w14:paraId="0C09F8BB" w14:textId="77777777" w:rsidR="008E562A" w:rsidRDefault="008E562A" w:rsidP="008E562A">
      <w:pPr>
        <w:pStyle w:val="a8"/>
        <w:numPr>
          <w:ilvl w:val="0"/>
          <w:numId w:val="1"/>
        </w:numPr>
        <w:ind w:firstLineChars="0"/>
      </w:pPr>
      <w:proofErr w:type="spellStart"/>
      <w:r>
        <w:t>Rajanen</w:t>
      </w:r>
      <w:proofErr w:type="spellEnd"/>
      <w:r>
        <w:t xml:space="preserve">, M., &amp; </w:t>
      </w:r>
      <w:proofErr w:type="spellStart"/>
      <w:r>
        <w:t>Nissinen</w:t>
      </w:r>
      <w:proofErr w:type="spellEnd"/>
      <w:r>
        <w:t>, J. 2015. A survey of game usability practices in Northern European game companies.</w:t>
      </w:r>
    </w:p>
    <w:p w14:paraId="7597D980" w14:textId="77777777" w:rsidR="008E562A" w:rsidRDefault="008E562A" w:rsidP="008E562A">
      <w:pPr>
        <w:pStyle w:val="a8"/>
        <w:numPr>
          <w:ilvl w:val="0"/>
          <w:numId w:val="1"/>
        </w:numPr>
        <w:ind w:firstLineChars="0"/>
      </w:pPr>
      <w:proofErr w:type="spellStart"/>
      <w:r>
        <w:t>Rajanen</w:t>
      </w:r>
      <w:proofErr w:type="spellEnd"/>
      <w:r>
        <w:t>, M., &amp; Tapani, J. 2018. A survey of game usability practices in North American game companies.</w:t>
      </w:r>
    </w:p>
    <w:p w14:paraId="5D7FECD9" w14:textId="77777777" w:rsidR="008E562A" w:rsidRDefault="008E562A" w:rsidP="008E562A">
      <w:pPr>
        <w:pStyle w:val="a8"/>
        <w:numPr>
          <w:ilvl w:val="0"/>
          <w:numId w:val="1"/>
        </w:numPr>
        <w:ind w:firstLineChars="0"/>
      </w:pPr>
      <w:r>
        <w:t xml:space="preserve">Sari, E. P., </w:t>
      </w:r>
      <w:proofErr w:type="spellStart"/>
      <w:r>
        <w:t>Nasruloh</w:t>
      </w:r>
      <w:proofErr w:type="spellEnd"/>
      <w:r>
        <w:t xml:space="preserve">, M. N., </w:t>
      </w:r>
      <w:proofErr w:type="spellStart"/>
      <w:r>
        <w:t>Liono</w:t>
      </w:r>
      <w:proofErr w:type="spellEnd"/>
      <w:r>
        <w:t xml:space="preserve">, I. D., &amp; Ramadhan, M., 2022. </w:t>
      </w:r>
      <w:proofErr w:type="spellStart"/>
      <w:r>
        <w:t>Pendekatan</w:t>
      </w:r>
      <w:proofErr w:type="spellEnd"/>
      <w:r>
        <w:t xml:space="preserve"> Islamic Studies </w:t>
      </w:r>
      <w:proofErr w:type="spellStart"/>
      <w:r>
        <w:t>terhadap</w:t>
      </w:r>
      <w:proofErr w:type="spellEnd"/>
      <w:r>
        <w:t xml:space="preserve"> Koin dan </w:t>
      </w:r>
      <w:proofErr w:type="spellStart"/>
      <w:r>
        <w:t>Harta</w:t>
      </w:r>
      <w:proofErr w:type="spellEnd"/>
      <w:r>
        <w:t xml:space="preserve"> Virtual Game PES 2021 Multiplayer Konami. </w:t>
      </w:r>
      <w:proofErr w:type="spellStart"/>
      <w:r>
        <w:t>Alhamra</w:t>
      </w:r>
      <w:proofErr w:type="spellEnd"/>
      <w:r>
        <w:t xml:space="preserve"> </w:t>
      </w:r>
      <w:proofErr w:type="spellStart"/>
      <w:r>
        <w:t>Jurnal</w:t>
      </w:r>
      <w:proofErr w:type="spellEnd"/>
      <w:r>
        <w:t xml:space="preserve"> </w:t>
      </w:r>
      <w:proofErr w:type="spellStart"/>
      <w:r>
        <w:t>Studi</w:t>
      </w:r>
      <w:proofErr w:type="spellEnd"/>
      <w:r>
        <w:t xml:space="preserve"> Islam, 3(2), pp.115-125.</w:t>
      </w:r>
    </w:p>
    <w:p w14:paraId="0FAE29A9" w14:textId="77777777" w:rsidR="008E562A" w:rsidRDefault="008E562A" w:rsidP="008E562A">
      <w:pPr>
        <w:pStyle w:val="a8"/>
        <w:numPr>
          <w:ilvl w:val="0"/>
          <w:numId w:val="1"/>
        </w:numPr>
        <w:ind w:firstLineChars="0"/>
      </w:pPr>
      <w:r>
        <w:t>Schein, E. H., 1985. Organizational culture and leadership (Vol. 2). San Francisco: Jossey-Bass.</w:t>
      </w:r>
    </w:p>
    <w:p w14:paraId="2780F04B" w14:textId="77777777" w:rsidR="008E562A" w:rsidRDefault="008E562A" w:rsidP="008E562A">
      <w:pPr>
        <w:pStyle w:val="a8"/>
        <w:numPr>
          <w:ilvl w:val="0"/>
          <w:numId w:val="1"/>
        </w:numPr>
        <w:ind w:firstLineChars="0"/>
      </w:pPr>
      <w:r>
        <w:t xml:space="preserve">Trustpilot, 2023. Konami Reviews Read Customer Service Reviews of www.konami.com. [online] Trustpilot.com. Available at: </w:t>
      </w:r>
      <w:r>
        <w:lastRenderedPageBreak/>
        <w:t>https://www.trustpilot.com/review/www.konami.com [Accessed 15 July 2023].</w:t>
      </w:r>
    </w:p>
    <w:p w14:paraId="188F340E" w14:textId="77777777" w:rsidR="008E562A" w:rsidRDefault="008E562A" w:rsidP="008E562A">
      <w:pPr>
        <w:pStyle w:val="a8"/>
        <w:numPr>
          <w:ilvl w:val="0"/>
          <w:numId w:val="1"/>
        </w:numPr>
        <w:ind w:firstLineChars="0"/>
      </w:pPr>
      <w:r>
        <w:t xml:space="preserve">Sharma, T. G., </w:t>
      </w:r>
      <w:proofErr w:type="spellStart"/>
      <w:r>
        <w:t>Hamari</w:t>
      </w:r>
      <w:proofErr w:type="spellEnd"/>
      <w:r>
        <w:t xml:space="preserve">, J., </w:t>
      </w:r>
      <w:proofErr w:type="spellStart"/>
      <w:r>
        <w:t>Kesharwani</w:t>
      </w:r>
      <w:proofErr w:type="spellEnd"/>
      <w:r>
        <w:t xml:space="preserve">, A. &amp; Tak, P. 2022. Understanding continuance intention to play online games: roles of self-expressiveness, self-congruity, self-efficacy, and perceived risk. </w:t>
      </w:r>
      <w:proofErr w:type="spellStart"/>
      <w:r>
        <w:t>Behaviour</w:t>
      </w:r>
      <w:proofErr w:type="spellEnd"/>
      <w:r>
        <w:t xml:space="preserve"> &amp; Information Technology, (2).</w:t>
      </w:r>
    </w:p>
    <w:p w14:paraId="48CCC983" w14:textId="77777777" w:rsidR="008E562A" w:rsidRDefault="008E562A" w:rsidP="008E562A">
      <w:pPr>
        <w:pStyle w:val="a8"/>
        <w:numPr>
          <w:ilvl w:val="0"/>
          <w:numId w:val="1"/>
        </w:numPr>
        <w:ind w:firstLineChars="0"/>
      </w:pPr>
      <w:proofErr w:type="spellStart"/>
      <w:r>
        <w:t>Volberda</w:t>
      </w:r>
      <w:proofErr w:type="spellEnd"/>
      <w:r>
        <w:t>, H. W., 1996. Toward the flexible form: How to remain vital in hypercompetitive environments. Organization science, 7(4), pp.359-374.</w:t>
      </w:r>
    </w:p>
    <w:p w14:paraId="735B8AEB" w14:textId="77777777" w:rsidR="008E562A" w:rsidRDefault="008E562A" w:rsidP="008E562A">
      <w:pPr>
        <w:pStyle w:val="a8"/>
        <w:numPr>
          <w:ilvl w:val="0"/>
          <w:numId w:val="1"/>
        </w:numPr>
        <w:ind w:firstLineChars="0"/>
      </w:pPr>
      <w:proofErr w:type="spellStart"/>
      <w:r>
        <w:t>Wallinheimo</w:t>
      </w:r>
      <w:proofErr w:type="spellEnd"/>
      <w:r>
        <w:t xml:space="preserve">, A. S., </w:t>
      </w:r>
      <w:proofErr w:type="spellStart"/>
      <w:r>
        <w:t>Hosein</w:t>
      </w:r>
      <w:proofErr w:type="spellEnd"/>
      <w:r>
        <w:t xml:space="preserve">, A., Barrie, D., </w:t>
      </w:r>
      <w:proofErr w:type="spellStart"/>
      <w:r>
        <w:t>Chernyavskiy</w:t>
      </w:r>
      <w:proofErr w:type="spellEnd"/>
      <w:r>
        <w:t>, A., Agafonova, I. &amp; Williams, P. 2023. How Online Gaming Could Enhance Your Career Prospects. Simulation &amp; Gaming, (1). doi:10.1177/10468781221137361.</w:t>
      </w:r>
    </w:p>
    <w:p w14:paraId="19ED3B88" w14:textId="77777777" w:rsidR="008E562A" w:rsidRDefault="008E562A" w:rsidP="008E562A">
      <w:pPr>
        <w:pStyle w:val="a8"/>
        <w:numPr>
          <w:ilvl w:val="0"/>
          <w:numId w:val="1"/>
        </w:numPr>
        <w:ind w:firstLineChars="0"/>
      </w:pPr>
      <w:proofErr w:type="spellStart"/>
      <w:r>
        <w:t>Yulian</w:t>
      </w:r>
      <w:proofErr w:type="spellEnd"/>
      <w:r>
        <w:t xml:space="preserve"> </w:t>
      </w:r>
      <w:proofErr w:type="spellStart"/>
      <w:r>
        <w:t>Cookridge</w:t>
      </w:r>
      <w:proofErr w:type="spellEnd"/>
      <w:r>
        <w:t>, Yao, J. &amp; Ni, A. 2018. Unstable Playworkers: Game Modding Enthusiasts and the Digital Gaming Industry. Open Times, (06), 196-206.</w:t>
      </w:r>
    </w:p>
    <w:p w14:paraId="3D118216" w14:textId="77777777" w:rsidR="008E562A" w:rsidRDefault="008E562A" w:rsidP="008E562A">
      <w:pPr>
        <w:pStyle w:val="a8"/>
        <w:numPr>
          <w:ilvl w:val="0"/>
          <w:numId w:val="1"/>
        </w:numPr>
        <w:ind w:firstLineChars="0"/>
      </w:pPr>
      <w:r>
        <w:t xml:space="preserve">Zhang, X., &amp; </w:t>
      </w:r>
      <w:proofErr w:type="spellStart"/>
      <w:r>
        <w:t>Bartol</w:t>
      </w:r>
      <w:proofErr w:type="spellEnd"/>
      <w:r>
        <w:t>, K. M., 2010. Linking empowering leadership and employee creativity: The influence of psychological empowerment, intrinsic motivation, and creative process engagement. Academy of management journal, 53(1), pp.107-128.</w:t>
      </w:r>
    </w:p>
    <w:p w14:paraId="639AA59E" w14:textId="0C34BA5C" w:rsidR="00986EBF" w:rsidRDefault="008E562A" w:rsidP="008E562A">
      <w:pPr>
        <w:pStyle w:val="a8"/>
        <w:numPr>
          <w:ilvl w:val="0"/>
          <w:numId w:val="1"/>
        </w:numPr>
        <w:ind w:firstLineChars="0"/>
      </w:pPr>
      <w:r>
        <w:t>Zheng, L. 2023. The Development and Prospect of VR Games from the perspective of Online Social Networking - Taking VR CHAT as an Example. Art and Design, (4). doi:10.31058/J.AD.2023.64011.</w:t>
      </w:r>
    </w:p>
    <w:p w14:paraId="5DDE0861" w14:textId="740E0F44" w:rsidR="008E562A" w:rsidRDefault="008E562A" w:rsidP="008E562A"/>
    <w:p w14:paraId="5A6C9BF6" w14:textId="5177D60A" w:rsidR="008E562A" w:rsidRDefault="008E562A" w:rsidP="008E562A">
      <w:pPr>
        <w:ind w:firstLine="0"/>
      </w:pPr>
    </w:p>
    <w:p w14:paraId="4B6FF476" w14:textId="77777777" w:rsidR="00F356B2" w:rsidRDefault="00F356B2" w:rsidP="00F356B2">
      <w:pPr>
        <w:pStyle w:val="10"/>
      </w:pPr>
      <w:r>
        <w:t>Appendix</w:t>
      </w:r>
    </w:p>
    <w:p w14:paraId="21022D3C" w14:textId="77777777" w:rsidR="00F356B2" w:rsidRDefault="00F356B2" w:rsidP="00F356B2">
      <w:pPr>
        <w:jc w:val="center"/>
      </w:pPr>
      <w:r>
        <w:t>Appendix Table 1. Konami Company Financial Summary Data</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69"/>
        <w:gridCol w:w="1209"/>
        <w:gridCol w:w="1209"/>
        <w:gridCol w:w="1209"/>
      </w:tblGrid>
      <w:tr w:rsidR="00F356B2" w:rsidRPr="00F356B2" w14:paraId="580618EA" w14:textId="77777777" w:rsidTr="007876A1">
        <w:trPr>
          <w:trHeight w:val="280"/>
        </w:trPr>
        <w:tc>
          <w:tcPr>
            <w:tcW w:w="2885" w:type="pct"/>
            <w:shd w:val="clear" w:color="auto" w:fill="auto"/>
            <w:noWrap/>
            <w:vAlign w:val="bottom"/>
            <w:hideMark/>
          </w:tcPr>
          <w:p w14:paraId="6B8E0C85"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Konami [9766.T] - Financial Summary</w:t>
            </w:r>
          </w:p>
        </w:tc>
        <w:tc>
          <w:tcPr>
            <w:tcW w:w="705" w:type="pct"/>
            <w:shd w:val="clear" w:color="auto" w:fill="auto"/>
            <w:noWrap/>
            <w:vAlign w:val="bottom"/>
            <w:hideMark/>
          </w:tcPr>
          <w:p w14:paraId="43832D39" w14:textId="10FB259E" w:rsidR="00F356B2" w:rsidRPr="00F356B2" w:rsidRDefault="00F356B2" w:rsidP="00F356B2">
            <w:pPr>
              <w:widowControl/>
              <w:ind w:firstLine="0"/>
              <w:jc w:val="center"/>
              <w:rPr>
                <w:rFonts w:eastAsia="宋体"/>
                <w:color w:val="000000"/>
                <w:kern w:val="0"/>
                <w:sz w:val="18"/>
                <w:szCs w:val="18"/>
              </w:rPr>
            </w:pPr>
            <w:r w:rsidRPr="00F356B2">
              <w:rPr>
                <w:rFonts w:eastAsia="宋体"/>
                <w:color w:val="000000"/>
                <w:kern w:val="0"/>
                <w:sz w:val="18"/>
                <w:szCs w:val="18"/>
              </w:rPr>
              <w:t>2022</w:t>
            </w:r>
          </w:p>
        </w:tc>
        <w:tc>
          <w:tcPr>
            <w:tcW w:w="705" w:type="pct"/>
            <w:shd w:val="clear" w:color="auto" w:fill="auto"/>
            <w:noWrap/>
            <w:vAlign w:val="bottom"/>
            <w:hideMark/>
          </w:tcPr>
          <w:p w14:paraId="1A6AB48F" w14:textId="0DDECDFB" w:rsidR="00F356B2" w:rsidRPr="00F356B2" w:rsidRDefault="00F356B2" w:rsidP="00F356B2">
            <w:pPr>
              <w:widowControl/>
              <w:ind w:firstLine="0"/>
              <w:jc w:val="center"/>
              <w:rPr>
                <w:rFonts w:eastAsia="宋体"/>
                <w:color w:val="000000"/>
                <w:kern w:val="0"/>
                <w:sz w:val="18"/>
                <w:szCs w:val="18"/>
              </w:rPr>
            </w:pPr>
            <w:r w:rsidRPr="00F356B2">
              <w:rPr>
                <w:rFonts w:eastAsia="宋体"/>
                <w:color w:val="000000"/>
                <w:kern w:val="0"/>
                <w:sz w:val="18"/>
                <w:szCs w:val="18"/>
              </w:rPr>
              <w:t>2021</w:t>
            </w:r>
          </w:p>
        </w:tc>
        <w:tc>
          <w:tcPr>
            <w:tcW w:w="705" w:type="pct"/>
            <w:shd w:val="clear" w:color="auto" w:fill="auto"/>
            <w:noWrap/>
            <w:vAlign w:val="bottom"/>
            <w:hideMark/>
          </w:tcPr>
          <w:p w14:paraId="0A9D850E" w14:textId="3790D6C6" w:rsidR="00F356B2" w:rsidRPr="00F356B2" w:rsidRDefault="00F356B2" w:rsidP="00F356B2">
            <w:pPr>
              <w:widowControl/>
              <w:ind w:firstLine="0"/>
              <w:jc w:val="center"/>
              <w:rPr>
                <w:rFonts w:eastAsia="宋体"/>
                <w:color w:val="000000"/>
                <w:kern w:val="0"/>
                <w:sz w:val="18"/>
                <w:szCs w:val="18"/>
              </w:rPr>
            </w:pPr>
            <w:r w:rsidRPr="00F356B2">
              <w:rPr>
                <w:rFonts w:eastAsia="宋体"/>
                <w:color w:val="000000"/>
                <w:kern w:val="0"/>
                <w:sz w:val="18"/>
                <w:szCs w:val="18"/>
              </w:rPr>
              <w:t>2020</w:t>
            </w:r>
          </w:p>
        </w:tc>
      </w:tr>
      <w:tr w:rsidR="00F356B2" w:rsidRPr="00F356B2" w14:paraId="661D4902" w14:textId="77777777" w:rsidTr="007876A1">
        <w:trPr>
          <w:trHeight w:val="280"/>
        </w:trPr>
        <w:tc>
          <w:tcPr>
            <w:tcW w:w="2885" w:type="pct"/>
            <w:shd w:val="clear" w:color="auto" w:fill="auto"/>
            <w:noWrap/>
            <w:vAlign w:val="bottom"/>
            <w:hideMark/>
          </w:tcPr>
          <w:p w14:paraId="7CF6B700"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Reporting period</w:t>
            </w:r>
          </w:p>
        </w:tc>
        <w:tc>
          <w:tcPr>
            <w:tcW w:w="705" w:type="pct"/>
            <w:shd w:val="clear" w:color="auto" w:fill="auto"/>
            <w:noWrap/>
            <w:vAlign w:val="bottom"/>
            <w:hideMark/>
          </w:tcPr>
          <w:p w14:paraId="1FD76DB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annual report</w:t>
            </w:r>
          </w:p>
        </w:tc>
        <w:tc>
          <w:tcPr>
            <w:tcW w:w="705" w:type="pct"/>
            <w:shd w:val="clear" w:color="auto" w:fill="auto"/>
            <w:noWrap/>
            <w:vAlign w:val="bottom"/>
            <w:hideMark/>
          </w:tcPr>
          <w:p w14:paraId="2698E2E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annual report</w:t>
            </w:r>
          </w:p>
        </w:tc>
        <w:tc>
          <w:tcPr>
            <w:tcW w:w="705" w:type="pct"/>
            <w:shd w:val="clear" w:color="auto" w:fill="auto"/>
            <w:noWrap/>
            <w:vAlign w:val="bottom"/>
            <w:hideMark/>
          </w:tcPr>
          <w:p w14:paraId="52461841"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annual report</w:t>
            </w:r>
          </w:p>
        </w:tc>
      </w:tr>
      <w:tr w:rsidR="00F356B2" w:rsidRPr="00F356B2" w14:paraId="0F553972" w14:textId="77777777" w:rsidTr="007876A1">
        <w:trPr>
          <w:trHeight w:val="280"/>
        </w:trPr>
        <w:tc>
          <w:tcPr>
            <w:tcW w:w="2885" w:type="pct"/>
            <w:shd w:val="clear" w:color="auto" w:fill="auto"/>
            <w:noWrap/>
            <w:vAlign w:val="bottom"/>
            <w:hideMark/>
          </w:tcPr>
          <w:p w14:paraId="0C86B1F0"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Period span</w:t>
            </w:r>
          </w:p>
        </w:tc>
        <w:tc>
          <w:tcPr>
            <w:tcW w:w="705" w:type="pct"/>
            <w:shd w:val="clear" w:color="auto" w:fill="auto"/>
            <w:noWrap/>
            <w:vAlign w:val="bottom"/>
            <w:hideMark/>
          </w:tcPr>
          <w:p w14:paraId="2665005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12 months</w:t>
            </w:r>
          </w:p>
        </w:tc>
        <w:tc>
          <w:tcPr>
            <w:tcW w:w="705" w:type="pct"/>
            <w:shd w:val="clear" w:color="auto" w:fill="auto"/>
            <w:noWrap/>
            <w:vAlign w:val="bottom"/>
            <w:hideMark/>
          </w:tcPr>
          <w:p w14:paraId="0BCB776E"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12 months</w:t>
            </w:r>
          </w:p>
        </w:tc>
        <w:tc>
          <w:tcPr>
            <w:tcW w:w="705" w:type="pct"/>
            <w:shd w:val="clear" w:color="auto" w:fill="auto"/>
            <w:noWrap/>
            <w:vAlign w:val="bottom"/>
            <w:hideMark/>
          </w:tcPr>
          <w:p w14:paraId="17B17EAC"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12 months</w:t>
            </w:r>
          </w:p>
        </w:tc>
      </w:tr>
      <w:tr w:rsidR="00F356B2" w:rsidRPr="00F356B2" w14:paraId="7EB416E2" w14:textId="77777777" w:rsidTr="007876A1">
        <w:trPr>
          <w:trHeight w:val="280"/>
        </w:trPr>
        <w:tc>
          <w:tcPr>
            <w:tcW w:w="2885" w:type="pct"/>
            <w:shd w:val="clear" w:color="auto" w:fill="auto"/>
            <w:noWrap/>
            <w:vAlign w:val="bottom"/>
            <w:hideMark/>
          </w:tcPr>
          <w:p w14:paraId="53897D4A"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Data sources</w:t>
            </w:r>
          </w:p>
        </w:tc>
        <w:tc>
          <w:tcPr>
            <w:tcW w:w="705" w:type="pct"/>
            <w:shd w:val="clear" w:color="auto" w:fill="auto"/>
            <w:noWrap/>
            <w:vAlign w:val="bottom"/>
            <w:hideMark/>
          </w:tcPr>
          <w:p w14:paraId="5C98668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Consolidated reports</w:t>
            </w:r>
          </w:p>
        </w:tc>
        <w:tc>
          <w:tcPr>
            <w:tcW w:w="705" w:type="pct"/>
            <w:shd w:val="clear" w:color="auto" w:fill="auto"/>
            <w:noWrap/>
            <w:vAlign w:val="bottom"/>
            <w:hideMark/>
          </w:tcPr>
          <w:p w14:paraId="5DA269C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Consolidated reports</w:t>
            </w:r>
          </w:p>
        </w:tc>
        <w:tc>
          <w:tcPr>
            <w:tcW w:w="705" w:type="pct"/>
            <w:shd w:val="clear" w:color="auto" w:fill="auto"/>
            <w:noWrap/>
            <w:vAlign w:val="bottom"/>
            <w:hideMark/>
          </w:tcPr>
          <w:p w14:paraId="3AC04F6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Consolidated reports</w:t>
            </w:r>
          </w:p>
        </w:tc>
      </w:tr>
      <w:tr w:rsidR="00F356B2" w:rsidRPr="00F356B2" w14:paraId="1A86699C" w14:textId="77777777" w:rsidTr="007876A1">
        <w:trPr>
          <w:trHeight w:val="280"/>
        </w:trPr>
        <w:tc>
          <w:tcPr>
            <w:tcW w:w="2885" w:type="pct"/>
            <w:shd w:val="clear" w:color="auto" w:fill="auto"/>
            <w:noWrap/>
            <w:vAlign w:val="bottom"/>
            <w:hideMark/>
          </w:tcPr>
          <w:p w14:paraId="5DDED9D4"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Income statement summary</w:t>
            </w:r>
          </w:p>
        </w:tc>
        <w:tc>
          <w:tcPr>
            <w:tcW w:w="705" w:type="pct"/>
            <w:shd w:val="clear" w:color="auto" w:fill="auto"/>
            <w:noWrap/>
            <w:vAlign w:val="bottom"/>
            <w:hideMark/>
          </w:tcPr>
          <w:p w14:paraId="4957926D"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3F993577"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73A4F636"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77FCA6AA" w14:textId="77777777" w:rsidTr="007876A1">
        <w:trPr>
          <w:trHeight w:val="280"/>
        </w:trPr>
        <w:tc>
          <w:tcPr>
            <w:tcW w:w="2885" w:type="pct"/>
            <w:shd w:val="clear" w:color="auto" w:fill="auto"/>
            <w:noWrap/>
            <w:vAlign w:val="bottom"/>
            <w:hideMark/>
          </w:tcPr>
          <w:p w14:paraId="318E400B"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Total operating income</w:t>
            </w:r>
          </w:p>
        </w:tc>
        <w:tc>
          <w:tcPr>
            <w:tcW w:w="705" w:type="pct"/>
            <w:shd w:val="clear" w:color="auto" w:fill="auto"/>
            <w:noWrap/>
            <w:vAlign w:val="bottom"/>
            <w:hideMark/>
          </w:tcPr>
          <w:p w14:paraId="393BAC94"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186,675.87</w:t>
            </w:r>
          </w:p>
        </w:tc>
        <w:tc>
          <w:tcPr>
            <w:tcW w:w="705" w:type="pct"/>
            <w:shd w:val="clear" w:color="auto" w:fill="auto"/>
            <w:noWrap/>
            <w:vAlign w:val="bottom"/>
            <w:hideMark/>
          </w:tcPr>
          <w:p w14:paraId="415887A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179,794.22</w:t>
            </w:r>
          </w:p>
        </w:tc>
        <w:tc>
          <w:tcPr>
            <w:tcW w:w="705" w:type="pct"/>
            <w:shd w:val="clear" w:color="auto" w:fill="auto"/>
            <w:noWrap/>
            <w:vAlign w:val="bottom"/>
            <w:hideMark/>
          </w:tcPr>
          <w:p w14:paraId="7C58DBFE"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196,646.22</w:t>
            </w:r>
          </w:p>
        </w:tc>
      </w:tr>
      <w:tr w:rsidR="00F356B2" w:rsidRPr="00F356B2" w14:paraId="068B6F8B" w14:textId="77777777" w:rsidTr="007876A1">
        <w:trPr>
          <w:trHeight w:val="280"/>
        </w:trPr>
        <w:tc>
          <w:tcPr>
            <w:tcW w:w="2885" w:type="pct"/>
            <w:shd w:val="clear" w:color="auto" w:fill="auto"/>
            <w:noWrap/>
            <w:vAlign w:val="bottom"/>
            <w:hideMark/>
          </w:tcPr>
          <w:p w14:paraId="3292D0A7"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w:t>
            </w:r>
            <w:proofErr w:type="gramStart"/>
            <w:r w:rsidRPr="00F356B2">
              <w:rPr>
                <w:rFonts w:eastAsia="宋体"/>
                <w:color w:val="000000"/>
                <w:kern w:val="0"/>
                <w:sz w:val="18"/>
                <w:szCs w:val="18"/>
              </w:rPr>
              <w:t>YoY(</w:t>
            </w:r>
            <w:proofErr w:type="gramEnd"/>
            <w:r w:rsidRPr="00F356B2">
              <w:rPr>
                <w:rFonts w:eastAsia="宋体"/>
                <w:color w:val="000000"/>
                <w:kern w:val="0"/>
                <w:sz w:val="18"/>
                <w:szCs w:val="18"/>
              </w:rPr>
              <w:t>%)</w:t>
            </w:r>
          </w:p>
        </w:tc>
        <w:tc>
          <w:tcPr>
            <w:tcW w:w="705" w:type="pct"/>
            <w:shd w:val="clear" w:color="auto" w:fill="auto"/>
            <w:noWrap/>
            <w:vAlign w:val="bottom"/>
            <w:hideMark/>
          </w:tcPr>
          <w:p w14:paraId="455B6B1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9.85</w:t>
            </w:r>
          </w:p>
        </w:tc>
        <w:tc>
          <w:tcPr>
            <w:tcW w:w="705" w:type="pct"/>
            <w:shd w:val="clear" w:color="auto" w:fill="auto"/>
            <w:noWrap/>
            <w:vAlign w:val="bottom"/>
            <w:hideMark/>
          </w:tcPr>
          <w:p w14:paraId="5F290635"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3.75</w:t>
            </w:r>
          </w:p>
        </w:tc>
        <w:tc>
          <w:tcPr>
            <w:tcW w:w="705" w:type="pct"/>
            <w:shd w:val="clear" w:color="auto" w:fill="auto"/>
            <w:noWrap/>
            <w:vAlign w:val="bottom"/>
            <w:hideMark/>
          </w:tcPr>
          <w:p w14:paraId="43E014D1"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0.10</w:t>
            </w:r>
          </w:p>
        </w:tc>
      </w:tr>
      <w:tr w:rsidR="00F356B2" w:rsidRPr="00F356B2" w14:paraId="348B94BD" w14:textId="77777777" w:rsidTr="007876A1">
        <w:trPr>
          <w:trHeight w:val="280"/>
        </w:trPr>
        <w:tc>
          <w:tcPr>
            <w:tcW w:w="2885" w:type="pct"/>
            <w:shd w:val="clear" w:color="auto" w:fill="auto"/>
            <w:noWrap/>
            <w:vAlign w:val="bottom"/>
            <w:hideMark/>
          </w:tcPr>
          <w:p w14:paraId="2E42E444"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Total operating expenses</w:t>
            </w:r>
          </w:p>
        </w:tc>
        <w:tc>
          <w:tcPr>
            <w:tcW w:w="705" w:type="pct"/>
            <w:shd w:val="clear" w:color="auto" w:fill="auto"/>
            <w:noWrap/>
            <w:vAlign w:val="bottom"/>
            <w:hideMark/>
          </w:tcPr>
          <w:p w14:paraId="573BC41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136,619.87</w:t>
            </w:r>
          </w:p>
        </w:tc>
        <w:tc>
          <w:tcPr>
            <w:tcW w:w="705" w:type="pct"/>
            <w:shd w:val="clear" w:color="auto" w:fill="auto"/>
            <w:noWrap/>
            <w:vAlign w:val="bottom"/>
            <w:hideMark/>
          </w:tcPr>
          <w:p w14:paraId="2ADE99D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137,483.34</w:t>
            </w:r>
          </w:p>
        </w:tc>
        <w:tc>
          <w:tcPr>
            <w:tcW w:w="705" w:type="pct"/>
            <w:shd w:val="clear" w:color="auto" w:fill="auto"/>
            <w:noWrap/>
            <w:vAlign w:val="bottom"/>
            <w:hideMark/>
          </w:tcPr>
          <w:p w14:paraId="38BFE39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163,501.22</w:t>
            </w:r>
          </w:p>
        </w:tc>
      </w:tr>
      <w:tr w:rsidR="00F356B2" w:rsidRPr="00F356B2" w14:paraId="69B12335" w14:textId="77777777" w:rsidTr="007876A1">
        <w:trPr>
          <w:trHeight w:val="280"/>
        </w:trPr>
        <w:tc>
          <w:tcPr>
            <w:tcW w:w="2885" w:type="pct"/>
            <w:shd w:val="clear" w:color="auto" w:fill="auto"/>
            <w:noWrap/>
            <w:vAlign w:val="bottom"/>
            <w:hideMark/>
          </w:tcPr>
          <w:p w14:paraId="69D5F1EC"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Operating profit</w:t>
            </w:r>
          </w:p>
        </w:tc>
        <w:tc>
          <w:tcPr>
            <w:tcW w:w="705" w:type="pct"/>
            <w:shd w:val="clear" w:color="auto" w:fill="auto"/>
            <w:noWrap/>
            <w:vAlign w:val="bottom"/>
            <w:hideMark/>
          </w:tcPr>
          <w:p w14:paraId="4FAECDB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50,056.00</w:t>
            </w:r>
          </w:p>
        </w:tc>
        <w:tc>
          <w:tcPr>
            <w:tcW w:w="705" w:type="pct"/>
            <w:shd w:val="clear" w:color="auto" w:fill="auto"/>
            <w:noWrap/>
            <w:vAlign w:val="bottom"/>
            <w:hideMark/>
          </w:tcPr>
          <w:p w14:paraId="0016BD4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42,310.88</w:t>
            </w:r>
          </w:p>
        </w:tc>
        <w:tc>
          <w:tcPr>
            <w:tcW w:w="705" w:type="pct"/>
            <w:shd w:val="clear" w:color="auto" w:fill="auto"/>
            <w:noWrap/>
            <w:vAlign w:val="bottom"/>
            <w:hideMark/>
          </w:tcPr>
          <w:p w14:paraId="0368E1F5"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33,145.00</w:t>
            </w:r>
          </w:p>
        </w:tc>
      </w:tr>
      <w:tr w:rsidR="00F356B2" w:rsidRPr="00F356B2" w14:paraId="185F2F29" w14:textId="77777777" w:rsidTr="007876A1">
        <w:trPr>
          <w:trHeight w:val="280"/>
        </w:trPr>
        <w:tc>
          <w:tcPr>
            <w:tcW w:w="2885" w:type="pct"/>
            <w:shd w:val="clear" w:color="auto" w:fill="auto"/>
            <w:noWrap/>
            <w:vAlign w:val="bottom"/>
            <w:hideMark/>
          </w:tcPr>
          <w:p w14:paraId="4BA0A062"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w:t>
            </w:r>
            <w:proofErr w:type="gramStart"/>
            <w:r w:rsidRPr="00F356B2">
              <w:rPr>
                <w:rFonts w:eastAsia="宋体"/>
                <w:color w:val="000000"/>
                <w:kern w:val="0"/>
                <w:sz w:val="18"/>
                <w:szCs w:val="18"/>
              </w:rPr>
              <w:t>YoY(</w:t>
            </w:r>
            <w:proofErr w:type="gramEnd"/>
            <w:r w:rsidRPr="00F356B2">
              <w:rPr>
                <w:rFonts w:eastAsia="宋体"/>
                <w:color w:val="000000"/>
                <w:kern w:val="0"/>
                <w:sz w:val="18"/>
                <w:szCs w:val="18"/>
              </w:rPr>
              <w:t>%)</w:t>
            </w:r>
          </w:p>
        </w:tc>
        <w:tc>
          <w:tcPr>
            <w:tcW w:w="705" w:type="pct"/>
            <w:shd w:val="clear" w:color="auto" w:fill="auto"/>
            <w:noWrap/>
            <w:vAlign w:val="bottom"/>
            <w:hideMark/>
          </w:tcPr>
          <w:p w14:paraId="6C35A81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25.17</w:t>
            </w:r>
          </w:p>
        </w:tc>
        <w:tc>
          <w:tcPr>
            <w:tcW w:w="705" w:type="pct"/>
            <w:shd w:val="clear" w:color="auto" w:fill="auto"/>
            <w:noWrap/>
            <w:vAlign w:val="bottom"/>
            <w:hideMark/>
          </w:tcPr>
          <w:p w14:paraId="617E680C"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44.85</w:t>
            </w:r>
          </w:p>
        </w:tc>
        <w:tc>
          <w:tcPr>
            <w:tcW w:w="705" w:type="pct"/>
            <w:shd w:val="clear" w:color="auto" w:fill="auto"/>
            <w:noWrap/>
            <w:vAlign w:val="bottom"/>
            <w:hideMark/>
          </w:tcPr>
          <w:p w14:paraId="496A919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-18.81</w:t>
            </w:r>
          </w:p>
        </w:tc>
      </w:tr>
      <w:tr w:rsidR="00F356B2" w:rsidRPr="00F356B2" w14:paraId="23828422" w14:textId="77777777" w:rsidTr="007876A1">
        <w:trPr>
          <w:trHeight w:val="280"/>
        </w:trPr>
        <w:tc>
          <w:tcPr>
            <w:tcW w:w="2885" w:type="pct"/>
            <w:shd w:val="clear" w:color="auto" w:fill="auto"/>
            <w:noWrap/>
            <w:vAlign w:val="bottom"/>
            <w:hideMark/>
          </w:tcPr>
          <w:p w14:paraId="16A0F650"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Profit before tax</w:t>
            </w:r>
          </w:p>
        </w:tc>
        <w:tc>
          <w:tcPr>
            <w:tcW w:w="705" w:type="pct"/>
            <w:shd w:val="clear" w:color="auto" w:fill="auto"/>
            <w:noWrap/>
            <w:vAlign w:val="bottom"/>
            <w:hideMark/>
          </w:tcPr>
          <w:p w14:paraId="38161A4E"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46,845.03</w:t>
            </w:r>
          </w:p>
        </w:tc>
        <w:tc>
          <w:tcPr>
            <w:tcW w:w="705" w:type="pct"/>
            <w:shd w:val="clear" w:color="auto" w:fill="auto"/>
            <w:noWrap/>
            <w:vAlign w:val="bottom"/>
            <w:hideMark/>
          </w:tcPr>
          <w:p w14:paraId="42FBE18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23,462.74</w:t>
            </w:r>
          </w:p>
        </w:tc>
        <w:tc>
          <w:tcPr>
            <w:tcW w:w="705" w:type="pct"/>
            <w:shd w:val="clear" w:color="auto" w:fill="auto"/>
            <w:noWrap/>
            <w:vAlign w:val="bottom"/>
            <w:hideMark/>
          </w:tcPr>
          <w:p w14:paraId="5406CA0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22,742.90</w:t>
            </w:r>
          </w:p>
        </w:tc>
      </w:tr>
      <w:tr w:rsidR="00F356B2" w:rsidRPr="00F356B2" w14:paraId="0521477A" w14:textId="77777777" w:rsidTr="007876A1">
        <w:trPr>
          <w:trHeight w:val="280"/>
        </w:trPr>
        <w:tc>
          <w:tcPr>
            <w:tcW w:w="2885" w:type="pct"/>
            <w:shd w:val="clear" w:color="auto" w:fill="auto"/>
            <w:noWrap/>
            <w:vAlign w:val="bottom"/>
            <w:hideMark/>
          </w:tcPr>
          <w:p w14:paraId="6113C84B"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w:t>
            </w:r>
            <w:proofErr w:type="gramStart"/>
            <w:r w:rsidRPr="00F356B2">
              <w:rPr>
                <w:rFonts w:eastAsia="宋体"/>
                <w:color w:val="000000"/>
                <w:kern w:val="0"/>
                <w:sz w:val="18"/>
                <w:szCs w:val="18"/>
              </w:rPr>
              <w:t>YoY(</w:t>
            </w:r>
            <w:proofErr w:type="gramEnd"/>
            <w:r w:rsidRPr="00F356B2">
              <w:rPr>
                <w:rFonts w:eastAsia="宋体"/>
                <w:color w:val="000000"/>
                <w:kern w:val="0"/>
                <w:sz w:val="18"/>
                <w:szCs w:val="18"/>
              </w:rPr>
              <w:t>%)</w:t>
            </w:r>
          </w:p>
        </w:tc>
        <w:tc>
          <w:tcPr>
            <w:tcW w:w="705" w:type="pct"/>
            <w:shd w:val="clear" w:color="auto" w:fill="auto"/>
            <w:noWrap/>
            <w:vAlign w:val="bottom"/>
            <w:hideMark/>
          </w:tcPr>
          <w:p w14:paraId="4EF7CB1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111.24</w:t>
            </w:r>
          </w:p>
        </w:tc>
        <w:tc>
          <w:tcPr>
            <w:tcW w:w="705" w:type="pct"/>
            <w:shd w:val="clear" w:color="auto" w:fill="auto"/>
            <w:noWrap/>
            <w:vAlign w:val="bottom"/>
            <w:hideMark/>
          </w:tcPr>
          <w:p w14:paraId="13366BFA"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17.06</w:t>
            </w:r>
          </w:p>
        </w:tc>
        <w:tc>
          <w:tcPr>
            <w:tcW w:w="705" w:type="pct"/>
            <w:shd w:val="clear" w:color="auto" w:fill="auto"/>
            <w:noWrap/>
            <w:vAlign w:val="bottom"/>
            <w:hideMark/>
          </w:tcPr>
          <w:p w14:paraId="29D901A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-39.58</w:t>
            </w:r>
          </w:p>
        </w:tc>
      </w:tr>
      <w:tr w:rsidR="00F356B2" w:rsidRPr="00F356B2" w14:paraId="73CA20E9" w14:textId="77777777" w:rsidTr="007876A1">
        <w:trPr>
          <w:trHeight w:val="280"/>
        </w:trPr>
        <w:tc>
          <w:tcPr>
            <w:tcW w:w="2885" w:type="pct"/>
            <w:shd w:val="clear" w:color="auto" w:fill="auto"/>
            <w:noWrap/>
            <w:vAlign w:val="bottom"/>
            <w:hideMark/>
          </w:tcPr>
          <w:p w14:paraId="68BFC4B2"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Net profit</w:t>
            </w:r>
          </w:p>
        </w:tc>
        <w:tc>
          <w:tcPr>
            <w:tcW w:w="705" w:type="pct"/>
            <w:shd w:val="clear" w:color="auto" w:fill="auto"/>
            <w:noWrap/>
            <w:vAlign w:val="bottom"/>
            <w:hideMark/>
          </w:tcPr>
          <w:p w14:paraId="1FE9D56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34,157.62</w:t>
            </w:r>
          </w:p>
        </w:tc>
        <w:tc>
          <w:tcPr>
            <w:tcW w:w="705" w:type="pct"/>
            <w:shd w:val="clear" w:color="auto" w:fill="auto"/>
            <w:noWrap/>
            <w:vAlign w:val="bottom"/>
            <w:hideMark/>
          </w:tcPr>
          <w:p w14:paraId="68ACAA1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21,273.48</w:t>
            </w:r>
          </w:p>
        </w:tc>
        <w:tc>
          <w:tcPr>
            <w:tcW w:w="705" w:type="pct"/>
            <w:shd w:val="clear" w:color="auto" w:fill="auto"/>
            <w:noWrap/>
            <w:vAlign w:val="bottom"/>
            <w:hideMark/>
          </w:tcPr>
          <w:p w14:paraId="4306B7E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14,884.09</w:t>
            </w:r>
          </w:p>
        </w:tc>
      </w:tr>
      <w:tr w:rsidR="00F356B2" w:rsidRPr="00F356B2" w14:paraId="5C1DC974" w14:textId="77777777" w:rsidTr="007876A1">
        <w:trPr>
          <w:trHeight w:val="280"/>
        </w:trPr>
        <w:tc>
          <w:tcPr>
            <w:tcW w:w="2885" w:type="pct"/>
            <w:shd w:val="clear" w:color="auto" w:fill="auto"/>
            <w:noWrap/>
            <w:vAlign w:val="bottom"/>
            <w:hideMark/>
          </w:tcPr>
          <w:p w14:paraId="2C5D7E7C"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w:t>
            </w:r>
            <w:proofErr w:type="gramStart"/>
            <w:r w:rsidRPr="00F356B2">
              <w:rPr>
                <w:rFonts w:eastAsia="宋体"/>
                <w:color w:val="000000"/>
                <w:kern w:val="0"/>
                <w:sz w:val="18"/>
                <w:szCs w:val="18"/>
              </w:rPr>
              <w:t>YoY(</w:t>
            </w:r>
            <w:proofErr w:type="gramEnd"/>
            <w:r w:rsidRPr="00F356B2">
              <w:rPr>
                <w:rFonts w:eastAsia="宋体"/>
                <w:color w:val="000000"/>
                <w:kern w:val="0"/>
                <w:sz w:val="18"/>
                <w:szCs w:val="18"/>
              </w:rPr>
              <w:t>%)</w:t>
            </w:r>
          </w:p>
        </w:tc>
        <w:tc>
          <w:tcPr>
            <w:tcW w:w="705" w:type="pct"/>
            <w:shd w:val="clear" w:color="auto" w:fill="auto"/>
            <w:noWrap/>
            <w:vAlign w:val="bottom"/>
            <w:hideMark/>
          </w:tcPr>
          <w:p w14:paraId="19CA2DF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69.88</w:t>
            </w:r>
          </w:p>
        </w:tc>
        <w:tc>
          <w:tcPr>
            <w:tcW w:w="705" w:type="pct"/>
            <w:shd w:val="clear" w:color="auto" w:fill="auto"/>
            <w:noWrap/>
            <w:vAlign w:val="bottom"/>
            <w:hideMark/>
          </w:tcPr>
          <w:p w14:paraId="7C53460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62.18</w:t>
            </w:r>
          </w:p>
        </w:tc>
        <w:tc>
          <w:tcPr>
            <w:tcW w:w="705" w:type="pct"/>
            <w:shd w:val="clear" w:color="auto" w:fill="auto"/>
            <w:noWrap/>
            <w:vAlign w:val="bottom"/>
            <w:hideMark/>
          </w:tcPr>
          <w:p w14:paraId="21B29C2A"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-41.83</w:t>
            </w:r>
          </w:p>
        </w:tc>
      </w:tr>
      <w:tr w:rsidR="00F356B2" w:rsidRPr="00F356B2" w14:paraId="180AA696" w14:textId="77777777" w:rsidTr="007876A1">
        <w:trPr>
          <w:trHeight w:val="280"/>
        </w:trPr>
        <w:tc>
          <w:tcPr>
            <w:tcW w:w="2885" w:type="pct"/>
            <w:shd w:val="clear" w:color="auto" w:fill="auto"/>
            <w:noWrap/>
            <w:vAlign w:val="bottom"/>
            <w:hideMark/>
          </w:tcPr>
          <w:p w14:paraId="7DC64AF1"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Non-recurring profit and loss</w:t>
            </w:r>
          </w:p>
        </w:tc>
        <w:tc>
          <w:tcPr>
            <w:tcW w:w="705" w:type="pct"/>
            <w:shd w:val="clear" w:color="auto" w:fill="auto"/>
            <w:noWrap/>
            <w:vAlign w:val="bottom"/>
            <w:hideMark/>
          </w:tcPr>
          <w:p w14:paraId="3B35FDA8"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2150E47C"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375A2358"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13116948" w14:textId="77777777" w:rsidTr="007876A1">
        <w:trPr>
          <w:trHeight w:val="280"/>
        </w:trPr>
        <w:tc>
          <w:tcPr>
            <w:tcW w:w="2885" w:type="pct"/>
            <w:shd w:val="clear" w:color="auto" w:fill="auto"/>
            <w:noWrap/>
            <w:vAlign w:val="bottom"/>
            <w:hideMark/>
          </w:tcPr>
          <w:p w14:paraId="6BA58422"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Net profit attributable to shareholders of the parent company after deduction</w:t>
            </w:r>
          </w:p>
        </w:tc>
        <w:tc>
          <w:tcPr>
            <w:tcW w:w="705" w:type="pct"/>
            <w:shd w:val="clear" w:color="auto" w:fill="auto"/>
            <w:noWrap/>
            <w:vAlign w:val="bottom"/>
            <w:hideMark/>
          </w:tcPr>
          <w:p w14:paraId="47CAFCA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34,157.62</w:t>
            </w:r>
          </w:p>
        </w:tc>
        <w:tc>
          <w:tcPr>
            <w:tcW w:w="705" w:type="pct"/>
            <w:shd w:val="clear" w:color="auto" w:fill="auto"/>
            <w:noWrap/>
            <w:vAlign w:val="bottom"/>
            <w:hideMark/>
          </w:tcPr>
          <w:p w14:paraId="514C10C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21,273.48</w:t>
            </w:r>
          </w:p>
        </w:tc>
        <w:tc>
          <w:tcPr>
            <w:tcW w:w="705" w:type="pct"/>
            <w:shd w:val="clear" w:color="auto" w:fill="auto"/>
            <w:noWrap/>
            <w:vAlign w:val="bottom"/>
            <w:hideMark/>
          </w:tcPr>
          <w:p w14:paraId="6E2B6D6A"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14,884.09</w:t>
            </w:r>
          </w:p>
        </w:tc>
      </w:tr>
      <w:tr w:rsidR="00F356B2" w:rsidRPr="00F356B2" w14:paraId="1B75B0E2" w14:textId="77777777" w:rsidTr="007876A1">
        <w:trPr>
          <w:trHeight w:val="280"/>
        </w:trPr>
        <w:tc>
          <w:tcPr>
            <w:tcW w:w="2885" w:type="pct"/>
            <w:shd w:val="clear" w:color="auto" w:fill="auto"/>
            <w:noWrap/>
            <w:vAlign w:val="bottom"/>
            <w:hideMark/>
          </w:tcPr>
          <w:p w14:paraId="1E00A6AE"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w:t>
            </w:r>
            <w:proofErr w:type="gramStart"/>
            <w:r w:rsidRPr="00F356B2">
              <w:rPr>
                <w:rFonts w:eastAsia="宋体"/>
                <w:color w:val="000000"/>
                <w:kern w:val="0"/>
                <w:sz w:val="18"/>
                <w:szCs w:val="18"/>
              </w:rPr>
              <w:t>YoY(</w:t>
            </w:r>
            <w:proofErr w:type="gramEnd"/>
            <w:r w:rsidRPr="00F356B2">
              <w:rPr>
                <w:rFonts w:eastAsia="宋体"/>
                <w:color w:val="000000"/>
                <w:kern w:val="0"/>
                <w:sz w:val="18"/>
                <w:szCs w:val="18"/>
              </w:rPr>
              <w:t>%)</w:t>
            </w:r>
          </w:p>
        </w:tc>
        <w:tc>
          <w:tcPr>
            <w:tcW w:w="705" w:type="pct"/>
            <w:shd w:val="clear" w:color="auto" w:fill="auto"/>
            <w:noWrap/>
            <w:vAlign w:val="bottom"/>
            <w:hideMark/>
          </w:tcPr>
          <w:p w14:paraId="1A072B8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69.88</w:t>
            </w:r>
          </w:p>
        </w:tc>
        <w:tc>
          <w:tcPr>
            <w:tcW w:w="705" w:type="pct"/>
            <w:shd w:val="clear" w:color="auto" w:fill="auto"/>
            <w:noWrap/>
            <w:vAlign w:val="bottom"/>
            <w:hideMark/>
          </w:tcPr>
          <w:p w14:paraId="201E2E2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62.18</w:t>
            </w:r>
          </w:p>
        </w:tc>
        <w:tc>
          <w:tcPr>
            <w:tcW w:w="705" w:type="pct"/>
            <w:shd w:val="clear" w:color="auto" w:fill="auto"/>
            <w:noWrap/>
            <w:vAlign w:val="bottom"/>
            <w:hideMark/>
          </w:tcPr>
          <w:p w14:paraId="40DDE3B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-41.83</w:t>
            </w:r>
          </w:p>
        </w:tc>
      </w:tr>
      <w:tr w:rsidR="00F356B2" w:rsidRPr="00F356B2" w14:paraId="4DD10F73" w14:textId="77777777" w:rsidTr="007876A1">
        <w:trPr>
          <w:trHeight w:val="280"/>
        </w:trPr>
        <w:tc>
          <w:tcPr>
            <w:tcW w:w="2885" w:type="pct"/>
            <w:shd w:val="clear" w:color="auto" w:fill="auto"/>
            <w:noWrap/>
            <w:vAlign w:val="bottom"/>
            <w:hideMark/>
          </w:tcPr>
          <w:p w14:paraId="0D0F99EF"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lastRenderedPageBreak/>
              <w:t xml:space="preserve">            R&amp;D spending</w:t>
            </w:r>
          </w:p>
        </w:tc>
        <w:tc>
          <w:tcPr>
            <w:tcW w:w="705" w:type="pct"/>
            <w:shd w:val="clear" w:color="auto" w:fill="auto"/>
            <w:noWrap/>
            <w:vAlign w:val="bottom"/>
            <w:hideMark/>
          </w:tcPr>
          <w:p w14:paraId="2A911268"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1A7BFC8C"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21943564"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7E071072" w14:textId="77777777" w:rsidTr="007876A1">
        <w:trPr>
          <w:trHeight w:val="280"/>
        </w:trPr>
        <w:tc>
          <w:tcPr>
            <w:tcW w:w="2885" w:type="pct"/>
            <w:shd w:val="clear" w:color="auto" w:fill="auto"/>
            <w:noWrap/>
            <w:vAlign w:val="bottom"/>
            <w:hideMark/>
          </w:tcPr>
          <w:p w14:paraId="684A8B9D"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EBIT</w:t>
            </w:r>
          </w:p>
        </w:tc>
        <w:tc>
          <w:tcPr>
            <w:tcW w:w="705" w:type="pct"/>
            <w:shd w:val="clear" w:color="auto" w:fill="auto"/>
            <w:noWrap/>
            <w:vAlign w:val="bottom"/>
            <w:hideMark/>
          </w:tcPr>
          <w:p w14:paraId="0EDAE1E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46,445.53</w:t>
            </w:r>
          </w:p>
        </w:tc>
        <w:tc>
          <w:tcPr>
            <w:tcW w:w="705" w:type="pct"/>
            <w:shd w:val="clear" w:color="auto" w:fill="auto"/>
            <w:noWrap/>
            <w:vAlign w:val="bottom"/>
            <w:hideMark/>
          </w:tcPr>
          <w:p w14:paraId="7E19028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24,139.31</w:t>
            </w:r>
          </w:p>
        </w:tc>
        <w:tc>
          <w:tcPr>
            <w:tcW w:w="705" w:type="pct"/>
            <w:shd w:val="clear" w:color="auto" w:fill="auto"/>
            <w:noWrap/>
            <w:vAlign w:val="bottom"/>
            <w:hideMark/>
          </w:tcPr>
          <w:p w14:paraId="2083DEC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23,155.18</w:t>
            </w:r>
          </w:p>
        </w:tc>
      </w:tr>
      <w:tr w:rsidR="00F356B2" w:rsidRPr="00F356B2" w14:paraId="6E21D722" w14:textId="77777777" w:rsidTr="007876A1">
        <w:trPr>
          <w:trHeight w:val="280"/>
        </w:trPr>
        <w:tc>
          <w:tcPr>
            <w:tcW w:w="2885" w:type="pct"/>
            <w:shd w:val="clear" w:color="auto" w:fill="auto"/>
            <w:noWrap/>
            <w:vAlign w:val="bottom"/>
            <w:hideMark/>
          </w:tcPr>
          <w:p w14:paraId="700EEB88"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EBITDA</w:t>
            </w:r>
          </w:p>
        </w:tc>
        <w:tc>
          <w:tcPr>
            <w:tcW w:w="705" w:type="pct"/>
            <w:shd w:val="clear" w:color="auto" w:fill="auto"/>
            <w:noWrap/>
            <w:vAlign w:val="bottom"/>
            <w:hideMark/>
          </w:tcPr>
          <w:p w14:paraId="076EC60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57,622.20</w:t>
            </w:r>
          </w:p>
        </w:tc>
        <w:tc>
          <w:tcPr>
            <w:tcW w:w="705" w:type="pct"/>
            <w:shd w:val="clear" w:color="auto" w:fill="auto"/>
            <w:noWrap/>
            <w:vAlign w:val="bottom"/>
            <w:hideMark/>
          </w:tcPr>
          <w:p w14:paraId="3FAEE91C"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36,781.67</w:t>
            </w:r>
          </w:p>
        </w:tc>
        <w:tc>
          <w:tcPr>
            <w:tcW w:w="705" w:type="pct"/>
            <w:shd w:val="clear" w:color="auto" w:fill="auto"/>
            <w:noWrap/>
            <w:vAlign w:val="bottom"/>
            <w:hideMark/>
          </w:tcPr>
          <w:p w14:paraId="34319B5C"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43,047.27</w:t>
            </w:r>
          </w:p>
        </w:tc>
      </w:tr>
      <w:tr w:rsidR="00F356B2" w:rsidRPr="00F356B2" w14:paraId="0CA794A5" w14:textId="77777777" w:rsidTr="007876A1">
        <w:trPr>
          <w:trHeight w:val="280"/>
        </w:trPr>
        <w:tc>
          <w:tcPr>
            <w:tcW w:w="2885" w:type="pct"/>
            <w:shd w:val="clear" w:color="auto" w:fill="auto"/>
            <w:noWrap/>
            <w:vAlign w:val="bottom"/>
            <w:hideMark/>
          </w:tcPr>
          <w:p w14:paraId="234734D4"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Summary of Income Statement (NON-GAAP)</w:t>
            </w:r>
          </w:p>
        </w:tc>
        <w:tc>
          <w:tcPr>
            <w:tcW w:w="705" w:type="pct"/>
            <w:shd w:val="clear" w:color="auto" w:fill="auto"/>
            <w:noWrap/>
            <w:vAlign w:val="bottom"/>
            <w:hideMark/>
          </w:tcPr>
          <w:p w14:paraId="7DC27E0E"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296AE582"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04F380F9"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05DAE568" w14:textId="77777777" w:rsidTr="007876A1">
        <w:trPr>
          <w:trHeight w:val="280"/>
        </w:trPr>
        <w:tc>
          <w:tcPr>
            <w:tcW w:w="2885" w:type="pct"/>
            <w:shd w:val="clear" w:color="auto" w:fill="auto"/>
            <w:noWrap/>
            <w:vAlign w:val="bottom"/>
            <w:hideMark/>
          </w:tcPr>
          <w:p w14:paraId="13FE3CA9"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Net income (</w:t>
            </w:r>
            <w:proofErr w:type="gramStart"/>
            <w:r w:rsidRPr="00F356B2">
              <w:rPr>
                <w:rFonts w:eastAsia="宋体"/>
                <w:color w:val="000000"/>
                <w:kern w:val="0"/>
                <w:sz w:val="18"/>
                <w:szCs w:val="18"/>
              </w:rPr>
              <w:t>NON-GAAP</w:t>
            </w:r>
            <w:proofErr w:type="gramEnd"/>
            <w:r w:rsidRPr="00F356B2">
              <w:rPr>
                <w:rFonts w:eastAsia="宋体"/>
                <w:color w:val="000000"/>
                <w:kern w:val="0"/>
                <w:sz w:val="18"/>
                <w:szCs w:val="18"/>
              </w:rPr>
              <w:t>)</w:t>
            </w:r>
          </w:p>
        </w:tc>
        <w:tc>
          <w:tcPr>
            <w:tcW w:w="705" w:type="pct"/>
            <w:shd w:val="clear" w:color="auto" w:fill="auto"/>
            <w:noWrap/>
            <w:vAlign w:val="bottom"/>
            <w:hideMark/>
          </w:tcPr>
          <w:p w14:paraId="1B69D426"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45FC647C"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7EA7C91A"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6AD7A49A" w14:textId="77777777" w:rsidTr="007876A1">
        <w:trPr>
          <w:trHeight w:val="280"/>
        </w:trPr>
        <w:tc>
          <w:tcPr>
            <w:tcW w:w="2885" w:type="pct"/>
            <w:shd w:val="clear" w:color="auto" w:fill="auto"/>
            <w:noWrap/>
            <w:vAlign w:val="bottom"/>
            <w:hideMark/>
          </w:tcPr>
          <w:p w14:paraId="399F7D1B"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Diluted earnings per share (</w:t>
            </w:r>
            <w:proofErr w:type="gramStart"/>
            <w:r w:rsidRPr="00F356B2">
              <w:rPr>
                <w:rFonts w:eastAsia="宋体"/>
                <w:color w:val="000000"/>
                <w:kern w:val="0"/>
                <w:sz w:val="18"/>
                <w:szCs w:val="18"/>
              </w:rPr>
              <w:t>NON-GAAP</w:t>
            </w:r>
            <w:proofErr w:type="gramEnd"/>
            <w:r w:rsidRPr="00F356B2">
              <w:rPr>
                <w:rFonts w:eastAsia="宋体"/>
                <w:color w:val="000000"/>
                <w:kern w:val="0"/>
                <w:sz w:val="18"/>
                <w:szCs w:val="18"/>
              </w:rPr>
              <w:t>)</w:t>
            </w:r>
          </w:p>
        </w:tc>
        <w:tc>
          <w:tcPr>
            <w:tcW w:w="705" w:type="pct"/>
            <w:shd w:val="clear" w:color="auto" w:fill="auto"/>
            <w:noWrap/>
            <w:vAlign w:val="bottom"/>
            <w:hideMark/>
          </w:tcPr>
          <w:p w14:paraId="368F42BC"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30FFFC8A"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67881698"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66D0FADB" w14:textId="77777777" w:rsidTr="007876A1">
        <w:trPr>
          <w:trHeight w:val="280"/>
        </w:trPr>
        <w:tc>
          <w:tcPr>
            <w:tcW w:w="2885" w:type="pct"/>
            <w:shd w:val="clear" w:color="auto" w:fill="auto"/>
            <w:noWrap/>
            <w:vAlign w:val="bottom"/>
            <w:hideMark/>
          </w:tcPr>
          <w:p w14:paraId="6DD28A8C"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Balance sheet summary</w:t>
            </w:r>
          </w:p>
        </w:tc>
        <w:tc>
          <w:tcPr>
            <w:tcW w:w="705" w:type="pct"/>
            <w:shd w:val="clear" w:color="auto" w:fill="auto"/>
            <w:noWrap/>
            <w:vAlign w:val="bottom"/>
            <w:hideMark/>
          </w:tcPr>
          <w:p w14:paraId="411A1E8F"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22133DFA"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573D541F"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13249669" w14:textId="77777777" w:rsidTr="007876A1">
        <w:trPr>
          <w:trHeight w:val="280"/>
        </w:trPr>
        <w:tc>
          <w:tcPr>
            <w:tcW w:w="2885" w:type="pct"/>
            <w:shd w:val="clear" w:color="auto" w:fill="auto"/>
            <w:noWrap/>
            <w:vAlign w:val="bottom"/>
            <w:hideMark/>
          </w:tcPr>
          <w:p w14:paraId="7A349C57"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liquid asset</w:t>
            </w:r>
          </w:p>
        </w:tc>
        <w:tc>
          <w:tcPr>
            <w:tcW w:w="705" w:type="pct"/>
            <w:shd w:val="clear" w:color="auto" w:fill="auto"/>
            <w:noWrap/>
            <w:vAlign w:val="bottom"/>
            <w:hideMark/>
          </w:tcPr>
          <w:p w14:paraId="4F5EAE5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186,740.69</w:t>
            </w:r>
          </w:p>
        </w:tc>
        <w:tc>
          <w:tcPr>
            <w:tcW w:w="705" w:type="pct"/>
            <w:shd w:val="clear" w:color="auto" w:fill="auto"/>
            <w:noWrap/>
            <w:vAlign w:val="bottom"/>
            <w:hideMark/>
          </w:tcPr>
          <w:p w14:paraId="7E5224E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175,854.20</w:t>
            </w:r>
          </w:p>
        </w:tc>
        <w:tc>
          <w:tcPr>
            <w:tcW w:w="705" w:type="pct"/>
            <w:shd w:val="clear" w:color="auto" w:fill="auto"/>
            <w:noWrap/>
            <w:vAlign w:val="bottom"/>
            <w:hideMark/>
          </w:tcPr>
          <w:p w14:paraId="305DA235"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140,477.72</w:t>
            </w:r>
          </w:p>
        </w:tc>
      </w:tr>
      <w:tr w:rsidR="00F356B2" w:rsidRPr="00F356B2" w14:paraId="4DD19C74" w14:textId="77777777" w:rsidTr="007876A1">
        <w:trPr>
          <w:trHeight w:val="280"/>
        </w:trPr>
        <w:tc>
          <w:tcPr>
            <w:tcW w:w="2885" w:type="pct"/>
            <w:shd w:val="clear" w:color="auto" w:fill="auto"/>
            <w:noWrap/>
            <w:vAlign w:val="bottom"/>
            <w:hideMark/>
          </w:tcPr>
          <w:p w14:paraId="7DAAF4BC"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fixed asset</w:t>
            </w:r>
          </w:p>
        </w:tc>
        <w:tc>
          <w:tcPr>
            <w:tcW w:w="705" w:type="pct"/>
            <w:shd w:val="clear" w:color="auto" w:fill="auto"/>
            <w:noWrap/>
            <w:vAlign w:val="bottom"/>
            <w:hideMark/>
          </w:tcPr>
          <w:p w14:paraId="227BD226"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0339CD68"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5B89BAD6"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684297AE" w14:textId="77777777" w:rsidTr="007876A1">
        <w:trPr>
          <w:trHeight w:val="280"/>
        </w:trPr>
        <w:tc>
          <w:tcPr>
            <w:tcW w:w="2885" w:type="pct"/>
            <w:shd w:val="clear" w:color="auto" w:fill="auto"/>
            <w:noWrap/>
            <w:vAlign w:val="bottom"/>
            <w:hideMark/>
          </w:tcPr>
          <w:p w14:paraId="7D6BF085"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Equity investments</w:t>
            </w:r>
          </w:p>
        </w:tc>
        <w:tc>
          <w:tcPr>
            <w:tcW w:w="705" w:type="pct"/>
            <w:shd w:val="clear" w:color="auto" w:fill="auto"/>
            <w:noWrap/>
            <w:vAlign w:val="bottom"/>
            <w:hideMark/>
          </w:tcPr>
          <w:p w14:paraId="30F70B1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1,968.83</w:t>
            </w:r>
          </w:p>
        </w:tc>
        <w:tc>
          <w:tcPr>
            <w:tcW w:w="705" w:type="pct"/>
            <w:shd w:val="clear" w:color="auto" w:fill="auto"/>
            <w:noWrap/>
            <w:vAlign w:val="bottom"/>
            <w:hideMark/>
          </w:tcPr>
          <w:p w14:paraId="1072277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2,062.66</w:t>
            </w:r>
          </w:p>
        </w:tc>
        <w:tc>
          <w:tcPr>
            <w:tcW w:w="705" w:type="pct"/>
            <w:shd w:val="clear" w:color="auto" w:fill="auto"/>
            <w:noWrap/>
            <w:vAlign w:val="bottom"/>
            <w:hideMark/>
          </w:tcPr>
          <w:p w14:paraId="0661929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2,340.51</w:t>
            </w:r>
          </w:p>
        </w:tc>
      </w:tr>
      <w:tr w:rsidR="00F356B2" w:rsidRPr="00F356B2" w14:paraId="4C7B702C" w14:textId="77777777" w:rsidTr="007876A1">
        <w:trPr>
          <w:trHeight w:val="280"/>
        </w:trPr>
        <w:tc>
          <w:tcPr>
            <w:tcW w:w="2885" w:type="pct"/>
            <w:shd w:val="clear" w:color="auto" w:fill="auto"/>
            <w:noWrap/>
            <w:vAlign w:val="bottom"/>
            <w:hideMark/>
          </w:tcPr>
          <w:p w14:paraId="5DC1D7B5"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Total assets</w:t>
            </w:r>
          </w:p>
        </w:tc>
        <w:tc>
          <w:tcPr>
            <w:tcW w:w="705" w:type="pct"/>
            <w:shd w:val="clear" w:color="auto" w:fill="auto"/>
            <w:noWrap/>
            <w:vAlign w:val="bottom"/>
            <w:hideMark/>
          </w:tcPr>
          <w:p w14:paraId="707D315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329,455.91</w:t>
            </w:r>
          </w:p>
        </w:tc>
        <w:tc>
          <w:tcPr>
            <w:tcW w:w="705" w:type="pct"/>
            <w:shd w:val="clear" w:color="auto" w:fill="auto"/>
            <w:noWrap/>
            <w:vAlign w:val="bottom"/>
            <w:hideMark/>
          </w:tcPr>
          <w:p w14:paraId="0DDBAB3C"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322,459.26</w:t>
            </w:r>
          </w:p>
        </w:tc>
        <w:tc>
          <w:tcPr>
            <w:tcW w:w="705" w:type="pct"/>
            <w:shd w:val="clear" w:color="auto" w:fill="auto"/>
            <w:noWrap/>
            <w:vAlign w:val="bottom"/>
            <w:hideMark/>
          </w:tcPr>
          <w:p w14:paraId="3F44C66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313,614.84</w:t>
            </w:r>
          </w:p>
        </w:tc>
      </w:tr>
      <w:tr w:rsidR="00F356B2" w:rsidRPr="00F356B2" w14:paraId="486F2AB1" w14:textId="77777777" w:rsidTr="007876A1">
        <w:trPr>
          <w:trHeight w:val="280"/>
        </w:trPr>
        <w:tc>
          <w:tcPr>
            <w:tcW w:w="2885" w:type="pct"/>
            <w:shd w:val="clear" w:color="auto" w:fill="auto"/>
            <w:noWrap/>
            <w:vAlign w:val="bottom"/>
            <w:hideMark/>
          </w:tcPr>
          <w:p w14:paraId="368B2845"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Current liabilities</w:t>
            </w:r>
          </w:p>
        </w:tc>
        <w:tc>
          <w:tcPr>
            <w:tcW w:w="705" w:type="pct"/>
            <w:shd w:val="clear" w:color="auto" w:fill="auto"/>
            <w:noWrap/>
            <w:vAlign w:val="bottom"/>
            <w:hideMark/>
          </w:tcPr>
          <w:p w14:paraId="1394A235"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51,472.01</w:t>
            </w:r>
          </w:p>
        </w:tc>
        <w:tc>
          <w:tcPr>
            <w:tcW w:w="705" w:type="pct"/>
            <w:shd w:val="clear" w:color="auto" w:fill="auto"/>
            <w:noWrap/>
            <w:vAlign w:val="bottom"/>
            <w:hideMark/>
          </w:tcPr>
          <w:p w14:paraId="481F752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52,661.11</w:t>
            </w:r>
          </w:p>
        </w:tc>
        <w:tc>
          <w:tcPr>
            <w:tcW w:w="705" w:type="pct"/>
            <w:shd w:val="clear" w:color="auto" w:fill="auto"/>
            <w:noWrap/>
            <w:vAlign w:val="bottom"/>
            <w:hideMark/>
          </w:tcPr>
          <w:p w14:paraId="79DDAE2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72,404.66</w:t>
            </w:r>
          </w:p>
        </w:tc>
      </w:tr>
      <w:tr w:rsidR="00F356B2" w:rsidRPr="00F356B2" w14:paraId="4BEBA8F5" w14:textId="77777777" w:rsidTr="007876A1">
        <w:trPr>
          <w:trHeight w:val="280"/>
        </w:trPr>
        <w:tc>
          <w:tcPr>
            <w:tcW w:w="2885" w:type="pct"/>
            <w:shd w:val="clear" w:color="auto" w:fill="auto"/>
            <w:noWrap/>
            <w:vAlign w:val="bottom"/>
            <w:hideMark/>
          </w:tcPr>
          <w:p w14:paraId="6BC5B35F"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Non-current liabilities</w:t>
            </w:r>
          </w:p>
        </w:tc>
        <w:tc>
          <w:tcPr>
            <w:tcW w:w="705" w:type="pct"/>
            <w:shd w:val="clear" w:color="auto" w:fill="auto"/>
            <w:noWrap/>
            <w:vAlign w:val="bottom"/>
            <w:hideMark/>
          </w:tcPr>
          <w:p w14:paraId="1A7F330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61,046.94</w:t>
            </w:r>
          </w:p>
        </w:tc>
        <w:tc>
          <w:tcPr>
            <w:tcW w:w="705" w:type="pct"/>
            <w:shd w:val="clear" w:color="auto" w:fill="auto"/>
            <w:noWrap/>
            <w:vAlign w:val="bottom"/>
            <w:hideMark/>
          </w:tcPr>
          <w:p w14:paraId="1CD491F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72,274.83</w:t>
            </w:r>
          </w:p>
        </w:tc>
        <w:tc>
          <w:tcPr>
            <w:tcW w:w="705" w:type="pct"/>
            <w:shd w:val="clear" w:color="auto" w:fill="auto"/>
            <w:noWrap/>
            <w:vAlign w:val="bottom"/>
            <w:hideMark/>
          </w:tcPr>
          <w:p w14:paraId="21F194F1"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39,974.98</w:t>
            </w:r>
          </w:p>
        </w:tc>
      </w:tr>
      <w:tr w:rsidR="00F356B2" w:rsidRPr="00F356B2" w14:paraId="73E995AC" w14:textId="77777777" w:rsidTr="007876A1">
        <w:trPr>
          <w:trHeight w:val="280"/>
        </w:trPr>
        <w:tc>
          <w:tcPr>
            <w:tcW w:w="2885" w:type="pct"/>
            <w:shd w:val="clear" w:color="auto" w:fill="auto"/>
            <w:noWrap/>
            <w:vAlign w:val="bottom"/>
            <w:hideMark/>
          </w:tcPr>
          <w:p w14:paraId="2ABD9CD1"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Total liabilities</w:t>
            </w:r>
          </w:p>
        </w:tc>
        <w:tc>
          <w:tcPr>
            <w:tcW w:w="705" w:type="pct"/>
            <w:shd w:val="clear" w:color="auto" w:fill="auto"/>
            <w:noWrap/>
            <w:vAlign w:val="bottom"/>
            <w:hideMark/>
          </w:tcPr>
          <w:p w14:paraId="4735C14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112,518.95</w:t>
            </w:r>
          </w:p>
        </w:tc>
        <w:tc>
          <w:tcPr>
            <w:tcW w:w="705" w:type="pct"/>
            <w:shd w:val="clear" w:color="auto" w:fill="auto"/>
            <w:noWrap/>
            <w:vAlign w:val="bottom"/>
            <w:hideMark/>
          </w:tcPr>
          <w:p w14:paraId="7444F2A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124,935.93</w:t>
            </w:r>
          </w:p>
        </w:tc>
        <w:tc>
          <w:tcPr>
            <w:tcW w:w="705" w:type="pct"/>
            <w:shd w:val="clear" w:color="auto" w:fill="auto"/>
            <w:noWrap/>
            <w:vAlign w:val="bottom"/>
            <w:hideMark/>
          </w:tcPr>
          <w:p w14:paraId="141E929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112,379.64</w:t>
            </w:r>
          </w:p>
        </w:tc>
      </w:tr>
      <w:tr w:rsidR="00F356B2" w:rsidRPr="00F356B2" w14:paraId="1FA1CE53" w14:textId="77777777" w:rsidTr="007876A1">
        <w:trPr>
          <w:trHeight w:val="280"/>
        </w:trPr>
        <w:tc>
          <w:tcPr>
            <w:tcW w:w="2885" w:type="pct"/>
            <w:shd w:val="clear" w:color="auto" w:fill="auto"/>
            <w:noWrap/>
            <w:vAlign w:val="bottom"/>
            <w:hideMark/>
          </w:tcPr>
          <w:p w14:paraId="631FCEE2"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Total shareholders' equity</w:t>
            </w:r>
          </w:p>
        </w:tc>
        <w:tc>
          <w:tcPr>
            <w:tcW w:w="705" w:type="pct"/>
            <w:shd w:val="clear" w:color="auto" w:fill="auto"/>
            <w:noWrap/>
            <w:vAlign w:val="bottom"/>
            <w:hideMark/>
          </w:tcPr>
          <w:p w14:paraId="5650A76A"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216,936.95</w:t>
            </w:r>
          </w:p>
        </w:tc>
        <w:tc>
          <w:tcPr>
            <w:tcW w:w="705" w:type="pct"/>
            <w:shd w:val="clear" w:color="auto" w:fill="auto"/>
            <w:noWrap/>
            <w:vAlign w:val="bottom"/>
            <w:hideMark/>
          </w:tcPr>
          <w:p w14:paraId="6F337C4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197,523.33</w:t>
            </w:r>
          </w:p>
        </w:tc>
        <w:tc>
          <w:tcPr>
            <w:tcW w:w="705" w:type="pct"/>
            <w:shd w:val="clear" w:color="auto" w:fill="auto"/>
            <w:noWrap/>
            <w:vAlign w:val="bottom"/>
            <w:hideMark/>
          </w:tcPr>
          <w:p w14:paraId="25328EE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201,235.20</w:t>
            </w:r>
          </w:p>
        </w:tc>
      </w:tr>
      <w:tr w:rsidR="00F356B2" w:rsidRPr="00F356B2" w14:paraId="5A07D728" w14:textId="77777777" w:rsidTr="007876A1">
        <w:trPr>
          <w:trHeight w:val="280"/>
        </w:trPr>
        <w:tc>
          <w:tcPr>
            <w:tcW w:w="2885" w:type="pct"/>
            <w:shd w:val="clear" w:color="auto" w:fill="auto"/>
            <w:noWrap/>
            <w:vAlign w:val="bottom"/>
            <w:hideMark/>
          </w:tcPr>
          <w:p w14:paraId="1D7510C9"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Vesting in shareholders' equity of the parent company</w:t>
            </w:r>
          </w:p>
        </w:tc>
        <w:tc>
          <w:tcPr>
            <w:tcW w:w="705" w:type="pct"/>
            <w:shd w:val="clear" w:color="auto" w:fill="auto"/>
            <w:noWrap/>
            <w:vAlign w:val="bottom"/>
            <w:hideMark/>
          </w:tcPr>
          <w:p w14:paraId="2F119F3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216,927.61</w:t>
            </w:r>
          </w:p>
        </w:tc>
        <w:tc>
          <w:tcPr>
            <w:tcW w:w="705" w:type="pct"/>
            <w:shd w:val="clear" w:color="auto" w:fill="auto"/>
            <w:noWrap/>
            <w:vAlign w:val="bottom"/>
            <w:hideMark/>
          </w:tcPr>
          <w:p w14:paraId="5215398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196,985.90</w:t>
            </w:r>
          </w:p>
        </w:tc>
        <w:tc>
          <w:tcPr>
            <w:tcW w:w="705" w:type="pct"/>
            <w:shd w:val="clear" w:color="auto" w:fill="auto"/>
            <w:noWrap/>
            <w:vAlign w:val="bottom"/>
            <w:hideMark/>
          </w:tcPr>
          <w:p w14:paraId="134BB26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200,635.11</w:t>
            </w:r>
          </w:p>
        </w:tc>
      </w:tr>
      <w:tr w:rsidR="00F356B2" w:rsidRPr="00F356B2" w14:paraId="74F972F8" w14:textId="77777777" w:rsidTr="007876A1">
        <w:trPr>
          <w:trHeight w:val="280"/>
        </w:trPr>
        <w:tc>
          <w:tcPr>
            <w:tcW w:w="2885" w:type="pct"/>
            <w:shd w:val="clear" w:color="auto" w:fill="auto"/>
            <w:noWrap/>
            <w:vAlign w:val="bottom"/>
            <w:hideMark/>
          </w:tcPr>
          <w:p w14:paraId="79D60D24"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Summary of the cash flow statement</w:t>
            </w:r>
          </w:p>
        </w:tc>
        <w:tc>
          <w:tcPr>
            <w:tcW w:w="705" w:type="pct"/>
            <w:shd w:val="clear" w:color="auto" w:fill="auto"/>
            <w:noWrap/>
            <w:vAlign w:val="bottom"/>
            <w:hideMark/>
          </w:tcPr>
          <w:p w14:paraId="23C328B3"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10FD1001"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575BB9F3"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1CEB6F32" w14:textId="77777777" w:rsidTr="007876A1">
        <w:trPr>
          <w:trHeight w:val="280"/>
        </w:trPr>
        <w:tc>
          <w:tcPr>
            <w:tcW w:w="2885" w:type="pct"/>
            <w:shd w:val="clear" w:color="auto" w:fill="auto"/>
            <w:noWrap/>
            <w:vAlign w:val="bottom"/>
            <w:hideMark/>
          </w:tcPr>
          <w:p w14:paraId="20BC902D"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Cash flow from operating activities</w:t>
            </w:r>
          </w:p>
        </w:tc>
        <w:tc>
          <w:tcPr>
            <w:tcW w:w="705" w:type="pct"/>
            <w:shd w:val="clear" w:color="auto" w:fill="auto"/>
            <w:noWrap/>
            <w:vAlign w:val="bottom"/>
            <w:hideMark/>
          </w:tcPr>
          <w:p w14:paraId="7CF3E064"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60,169.41</w:t>
            </w:r>
          </w:p>
        </w:tc>
        <w:tc>
          <w:tcPr>
            <w:tcW w:w="705" w:type="pct"/>
            <w:shd w:val="clear" w:color="auto" w:fill="auto"/>
            <w:noWrap/>
            <w:vAlign w:val="bottom"/>
            <w:hideMark/>
          </w:tcPr>
          <w:p w14:paraId="32F4588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46,007.58</w:t>
            </w:r>
          </w:p>
        </w:tc>
        <w:tc>
          <w:tcPr>
            <w:tcW w:w="705" w:type="pct"/>
            <w:shd w:val="clear" w:color="auto" w:fill="auto"/>
            <w:noWrap/>
            <w:vAlign w:val="bottom"/>
            <w:hideMark/>
          </w:tcPr>
          <w:p w14:paraId="62F64615"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38,284.69</w:t>
            </w:r>
          </w:p>
        </w:tc>
      </w:tr>
      <w:tr w:rsidR="00F356B2" w:rsidRPr="00F356B2" w14:paraId="68747018" w14:textId="77777777" w:rsidTr="007876A1">
        <w:trPr>
          <w:trHeight w:val="280"/>
        </w:trPr>
        <w:tc>
          <w:tcPr>
            <w:tcW w:w="2885" w:type="pct"/>
            <w:shd w:val="clear" w:color="auto" w:fill="auto"/>
            <w:noWrap/>
            <w:vAlign w:val="bottom"/>
            <w:hideMark/>
          </w:tcPr>
          <w:p w14:paraId="0F15834B"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Cash flow from investing activities</w:t>
            </w:r>
          </w:p>
        </w:tc>
        <w:tc>
          <w:tcPr>
            <w:tcW w:w="705" w:type="pct"/>
            <w:shd w:val="clear" w:color="auto" w:fill="auto"/>
            <w:noWrap/>
            <w:vAlign w:val="bottom"/>
            <w:hideMark/>
          </w:tcPr>
          <w:p w14:paraId="475A9B94"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-14,330.29</w:t>
            </w:r>
          </w:p>
        </w:tc>
        <w:tc>
          <w:tcPr>
            <w:tcW w:w="705" w:type="pct"/>
            <w:shd w:val="clear" w:color="auto" w:fill="auto"/>
            <w:noWrap/>
            <w:vAlign w:val="bottom"/>
            <w:hideMark/>
          </w:tcPr>
          <w:p w14:paraId="7A0F539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-14,778.87</w:t>
            </w:r>
          </w:p>
        </w:tc>
        <w:tc>
          <w:tcPr>
            <w:tcW w:w="705" w:type="pct"/>
            <w:shd w:val="clear" w:color="auto" w:fill="auto"/>
            <w:noWrap/>
            <w:vAlign w:val="bottom"/>
            <w:hideMark/>
          </w:tcPr>
          <w:p w14:paraId="39074F2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-46,501.17</w:t>
            </w:r>
          </w:p>
        </w:tc>
      </w:tr>
      <w:tr w:rsidR="00F356B2" w:rsidRPr="00F356B2" w14:paraId="0FC59E03" w14:textId="77777777" w:rsidTr="007876A1">
        <w:trPr>
          <w:trHeight w:val="280"/>
        </w:trPr>
        <w:tc>
          <w:tcPr>
            <w:tcW w:w="2885" w:type="pct"/>
            <w:shd w:val="clear" w:color="auto" w:fill="auto"/>
            <w:noWrap/>
            <w:vAlign w:val="bottom"/>
            <w:hideMark/>
          </w:tcPr>
          <w:p w14:paraId="55FD3C42"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Cash flow from fund-raising activities</w:t>
            </w:r>
          </w:p>
        </w:tc>
        <w:tc>
          <w:tcPr>
            <w:tcW w:w="705" w:type="pct"/>
            <w:shd w:val="clear" w:color="auto" w:fill="auto"/>
            <w:noWrap/>
            <w:vAlign w:val="bottom"/>
            <w:hideMark/>
          </w:tcPr>
          <w:p w14:paraId="6EFD8D4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-17,396.66</w:t>
            </w:r>
          </w:p>
        </w:tc>
        <w:tc>
          <w:tcPr>
            <w:tcW w:w="705" w:type="pct"/>
            <w:shd w:val="clear" w:color="auto" w:fill="auto"/>
            <w:noWrap/>
            <w:vAlign w:val="bottom"/>
            <w:hideMark/>
          </w:tcPr>
          <w:p w14:paraId="102122A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14,788.10</w:t>
            </w:r>
          </w:p>
        </w:tc>
        <w:tc>
          <w:tcPr>
            <w:tcW w:w="705" w:type="pct"/>
            <w:shd w:val="clear" w:color="auto" w:fill="auto"/>
            <w:noWrap/>
            <w:vAlign w:val="bottom"/>
            <w:hideMark/>
          </w:tcPr>
          <w:p w14:paraId="623B15F1"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-11,873.90</w:t>
            </w:r>
          </w:p>
        </w:tc>
      </w:tr>
      <w:tr w:rsidR="00F356B2" w:rsidRPr="00F356B2" w14:paraId="41211391" w14:textId="77777777" w:rsidTr="007876A1">
        <w:trPr>
          <w:trHeight w:val="280"/>
        </w:trPr>
        <w:tc>
          <w:tcPr>
            <w:tcW w:w="2885" w:type="pct"/>
            <w:shd w:val="clear" w:color="auto" w:fill="auto"/>
            <w:noWrap/>
            <w:vAlign w:val="bottom"/>
            <w:hideMark/>
          </w:tcPr>
          <w:p w14:paraId="2B4B9C4D"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Net increase in cash</w:t>
            </w:r>
          </w:p>
        </w:tc>
        <w:tc>
          <w:tcPr>
            <w:tcW w:w="705" w:type="pct"/>
            <w:shd w:val="clear" w:color="auto" w:fill="auto"/>
            <w:noWrap/>
            <w:vAlign w:val="bottom"/>
            <w:hideMark/>
          </w:tcPr>
          <w:p w14:paraId="0EB80D31"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30,090.94</w:t>
            </w:r>
          </w:p>
        </w:tc>
        <w:tc>
          <w:tcPr>
            <w:tcW w:w="705" w:type="pct"/>
            <w:shd w:val="clear" w:color="auto" w:fill="auto"/>
            <w:noWrap/>
            <w:vAlign w:val="bottom"/>
            <w:hideMark/>
          </w:tcPr>
          <w:p w14:paraId="45DED4C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46,817.35</w:t>
            </w:r>
          </w:p>
        </w:tc>
        <w:tc>
          <w:tcPr>
            <w:tcW w:w="705" w:type="pct"/>
            <w:shd w:val="clear" w:color="auto" w:fill="auto"/>
            <w:noWrap/>
            <w:vAlign w:val="bottom"/>
            <w:hideMark/>
          </w:tcPr>
          <w:p w14:paraId="10950D04"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-20,808.69</w:t>
            </w:r>
          </w:p>
        </w:tc>
      </w:tr>
      <w:tr w:rsidR="00F356B2" w:rsidRPr="00F356B2" w14:paraId="57C0CB50" w14:textId="77777777" w:rsidTr="007876A1">
        <w:trPr>
          <w:trHeight w:val="280"/>
        </w:trPr>
        <w:tc>
          <w:tcPr>
            <w:tcW w:w="2885" w:type="pct"/>
            <w:shd w:val="clear" w:color="auto" w:fill="auto"/>
            <w:noWrap/>
            <w:vAlign w:val="bottom"/>
            <w:hideMark/>
          </w:tcPr>
          <w:p w14:paraId="2CF87599"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Closing cash balance</w:t>
            </w:r>
          </w:p>
        </w:tc>
        <w:tc>
          <w:tcPr>
            <w:tcW w:w="705" w:type="pct"/>
            <w:shd w:val="clear" w:color="auto" w:fill="auto"/>
            <w:noWrap/>
            <w:vAlign w:val="bottom"/>
            <w:hideMark/>
          </w:tcPr>
          <w:p w14:paraId="52C432D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156,254.61</w:t>
            </w:r>
          </w:p>
        </w:tc>
        <w:tc>
          <w:tcPr>
            <w:tcW w:w="705" w:type="pct"/>
            <w:shd w:val="clear" w:color="auto" w:fill="auto"/>
            <w:noWrap/>
            <w:vAlign w:val="bottom"/>
            <w:hideMark/>
          </w:tcPr>
          <w:p w14:paraId="4BDF4E2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133,485.95</w:t>
            </w:r>
          </w:p>
        </w:tc>
        <w:tc>
          <w:tcPr>
            <w:tcW w:w="705" w:type="pct"/>
            <w:shd w:val="clear" w:color="auto" w:fill="auto"/>
            <w:noWrap/>
            <w:vAlign w:val="bottom"/>
            <w:hideMark/>
          </w:tcPr>
          <w:p w14:paraId="50C6052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98,343.31</w:t>
            </w:r>
          </w:p>
        </w:tc>
      </w:tr>
      <w:tr w:rsidR="00F356B2" w:rsidRPr="00F356B2" w14:paraId="71A0EA92" w14:textId="77777777" w:rsidTr="007876A1">
        <w:trPr>
          <w:trHeight w:val="280"/>
        </w:trPr>
        <w:tc>
          <w:tcPr>
            <w:tcW w:w="2885" w:type="pct"/>
            <w:shd w:val="clear" w:color="auto" w:fill="auto"/>
            <w:noWrap/>
            <w:vAlign w:val="bottom"/>
            <w:hideMark/>
          </w:tcPr>
          <w:p w14:paraId="1A44989A"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capital expenditure</w:t>
            </w:r>
          </w:p>
        </w:tc>
        <w:tc>
          <w:tcPr>
            <w:tcW w:w="705" w:type="pct"/>
            <w:shd w:val="clear" w:color="auto" w:fill="auto"/>
            <w:noWrap/>
            <w:vAlign w:val="bottom"/>
            <w:hideMark/>
          </w:tcPr>
          <w:p w14:paraId="549F0BE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14,414.43</w:t>
            </w:r>
          </w:p>
        </w:tc>
        <w:tc>
          <w:tcPr>
            <w:tcW w:w="705" w:type="pct"/>
            <w:shd w:val="clear" w:color="auto" w:fill="auto"/>
            <w:noWrap/>
            <w:vAlign w:val="bottom"/>
            <w:hideMark/>
          </w:tcPr>
          <w:p w14:paraId="7499AE4E"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15,536.54</w:t>
            </w:r>
          </w:p>
        </w:tc>
        <w:tc>
          <w:tcPr>
            <w:tcW w:w="705" w:type="pct"/>
            <w:shd w:val="clear" w:color="auto" w:fill="auto"/>
            <w:noWrap/>
            <w:vAlign w:val="bottom"/>
            <w:hideMark/>
          </w:tcPr>
          <w:p w14:paraId="46C0E86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46,813.94</w:t>
            </w:r>
          </w:p>
        </w:tc>
      </w:tr>
      <w:tr w:rsidR="00F356B2" w:rsidRPr="00F356B2" w14:paraId="194B0FFE" w14:textId="77777777" w:rsidTr="007876A1">
        <w:trPr>
          <w:trHeight w:val="280"/>
        </w:trPr>
        <w:tc>
          <w:tcPr>
            <w:tcW w:w="2885" w:type="pct"/>
            <w:shd w:val="clear" w:color="auto" w:fill="auto"/>
            <w:noWrap/>
            <w:vAlign w:val="bottom"/>
            <w:hideMark/>
          </w:tcPr>
          <w:p w14:paraId="4553C87E"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Key ratio</w:t>
            </w:r>
          </w:p>
        </w:tc>
        <w:tc>
          <w:tcPr>
            <w:tcW w:w="705" w:type="pct"/>
            <w:shd w:val="clear" w:color="auto" w:fill="auto"/>
            <w:noWrap/>
            <w:vAlign w:val="bottom"/>
            <w:hideMark/>
          </w:tcPr>
          <w:p w14:paraId="3A3F6184"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2C8CD354"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31941735"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62F07379" w14:textId="77777777" w:rsidTr="007876A1">
        <w:trPr>
          <w:trHeight w:val="280"/>
        </w:trPr>
        <w:tc>
          <w:tcPr>
            <w:tcW w:w="2885" w:type="pct"/>
            <w:shd w:val="clear" w:color="auto" w:fill="auto"/>
            <w:noWrap/>
            <w:vAlign w:val="bottom"/>
            <w:hideMark/>
          </w:tcPr>
          <w:p w14:paraId="6FB13E8A"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w:t>
            </w:r>
            <w:proofErr w:type="gramStart"/>
            <w:r w:rsidRPr="00F356B2">
              <w:rPr>
                <w:rFonts w:eastAsia="宋体"/>
                <w:color w:val="000000"/>
                <w:kern w:val="0"/>
                <w:sz w:val="18"/>
                <w:szCs w:val="18"/>
              </w:rPr>
              <w:t>ROE(</w:t>
            </w:r>
            <w:proofErr w:type="gramEnd"/>
            <w:r w:rsidRPr="00F356B2">
              <w:rPr>
                <w:rFonts w:eastAsia="宋体"/>
                <w:color w:val="000000"/>
                <w:kern w:val="0"/>
                <w:sz w:val="18"/>
                <w:szCs w:val="18"/>
              </w:rPr>
              <w:t>%)</w:t>
            </w:r>
          </w:p>
        </w:tc>
        <w:tc>
          <w:tcPr>
            <w:tcW w:w="705" w:type="pct"/>
            <w:shd w:val="clear" w:color="auto" w:fill="auto"/>
            <w:noWrap/>
            <w:vAlign w:val="bottom"/>
            <w:hideMark/>
          </w:tcPr>
          <w:p w14:paraId="7DB927F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16.95</w:t>
            </w:r>
          </w:p>
        </w:tc>
        <w:tc>
          <w:tcPr>
            <w:tcW w:w="705" w:type="pct"/>
            <w:shd w:val="clear" w:color="auto" w:fill="auto"/>
            <w:noWrap/>
            <w:vAlign w:val="bottom"/>
            <w:hideMark/>
          </w:tcPr>
          <w:p w14:paraId="433F4E6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11.38</w:t>
            </w:r>
          </w:p>
        </w:tc>
        <w:tc>
          <w:tcPr>
            <w:tcW w:w="705" w:type="pct"/>
            <w:shd w:val="clear" w:color="auto" w:fill="auto"/>
            <w:noWrap/>
            <w:vAlign w:val="bottom"/>
            <w:hideMark/>
          </w:tcPr>
          <w:p w14:paraId="6EAFA24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7.32</w:t>
            </w:r>
          </w:p>
        </w:tc>
      </w:tr>
      <w:tr w:rsidR="00F356B2" w:rsidRPr="00F356B2" w14:paraId="4A28EA9B" w14:textId="77777777" w:rsidTr="007876A1">
        <w:trPr>
          <w:trHeight w:val="280"/>
        </w:trPr>
        <w:tc>
          <w:tcPr>
            <w:tcW w:w="2885" w:type="pct"/>
            <w:shd w:val="clear" w:color="auto" w:fill="auto"/>
            <w:noWrap/>
            <w:vAlign w:val="bottom"/>
            <w:hideMark/>
          </w:tcPr>
          <w:p w14:paraId="3D8ADD79"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ROE (diluted (%)</w:t>
            </w:r>
          </w:p>
        </w:tc>
        <w:tc>
          <w:tcPr>
            <w:tcW w:w="705" w:type="pct"/>
            <w:shd w:val="clear" w:color="auto" w:fill="auto"/>
            <w:noWrap/>
            <w:vAlign w:val="bottom"/>
            <w:hideMark/>
          </w:tcPr>
          <w:p w14:paraId="135F2FB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15.75</w:t>
            </w:r>
          </w:p>
        </w:tc>
        <w:tc>
          <w:tcPr>
            <w:tcW w:w="705" w:type="pct"/>
            <w:shd w:val="clear" w:color="auto" w:fill="auto"/>
            <w:noWrap/>
            <w:vAlign w:val="bottom"/>
            <w:hideMark/>
          </w:tcPr>
          <w:p w14:paraId="45B75C1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10.80</w:t>
            </w:r>
          </w:p>
        </w:tc>
        <w:tc>
          <w:tcPr>
            <w:tcW w:w="705" w:type="pct"/>
            <w:shd w:val="clear" w:color="auto" w:fill="auto"/>
            <w:noWrap/>
            <w:vAlign w:val="bottom"/>
            <w:hideMark/>
          </w:tcPr>
          <w:p w14:paraId="2655F1C5"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7.42</w:t>
            </w:r>
          </w:p>
        </w:tc>
      </w:tr>
      <w:tr w:rsidR="00F356B2" w:rsidRPr="00F356B2" w14:paraId="5FF4EB88" w14:textId="77777777" w:rsidTr="007876A1">
        <w:trPr>
          <w:trHeight w:val="280"/>
        </w:trPr>
        <w:tc>
          <w:tcPr>
            <w:tcW w:w="2885" w:type="pct"/>
            <w:shd w:val="clear" w:color="auto" w:fill="auto"/>
            <w:noWrap/>
            <w:vAlign w:val="bottom"/>
            <w:hideMark/>
          </w:tcPr>
          <w:p w14:paraId="1EBD268F"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Non-post-deduction ROE (diluted (%)</w:t>
            </w:r>
          </w:p>
        </w:tc>
        <w:tc>
          <w:tcPr>
            <w:tcW w:w="705" w:type="pct"/>
            <w:shd w:val="clear" w:color="auto" w:fill="auto"/>
            <w:noWrap/>
            <w:vAlign w:val="bottom"/>
            <w:hideMark/>
          </w:tcPr>
          <w:p w14:paraId="597D052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16.95</w:t>
            </w:r>
          </w:p>
        </w:tc>
        <w:tc>
          <w:tcPr>
            <w:tcW w:w="705" w:type="pct"/>
            <w:shd w:val="clear" w:color="auto" w:fill="auto"/>
            <w:noWrap/>
            <w:vAlign w:val="bottom"/>
            <w:hideMark/>
          </w:tcPr>
          <w:p w14:paraId="2C3B94C4"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11.38</w:t>
            </w:r>
          </w:p>
        </w:tc>
        <w:tc>
          <w:tcPr>
            <w:tcW w:w="705" w:type="pct"/>
            <w:shd w:val="clear" w:color="auto" w:fill="auto"/>
            <w:noWrap/>
            <w:vAlign w:val="bottom"/>
            <w:hideMark/>
          </w:tcPr>
          <w:p w14:paraId="04C6F6C1"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7.32</w:t>
            </w:r>
          </w:p>
        </w:tc>
      </w:tr>
      <w:tr w:rsidR="00F356B2" w:rsidRPr="00F356B2" w14:paraId="28C2A159" w14:textId="77777777" w:rsidTr="007876A1">
        <w:trPr>
          <w:trHeight w:val="280"/>
        </w:trPr>
        <w:tc>
          <w:tcPr>
            <w:tcW w:w="2885" w:type="pct"/>
            <w:shd w:val="clear" w:color="auto" w:fill="auto"/>
            <w:noWrap/>
            <w:vAlign w:val="bottom"/>
            <w:hideMark/>
          </w:tcPr>
          <w:p w14:paraId="51FC9AB2"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w:t>
            </w:r>
            <w:proofErr w:type="gramStart"/>
            <w:r w:rsidRPr="00F356B2">
              <w:rPr>
                <w:rFonts w:eastAsia="宋体"/>
                <w:color w:val="000000"/>
                <w:kern w:val="0"/>
                <w:sz w:val="18"/>
                <w:szCs w:val="18"/>
              </w:rPr>
              <w:t>ROA(</w:t>
            </w:r>
            <w:proofErr w:type="gramEnd"/>
            <w:r w:rsidRPr="00F356B2">
              <w:rPr>
                <w:rFonts w:eastAsia="宋体"/>
                <w:color w:val="000000"/>
                <w:kern w:val="0"/>
                <w:sz w:val="18"/>
                <w:szCs w:val="18"/>
              </w:rPr>
              <w:t>%)</w:t>
            </w:r>
          </w:p>
        </w:tc>
        <w:tc>
          <w:tcPr>
            <w:tcW w:w="705" w:type="pct"/>
            <w:shd w:val="clear" w:color="auto" w:fill="auto"/>
            <w:noWrap/>
            <w:vAlign w:val="bottom"/>
            <w:hideMark/>
          </w:tcPr>
          <w:p w14:paraId="62C773C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10.77</w:t>
            </w:r>
          </w:p>
        </w:tc>
        <w:tc>
          <w:tcPr>
            <w:tcW w:w="705" w:type="pct"/>
            <w:shd w:val="clear" w:color="auto" w:fill="auto"/>
            <w:noWrap/>
            <w:vAlign w:val="bottom"/>
            <w:hideMark/>
          </w:tcPr>
          <w:p w14:paraId="18B1A6A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7.10</w:t>
            </w:r>
          </w:p>
        </w:tc>
        <w:tc>
          <w:tcPr>
            <w:tcW w:w="705" w:type="pct"/>
            <w:shd w:val="clear" w:color="auto" w:fill="auto"/>
            <w:noWrap/>
            <w:vAlign w:val="bottom"/>
            <w:hideMark/>
          </w:tcPr>
          <w:p w14:paraId="7254580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4.99</w:t>
            </w:r>
          </w:p>
        </w:tc>
      </w:tr>
      <w:tr w:rsidR="00F356B2" w:rsidRPr="00F356B2" w14:paraId="66C7AFCF" w14:textId="77777777" w:rsidTr="007876A1">
        <w:trPr>
          <w:trHeight w:val="280"/>
        </w:trPr>
        <w:tc>
          <w:tcPr>
            <w:tcW w:w="2885" w:type="pct"/>
            <w:shd w:val="clear" w:color="auto" w:fill="auto"/>
            <w:noWrap/>
            <w:vAlign w:val="bottom"/>
            <w:hideMark/>
          </w:tcPr>
          <w:p w14:paraId="4DB496D8"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w:t>
            </w:r>
            <w:proofErr w:type="gramStart"/>
            <w:r w:rsidRPr="00F356B2">
              <w:rPr>
                <w:rFonts w:eastAsia="宋体"/>
                <w:color w:val="000000"/>
                <w:kern w:val="0"/>
                <w:sz w:val="18"/>
                <w:szCs w:val="18"/>
              </w:rPr>
              <w:t>ROIC(</w:t>
            </w:r>
            <w:proofErr w:type="gramEnd"/>
            <w:r w:rsidRPr="00F356B2">
              <w:rPr>
                <w:rFonts w:eastAsia="宋体"/>
                <w:color w:val="000000"/>
                <w:kern w:val="0"/>
                <w:sz w:val="18"/>
                <w:szCs w:val="18"/>
              </w:rPr>
              <w:t>%)</w:t>
            </w:r>
          </w:p>
        </w:tc>
        <w:tc>
          <w:tcPr>
            <w:tcW w:w="705" w:type="pct"/>
            <w:shd w:val="clear" w:color="auto" w:fill="auto"/>
            <w:noWrap/>
            <w:vAlign w:val="bottom"/>
            <w:hideMark/>
          </w:tcPr>
          <w:p w14:paraId="240BA93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13.87</w:t>
            </w:r>
          </w:p>
        </w:tc>
        <w:tc>
          <w:tcPr>
            <w:tcW w:w="705" w:type="pct"/>
            <w:shd w:val="clear" w:color="auto" w:fill="auto"/>
            <w:noWrap/>
            <w:vAlign w:val="bottom"/>
            <w:hideMark/>
          </w:tcPr>
          <w:p w14:paraId="6E66BD0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9.49</w:t>
            </w:r>
          </w:p>
        </w:tc>
        <w:tc>
          <w:tcPr>
            <w:tcW w:w="705" w:type="pct"/>
            <w:shd w:val="clear" w:color="auto" w:fill="auto"/>
            <w:noWrap/>
            <w:vAlign w:val="bottom"/>
            <w:hideMark/>
          </w:tcPr>
          <w:p w14:paraId="766DA10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6.97</w:t>
            </w:r>
          </w:p>
        </w:tc>
      </w:tr>
      <w:tr w:rsidR="00F356B2" w:rsidRPr="00F356B2" w14:paraId="5D9E5AAB" w14:textId="77777777" w:rsidTr="007876A1">
        <w:trPr>
          <w:trHeight w:val="280"/>
        </w:trPr>
        <w:tc>
          <w:tcPr>
            <w:tcW w:w="2885" w:type="pct"/>
            <w:shd w:val="clear" w:color="auto" w:fill="auto"/>
            <w:noWrap/>
            <w:vAlign w:val="bottom"/>
            <w:hideMark/>
          </w:tcPr>
          <w:p w14:paraId="15B07470"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Sales Gross </w:t>
            </w:r>
            <w:proofErr w:type="gramStart"/>
            <w:r w:rsidRPr="00F356B2">
              <w:rPr>
                <w:rFonts w:eastAsia="宋体"/>
                <w:color w:val="000000"/>
                <w:kern w:val="0"/>
                <w:sz w:val="18"/>
                <w:szCs w:val="18"/>
              </w:rPr>
              <w:t>Margin(</w:t>
            </w:r>
            <w:proofErr w:type="gramEnd"/>
            <w:r w:rsidRPr="00F356B2">
              <w:rPr>
                <w:rFonts w:eastAsia="宋体"/>
                <w:color w:val="000000"/>
                <w:kern w:val="0"/>
                <w:sz w:val="18"/>
                <w:szCs w:val="18"/>
              </w:rPr>
              <w:t>%)</w:t>
            </w:r>
          </w:p>
        </w:tc>
        <w:tc>
          <w:tcPr>
            <w:tcW w:w="705" w:type="pct"/>
            <w:shd w:val="clear" w:color="auto" w:fill="auto"/>
            <w:noWrap/>
            <w:vAlign w:val="bottom"/>
            <w:hideMark/>
          </w:tcPr>
          <w:p w14:paraId="2D6FB72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45.02</w:t>
            </w:r>
          </w:p>
        </w:tc>
        <w:tc>
          <w:tcPr>
            <w:tcW w:w="705" w:type="pct"/>
            <w:shd w:val="clear" w:color="auto" w:fill="auto"/>
            <w:noWrap/>
            <w:vAlign w:val="bottom"/>
            <w:hideMark/>
          </w:tcPr>
          <w:p w14:paraId="31D2B53A"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41.61</w:t>
            </w:r>
          </w:p>
        </w:tc>
        <w:tc>
          <w:tcPr>
            <w:tcW w:w="705" w:type="pct"/>
            <w:shd w:val="clear" w:color="auto" w:fill="auto"/>
            <w:noWrap/>
            <w:vAlign w:val="bottom"/>
            <w:hideMark/>
          </w:tcPr>
          <w:p w14:paraId="7B7F4C4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37.96</w:t>
            </w:r>
          </w:p>
        </w:tc>
      </w:tr>
      <w:tr w:rsidR="00F356B2" w:rsidRPr="00F356B2" w14:paraId="33045A24" w14:textId="77777777" w:rsidTr="007876A1">
        <w:trPr>
          <w:trHeight w:val="280"/>
        </w:trPr>
        <w:tc>
          <w:tcPr>
            <w:tcW w:w="2885" w:type="pct"/>
            <w:shd w:val="clear" w:color="auto" w:fill="auto"/>
            <w:noWrap/>
            <w:vAlign w:val="bottom"/>
            <w:hideMark/>
          </w:tcPr>
          <w:p w14:paraId="1F093D59"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Net profit margin on sales (%)</w:t>
            </w:r>
          </w:p>
        </w:tc>
        <w:tc>
          <w:tcPr>
            <w:tcW w:w="705" w:type="pct"/>
            <w:shd w:val="clear" w:color="auto" w:fill="auto"/>
            <w:noWrap/>
            <w:vAlign w:val="bottom"/>
            <w:hideMark/>
          </w:tcPr>
          <w:p w14:paraId="4083300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18.30</w:t>
            </w:r>
          </w:p>
        </w:tc>
        <w:tc>
          <w:tcPr>
            <w:tcW w:w="705" w:type="pct"/>
            <w:shd w:val="clear" w:color="auto" w:fill="auto"/>
            <w:noWrap/>
            <w:vAlign w:val="bottom"/>
            <w:hideMark/>
          </w:tcPr>
          <w:p w14:paraId="03D6A5A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11.84</w:t>
            </w:r>
          </w:p>
        </w:tc>
        <w:tc>
          <w:tcPr>
            <w:tcW w:w="705" w:type="pct"/>
            <w:shd w:val="clear" w:color="auto" w:fill="auto"/>
            <w:noWrap/>
            <w:vAlign w:val="bottom"/>
            <w:hideMark/>
          </w:tcPr>
          <w:p w14:paraId="5C9DF67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7.57</w:t>
            </w:r>
          </w:p>
        </w:tc>
      </w:tr>
      <w:tr w:rsidR="00F356B2" w:rsidRPr="00F356B2" w14:paraId="68F62A16" w14:textId="77777777" w:rsidTr="007876A1">
        <w:trPr>
          <w:trHeight w:val="280"/>
        </w:trPr>
        <w:tc>
          <w:tcPr>
            <w:tcW w:w="2885" w:type="pct"/>
            <w:shd w:val="clear" w:color="auto" w:fill="auto"/>
            <w:noWrap/>
            <w:vAlign w:val="bottom"/>
            <w:hideMark/>
          </w:tcPr>
          <w:p w14:paraId="4902F20A"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EBIT </w:t>
            </w:r>
            <w:proofErr w:type="gramStart"/>
            <w:r w:rsidRPr="00F356B2">
              <w:rPr>
                <w:rFonts w:eastAsia="宋体"/>
                <w:color w:val="000000"/>
                <w:kern w:val="0"/>
                <w:sz w:val="18"/>
                <w:szCs w:val="18"/>
              </w:rPr>
              <w:t>Margin(</w:t>
            </w:r>
            <w:proofErr w:type="gramEnd"/>
            <w:r w:rsidRPr="00F356B2">
              <w:rPr>
                <w:rFonts w:eastAsia="宋体"/>
                <w:color w:val="000000"/>
                <w:kern w:val="0"/>
                <w:sz w:val="18"/>
                <w:szCs w:val="18"/>
              </w:rPr>
              <w:t>%)</w:t>
            </w:r>
          </w:p>
        </w:tc>
        <w:tc>
          <w:tcPr>
            <w:tcW w:w="705" w:type="pct"/>
            <w:shd w:val="clear" w:color="auto" w:fill="auto"/>
            <w:noWrap/>
            <w:vAlign w:val="bottom"/>
            <w:hideMark/>
          </w:tcPr>
          <w:p w14:paraId="110C571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24.88</w:t>
            </w:r>
          </w:p>
        </w:tc>
        <w:tc>
          <w:tcPr>
            <w:tcW w:w="705" w:type="pct"/>
            <w:shd w:val="clear" w:color="auto" w:fill="auto"/>
            <w:noWrap/>
            <w:vAlign w:val="bottom"/>
            <w:hideMark/>
          </w:tcPr>
          <w:p w14:paraId="217668B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13.43</w:t>
            </w:r>
          </w:p>
        </w:tc>
        <w:tc>
          <w:tcPr>
            <w:tcW w:w="705" w:type="pct"/>
            <w:shd w:val="clear" w:color="auto" w:fill="auto"/>
            <w:noWrap/>
            <w:vAlign w:val="bottom"/>
            <w:hideMark/>
          </w:tcPr>
          <w:p w14:paraId="569D3B3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11.78</w:t>
            </w:r>
          </w:p>
        </w:tc>
      </w:tr>
      <w:tr w:rsidR="00F356B2" w:rsidRPr="00F356B2" w14:paraId="0AD37A8E" w14:textId="77777777" w:rsidTr="007876A1">
        <w:trPr>
          <w:trHeight w:val="280"/>
        </w:trPr>
        <w:tc>
          <w:tcPr>
            <w:tcW w:w="2885" w:type="pct"/>
            <w:shd w:val="clear" w:color="auto" w:fill="auto"/>
            <w:noWrap/>
            <w:vAlign w:val="bottom"/>
            <w:hideMark/>
          </w:tcPr>
          <w:p w14:paraId="46B97E29"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EBITDA </w:t>
            </w:r>
            <w:proofErr w:type="gramStart"/>
            <w:r w:rsidRPr="00F356B2">
              <w:rPr>
                <w:rFonts w:eastAsia="宋体"/>
                <w:color w:val="000000"/>
                <w:kern w:val="0"/>
                <w:sz w:val="18"/>
                <w:szCs w:val="18"/>
              </w:rPr>
              <w:t>Margin(</w:t>
            </w:r>
            <w:proofErr w:type="gramEnd"/>
            <w:r w:rsidRPr="00F356B2">
              <w:rPr>
                <w:rFonts w:eastAsia="宋体"/>
                <w:color w:val="000000"/>
                <w:kern w:val="0"/>
                <w:sz w:val="18"/>
                <w:szCs w:val="18"/>
              </w:rPr>
              <w:t>%)</w:t>
            </w:r>
          </w:p>
        </w:tc>
        <w:tc>
          <w:tcPr>
            <w:tcW w:w="705" w:type="pct"/>
            <w:shd w:val="clear" w:color="auto" w:fill="auto"/>
            <w:noWrap/>
            <w:vAlign w:val="bottom"/>
            <w:hideMark/>
          </w:tcPr>
          <w:p w14:paraId="5529C18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30.87</w:t>
            </w:r>
          </w:p>
        </w:tc>
        <w:tc>
          <w:tcPr>
            <w:tcW w:w="705" w:type="pct"/>
            <w:shd w:val="clear" w:color="auto" w:fill="auto"/>
            <w:noWrap/>
            <w:vAlign w:val="bottom"/>
            <w:hideMark/>
          </w:tcPr>
          <w:p w14:paraId="3DF1978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20.46</w:t>
            </w:r>
          </w:p>
        </w:tc>
        <w:tc>
          <w:tcPr>
            <w:tcW w:w="705" w:type="pct"/>
            <w:shd w:val="clear" w:color="auto" w:fill="auto"/>
            <w:noWrap/>
            <w:vAlign w:val="bottom"/>
            <w:hideMark/>
          </w:tcPr>
          <w:p w14:paraId="784F072E"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21.89</w:t>
            </w:r>
          </w:p>
        </w:tc>
      </w:tr>
      <w:tr w:rsidR="00F356B2" w:rsidRPr="00F356B2" w14:paraId="53B05CB8" w14:textId="77777777" w:rsidTr="007876A1">
        <w:trPr>
          <w:trHeight w:val="280"/>
        </w:trPr>
        <w:tc>
          <w:tcPr>
            <w:tcW w:w="2885" w:type="pct"/>
            <w:shd w:val="clear" w:color="auto" w:fill="auto"/>
            <w:noWrap/>
            <w:vAlign w:val="bottom"/>
            <w:hideMark/>
          </w:tcPr>
          <w:p w14:paraId="6E116363"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Gearing </w:t>
            </w:r>
            <w:proofErr w:type="gramStart"/>
            <w:r w:rsidRPr="00F356B2">
              <w:rPr>
                <w:rFonts w:eastAsia="宋体"/>
                <w:color w:val="000000"/>
                <w:kern w:val="0"/>
                <w:sz w:val="18"/>
                <w:szCs w:val="18"/>
              </w:rPr>
              <w:t>ratio(</w:t>
            </w:r>
            <w:proofErr w:type="gramEnd"/>
            <w:r w:rsidRPr="00F356B2">
              <w:rPr>
                <w:rFonts w:eastAsia="宋体"/>
                <w:color w:val="000000"/>
                <w:kern w:val="0"/>
                <w:sz w:val="18"/>
                <w:szCs w:val="18"/>
              </w:rPr>
              <w:t>%)</w:t>
            </w:r>
          </w:p>
        </w:tc>
        <w:tc>
          <w:tcPr>
            <w:tcW w:w="705" w:type="pct"/>
            <w:shd w:val="clear" w:color="auto" w:fill="auto"/>
            <w:noWrap/>
            <w:vAlign w:val="bottom"/>
            <w:hideMark/>
          </w:tcPr>
          <w:p w14:paraId="2C1EC9F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34.15</w:t>
            </w:r>
          </w:p>
        </w:tc>
        <w:tc>
          <w:tcPr>
            <w:tcW w:w="705" w:type="pct"/>
            <w:shd w:val="clear" w:color="auto" w:fill="auto"/>
            <w:noWrap/>
            <w:vAlign w:val="bottom"/>
            <w:hideMark/>
          </w:tcPr>
          <w:p w14:paraId="343621D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38.74</w:t>
            </w:r>
          </w:p>
        </w:tc>
        <w:tc>
          <w:tcPr>
            <w:tcW w:w="705" w:type="pct"/>
            <w:shd w:val="clear" w:color="auto" w:fill="auto"/>
            <w:noWrap/>
            <w:vAlign w:val="bottom"/>
            <w:hideMark/>
          </w:tcPr>
          <w:p w14:paraId="1BBD995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35.83</w:t>
            </w:r>
          </w:p>
        </w:tc>
      </w:tr>
      <w:tr w:rsidR="00F356B2" w:rsidRPr="00F356B2" w14:paraId="1BDE7B2A" w14:textId="77777777" w:rsidTr="007876A1">
        <w:trPr>
          <w:trHeight w:val="280"/>
        </w:trPr>
        <w:tc>
          <w:tcPr>
            <w:tcW w:w="2885" w:type="pct"/>
            <w:shd w:val="clear" w:color="auto" w:fill="auto"/>
            <w:noWrap/>
            <w:vAlign w:val="bottom"/>
            <w:hideMark/>
          </w:tcPr>
          <w:p w14:paraId="2FE1EEF0"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Asset turnover ratio (times)</w:t>
            </w:r>
          </w:p>
        </w:tc>
        <w:tc>
          <w:tcPr>
            <w:tcW w:w="705" w:type="pct"/>
            <w:shd w:val="clear" w:color="auto" w:fill="auto"/>
            <w:noWrap/>
            <w:vAlign w:val="bottom"/>
            <w:hideMark/>
          </w:tcPr>
          <w:p w14:paraId="09983CD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0.59</w:t>
            </w:r>
          </w:p>
        </w:tc>
        <w:tc>
          <w:tcPr>
            <w:tcW w:w="705" w:type="pct"/>
            <w:shd w:val="clear" w:color="auto" w:fill="auto"/>
            <w:noWrap/>
            <w:vAlign w:val="bottom"/>
            <w:hideMark/>
          </w:tcPr>
          <w:p w14:paraId="3062BACE"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0.60</w:t>
            </w:r>
          </w:p>
        </w:tc>
        <w:tc>
          <w:tcPr>
            <w:tcW w:w="705" w:type="pct"/>
            <w:shd w:val="clear" w:color="auto" w:fill="auto"/>
            <w:noWrap/>
            <w:vAlign w:val="bottom"/>
            <w:hideMark/>
          </w:tcPr>
          <w:p w14:paraId="56A53B3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0.66</w:t>
            </w:r>
          </w:p>
        </w:tc>
      </w:tr>
      <w:tr w:rsidR="00F356B2" w:rsidRPr="00F356B2" w14:paraId="0BD24353" w14:textId="77777777" w:rsidTr="007876A1">
        <w:trPr>
          <w:trHeight w:val="280"/>
        </w:trPr>
        <w:tc>
          <w:tcPr>
            <w:tcW w:w="2885" w:type="pct"/>
            <w:shd w:val="clear" w:color="auto" w:fill="auto"/>
            <w:noWrap/>
            <w:vAlign w:val="bottom"/>
            <w:hideMark/>
          </w:tcPr>
          <w:p w14:paraId="4127B23B"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Per-share indicator</w:t>
            </w:r>
          </w:p>
        </w:tc>
        <w:tc>
          <w:tcPr>
            <w:tcW w:w="705" w:type="pct"/>
            <w:shd w:val="clear" w:color="auto" w:fill="auto"/>
            <w:noWrap/>
            <w:vAlign w:val="bottom"/>
            <w:hideMark/>
          </w:tcPr>
          <w:p w14:paraId="2AED4F36"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6D0492EC"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63854C70"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153DB601" w14:textId="77777777" w:rsidTr="007876A1">
        <w:trPr>
          <w:trHeight w:val="280"/>
        </w:trPr>
        <w:tc>
          <w:tcPr>
            <w:tcW w:w="2885" w:type="pct"/>
            <w:shd w:val="clear" w:color="auto" w:fill="auto"/>
            <w:noWrap/>
            <w:vAlign w:val="bottom"/>
            <w:hideMark/>
          </w:tcPr>
          <w:p w14:paraId="1C6D8A71"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EPS (dilution)</w:t>
            </w:r>
          </w:p>
        </w:tc>
        <w:tc>
          <w:tcPr>
            <w:tcW w:w="705" w:type="pct"/>
            <w:shd w:val="clear" w:color="auto" w:fill="auto"/>
            <w:noWrap/>
            <w:vAlign w:val="bottom"/>
            <w:hideMark/>
          </w:tcPr>
          <w:p w14:paraId="3164C8E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2.52</w:t>
            </w:r>
          </w:p>
        </w:tc>
        <w:tc>
          <w:tcPr>
            <w:tcW w:w="705" w:type="pct"/>
            <w:shd w:val="clear" w:color="auto" w:fill="auto"/>
            <w:noWrap/>
            <w:vAlign w:val="bottom"/>
            <w:hideMark/>
          </w:tcPr>
          <w:p w14:paraId="027AF93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1.57</w:t>
            </w:r>
          </w:p>
        </w:tc>
        <w:tc>
          <w:tcPr>
            <w:tcW w:w="705" w:type="pct"/>
            <w:shd w:val="clear" w:color="auto" w:fill="auto"/>
            <w:noWrap/>
            <w:vAlign w:val="bottom"/>
            <w:hideMark/>
          </w:tcPr>
          <w:p w14:paraId="42B7838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1.09</w:t>
            </w:r>
          </w:p>
        </w:tc>
      </w:tr>
      <w:tr w:rsidR="00F356B2" w:rsidRPr="00F356B2" w14:paraId="166005C7" w14:textId="77777777" w:rsidTr="007876A1">
        <w:trPr>
          <w:trHeight w:val="280"/>
        </w:trPr>
        <w:tc>
          <w:tcPr>
            <w:tcW w:w="2885" w:type="pct"/>
            <w:shd w:val="clear" w:color="auto" w:fill="auto"/>
            <w:noWrap/>
            <w:vAlign w:val="bottom"/>
            <w:hideMark/>
          </w:tcPr>
          <w:p w14:paraId="7B7BF450"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EPS (Basic)</w:t>
            </w:r>
          </w:p>
        </w:tc>
        <w:tc>
          <w:tcPr>
            <w:tcW w:w="705" w:type="pct"/>
            <w:shd w:val="clear" w:color="auto" w:fill="auto"/>
            <w:noWrap/>
            <w:vAlign w:val="bottom"/>
            <w:hideMark/>
          </w:tcPr>
          <w:p w14:paraId="5D58AAD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2.56</w:t>
            </w:r>
          </w:p>
        </w:tc>
        <w:tc>
          <w:tcPr>
            <w:tcW w:w="705" w:type="pct"/>
            <w:shd w:val="clear" w:color="auto" w:fill="auto"/>
            <w:noWrap/>
            <w:vAlign w:val="bottom"/>
            <w:hideMark/>
          </w:tcPr>
          <w:p w14:paraId="2D9F6EE6"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1.60</w:t>
            </w:r>
          </w:p>
        </w:tc>
        <w:tc>
          <w:tcPr>
            <w:tcW w:w="705" w:type="pct"/>
            <w:shd w:val="clear" w:color="auto" w:fill="auto"/>
            <w:noWrap/>
            <w:vAlign w:val="bottom"/>
            <w:hideMark/>
          </w:tcPr>
          <w:p w14:paraId="586E3124"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1.10</w:t>
            </w:r>
          </w:p>
        </w:tc>
      </w:tr>
      <w:tr w:rsidR="00F356B2" w:rsidRPr="00F356B2" w14:paraId="1F496D00" w14:textId="77777777" w:rsidTr="007876A1">
        <w:trPr>
          <w:trHeight w:val="280"/>
        </w:trPr>
        <w:tc>
          <w:tcPr>
            <w:tcW w:w="2885" w:type="pct"/>
            <w:shd w:val="clear" w:color="auto" w:fill="auto"/>
            <w:noWrap/>
            <w:vAlign w:val="bottom"/>
            <w:hideMark/>
          </w:tcPr>
          <w:p w14:paraId="7CCA52A5"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Net assets per share BPS</w:t>
            </w:r>
          </w:p>
        </w:tc>
        <w:tc>
          <w:tcPr>
            <w:tcW w:w="705" w:type="pct"/>
            <w:shd w:val="clear" w:color="auto" w:fill="auto"/>
            <w:noWrap/>
            <w:vAlign w:val="bottom"/>
            <w:hideMark/>
          </w:tcPr>
          <w:p w14:paraId="78D17C5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15.12</w:t>
            </w:r>
          </w:p>
        </w:tc>
        <w:tc>
          <w:tcPr>
            <w:tcW w:w="705" w:type="pct"/>
            <w:shd w:val="clear" w:color="auto" w:fill="auto"/>
            <w:noWrap/>
            <w:vAlign w:val="bottom"/>
            <w:hideMark/>
          </w:tcPr>
          <w:p w14:paraId="179C5EA4"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13.73</w:t>
            </w:r>
          </w:p>
        </w:tc>
        <w:tc>
          <w:tcPr>
            <w:tcW w:w="705" w:type="pct"/>
            <w:shd w:val="clear" w:color="auto" w:fill="auto"/>
            <w:noWrap/>
            <w:vAlign w:val="bottom"/>
            <w:hideMark/>
          </w:tcPr>
          <w:p w14:paraId="64E77A3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13.98</w:t>
            </w:r>
          </w:p>
        </w:tc>
      </w:tr>
      <w:tr w:rsidR="00F356B2" w:rsidRPr="00F356B2" w14:paraId="7D9509AA" w14:textId="77777777" w:rsidTr="007876A1">
        <w:trPr>
          <w:trHeight w:val="280"/>
        </w:trPr>
        <w:tc>
          <w:tcPr>
            <w:tcW w:w="2885" w:type="pct"/>
            <w:shd w:val="clear" w:color="auto" w:fill="auto"/>
            <w:noWrap/>
            <w:vAlign w:val="bottom"/>
            <w:hideMark/>
          </w:tcPr>
          <w:p w14:paraId="5EE74F9F"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Operating cash flow per share OCFPS</w:t>
            </w:r>
          </w:p>
        </w:tc>
        <w:tc>
          <w:tcPr>
            <w:tcW w:w="705" w:type="pct"/>
            <w:shd w:val="clear" w:color="auto" w:fill="auto"/>
            <w:noWrap/>
            <w:vAlign w:val="bottom"/>
            <w:hideMark/>
          </w:tcPr>
          <w:p w14:paraId="6AE6708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4.19</w:t>
            </w:r>
          </w:p>
        </w:tc>
        <w:tc>
          <w:tcPr>
            <w:tcW w:w="705" w:type="pct"/>
            <w:shd w:val="clear" w:color="auto" w:fill="auto"/>
            <w:noWrap/>
            <w:vAlign w:val="bottom"/>
            <w:hideMark/>
          </w:tcPr>
          <w:p w14:paraId="25790A1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3.21</w:t>
            </w:r>
          </w:p>
        </w:tc>
        <w:tc>
          <w:tcPr>
            <w:tcW w:w="705" w:type="pct"/>
            <w:shd w:val="clear" w:color="auto" w:fill="auto"/>
            <w:noWrap/>
            <w:vAlign w:val="bottom"/>
            <w:hideMark/>
          </w:tcPr>
          <w:p w14:paraId="2F84329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2.67</w:t>
            </w:r>
          </w:p>
        </w:tc>
      </w:tr>
      <w:tr w:rsidR="00F356B2" w:rsidRPr="00F356B2" w14:paraId="09A5B893" w14:textId="77777777" w:rsidTr="007876A1">
        <w:trPr>
          <w:trHeight w:val="280"/>
        </w:trPr>
        <w:tc>
          <w:tcPr>
            <w:tcW w:w="2885" w:type="pct"/>
            <w:shd w:val="clear" w:color="auto" w:fill="auto"/>
            <w:noWrap/>
            <w:vAlign w:val="bottom"/>
            <w:hideMark/>
          </w:tcPr>
          <w:p w14:paraId="59A0BDE9"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lastRenderedPageBreak/>
              <w:t xml:space="preserve">            Net cash flow CFPS per share</w:t>
            </w:r>
          </w:p>
        </w:tc>
        <w:tc>
          <w:tcPr>
            <w:tcW w:w="705" w:type="pct"/>
            <w:shd w:val="clear" w:color="auto" w:fill="auto"/>
            <w:noWrap/>
            <w:vAlign w:val="bottom"/>
            <w:hideMark/>
          </w:tcPr>
          <w:p w14:paraId="06A276EE"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2.10</w:t>
            </w:r>
          </w:p>
        </w:tc>
        <w:tc>
          <w:tcPr>
            <w:tcW w:w="705" w:type="pct"/>
            <w:shd w:val="clear" w:color="auto" w:fill="auto"/>
            <w:noWrap/>
            <w:vAlign w:val="bottom"/>
            <w:hideMark/>
          </w:tcPr>
          <w:p w14:paraId="21B92F6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3.26</w:t>
            </w:r>
          </w:p>
        </w:tc>
        <w:tc>
          <w:tcPr>
            <w:tcW w:w="705" w:type="pct"/>
            <w:shd w:val="clear" w:color="auto" w:fill="auto"/>
            <w:noWrap/>
            <w:vAlign w:val="bottom"/>
            <w:hideMark/>
          </w:tcPr>
          <w:p w14:paraId="585D2D75"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-1.45</w:t>
            </w:r>
          </w:p>
        </w:tc>
      </w:tr>
      <w:tr w:rsidR="00F356B2" w:rsidRPr="00F356B2" w14:paraId="386759F0" w14:textId="77777777" w:rsidTr="007876A1">
        <w:trPr>
          <w:trHeight w:val="280"/>
        </w:trPr>
        <w:tc>
          <w:tcPr>
            <w:tcW w:w="2885" w:type="pct"/>
            <w:shd w:val="clear" w:color="auto" w:fill="auto"/>
            <w:noWrap/>
            <w:vAlign w:val="bottom"/>
            <w:hideMark/>
          </w:tcPr>
          <w:p w14:paraId="35A6956D"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P/E(TTM)</w:t>
            </w:r>
          </w:p>
        </w:tc>
        <w:tc>
          <w:tcPr>
            <w:tcW w:w="705" w:type="pct"/>
            <w:shd w:val="clear" w:color="auto" w:fill="auto"/>
            <w:noWrap/>
            <w:vAlign w:val="bottom"/>
            <w:hideMark/>
          </w:tcPr>
          <w:p w14:paraId="52BF4F03"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10470CD2"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10C388E4"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0A8C3699" w14:textId="77777777" w:rsidTr="007876A1">
        <w:trPr>
          <w:trHeight w:val="280"/>
        </w:trPr>
        <w:tc>
          <w:tcPr>
            <w:tcW w:w="2885" w:type="pct"/>
            <w:shd w:val="clear" w:color="auto" w:fill="auto"/>
            <w:noWrap/>
            <w:vAlign w:val="bottom"/>
            <w:hideMark/>
          </w:tcPr>
          <w:p w14:paraId="6FF20E1F"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P/E(LYR)</w:t>
            </w:r>
          </w:p>
        </w:tc>
        <w:tc>
          <w:tcPr>
            <w:tcW w:w="705" w:type="pct"/>
            <w:shd w:val="clear" w:color="auto" w:fill="auto"/>
            <w:noWrap/>
            <w:vAlign w:val="bottom"/>
            <w:hideMark/>
          </w:tcPr>
          <w:p w14:paraId="3414B57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34.47</w:t>
            </w:r>
          </w:p>
        </w:tc>
        <w:tc>
          <w:tcPr>
            <w:tcW w:w="705" w:type="pct"/>
            <w:shd w:val="clear" w:color="auto" w:fill="auto"/>
            <w:noWrap/>
            <w:vAlign w:val="bottom"/>
            <w:hideMark/>
          </w:tcPr>
          <w:p w14:paraId="1982A05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47.54</w:t>
            </w:r>
          </w:p>
        </w:tc>
        <w:tc>
          <w:tcPr>
            <w:tcW w:w="705" w:type="pct"/>
            <w:shd w:val="clear" w:color="auto" w:fill="auto"/>
            <w:noWrap/>
            <w:vAlign w:val="bottom"/>
            <w:hideMark/>
          </w:tcPr>
          <w:p w14:paraId="434D60ED"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15.59</w:t>
            </w:r>
          </w:p>
        </w:tc>
      </w:tr>
      <w:tr w:rsidR="00F356B2" w:rsidRPr="00F356B2" w14:paraId="70A7EF5C" w14:textId="77777777" w:rsidTr="007876A1">
        <w:trPr>
          <w:trHeight w:val="280"/>
        </w:trPr>
        <w:tc>
          <w:tcPr>
            <w:tcW w:w="2885" w:type="pct"/>
            <w:shd w:val="clear" w:color="auto" w:fill="auto"/>
            <w:noWrap/>
            <w:vAlign w:val="bottom"/>
            <w:hideMark/>
          </w:tcPr>
          <w:p w14:paraId="40173E89"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P/B(MRQ)</w:t>
            </w:r>
          </w:p>
        </w:tc>
        <w:tc>
          <w:tcPr>
            <w:tcW w:w="705" w:type="pct"/>
            <w:shd w:val="clear" w:color="auto" w:fill="auto"/>
            <w:noWrap/>
            <w:vAlign w:val="bottom"/>
            <w:hideMark/>
          </w:tcPr>
          <w:p w14:paraId="56C6D506"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3.72</w:t>
            </w:r>
          </w:p>
        </w:tc>
        <w:tc>
          <w:tcPr>
            <w:tcW w:w="705" w:type="pct"/>
            <w:shd w:val="clear" w:color="auto" w:fill="auto"/>
            <w:noWrap/>
            <w:vAlign w:val="bottom"/>
            <w:hideMark/>
          </w:tcPr>
          <w:p w14:paraId="24E73D6B"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3.53</w:t>
            </w:r>
          </w:p>
        </w:tc>
        <w:tc>
          <w:tcPr>
            <w:tcW w:w="705" w:type="pct"/>
            <w:shd w:val="clear" w:color="auto" w:fill="auto"/>
            <w:noWrap/>
            <w:vAlign w:val="bottom"/>
            <w:hideMark/>
          </w:tcPr>
          <w:p w14:paraId="562BFD7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1.87</w:t>
            </w:r>
          </w:p>
        </w:tc>
      </w:tr>
      <w:tr w:rsidR="00F356B2" w:rsidRPr="00F356B2" w14:paraId="155E29C5" w14:textId="77777777" w:rsidTr="007876A1">
        <w:trPr>
          <w:trHeight w:val="280"/>
        </w:trPr>
        <w:tc>
          <w:tcPr>
            <w:tcW w:w="2885" w:type="pct"/>
            <w:shd w:val="clear" w:color="auto" w:fill="auto"/>
            <w:noWrap/>
            <w:vAlign w:val="bottom"/>
            <w:hideMark/>
          </w:tcPr>
          <w:p w14:paraId="7596858B"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P/S(TTM)</w:t>
            </w:r>
          </w:p>
        </w:tc>
        <w:tc>
          <w:tcPr>
            <w:tcW w:w="705" w:type="pct"/>
            <w:shd w:val="clear" w:color="auto" w:fill="auto"/>
            <w:noWrap/>
            <w:vAlign w:val="bottom"/>
            <w:hideMark/>
          </w:tcPr>
          <w:p w14:paraId="2A8E1FB5"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4.08</w:t>
            </w:r>
          </w:p>
        </w:tc>
        <w:tc>
          <w:tcPr>
            <w:tcW w:w="705" w:type="pct"/>
            <w:shd w:val="clear" w:color="auto" w:fill="auto"/>
            <w:noWrap/>
            <w:vAlign w:val="bottom"/>
            <w:hideMark/>
          </w:tcPr>
          <w:p w14:paraId="2963201F"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3.60</w:t>
            </w:r>
          </w:p>
        </w:tc>
        <w:tc>
          <w:tcPr>
            <w:tcW w:w="705" w:type="pct"/>
            <w:shd w:val="clear" w:color="auto" w:fill="auto"/>
            <w:noWrap/>
            <w:vAlign w:val="bottom"/>
            <w:hideMark/>
          </w:tcPr>
          <w:p w14:paraId="5AD41608"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1.99</w:t>
            </w:r>
          </w:p>
        </w:tc>
      </w:tr>
      <w:tr w:rsidR="00F356B2" w:rsidRPr="00F356B2" w14:paraId="17825F19" w14:textId="77777777" w:rsidTr="007876A1">
        <w:trPr>
          <w:trHeight w:val="280"/>
        </w:trPr>
        <w:tc>
          <w:tcPr>
            <w:tcW w:w="2885" w:type="pct"/>
            <w:shd w:val="clear" w:color="auto" w:fill="auto"/>
            <w:noWrap/>
            <w:vAlign w:val="bottom"/>
            <w:hideMark/>
          </w:tcPr>
          <w:p w14:paraId="58751D84"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other</w:t>
            </w:r>
          </w:p>
        </w:tc>
        <w:tc>
          <w:tcPr>
            <w:tcW w:w="705" w:type="pct"/>
            <w:shd w:val="clear" w:color="auto" w:fill="auto"/>
            <w:noWrap/>
            <w:vAlign w:val="bottom"/>
            <w:hideMark/>
          </w:tcPr>
          <w:p w14:paraId="1FFA3E93"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5E3F5D46"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3FEA3865"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106AA473" w14:textId="77777777" w:rsidTr="007876A1">
        <w:trPr>
          <w:trHeight w:val="280"/>
        </w:trPr>
        <w:tc>
          <w:tcPr>
            <w:tcW w:w="2885" w:type="pct"/>
            <w:shd w:val="clear" w:color="auto" w:fill="auto"/>
            <w:noWrap/>
            <w:vAlign w:val="bottom"/>
            <w:hideMark/>
          </w:tcPr>
          <w:p w14:paraId="7F8704D7"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Number of employees</w:t>
            </w:r>
          </w:p>
        </w:tc>
        <w:tc>
          <w:tcPr>
            <w:tcW w:w="705" w:type="pct"/>
            <w:shd w:val="clear" w:color="auto" w:fill="auto"/>
            <w:noWrap/>
            <w:vAlign w:val="bottom"/>
            <w:hideMark/>
          </w:tcPr>
          <w:p w14:paraId="79D1A63C"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4894</w:t>
            </w:r>
          </w:p>
        </w:tc>
        <w:tc>
          <w:tcPr>
            <w:tcW w:w="705" w:type="pct"/>
            <w:shd w:val="clear" w:color="auto" w:fill="auto"/>
            <w:noWrap/>
            <w:vAlign w:val="bottom"/>
            <w:hideMark/>
          </w:tcPr>
          <w:p w14:paraId="7AE34EFE"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4982</w:t>
            </w:r>
          </w:p>
        </w:tc>
        <w:tc>
          <w:tcPr>
            <w:tcW w:w="705" w:type="pct"/>
            <w:shd w:val="clear" w:color="auto" w:fill="auto"/>
            <w:noWrap/>
            <w:vAlign w:val="bottom"/>
            <w:hideMark/>
          </w:tcPr>
          <w:p w14:paraId="7D5A6892"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5057</w:t>
            </w:r>
          </w:p>
        </w:tc>
      </w:tr>
      <w:tr w:rsidR="00F356B2" w:rsidRPr="00F356B2" w14:paraId="179848C3" w14:textId="77777777" w:rsidTr="007876A1">
        <w:trPr>
          <w:trHeight w:val="280"/>
        </w:trPr>
        <w:tc>
          <w:tcPr>
            <w:tcW w:w="2885" w:type="pct"/>
            <w:shd w:val="clear" w:color="auto" w:fill="auto"/>
            <w:noWrap/>
            <w:vAlign w:val="bottom"/>
            <w:hideMark/>
          </w:tcPr>
          <w:p w14:paraId="6633898C"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Displays the currency</w:t>
            </w:r>
          </w:p>
        </w:tc>
        <w:tc>
          <w:tcPr>
            <w:tcW w:w="705" w:type="pct"/>
            <w:shd w:val="clear" w:color="auto" w:fill="auto"/>
            <w:noWrap/>
            <w:vAlign w:val="bottom"/>
            <w:hideMark/>
          </w:tcPr>
          <w:p w14:paraId="62309B6C"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GBP</w:t>
            </w:r>
          </w:p>
        </w:tc>
        <w:tc>
          <w:tcPr>
            <w:tcW w:w="705" w:type="pct"/>
            <w:shd w:val="clear" w:color="auto" w:fill="auto"/>
            <w:noWrap/>
            <w:vAlign w:val="bottom"/>
            <w:hideMark/>
          </w:tcPr>
          <w:p w14:paraId="7DC756B9"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GBP</w:t>
            </w:r>
          </w:p>
        </w:tc>
        <w:tc>
          <w:tcPr>
            <w:tcW w:w="705" w:type="pct"/>
            <w:shd w:val="clear" w:color="auto" w:fill="auto"/>
            <w:noWrap/>
            <w:vAlign w:val="bottom"/>
            <w:hideMark/>
          </w:tcPr>
          <w:p w14:paraId="6356E4E6"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GBP</w:t>
            </w:r>
          </w:p>
        </w:tc>
      </w:tr>
      <w:tr w:rsidR="00F356B2" w:rsidRPr="00F356B2" w14:paraId="7CDE1B58" w14:textId="77777777" w:rsidTr="007876A1">
        <w:trPr>
          <w:trHeight w:val="280"/>
        </w:trPr>
        <w:tc>
          <w:tcPr>
            <w:tcW w:w="2885" w:type="pct"/>
            <w:shd w:val="clear" w:color="auto" w:fill="auto"/>
            <w:noWrap/>
            <w:vAlign w:val="bottom"/>
            <w:hideMark/>
          </w:tcPr>
          <w:p w14:paraId="482C2852"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The original currency</w:t>
            </w:r>
          </w:p>
        </w:tc>
        <w:tc>
          <w:tcPr>
            <w:tcW w:w="705" w:type="pct"/>
            <w:shd w:val="clear" w:color="auto" w:fill="auto"/>
            <w:noWrap/>
            <w:vAlign w:val="bottom"/>
            <w:hideMark/>
          </w:tcPr>
          <w:p w14:paraId="6113B691"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JPY</w:t>
            </w:r>
          </w:p>
        </w:tc>
        <w:tc>
          <w:tcPr>
            <w:tcW w:w="705" w:type="pct"/>
            <w:shd w:val="clear" w:color="auto" w:fill="auto"/>
            <w:noWrap/>
            <w:vAlign w:val="bottom"/>
            <w:hideMark/>
          </w:tcPr>
          <w:p w14:paraId="4C4FBE4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JPY</w:t>
            </w:r>
          </w:p>
        </w:tc>
        <w:tc>
          <w:tcPr>
            <w:tcW w:w="705" w:type="pct"/>
            <w:shd w:val="clear" w:color="auto" w:fill="auto"/>
            <w:noWrap/>
            <w:vAlign w:val="bottom"/>
            <w:hideMark/>
          </w:tcPr>
          <w:p w14:paraId="2A438F53"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JPY</w:t>
            </w:r>
          </w:p>
        </w:tc>
      </w:tr>
      <w:tr w:rsidR="00F356B2" w:rsidRPr="00F356B2" w14:paraId="14C060B9" w14:textId="77777777" w:rsidTr="007876A1">
        <w:trPr>
          <w:trHeight w:val="280"/>
        </w:trPr>
        <w:tc>
          <w:tcPr>
            <w:tcW w:w="2885" w:type="pct"/>
            <w:shd w:val="clear" w:color="auto" w:fill="auto"/>
            <w:noWrap/>
            <w:vAlign w:val="bottom"/>
            <w:hideMark/>
          </w:tcPr>
          <w:p w14:paraId="6FCC0803"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Convert exchange rates</w:t>
            </w:r>
          </w:p>
        </w:tc>
        <w:tc>
          <w:tcPr>
            <w:tcW w:w="705" w:type="pct"/>
            <w:shd w:val="clear" w:color="auto" w:fill="auto"/>
            <w:noWrap/>
            <w:vAlign w:val="bottom"/>
            <w:hideMark/>
          </w:tcPr>
          <w:p w14:paraId="015C3D7A"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160.45</w:t>
            </w:r>
          </w:p>
        </w:tc>
        <w:tc>
          <w:tcPr>
            <w:tcW w:w="705" w:type="pct"/>
            <w:shd w:val="clear" w:color="auto" w:fill="auto"/>
            <w:noWrap/>
            <w:vAlign w:val="bottom"/>
            <w:hideMark/>
          </w:tcPr>
          <w:p w14:paraId="4AAF1177"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151.65</w:t>
            </w:r>
          </w:p>
        </w:tc>
        <w:tc>
          <w:tcPr>
            <w:tcW w:w="705" w:type="pct"/>
            <w:shd w:val="clear" w:color="auto" w:fill="auto"/>
            <w:noWrap/>
            <w:vAlign w:val="bottom"/>
            <w:hideMark/>
          </w:tcPr>
          <w:p w14:paraId="393DD926"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133.65</w:t>
            </w:r>
          </w:p>
        </w:tc>
      </w:tr>
      <w:tr w:rsidR="00F356B2" w:rsidRPr="00F356B2" w14:paraId="37FADCAA" w14:textId="77777777" w:rsidTr="007876A1">
        <w:trPr>
          <w:trHeight w:val="280"/>
        </w:trPr>
        <w:tc>
          <w:tcPr>
            <w:tcW w:w="2885" w:type="pct"/>
            <w:shd w:val="clear" w:color="auto" w:fill="auto"/>
            <w:noWrap/>
            <w:vAlign w:val="bottom"/>
            <w:hideMark/>
          </w:tcPr>
          <w:p w14:paraId="334B4B7C"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 xml:space="preserve">        Interest rate type</w:t>
            </w:r>
          </w:p>
        </w:tc>
        <w:tc>
          <w:tcPr>
            <w:tcW w:w="705" w:type="pct"/>
            <w:shd w:val="clear" w:color="auto" w:fill="auto"/>
            <w:noWrap/>
            <w:vAlign w:val="bottom"/>
            <w:hideMark/>
          </w:tcPr>
          <w:p w14:paraId="6A9BA950"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Ending exchange rate</w:t>
            </w:r>
          </w:p>
        </w:tc>
        <w:tc>
          <w:tcPr>
            <w:tcW w:w="705" w:type="pct"/>
            <w:shd w:val="clear" w:color="auto" w:fill="auto"/>
            <w:noWrap/>
            <w:vAlign w:val="bottom"/>
            <w:hideMark/>
          </w:tcPr>
          <w:p w14:paraId="70BB5706"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Ending exchange rate</w:t>
            </w:r>
          </w:p>
        </w:tc>
        <w:tc>
          <w:tcPr>
            <w:tcW w:w="705" w:type="pct"/>
            <w:shd w:val="clear" w:color="auto" w:fill="auto"/>
            <w:noWrap/>
            <w:vAlign w:val="bottom"/>
            <w:hideMark/>
          </w:tcPr>
          <w:p w14:paraId="5E066FC6" w14:textId="77777777" w:rsidR="00F356B2" w:rsidRPr="00F356B2" w:rsidRDefault="00F356B2" w:rsidP="00F356B2">
            <w:pPr>
              <w:widowControl/>
              <w:ind w:firstLine="0"/>
              <w:jc w:val="left"/>
              <w:rPr>
                <w:rFonts w:eastAsia="宋体"/>
                <w:color w:val="000000"/>
                <w:kern w:val="0"/>
                <w:sz w:val="18"/>
                <w:szCs w:val="18"/>
              </w:rPr>
            </w:pPr>
            <w:r w:rsidRPr="00F356B2">
              <w:rPr>
                <w:rFonts w:eastAsia="宋体"/>
                <w:color w:val="000000"/>
                <w:kern w:val="0"/>
                <w:sz w:val="18"/>
                <w:szCs w:val="18"/>
              </w:rPr>
              <w:t>Ending exchange rate</w:t>
            </w:r>
          </w:p>
        </w:tc>
      </w:tr>
      <w:tr w:rsidR="00F356B2" w:rsidRPr="00F356B2" w14:paraId="7772E697" w14:textId="77777777" w:rsidTr="007876A1">
        <w:trPr>
          <w:trHeight w:val="280"/>
        </w:trPr>
        <w:tc>
          <w:tcPr>
            <w:tcW w:w="2885" w:type="pct"/>
            <w:shd w:val="clear" w:color="auto" w:fill="auto"/>
            <w:noWrap/>
            <w:vAlign w:val="bottom"/>
            <w:hideMark/>
          </w:tcPr>
          <w:p w14:paraId="2DF04884" w14:textId="77777777" w:rsidR="00F356B2" w:rsidRPr="00F356B2" w:rsidRDefault="00F356B2" w:rsidP="007876A1">
            <w:pPr>
              <w:widowControl/>
              <w:jc w:val="left"/>
              <w:rPr>
                <w:rFonts w:eastAsia="宋体"/>
                <w:color w:val="000000"/>
                <w:kern w:val="0"/>
                <w:sz w:val="18"/>
                <w:szCs w:val="18"/>
              </w:rPr>
            </w:pPr>
            <w:r w:rsidRPr="00F356B2">
              <w:rPr>
                <w:rFonts w:eastAsia="宋体"/>
                <w:color w:val="000000"/>
                <w:kern w:val="0"/>
                <w:sz w:val="18"/>
                <w:szCs w:val="18"/>
              </w:rPr>
              <w:t>million, GBP</w:t>
            </w:r>
          </w:p>
        </w:tc>
        <w:tc>
          <w:tcPr>
            <w:tcW w:w="705" w:type="pct"/>
            <w:shd w:val="clear" w:color="auto" w:fill="auto"/>
            <w:noWrap/>
            <w:vAlign w:val="bottom"/>
            <w:hideMark/>
          </w:tcPr>
          <w:p w14:paraId="761AB2DC"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794CA9FD"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0D2249B9" w14:textId="77777777" w:rsidR="00F356B2" w:rsidRPr="00F356B2" w:rsidRDefault="00F356B2" w:rsidP="00F356B2">
            <w:pPr>
              <w:widowControl/>
              <w:ind w:firstLine="0"/>
              <w:jc w:val="left"/>
              <w:rPr>
                <w:rFonts w:eastAsia="宋体"/>
                <w:color w:val="000000"/>
                <w:kern w:val="0"/>
                <w:sz w:val="18"/>
                <w:szCs w:val="18"/>
              </w:rPr>
            </w:pPr>
          </w:p>
        </w:tc>
      </w:tr>
      <w:tr w:rsidR="00F356B2" w:rsidRPr="00F356B2" w14:paraId="3BB3EA16" w14:textId="77777777" w:rsidTr="007876A1">
        <w:trPr>
          <w:trHeight w:val="280"/>
        </w:trPr>
        <w:tc>
          <w:tcPr>
            <w:tcW w:w="2885" w:type="pct"/>
            <w:shd w:val="clear" w:color="auto" w:fill="auto"/>
            <w:noWrap/>
            <w:vAlign w:val="bottom"/>
            <w:hideMark/>
          </w:tcPr>
          <w:p w14:paraId="0E052B64" w14:textId="77777777" w:rsidR="00F356B2" w:rsidRPr="00F356B2" w:rsidRDefault="00F356B2" w:rsidP="007876A1">
            <w:pPr>
              <w:widowControl/>
              <w:jc w:val="left"/>
              <w:rPr>
                <w:rFonts w:eastAsia="宋体"/>
                <w:color w:val="FF0000"/>
                <w:kern w:val="0"/>
                <w:sz w:val="18"/>
                <w:szCs w:val="18"/>
              </w:rPr>
            </w:pPr>
            <w:r w:rsidRPr="00F356B2">
              <w:rPr>
                <w:rFonts w:eastAsia="宋体"/>
                <w:color w:val="FF0000"/>
                <w:kern w:val="0"/>
                <w:sz w:val="18"/>
                <w:szCs w:val="18"/>
              </w:rPr>
              <w:t>Source: Wind</w:t>
            </w:r>
          </w:p>
        </w:tc>
        <w:tc>
          <w:tcPr>
            <w:tcW w:w="705" w:type="pct"/>
            <w:shd w:val="clear" w:color="auto" w:fill="auto"/>
            <w:noWrap/>
            <w:vAlign w:val="bottom"/>
            <w:hideMark/>
          </w:tcPr>
          <w:p w14:paraId="775E4A9B"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77610DBF" w14:textId="77777777" w:rsidR="00F356B2" w:rsidRPr="00F356B2" w:rsidRDefault="00F356B2" w:rsidP="00F356B2">
            <w:pPr>
              <w:widowControl/>
              <w:ind w:firstLine="0"/>
              <w:jc w:val="left"/>
              <w:rPr>
                <w:rFonts w:eastAsia="宋体"/>
                <w:color w:val="000000"/>
                <w:kern w:val="0"/>
                <w:sz w:val="18"/>
                <w:szCs w:val="18"/>
              </w:rPr>
            </w:pPr>
          </w:p>
        </w:tc>
        <w:tc>
          <w:tcPr>
            <w:tcW w:w="705" w:type="pct"/>
            <w:shd w:val="clear" w:color="auto" w:fill="auto"/>
            <w:noWrap/>
            <w:vAlign w:val="bottom"/>
            <w:hideMark/>
          </w:tcPr>
          <w:p w14:paraId="615958E3" w14:textId="77777777" w:rsidR="00F356B2" w:rsidRPr="00F356B2" w:rsidRDefault="00F356B2" w:rsidP="00F356B2">
            <w:pPr>
              <w:widowControl/>
              <w:ind w:firstLine="0"/>
              <w:jc w:val="left"/>
              <w:rPr>
                <w:rFonts w:eastAsia="宋体"/>
                <w:color w:val="000000"/>
                <w:kern w:val="0"/>
                <w:sz w:val="18"/>
                <w:szCs w:val="18"/>
              </w:rPr>
            </w:pPr>
          </w:p>
        </w:tc>
      </w:tr>
    </w:tbl>
    <w:p w14:paraId="7D5B1C1D" w14:textId="77777777" w:rsidR="008E562A" w:rsidRPr="00986EBF" w:rsidRDefault="008E562A" w:rsidP="008E562A">
      <w:pPr>
        <w:ind w:firstLine="0"/>
      </w:pPr>
    </w:p>
    <w:sectPr w:rsidR="008E562A" w:rsidRPr="00986EB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B0F4C" w14:textId="77777777" w:rsidR="00003B00" w:rsidRDefault="00003B00" w:rsidP="008B279C">
      <w:r>
        <w:separator/>
      </w:r>
    </w:p>
  </w:endnote>
  <w:endnote w:type="continuationSeparator" w:id="0">
    <w:p w14:paraId="5FBDEEF7" w14:textId="77777777" w:rsidR="00003B00" w:rsidRDefault="00003B00" w:rsidP="008B27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CB2E2" w14:textId="77777777" w:rsidR="00003B00" w:rsidRDefault="00003B00" w:rsidP="008B279C">
      <w:r>
        <w:separator/>
      </w:r>
    </w:p>
  </w:footnote>
  <w:footnote w:type="continuationSeparator" w:id="0">
    <w:p w14:paraId="498BBF5D" w14:textId="77777777" w:rsidR="00003B00" w:rsidRDefault="00003B00" w:rsidP="008B27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6E6F3E"/>
    <w:multiLevelType w:val="hybridMultilevel"/>
    <w:tmpl w:val="33BAD35E"/>
    <w:lvl w:ilvl="0" w:tplc="E88831B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2AA43FE"/>
    <w:multiLevelType w:val="multilevel"/>
    <w:tmpl w:val="0EDA3024"/>
    <w:styleLink w:val="1"/>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num w:numId="1" w16cid:durableId="706376664">
    <w:abstractNumId w:val="0"/>
  </w:num>
  <w:num w:numId="2" w16cid:durableId="525943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C7A"/>
    <w:rsid w:val="00003B00"/>
    <w:rsid w:val="00027AB0"/>
    <w:rsid w:val="0010104E"/>
    <w:rsid w:val="0010659E"/>
    <w:rsid w:val="00125204"/>
    <w:rsid w:val="001B3F29"/>
    <w:rsid w:val="001D4C94"/>
    <w:rsid w:val="001E5DCC"/>
    <w:rsid w:val="002220C7"/>
    <w:rsid w:val="00231D22"/>
    <w:rsid w:val="00281900"/>
    <w:rsid w:val="002D1A39"/>
    <w:rsid w:val="00373880"/>
    <w:rsid w:val="003978DF"/>
    <w:rsid w:val="00473405"/>
    <w:rsid w:val="005763C6"/>
    <w:rsid w:val="005929DB"/>
    <w:rsid w:val="005E5C4B"/>
    <w:rsid w:val="006244E6"/>
    <w:rsid w:val="0063248F"/>
    <w:rsid w:val="007C02FC"/>
    <w:rsid w:val="008666E5"/>
    <w:rsid w:val="008B279C"/>
    <w:rsid w:val="008D3C7A"/>
    <w:rsid w:val="008D48A9"/>
    <w:rsid w:val="008E562A"/>
    <w:rsid w:val="00905611"/>
    <w:rsid w:val="00947871"/>
    <w:rsid w:val="00963E74"/>
    <w:rsid w:val="00986EBF"/>
    <w:rsid w:val="009921CA"/>
    <w:rsid w:val="009A7D8C"/>
    <w:rsid w:val="009B4AE3"/>
    <w:rsid w:val="00AD2270"/>
    <w:rsid w:val="00B32694"/>
    <w:rsid w:val="00B83491"/>
    <w:rsid w:val="00CA29D4"/>
    <w:rsid w:val="00D3189E"/>
    <w:rsid w:val="00D941BF"/>
    <w:rsid w:val="00DC1C1F"/>
    <w:rsid w:val="00E20869"/>
    <w:rsid w:val="00E90EA6"/>
    <w:rsid w:val="00E94300"/>
    <w:rsid w:val="00EF2748"/>
    <w:rsid w:val="00EF3F05"/>
    <w:rsid w:val="00F33DDA"/>
    <w:rsid w:val="00F356B2"/>
    <w:rsid w:val="00F37D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77A991"/>
  <w15:chartTrackingRefBased/>
  <w15:docId w15:val="{39197DAA-6C8F-4540-9B59-1F0D0C8AD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3248F"/>
    <w:pPr>
      <w:widowControl w:val="0"/>
      <w:ind w:firstLine="420"/>
      <w:jc w:val="both"/>
    </w:pPr>
    <w:rPr>
      <w:rFonts w:ascii="Times New Roman" w:hAnsi="Times New Roman" w:cs="Times New Roman"/>
      <w:sz w:val="24"/>
    </w:rPr>
  </w:style>
  <w:style w:type="paragraph" w:styleId="10">
    <w:name w:val="heading 1"/>
    <w:basedOn w:val="a0"/>
    <w:next w:val="2"/>
    <w:link w:val="11"/>
    <w:autoRedefine/>
    <w:uiPriority w:val="9"/>
    <w:qFormat/>
    <w:rsid w:val="0063248F"/>
    <w:pPr>
      <w:keepNext/>
      <w:keepLines/>
      <w:spacing w:before="220" w:after="210" w:line="578" w:lineRule="auto"/>
    </w:pPr>
    <w:rPr>
      <w:rFonts w:ascii="Times New Roman" w:eastAsia="黑体" w:hAnsi="Times New Roman" w:cs="Times New Roman"/>
      <w:color w:val="000000"/>
      <w:kern w:val="44"/>
      <w:sz w:val="28"/>
      <w:szCs w:val="40"/>
    </w:rPr>
  </w:style>
  <w:style w:type="paragraph" w:styleId="2">
    <w:name w:val="heading 2"/>
    <w:basedOn w:val="a"/>
    <w:next w:val="a"/>
    <w:link w:val="20"/>
    <w:uiPriority w:val="9"/>
    <w:unhideWhenUsed/>
    <w:qFormat/>
    <w:rsid w:val="0063248F"/>
    <w:pPr>
      <w:keepNext/>
      <w:keepLines/>
      <w:spacing w:line="416" w:lineRule="auto"/>
      <w:ind w:firstLine="0"/>
      <w:outlineLvl w:val="1"/>
    </w:pPr>
    <w:rPr>
      <w:rFonts w:eastAsiaTheme="majorEastAsia"/>
      <w:b/>
      <w:bCs/>
      <w:sz w:val="28"/>
      <w:szCs w:val="28"/>
    </w:rPr>
  </w:style>
  <w:style w:type="paragraph" w:styleId="3">
    <w:name w:val="heading 3"/>
    <w:basedOn w:val="a"/>
    <w:next w:val="a"/>
    <w:link w:val="30"/>
    <w:uiPriority w:val="9"/>
    <w:unhideWhenUsed/>
    <w:qFormat/>
    <w:rsid w:val="0063248F"/>
    <w:pPr>
      <w:keepNext/>
      <w:keepLines/>
      <w:spacing w:before="260" w:after="260"/>
      <w:ind w:firstLine="0"/>
      <w:outlineLvl w:val="2"/>
    </w:pPr>
    <w:rPr>
      <w:b/>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1">
    <w:name w:val="标题 1 字符"/>
    <w:link w:val="10"/>
    <w:uiPriority w:val="9"/>
    <w:qFormat/>
    <w:rsid w:val="0063248F"/>
    <w:rPr>
      <w:rFonts w:ascii="Times New Roman" w:eastAsia="黑体" w:hAnsi="Times New Roman" w:cs="Times New Roman"/>
      <w:b/>
      <w:bCs/>
      <w:color w:val="000000"/>
      <w:kern w:val="44"/>
      <w:sz w:val="28"/>
      <w:szCs w:val="40"/>
    </w:rPr>
  </w:style>
  <w:style w:type="paragraph" w:styleId="a0">
    <w:name w:val="Title"/>
    <w:basedOn w:val="a"/>
    <w:next w:val="a"/>
    <w:link w:val="a4"/>
    <w:uiPriority w:val="10"/>
    <w:qFormat/>
    <w:rsid w:val="009A7D8C"/>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1"/>
    <w:link w:val="a0"/>
    <w:uiPriority w:val="10"/>
    <w:rsid w:val="009A7D8C"/>
    <w:rPr>
      <w:rFonts w:asciiTheme="majorHAnsi" w:eastAsiaTheme="majorEastAsia" w:hAnsiTheme="majorHAnsi" w:cstheme="majorBidi"/>
      <w:b/>
      <w:bCs/>
      <w:sz w:val="32"/>
      <w:szCs w:val="32"/>
    </w:rPr>
  </w:style>
  <w:style w:type="character" w:customStyle="1" w:styleId="20">
    <w:name w:val="标题 2 字符"/>
    <w:basedOn w:val="a1"/>
    <w:link w:val="2"/>
    <w:uiPriority w:val="9"/>
    <w:rsid w:val="0063248F"/>
    <w:rPr>
      <w:rFonts w:ascii="Times New Roman" w:eastAsiaTheme="majorEastAsia" w:hAnsi="Times New Roman" w:cs="Times New Roman"/>
      <w:b/>
      <w:bCs/>
      <w:sz w:val="28"/>
      <w:szCs w:val="28"/>
    </w:rPr>
  </w:style>
  <w:style w:type="table" w:customStyle="1" w:styleId="12">
    <w:name w:val="样式1"/>
    <w:basedOn w:val="a2"/>
    <w:uiPriority w:val="99"/>
    <w:rsid w:val="009A7D8C"/>
    <w:rPr>
      <w:rFonts w:ascii="Times New Roman" w:eastAsia="宋体" w:hAnsi="Times New Roman" w:cs="Times New Roman"/>
      <w:kern w:val="0"/>
      <w:sz w:val="20"/>
      <w:szCs w:val="20"/>
    </w:rPr>
    <w:tblPr>
      <w:tblBorders>
        <w:top w:val="single" w:sz="4" w:space="0" w:color="000000" w:themeColor="text1"/>
        <w:bottom w:val="single" w:sz="4" w:space="0" w:color="000000" w:themeColor="text1"/>
      </w:tblBorders>
    </w:tblPr>
    <w:tblStylePr w:type="firstRow">
      <w:tblPr/>
      <w:tcPr>
        <w:tcBorders>
          <w:bottom w:val="single" w:sz="4" w:space="0" w:color="000000" w:themeColor="text1"/>
        </w:tcBorders>
      </w:tcPr>
    </w:tblStylePr>
  </w:style>
  <w:style w:type="table" w:customStyle="1" w:styleId="a5">
    <w:name w:val="三线表"/>
    <w:basedOn w:val="a2"/>
    <w:uiPriority w:val="99"/>
    <w:rsid w:val="009A7D8C"/>
    <w:pPr>
      <w:jc w:val="both"/>
    </w:pPr>
    <w:rPr>
      <w:rFonts w:ascii="Times New Roman" w:eastAsia="宋体" w:hAnsi="Times New Roman" w:cs="Times New Roman"/>
      <w:kern w:val="0"/>
      <w:sz w:val="20"/>
      <w:szCs w:val="20"/>
    </w:rPr>
    <w:tblPr>
      <w:tblBorders>
        <w:top w:val="single" w:sz="4" w:space="0" w:color="000000" w:themeColor="text1"/>
        <w:bottom w:val="single" w:sz="4" w:space="0" w:color="000000" w:themeColor="text1"/>
      </w:tblBorders>
    </w:tblPr>
    <w:tcPr>
      <w:vAlign w:val="center"/>
    </w:tcPr>
    <w:tblStylePr w:type="firstRow">
      <w:tblPr/>
      <w:tcPr>
        <w:tcBorders>
          <w:bottom w:val="single" w:sz="4" w:space="0" w:color="000000" w:themeColor="text1"/>
        </w:tcBorders>
      </w:tcPr>
    </w:tblStylePr>
  </w:style>
  <w:style w:type="character" w:customStyle="1" w:styleId="30">
    <w:name w:val="标题 3 字符"/>
    <w:basedOn w:val="a1"/>
    <w:link w:val="3"/>
    <w:uiPriority w:val="9"/>
    <w:rsid w:val="0063248F"/>
    <w:rPr>
      <w:rFonts w:ascii="Times New Roman" w:hAnsi="Times New Roman" w:cs="Times New Roman"/>
      <w:b/>
      <w:sz w:val="24"/>
    </w:rPr>
  </w:style>
  <w:style w:type="character" w:styleId="a6">
    <w:name w:val="Hyperlink"/>
    <w:basedOn w:val="a1"/>
    <w:uiPriority w:val="99"/>
    <w:unhideWhenUsed/>
    <w:rsid w:val="009A7D8C"/>
    <w:rPr>
      <w:color w:val="0563C1" w:themeColor="hyperlink"/>
      <w:u w:val="single"/>
    </w:rPr>
  </w:style>
  <w:style w:type="character" w:styleId="a7">
    <w:name w:val="Unresolved Mention"/>
    <w:basedOn w:val="a1"/>
    <w:uiPriority w:val="99"/>
    <w:semiHidden/>
    <w:unhideWhenUsed/>
    <w:rsid w:val="009A7D8C"/>
    <w:rPr>
      <w:color w:val="605E5C"/>
      <w:shd w:val="clear" w:color="auto" w:fill="E1DFDD"/>
    </w:rPr>
  </w:style>
  <w:style w:type="paragraph" w:styleId="a8">
    <w:name w:val="List Paragraph"/>
    <w:basedOn w:val="a"/>
    <w:uiPriority w:val="34"/>
    <w:qFormat/>
    <w:rsid w:val="0063248F"/>
    <w:pPr>
      <w:ind w:firstLineChars="200" w:firstLine="200"/>
    </w:pPr>
  </w:style>
  <w:style w:type="numbering" w:customStyle="1" w:styleId="1">
    <w:name w:val="当前列表1"/>
    <w:uiPriority w:val="99"/>
    <w:rsid w:val="0063248F"/>
    <w:pPr>
      <w:numPr>
        <w:numId w:val="2"/>
      </w:numPr>
    </w:pPr>
  </w:style>
  <w:style w:type="paragraph" w:styleId="a9">
    <w:name w:val="header"/>
    <w:basedOn w:val="a"/>
    <w:link w:val="aa"/>
    <w:uiPriority w:val="99"/>
    <w:unhideWhenUsed/>
    <w:rsid w:val="008B279C"/>
    <w:pPr>
      <w:tabs>
        <w:tab w:val="center" w:pos="4153"/>
        <w:tab w:val="right" w:pos="8306"/>
      </w:tabs>
      <w:snapToGrid w:val="0"/>
      <w:jc w:val="center"/>
    </w:pPr>
    <w:rPr>
      <w:sz w:val="18"/>
      <w:szCs w:val="18"/>
    </w:rPr>
  </w:style>
  <w:style w:type="character" w:customStyle="1" w:styleId="aa">
    <w:name w:val="页眉 字符"/>
    <w:basedOn w:val="a1"/>
    <w:link w:val="a9"/>
    <w:uiPriority w:val="99"/>
    <w:rsid w:val="008B279C"/>
    <w:rPr>
      <w:rFonts w:ascii="Times New Roman" w:hAnsi="Times New Roman" w:cs="Times New Roman"/>
      <w:sz w:val="18"/>
      <w:szCs w:val="18"/>
    </w:rPr>
  </w:style>
  <w:style w:type="paragraph" w:styleId="ab">
    <w:name w:val="footer"/>
    <w:basedOn w:val="a"/>
    <w:link w:val="ac"/>
    <w:uiPriority w:val="99"/>
    <w:unhideWhenUsed/>
    <w:rsid w:val="008B279C"/>
    <w:pPr>
      <w:tabs>
        <w:tab w:val="center" w:pos="4153"/>
        <w:tab w:val="right" w:pos="8306"/>
      </w:tabs>
      <w:snapToGrid w:val="0"/>
      <w:jc w:val="left"/>
    </w:pPr>
    <w:rPr>
      <w:sz w:val="18"/>
      <w:szCs w:val="18"/>
    </w:rPr>
  </w:style>
  <w:style w:type="character" w:customStyle="1" w:styleId="ac">
    <w:name w:val="页脚 字符"/>
    <w:basedOn w:val="a1"/>
    <w:link w:val="ab"/>
    <w:uiPriority w:val="99"/>
    <w:rsid w:val="008B279C"/>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7912</Words>
  <Characters>45101</Characters>
  <Application>Microsoft Office Word</Application>
  <DocSecurity>0</DocSecurity>
  <Lines>375</Lines>
  <Paragraphs>105</Paragraphs>
  <ScaleCrop>false</ScaleCrop>
  <Company/>
  <LinksUpToDate>false</LinksUpToDate>
  <CharactersWithSpaces>52908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vlb</dc:creator>
  <cp:keywords/>
  <dc:description/>
  <cp:lastModifiedBy>冬雪 黄</cp:lastModifiedBy>
  <cp:revision>2</cp:revision>
  <dcterms:created xsi:type="dcterms:W3CDTF">2023-07-17T22:44:00Z</dcterms:created>
  <dcterms:modified xsi:type="dcterms:W3CDTF">2023-07-17T22:44:00Z</dcterms:modified>
</cp:coreProperties>
</file>