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BECB9" w14:textId="77777777" w:rsidR="00DD5772" w:rsidRDefault="00DD5772">
      <w:pPr>
        <w:pStyle w:val="Body"/>
        <w:jc w:val="center"/>
        <w:rPr>
          <w:b/>
          <w:bCs/>
          <w:i/>
          <w:iCs/>
          <w:sz w:val="72"/>
          <w:szCs w:val="72"/>
        </w:rPr>
      </w:pPr>
    </w:p>
    <w:p w14:paraId="4A5533C6" w14:textId="77777777" w:rsidR="00DD5772" w:rsidRDefault="00DD5772">
      <w:pPr>
        <w:pStyle w:val="Body"/>
        <w:jc w:val="center"/>
        <w:rPr>
          <w:b/>
          <w:bCs/>
          <w:i/>
          <w:iCs/>
          <w:sz w:val="72"/>
          <w:szCs w:val="72"/>
        </w:rPr>
      </w:pPr>
    </w:p>
    <w:p w14:paraId="2C688A4C" w14:textId="22D80EC6" w:rsidR="00903B32" w:rsidRPr="00CD2DBC" w:rsidRDefault="00903B32" w:rsidP="00903B32">
      <w:pPr>
        <w:pStyle w:val="Body"/>
        <w:jc w:val="center"/>
        <w:rPr>
          <w:rFonts w:ascii="Arial Black" w:hAnsi="Arial Black"/>
          <w:b/>
          <w:bCs/>
          <w:i/>
          <w:iCs/>
          <w:sz w:val="40"/>
          <w:szCs w:val="40"/>
          <w:lang w:val="en-GB"/>
        </w:rPr>
      </w:pPr>
      <w:r w:rsidRPr="00CD2DBC">
        <w:rPr>
          <w:rFonts w:ascii="Arial Black" w:hAnsi="Arial Black"/>
          <w:b/>
          <w:bCs/>
          <w:i/>
          <w:iCs/>
          <w:sz w:val="40"/>
          <w:szCs w:val="40"/>
          <w:lang w:val="en-GB"/>
        </w:rPr>
        <w:t>T</w:t>
      </w:r>
      <w:r w:rsidR="00CD2DBC">
        <w:rPr>
          <w:rFonts w:ascii="Arial Black" w:hAnsi="Arial Black"/>
          <w:b/>
          <w:bCs/>
          <w:i/>
          <w:iCs/>
          <w:sz w:val="40"/>
          <w:szCs w:val="40"/>
          <w:lang w:val="en-GB"/>
        </w:rPr>
        <w:t>he</w:t>
      </w:r>
      <w:r w:rsidRPr="00CD2DBC">
        <w:rPr>
          <w:rFonts w:ascii="Arial Black" w:hAnsi="Arial Black"/>
          <w:b/>
          <w:bCs/>
          <w:i/>
          <w:iCs/>
          <w:sz w:val="40"/>
          <w:szCs w:val="40"/>
          <w:lang w:val="en-GB"/>
        </w:rPr>
        <w:t xml:space="preserve"> G</w:t>
      </w:r>
      <w:r w:rsidR="00CD2DBC">
        <w:rPr>
          <w:rFonts w:ascii="Arial Black" w:hAnsi="Arial Black"/>
          <w:b/>
          <w:bCs/>
          <w:i/>
          <w:iCs/>
          <w:sz w:val="40"/>
          <w:szCs w:val="40"/>
          <w:lang w:val="en-GB"/>
        </w:rPr>
        <w:t>lobal</w:t>
      </w:r>
      <w:r w:rsidRPr="00CD2DBC">
        <w:rPr>
          <w:rFonts w:ascii="Arial Black" w:hAnsi="Arial Black"/>
          <w:b/>
          <w:bCs/>
          <w:i/>
          <w:iCs/>
          <w:sz w:val="40"/>
          <w:szCs w:val="40"/>
          <w:lang w:val="en-GB"/>
        </w:rPr>
        <w:t xml:space="preserve"> </w:t>
      </w:r>
      <w:r w:rsidR="00CD2DBC" w:rsidRPr="00CD2DBC">
        <w:rPr>
          <w:rFonts w:ascii="Arial Black" w:hAnsi="Arial Black"/>
          <w:b/>
          <w:bCs/>
          <w:i/>
          <w:iCs/>
          <w:sz w:val="40"/>
          <w:szCs w:val="40"/>
          <w:lang w:val="en-GB"/>
        </w:rPr>
        <w:t>Business</w:t>
      </w:r>
      <w:r w:rsidRPr="00CD2DBC">
        <w:rPr>
          <w:rFonts w:ascii="Arial Black" w:hAnsi="Arial Black"/>
          <w:b/>
          <w:bCs/>
          <w:i/>
          <w:iCs/>
          <w:sz w:val="40"/>
          <w:szCs w:val="40"/>
          <w:lang w:val="en-GB"/>
        </w:rPr>
        <w:t xml:space="preserve"> </w:t>
      </w:r>
      <w:r w:rsidR="00CD2DBC" w:rsidRPr="00CD2DBC">
        <w:rPr>
          <w:rFonts w:ascii="Arial Black" w:hAnsi="Arial Black"/>
          <w:b/>
          <w:bCs/>
          <w:i/>
          <w:iCs/>
          <w:sz w:val="40"/>
          <w:szCs w:val="40"/>
          <w:lang w:val="en-GB"/>
        </w:rPr>
        <w:t>Environment</w:t>
      </w:r>
      <w:r w:rsidRPr="00CD2DBC">
        <w:rPr>
          <w:rFonts w:ascii="Arial Black" w:hAnsi="Arial Black"/>
          <w:b/>
          <w:bCs/>
          <w:i/>
          <w:iCs/>
          <w:sz w:val="40"/>
          <w:szCs w:val="40"/>
          <w:lang w:val="en-GB"/>
        </w:rPr>
        <w:t xml:space="preserve"> </w:t>
      </w:r>
    </w:p>
    <w:p w14:paraId="08FF2245" w14:textId="16596C03" w:rsidR="00903B32" w:rsidRPr="00CD2DBC" w:rsidRDefault="00903B32" w:rsidP="00903B32">
      <w:pPr>
        <w:pStyle w:val="Body"/>
        <w:jc w:val="center"/>
        <w:rPr>
          <w:rFonts w:ascii="Arial Black" w:hAnsi="Arial Black"/>
          <w:b/>
          <w:bCs/>
          <w:i/>
          <w:iCs/>
          <w:sz w:val="40"/>
          <w:szCs w:val="40"/>
          <w:lang w:val="en-GB"/>
        </w:rPr>
      </w:pPr>
      <w:r w:rsidRPr="00CD2DBC">
        <w:rPr>
          <w:rFonts w:ascii="Arial Black" w:hAnsi="Arial Black"/>
          <w:b/>
          <w:bCs/>
          <w:i/>
          <w:iCs/>
          <w:sz w:val="40"/>
          <w:szCs w:val="40"/>
          <w:lang w:val="en-GB"/>
        </w:rPr>
        <w:t>LCBB4005</w:t>
      </w:r>
    </w:p>
    <w:p w14:paraId="089303F0" w14:textId="4A4A737C" w:rsidR="00903B32" w:rsidRPr="00CD2DBC" w:rsidRDefault="00CD2DBC" w:rsidP="00903B32">
      <w:pPr>
        <w:pStyle w:val="Body"/>
        <w:jc w:val="center"/>
        <w:rPr>
          <w:rFonts w:ascii="Arial Black" w:hAnsi="Arial Black"/>
          <w:b/>
          <w:bCs/>
          <w:i/>
          <w:iCs/>
          <w:sz w:val="40"/>
          <w:szCs w:val="40"/>
          <w:lang w:val="en-GB"/>
        </w:rPr>
      </w:pPr>
      <w:r w:rsidRPr="00CD2DBC">
        <w:rPr>
          <w:rFonts w:ascii="Arial Black" w:hAnsi="Arial Black"/>
          <w:b/>
          <w:bCs/>
          <w:i/>
          <w:iCs/>
          <w:sz w:val="40"/>
          <w:szCs w:val="40"/>
          <w:lang w:val="en-GB"/>
        </w:rPr>
        <w:t>Electric vehicles</w:t>
      </w:r>
      <w:bookmarkStart w:id="0" w:name="_GoBack"/>
      <w:bookmarkEnd w:id="0"/>
    </w:p>
    <w:p w14:paraId="20819951" w14:textId="77777777" w:rsidR="00903B32" w:rsidRDefault="00903B32" w:rsidP="00903B32">
      <w:pPr>
        <w:pStyle w:val="Body"/>
        <w:jc w:val="center"/>
        <w:rPr>
          <w:rFonts w:ascii="Arial Black" w:hAnsi="Arial Black"/>
          <w:b/>
          <w:bCs/>
          <w:i/>
          <w:iCs/>
          <w:sz w:val="40"/>
          <w:szCs w:val="40"/>
          <w:lang w:val="en-GB"/>
        </w:rPr>
      </w:pPr>
    </w:p>
    <w:p w14:paraId="566063D8" w14:textId="22F2BD48" w:rsidR="00903B32" w:rsidRDefault="00903B32" w:rsidP="00903B32">
      <w:pPr>
        <w:pStyle w:val="Body"/>
        <w:jc w:val="center"/>
        <w:rPr>
          <w:rFonts w:ascii="Arial Black" w:hAnsi="Arial Black"/>
          <w:b/>
          <w:bCs/>
          <w:i/>
          <w:iCs/>
          <w:sz w:val="32"/>
          <w:szCs w:val="32"/>
          <w:lang w:val="en-GB"/>
        </w:rPr>
      </w:pPr>
      <w:r>
        <w:rPr>
          <w:rFonts w:ascii="Arial Black" w:hAnsi="Arial Black"/>
          <w:b/>
          <w:bCs/>
          <w:i/>
          <w:iCs/>
          <w:sz w:val="32"/>
          <w:szCs w:val="32"/>
          <w:lang w:val="en-GB"/>
        </w:rPr>
        <w:t>MADE FOR</w:t>
      </w:r>
    </w:p>
    <w:p w14:paraId="55543B16" w14:textId="26E36B4E" w:rsidR="00903B32" w:rsidRDefault="00903B32" w:rsidP="00903B32">
      <w:pPr>
        <w:pStyle w:val="Body"/>
        <w:jc w:val="center"/>
        <w:rPr>
          <w:rFonts w:ascii="Arial Black" w:hAnsi="Arial Black"/>
          <w:b/>
          <w:bCs/>
          <w:i/>
          <w:iCs/>
          <w:sz w:val="32"/>
          <w:szCs w:val="32"/>
          <w:lang w:val="en-GB"/>
        </w:rPr>
      </w:pPr>
      <w:r>
        <w:rPr>
          <w:rFonts w:ascii="Arial Black" w:hAnsi="Arial Black"/>
          <w:b/>
          <w:bCs/>
          <w:i/>
          <w:iCs/>
          <w:sz w:val="32"/>
          <w:szCs w:val="32"/>
          <w:lang w:val="en-GB"/>
        </w:rPr>
        <w:t>DR. KENNY TANG</w:t>
      </w:r>
    </w:p>
    <w:p w14:paraId="7D984F9F" w14:textId="77777777" w:rsidR="00903B32" w:rsidRDefault="00903B32" w:rsidP="00903B32">
      <w:pPr>
        <w:pStyle w:val="Body"/>
        <w:jc w:val="center"/>
        <w:rPr>
          <w:rFonts w:ascii="Arial Black" w:hAnsi="Arial Black"/>
          <w:b/>
          <w:bCs/>
          <w:i/>
          <w:iCs/>
          <w:sz w:val="32"/>
          <w:szCs w:val="32"/>
          <w:lang w:val="en-GB"/>
        </w:rPr>
      </w:pPr>
    </w:p>
    <w:p w14:paraId="09C6AC19" w14:textId="14CE2FF5" w:rsidR="00903B32" w:rsidRDefault="00903B32" w:rsidP="00903B32">
      <w:pPr>
        <w:pStyle w:val="Body"/>
        <w:jc w:val="center"/>
        <w:rPr>
          <w:rFonts w:ascii="Arial Black" w:hAnsi="Arial Black"/>
          <w:b/>
          <w:bCs/>
          <w:i/>
          <w:iCs/>
          <w:sz w:val="28"/>
          <w:szCs w:val="28"/>
          <w:lang w:val="en-GB"/>
        </w:rPr>
      </w:pPr>
      <w:r>
        <w:rPr>
          <w:rFonts w:ascii="Arial Black" w:hAnsi="Arial Black"/>
          <w:b/>
          <w:bCs/>
          <w:i/>
          <w:iCs/>
          <w:sz w:val="28"/>
          <w:szCs w:val="28"/>
          <w:lang w:val="en-GB"/>
        </w:rPr>
        <w:t>MADE FROM</w:t>
      </w:r>
    </w:p>
    <w:p w14:paraId="45128559" w14:textId="0AEB66F9" w:rsidR="00903B32" w:rsidRDefault="00903B32" w:rsidP="00903B32">
      <w:pPr>
        <w:pStyle w:val="Body"/>
        <w:jc w:val="center"/>
        <w:rPr>
          <w:rFonts w:ascii="Arial Black" w:hAnsi="Arial Black"/>
          <w:b/>
          <w:bCs/>
          <w:i/>
          <w:iCs/>
          <w:sz w:val="28"/>
          <w:szCs w:val="28"/>
          <w:lang w:val="en-GB"/>
        </w:rPr>
      </w:pPr>
      <w:r>
        <w:rPr>
          <w:rFonts w:ascii="Arial Black" w:hAnsi="Arial Black"/>
          <w:b/>
          <w:bCs/>
          <w:i/>
          <w:iCs/>
          <w:sz w:val="28"/>
          <w:szCs w:val="28"/>
          <w:lang w:val="en-GB"/>
        </w:rPr>
        <w:t>EVELINA EMILOVA</w:t>
      </w:r>
    </w:p>
    <w:p w14:paraId="27CC5BD5" w14:textId="77777777" w:rsidR="00903B32" w:rsidRPr="00DC23F5" w:rsidRDefault="00903B32" w:rsidP="00903B32">
      <w:pPr>
        <w:pStyle w:val="Body"/>
        <w:jc w:val="center"/>
        <w:rPr>
          <w:rFonts w:ascii="Arial Black" w:hAnsi="Arial Black"/>
          <w:b/>
          <w:bCs/>
          <w:i/>
          <w:iCs/>
          <w:sz w:val="44"/>
          <w:szCs w:val="44"/>
          <w:lang w:val="en-GB"/>
        </w:rPr>
      </w:pPr>
      <w:r>
        <w:rPr>
          <w:rFonts w:ascii="Arial Black" w:hAnsi="Arial Black"/>
          <w:b/>
          <w:bCs/>
          <w:i/>
          <w:iCs/>
          <w:sz w:val="44"/>
          <w:szCs w:val="44"/>
          <w:lang w:val="en-GB"/>
        </w:rPr>
        <w:t>1818673</w:t>
      </w:r>
    </w:p>
    <w:p w14:paraId="03DA0B7E" w14:textId="77777777" w:rsidR="00903B32" w:rsidRPr="00903B32" w:rsidRDefault="00903B32" w:rsidP="00903B32">
      <w:pPr>
        <w:pStyle w:val="Body"/>
        <w:jc w:val="center"/>
        <w:rPr>
          <w:rFonts w:ascii="Arial Black" w:hAnsi="Arial Black"/>
          <w:b/>
          <w:bCs/>
          <w:i/>
          <w:iCs/>
          <w:sz w:val="28"/>
          <w:szCs w:val="28"/>
          <w:lang w:val="en-GB"/>
        </w:rPr>
      </w:pPr>
    </w:p>
    <w:p w14:paraId="1800F77C" w14:textId="77777777" w:rsidR="00DD5772" w:rsidRDefault="00DD5772">
      <w:pPr>
        <w:pStyle w:val="Body"/>
        <w:jc w:val="center"/>
        <w:rPr>
          <w:b/>
          <w:bCs/>
          <w:i/>
          <w:iCs/>
          <w:sz w:val="72"/>
          <w:szCs w:val="72"/>
        </w:rPr>
      </w:pPr>
    </w:p>
    <w:p w14:paraId="78230432" w14:textId="77777777" w:rsidR="00DD5772" w:rsidRDefault="00DD5772">
      <w:pPr>
        <w:pStyle w:val="Body"/>
        <w:jc w:val="center"/>
        <w:rPr>
          <w:b/>
          <w:bCs/>
          <w:i/>
          <w:iCs/>
          <w:sz w:val="72"/>
          <w:szCs w:val="72"/>
        </w:rPr>
      </w:pPr>
    </w:p>
    <w:p w14:paraId="225FF82E" w14:textId="77777777" w:rsidR="00DD5772" w:rsidRDefault="000E7047">
      <w:pPr>
        <w:pStyle w:val="Body"/>
      </w:pPr>
      <w:r>
        <w:br w:type="page"/>
      </w:r>
    </w:p>
    <w:p w14:paraId="56C0AEFD" w14:textId="77777777" w:rsidR="00DD5772" w:rsidRDefault="00DD5772">
      <w:pPr>
        <w:pStyle w:val="Body"/>
      </w:pPr>
    </w:p>
    <w:p w14:paraId="3905F52E" w14:textId="77777777" w:rsidR="00DD5772" w:rsidRDefault="000E7047">
      <w:pPr>
        <w:pStyle w:val="TOCHeading"/>
      </w:pPr>
      <w:r>
        <w:t>Table of Contents</w:t>
      </w:r>
    </w:p>
    <w:p w14:paraId="349BB450" w14:textId="77777777" w:rsidR="00DD5772" w:rsidRDefault="000E7047">
      <w:pPr>
        <w:pStyle w:val="Body"/>
      </w:pPr>
      <w:r>
        <w:fldChar w:fldCharType="begin"/>
      </w:r>
      <w:r>
        <w:instrText xml:space="preserve"> TOC \t "Heading, 1"</w:instrText>
      </w:r>
      <w:r>
        <w:fldChar w:fldCharType="separate"/>
      </w:r>
    </w:p>
    <w:p w14:paraId="5461294B" w14:textId="77777777" w:rsidR="00DD5772" w:rsidRDefault="000E7047">
      <w:pPr>
        <w:pStyle w:val="TOC1"/>
      </w:pPr>
      <w:r>
        <w:rPr>
          <w:rFonts w:eastAsia="Arial Unicode MS" w:hAnsi="Arial Unicode MS" w:cs="Arial Unicode MS"/>
        </w:rPr>
        <w:t xml:space="preserve">Introduction </w:t>
      </w:r>
      <w:r>
        <w:rPr>
          <w:rFonts w:eastAsia="Arial Unicode MS" w:hAnsi="Arial Unicode MS" w:cs="Arial Unicode MS"/>
        </w:rPr>
        <w:tab/>
      </w:r>
      <w:r>
        <w:fldChar w:fldCharType="begin"/>
      </w:r>
      <w:r>
        <w:instrText xml:space="preserve"> PAGEREF _Toc \h </w:instrText>
      </w:r>
      <w:r>
        <w:fldChar w:fldCharType="separate"/>
      </w:r>
      <w:r>
        <w:rPr>
          <w:rFonts w:eastAsia="Arial Unicode MS" w:hAnsi="Arial Unicode MS" w:cs="Arial Unicode MS"/>
        </w:rPr>
        <w:t>3</w:t>
      </w:r>
      <w:r>
        <w:fldChar w:fldCharType="end"/>
      </w:r>
    </w:p>
    <w:p w14:paraId="2E79FFFC" w14:textId="77777777" w:rsidR="00DD5772" w:rsidRDefault="000E7047">
      <w:pPr>
        <w:pStyle w:val="TOC1"/>
      </w:pPr>
      <w:r>
        <w:rPr>
          <w:rFonts w:eastAsia="Arial Unicode MS" w:hAnsi="Arial Unicode MS" w:cs="Arial Unicode MS"/>
        </w:rPr>
        <w:t xml:space="preserve">PESTEL </w:t>
      </w:r>
      <w:r>
        <w:rPr>
          <w:rFonts w:eastAsia="Arial Unicode MS" w:hAnsi="Arial Unicode MS" w:cs="Arial Unicode MS"/>
        </w:rPr>
        <w:tab/>
      </w:r>
      <w:r>
        <w:fldChar w:fldCharType="begin"/>
      </w:r>
      <w:r>
        <w:instrText xml:space="preserve"> PAGEREF _Toc1 \h </w:instrText>
      </w:r>
      <w:r>
        <w:fldChar w:fldCharType="separate"/>
      </w:r>
      <w:r>
        <w:rPr>
          <w:rFonts w:eastAsia="Arial Unicode MS" w:hAnsi="Arial Unicode MS" w:cs="Arial Unicode MS"/>
        </w:rPr>
        <w:t>3</w:t>
      </w:r>
      <w:r>
        <w:fldChar w:fldCharType="end"/>
      </w:r>
    </w:p>
    <w:p w14:paraId="195E22F1" w14:textId="77777777" w:rsidR="00DD5772" w:rsidRDefault="000E7047">
      <w:pPr>
        <w:pStyle w:val="TOC1"/>
      </w:pPr>
      <w:r>
        <w:rPr>
          <w:rFonts w:eastAsia="Arial Unicode MS" w:hAnsi="Arial Unicode MS" w:cs="Arial Unicode MS"/>
        </w:rPr>
        <w:t>Porter</w:t>
      </w:r>
      <w:r>
        <w:rPr>
          <w:rFonts w:eastAsia="Arial Unicode MS" w:hAnsi="Arial Unicode MS" w:cs="Arial Unicode MS"/>
        </w:rPr>
        <w:t>’</w:t>
      </w:r>
      <w:r>
        <w:rPr>
          <w:rFonts w:eastAsia="Arial Unicode MS" w:hAnsi="Arial Unicode MS" w:cs="Arial Unicode MS"/>
        </w:rPr>
        <w:t xml:space="preserve">s Five Forces and Conclusion </w:t>
      </w:r>
      <w:r>
        <w:rPr>
          <w:rFonts w:eastAsia="Arial Unicode MS" w:hAnsi="Arial Unicode MS" w:cs="Arial Unicode MS"/>
        </w:rPr>
        <w:tab/>
      </w:r>
      <w:r>
        <w:fldChar w:fldCharType="begin"/>
      </w:r>
      <w:r>
        <w:instrText xml:space="preserve"> PAGEREF _Toc2 \h </w:instrText>
      </w:r>
      <w:r>
        <w:fldChar w:fldCharType="separate"/>
      </w:r>
      <w:r>
        <w:rPr>
          <w:rFonts w:eastAsia="Arial Unicode MS" w:hAnsi="Arial Unicode MS" w:cs="Arial Unicode MS"/>
        </w:rPr>
        <w:t>4</w:t>
      </w:r>
      <w:r>
        <w:fldChar w:fldCharType="end"/>
      </w:r>
    </w:p>
    <w:p w14:paraId="4B6F3A76" w14:textId="77777777" w:rsidR="00DD5772" w:rsidRDefault="000E7047">
      <w:pPr>
        <w:pStyle w:val="TOC1"/>
      </w:pPr>
      <w:r>
        <w:rPr>
          <w:rFonts w:eastAsia="Arial Unicode MS" w:hAnsi="Arial Unicode MS" w:cs="Arial Unicode MS"/>
        </w:rPr>
        <w:t xml:space="preserve">Organizational Changes </w:t>
      </w:r>
      <w:r>
        <w:rPr>
          <w:rFonts w:eastAsia="Arial Unicode MS" w:hAnsi="Arial Unicode MS" w:cs="Arial Unicode MS"/>
        </w:rPr>
        <w:tab/>
      </w:r>
      <w:r>
        <w:fldChar w:fldCharType="begin"/>
      </w:r>
      <w:r>
        <w:instrText xml:space="preserve"> PAGEREF _Toc3 \h </w:instrText>
      </w:r>
      <w:r>
        <w:fldChar w:fldCharType="separate"/>
      </w:r>
      <w:r>
        <w:rPr>
          <w:rFonts w:eastAsia="Arial Unicode MS" w:hAnsi="Arial Unicode MS" w:cs="Arial Unicode MS"/>
        </w:rPr>
        <w:t>5</w:t>
      </w:r>
      <w:r>
        <w:fldChar w:fldCharType="end"/>
      </w:r>
    </w:p>
    <w:p w14:paraId="0522A294" w14:textId="77777777" w:rsidR="00DD5772" w:rsidRDefault="000E7047">
      <w:pPr>
        <w:pStyle w:val="TOC1"/>
      </w:pPr>
      <w:r>
        <w:rPr>
          <w:rFonts w:eastAsia="Arial Unicode MS" w:hAnsi="Arial Unicode MS" w:cs="Arial Unicode MS"/>
        </w:rPr>
        <w:t xml:space="preserve">Part 2: New Opportunities </w:t>
      </w:r>
      <w:r>
        <w:rPr>
          <w:rFonts w:eastAsia="Arial Unicode MS" w:hAnsi="Arial Unicode MS" w:cs="Arial Unicode MS"/>
        </w:rPr>
        <w:tab/>
      </w:r>
      <w:r>
        <w:fldChar w:fldCharType="begin"/>
      </w:r>
      <w:r>
        <w:instrText xml:space="preserve"> PAGEREF _Toc4 \h </w:instrText>
      </w:r>
      <w:r>
        <w:fldChar w:fldCharType="separate"/>
      </w:r>
      <w:r>
        <w:rPr>
          <w:rFonts w:eastAsia="Arial Unicode MS" w:hAnsi="Arial Unicode MS" w:cs="Arial Unicode MS"/>
        </w:rPr>
        <w:t>6</w:t>
      </w:r>
      <w:r>
        <w:fldChar w:fldCharType="end"/>
      </w:r>
    </w:p>
    <w:p w14:paraId="1CC3B5D9" w14:textId="77777777" w:rsidR="00DD5772" w:rsidRDefault="000E7047">
      <w:pPr>
        <w:pStyle w:val="TOC1"/>
      </w:pPr>
      <w:r>
        <w:rPr>
          <w:rFonts w:eastAsia="Arial Unicode MS" w:hAnsi="Arial Unicode MS" w:cs="Arial Unicode MS"/>
        </w:rPr>
        <w:t>A. Porter</w:t>
      </w:r>
      <w:r>
        <w:rPr>
          <w:rFonts w:eastAsia="Arial Unicode MS" w:hAnsi="Arial Unicode MS" w:cs="Arial Unicode MS"/>
        </w:rPr>
        <w:t>’</w:t>
      </w:r>
      <w:r>
        <w:rPr>
          <w:rFonts w:eastAsia="Arial Unicode MS" w:hAnsi="Arial Unicode MS" w:cs="Arial Unicode MS"/>
        </w:rPr>
        <w:t xml:space="preserve">s value chain and conclusion </w:t>
      </w:r>
      <w:r>
        <w:rPr>
          <w:rFonts w:eastAsia="Arial Unicode MS" w:hAnsi="Arial Unicode MS" w:cs="Arial Unicode MS"/>
        </w:rPr>
        <w:tab/>
      </w:r>
      <w:r>
        <w:fldChar w:fldCharType="begin"/>
      </w:r>
      <w:r>
        <w:instrText xml:space="preserve"> PAGEREF _Toc5 \h </w:instrText>
      </w:r>
      <w:r>
        <w:fldChar w:fldCharType="separate"/>
      </w:r>
      <w:r>
        <w:rPr>
          <w:rFonts w:eastAsia="Arial Unicode MS" w:hAnsi="Arial Unicode MS" w:cs="Arial Unicode MS"/>
        </w:rPr>
        <w:t>6</w:t>
      </w:r>
      <w:r>
        <w:fldChar w:fldCharType="end"/>
      </w:r>
    </w:p>
    <w:p w14:paraId="1B241482" w14:textId="77777777" w:rsidR="00DD5772" w:rsidRDefault="000E7047">
      <w:pPr>
        <w:pStyle w:val="TOC1"/>
      </w:pPr>
      <w:r>
        <w:rPr>
          <w:rFonts w:eastAsia="Arial Unicode MS" w:hAnsi="Arial Unicode MS" w:cs="Arial Unicode MS"/>
        </w:rPr>
        <w:t xml:space="preserve">B. New business opportunities </w:t>
      </w:r>
      <w:r>
        <w:rPr>
          <w:rFonts w:eastAsia="Arial Unicode MS" w:hAnsi="Arial Unicode MS" w:cs="Arial Unicode MS"/>
        </w:rPr>
        <w:tab/>
      </w:r>
      <w:r>
        <w:fldChar w:fldCharType="begin"/>
      </w:r>
      <w:r>
        <w:instrText xml:space="preserve"> PAGEREF _Toc6 \h </w:instrText>
      </w:r>
      <w:r>
        <w:fldChar w:fldCharType="separate"/>
      </w:r>
      <w:r>
        <w:rPr>
          <w:rFonts w:eastAsia="Arial Unicode MS" w:hAnsi="Arial Unicode MS" w:cs="Arial Unicode MS"/>
        </w:rPr>
        <w:t>8</w:t>
      </w:r>
      <w:r>
        <w:fldChar w:fldCharType="end"/>
      </w:r>
    </w:p>
    <w:p w14:paraId="52338E6D" w14:textId="77777777" w:rsidR="00DD5772" w:rsidRDefault="000E7047">
      <w:pPr>
        <w:pStyle w:val="TOC1"/>
      </w:pPr>
      <w:r>
        <w:rPr>
          <w:rFonts w:eastAsia="Arial Unicode MS" w:hAnsi="Arial Unicode MS" w:cs="Arial Unicode MS"/>
        </w:rPr>
        <w:t xml:space="preserve">C. businesses to be discontinued </w:t>
      </w:r>
      <w:r>
        <w:rPr>
          <w:rFonts w:eastAsia="Arial Unicode MS" w:hAnsi="Arial Unicode MS" w:cs="Arial Unicode MS"/>
        </w:rPr>
        <w:tab/>
      </w:r>
      <w:r>
        <w:fldChar w:fldCharType="begin"/>
      </w:r>
      <w:r>
        <w:instrText xml:space="preserve"> PAGEREF _Toc7 \h </w:instrText>
      </w:r>
      <w:r>
        <w:fldChar w:fldCharType="separate"/>
      </w:r>
      <w:r>
        <w:rPr>
          <w:rFonts w:eastAsia="Arial Unicode MS" w:hAnsi="Arial Unicode MS" w:cs="Arial Unicode MS"/>
        </w:rPr>
        <w:t>9</w:t>
      </w:r>
      <w:r>
        <w:fldChar w:fldCharType="end"/>
      </w:r>
    </w:p>
    <w:p w14:paraId="1EEBC537" w14:textId="77777777" w:rsidR="00DD5772" w:rsidRDefault="000E7047">
      <w:pPr>
        <w:pStyle w:val="TOC1"/>
      </w:pPr>
      <w:r>
        <w:rPr>
          <w:rFonts w:eastAsia="Arial Unicode MS" w:hAnsi="Arial Unicode MS" w:cs="Arial Unicode MS"/>
        </w:rPr>
        <w:t>Conclusion for part 2</w:t>
      </w:r>
      <w:r>
        <w:rPr>
          <w:rFonts w:eastAsia="Arial Unicode MS" w:hAnsi="Arial Unicode MS" w:cs="Arial Unicode MS"/>
        </w:rPr>
        <w:tab/>
      </w:r>
      <w:r>
        <w:fldChar w:fldCharType="begin"/>
      </w:r>
      <w:r>
        <w:instrText xml:space="preserve"> PAGEREF _Toc8 \h </w:instrText>
      </w:r>
      <w:r>
        <w:fldChar w:fldCharType="separate"/>
      </w:r>
      <w:r>
        <w:rPr>
          <w:rFonts w:eastAsia="Arial Unicode MS" w:hAnsi="Arial Unicode MS" w:cs="Arial Unicode MS"/>
        </w:rPr>
        <w:t>10</w:t>
      </w:r>
      <w:r>
        <w:fldChar w:fldCharType="end"/>
      </w:r>
    </w:p>
    <w:p w14:paraId="55F98BBF" w14:textId="77777777" w:rsidR="00DD5772" w:rsidRDefault="000E7047">
      <w:pPr>
        <w:pStyle w:val="TOC1"/>
      </w:pPr>
      <w:r>
        <w:rPr>
          <w:rFonts w:eastAsia="Arial Unicode MS" w:hAnsi="Arial Unicode MS" w:cs="Arial Unicode MS"/>
        </w:rPr>
        <w:t xml:space="preserve">Overall conclusion </w:t>
      </w:r>
      <w:r>
        <w:rPr>
          <w:rFonts w:eastAsia="Arial Unicode MS" w:hAnsi="Arial Unicode MS" w:cs="Arial Unicode MS"/>
        </w:rPr>
        <w:tab/>
      </w:r>
      <w:r>
        <w:fldChar w:fldCharType="begin"/>
      </w:r>
      <w:r>
        <w:instrText xml:space="preserve"> PAGEREF _Toc9 \h </w:instrText>
      </w:r>
      <w:r>
        <w:fldChar w:fldCharType="separate"/>
      </w:r>
      <w:r>
        <w:rPr>
          <w:rFonts w:eastAsia="Arial Unicode MS" w:hAnsi="Arial Unicode MS" w:cs="Arial Unicode MS"/>
        </w:rPr>
        <w:t>10</w:t>
      </w:r>
      <w:r>
        <w:fldChar w:fldCharType="end"/>
      </w:r>
    </w:p>
    <w:p w14:paraId="61730423" w14:textId="77777777" w:rsidR="00DD5772" w:rsidRDefault="000E7047">
      <w:pPr>
        <w:pStyle w:val="TOC1"/>
      </w:pPr>
      <w:r>
        <w:rPr>
          <w:rFonts w:eastAsia="Arial Unicode MS" w:hAnsi="Arial Unicode MS" w:cs="Arial Unicode MS"/>
        </w:rPr>
        <w:t xml:space="preserve">Bibliography </w:t>
      </w:r>
      <w:r>
        <w:rPr>
          <w:rFonts w:eastAsia="Arial Unicode MS" w:hAnsi="Arial Unicode MS" w:cs="Arial Unicode MS"/>
        </w:rPr>
        <w:tab/>
      </w:r>
      <w:r>
        <w:fldChar w:fldCharType="begin"/>
      </w:r>
      <w:r>
        <w:instrText xml:space="preserve"> PAGEREF _Toc10 \h </w:instrText>
      </w:r>
      <w:r>
        <w:fldChar w:fldCharType="separate"/>
      </w:r>
      <w:r>
        <w:rPr>
          <w:rFonts w:eastAsia="Arial Unicode MS" w:hAnsi="Arial Unicode MS" w:cs="Arial Unicode MS"/>
        </w:rPr>
        <w:t>11</w:t>
      </w:r>
      <w:r>
        <w:fldChar w:fldCharType="end"/>
      </w:r>
    </w:p>
    <w:p w14:paraId="1472A62F" w14:textId="77777777" w:rsidR="00DD5772" w:rsidRDefault="000E7047">
      <w:pPr>
        <w:pStyle w:val="Body"/>
      </w:pPr>
      <w:r>
        <w:fldChar w:fldCharType="end"/>
      </w:r>
    </w:p>
    <w:p w14:paraId="0D5E0908" w14:textId="77777777" w:rsidR="00DD5772" w:rsidRDefault="000E7047">
      <w:pPr>
        <w:pStyle w:val="Body"/>
      </w:pPr>
      <w:r>
        <w:br w:type="page"/>
      </w:r>
    </w:p>
    <w:p w14:paraId="6B8D34F8" w14:textId="77777777" w:rsidR="00DD5772" w:rsidRDefault="00DD5772">
      <w:pPr>
        <w:pStyle w:val="Body"/>
      </w:pPr>
    </w:p>
    <w:p w14:paraId="23360FB9" w14:textId="77777777" w:rsidR="00DD5772" w:rsidRDefault="000E7047">
      <w:pPr>
        <w:pStyle w:val="Heading"/>
      </w:pPr>
      <w:bookmarkStart w:id="1" w:name="_Toc"/>
      <w:r>
        <w:rPr>
          <w:rFonts w:eastAsia="Arial Unicode MS" w:hAnsi="Arial Unicode MS" w:cs="Arial Unicode MS"/>
          <w:lang w:val="fr-FR"/>
        </w:rPr>
        <w:t xml:space="preserve">Introduction </w:t>
      </w:r>
      <w:bookmarkEnd w:id="1"/>
    </w:p>
    <w:p w14:paraId="6C05E8F9" w14:textId="4A33A9A0" w:rsidR="00DD5772" w:rsidRDefault="000E7047">
      <w:pPr>
        <w:pStyle w:val="Body"/>
      </w:pPr>
      <w:r>
        <w:rPr>
          <w:lang w:val="en-US"/>
        </w:rPr>
        <w:t>Business management has been closely related to the recognition which would be determining the introduction of a new business into the transforming business scenario. Usage of alternative sources of energy and car manufacturing model has been undertaken by the organization Volvo. In this report, the issues of external environment shall be thoroughly analyzed by using several kinds of frameworks. The structures for the analysis which would be taken under consideration would be PESTEL, and the Porters</w:t>
      </w:r>
      <w:r>
        <w:rPr>
          <w:rFonts w:ascii="Arial Unicode MS" w:hAnsi="Times New Roman"/>
          <w:lang w:val="fr-FR"/>
        </w:rPr>
        <w:t>’</w:t>
      </w:r>
      <w:r>
        <w:rPr>
          <w:rFonts w:ascii="Arial Unicode MS" w:hAnsi="Times New Roman"/>
          <w:lang w:val="fr-FR"/>
        </w:rPr>
        <w:t xml:space="preserve"> </w:t>
      </w:r>
      <w:r>
        <w:rPr>
          <w:lang w:val="en-US"/>
        </w:rPr>
        <w:t xml:space="preserve">Five Forces. </w:t>
      </w:r>
    </w:p>
    <w:p w14:paraId="39C77E36" w14:textId="77777777" w:rsidR="00DD5772" w:rsidRDefault="000E7047">
      <w:pPr>
        <w:pStyle w:val="Body"/>
      </w:pPr>
      <w:r>
        <w:rPr>
          <w:lang w:val="en-US"/>
        </w:rPr>
        <w:t>Based on the evaluation of the external environment, the conduction of the analysis of change in the organizational structure and function shall be taken under consideration (</w:t>
      </w:r>
      <w:r>
        <w:rPr>
          <w:shd w:val="clear" w:color="auto" w:fill="FFFFFF"/>
          <w:lang w:val="it-IT"/>
        </w:rPr>
        <w:t xml:space="preserve">Cano </w:t>
      </w:r>
      <w:r>
        <w:rPr>
          <w:i/>
          <w:iCs/>
          <w:shd w:val="clear" w:color="auto" w:fill="FFFFFF"/>
          <w:lang w:val="nl-NL"/>
        </w:rPr>
        <w:t xml:space="preserve">et al., </w:t>
      </w:r>
      <w:r>
        <w:rPr>
          <w:shd w:val="clear" w:color="auto" w:fill="FFFFFF"/>
        </w:rPr>
        <w:t>2018)</w:t>
      </w:r>
      <w:r>
        <w:rPr>
          <w:lang w:val="en-US"/>
        </w:rPr>
        <w:t xml:space="preserve">. The drive towards the production of the electric cars and their association with the changing demands shall be analyzed. Furthermore, the identification of the various issues of business opportunities shall be taken under consideration. Following this, the assessment for the business with respect to the global automotive industry shall be taken under consideration, which would be related to the profitability and the productivity of the business.  </w:t>
      </w:r>
    </w:p>
    <w:p w14:paraId="3541AADF" w14:textId="77777777" w:rsidR="00DD5772" w:rsidRDefault="000E7047">
      <w:pPr>
        <w:pStyle w:val="Heading"/>
      </w:pPr>
      <w:bookmarkStart w:id="2" w:name="_Toc1"/>
      <w:r>
        <w:rPr>
          <w:rFonts w:eastAsia="Arial Unicode MS" w:hAnsi="Arial Unicode MS" w:cs="Arial Unicode MS"/>
        </w:rPr>
        <w:t xml:space="preserve">PESTEL </w:t>
      </w:r>
      <w:bookmarkEnd w:id="2"/>
    </w:p>
    <w:p w14:paraId="3344EAE7" w14:textId="77777777" w:rsidR="00DD5772" w:rsidRDefault="000E7047">
      <w:pPr>
        <w:pStyle w:val="Body"/>
      </w:pPr>
      <w:r>
        <w:rPr>
          <w:b/>
          <w:bCs/>
          <w:lang w:val="en-US"/>
        </w:rPr>
        <w:t>Political</w:t>
      </w:r>
      <w:r>
        <w:rPr>
          <w:lang w:val="en-US"/>
        </w:rPr>
        <w:t xml:space="preserve">: The litigations of the Europe based countries, especially in UK, has been affected by the electric mobility and such vehicles. Furthermore, the European Commission has shown the issues of the adoption of the electric mobility. It is due to this decree, that the clean fuel and proper deployment of infrastructure supporting the EU directives has been taken under consideration. </w:t>
      </w:r>
    </w:p>
    <w:p w14:paraId="75F47B1A" w14:textId="77777777" w:rsidR="00DD5772" w:rsidRDefault="000E7047">
      <w:pPr>
        <w:pStyle w:val="Body"/>
      </w:pPr>
      <w:r>
        <w:rPr>
          <w:lang w:val="en-US"/>
        </w:rPr>
        <w:t xml:space="preserve">Governments are promoting the EVs by inducing range of subsidies, and benefits. </w:t>
      </w:r>
    </w:p>
    <w:p w14:paraId="3F2396D2" w14:textId="77777777" w:rsidR="00DD5772" w:rsidRDefault="000E7047">
      <w:pPr>
        <w:pStyle w:val="Body"/>
      </w:pPr>
      <w:r>
        <w:rPr>
          <w:b/>
          <w:bCs/>
          <w:lang w:val="en-US"/>
        </w:rPr>
        <w:t>Economical</w:t>
      </w:r>
      <w:r>
        <w:rPr>
          <w:lang w:val="en-US"/>
        </w:rPr>
        <w:t>: The countries within Europe have seen the increase in the sales by 1%. The sales have been. With the purchase of the EVs there are certain taxes such as purchase tax, VAT, toll charge and such others which can be exempted (</w:t>
      </w:r>
      <w:r>
        <w:rPr>
          <w:shd w:val="clear" w:color="auto" w:fill="FFFFFF"/>
          <w:lang w:val="it-IT"/>
        </w:rPr>
        <w:t xml:space="preserve">Cano </w:t>
      </w:r>
      <w:r>
        <w:rPr>
          <w:i/>
          <w:iCs/>
          <w:shd w:val="clear" w:color="auto" w:fill="FFFFFF"/>
          <w:lang w:val="nl-NL"/>
        </w:rPr>
        <w:t xml:space="preserve">et al., </w:t>
      </w:r>
      <w:r>
        <w:rPr>
          <w:shd w:val="clear" w:color="auto" w:fill="FFFFFF"/>
        </w:rPr>
        <w:t>2018)</w:t>
      </w:r>
      <w:r>
        <w:t xml:space="preserve">. </w:t>
      </w:r>
    </w:p>
    <w:p w14:paraId="535DD23A" w14:textId="77777777" w:rsidR="00DD5772" w:rsidRDefault="000E7047">
      <w:pPr>
        <w:pStyle w:val="Body"/>
      </w:pPr>
      <w:r>
        <w:rPr>
          <w:b/>
          <w:bCs/>
        </w:rPr>
        <w:t>Social</w:t>
      </w:r>
      <w:r>
        <w:rPr>
          <w:lang w:val="en-US"/>
        </w:rPr>
        <w:t xml:space="preserve">: As per the analysis of the case study it can be observed that the people who are purchasing the electronic vehicles are from the urban </w:t>
      </w:r>
      <w:proofErr w:type="gramStart"/>
      <w:r>
        <w:rPr>
          <w:lang w:val="en-US"/>
        </w:rPr>
        <w:t>higher class</w:t>
      </w:r>
      <w:proofErr w:type="gramEnd"/>
      <w:r>
        <w:rPr>
          <w:lang w:val="en-US"/>
        </w:rPr>
        <w:t xml:space="preserve"> people. It has been further noted that the people have been segregated </w:t>
      </w:r>
      <w:proofErr w:type="gramStart"/>
      <w:r>
        <w:rPr>
          <w:lang w:val="en-US"/>
        </w:rPr>
        <w:t>on the basis of</w:t>
      </w:r>
      <w:proofErr w:type="gramEnd"/>
      <w:r>
        <w:rPr>
          <w:lang w:val="en-US"/>
        </w:rPr>
        <w:t xml:space="preserve"> trendy greens, who consider the conversion of the </w:t>
      </w:r>
      <w:r>
        <w:rPr>
          <w:lang w:val="en-US"/>
        </w:rPr>
        <w:lastRenderedPageBreak/>
        <w:t xml:space="preserve">mode of transport to EV as something trendy. The other mean has been the TCO sensitive which is related to the total cost of ownership. </w:t>
      </w:r>
    </w:p>
    <w:p w14:paraId="5156D00A" w14:textId="77777777" w:rsidR="00DD5772" w:rsidRDefault="000E7047">
      <w:pPr>
        <w:pStyle w:val="Body"/>
      </w:pPr>
      <w:r>
        <w:rPr>
          <w:b/>
          <w:bCs/>
          <w:lang w:val="en-US"/>
        </w:rPr>
        <w:t>Technological</w:t>
      </w:r>
      <w:r>
        <w:rPr>
          <w:lang w:val="en-US"/>
        </w:rPr>
        <w:t xml:space="preserve">: It has been observed that the governments over Europe have been conducting investment for the Research and Development related to the EVs. The development of the electronic technology related to the small and large format cells has been taken under consideration. </w:t>
      </w:r>
    </w:p>
    <w:p w14:paraId="0A77E8BA" w14:textId="77777777" w:rsidR="00DD5772" w:rsidRDefault="000E7047">
      <w:pPr>
        <w:pStyle w:val="Body"/>
      </w:pPr>
      <w:r>
        <w:rPr>
          <w:b/>
          <w:bCs/>
          <w:lang w:val="en-US"/>
        </w:rPr>
        <w:t>Environmental</w:t>
      </w:r>
      <w:r>
        <w:rPr>
          <w:lang w:val="en-US"/>
        </w:rPr>
        <w:t xml:space="preserve">: Reduction of the carbon footprint has been one of the regulations those are circulated with the help of various treaties, amongst the others. EVs are low emission alternatives to the carbon positive vehicles (Chen </w:t>
      </w:r>
      <w:r>
        <w:rPr>
          <w:i/>
          <w:iCs/>
          <w:lang w:val="nl-NL"/>
        </w:rPr>
        <w:t xml:space="preserve">et al., </w:t>
      </w:r>
      <w:r>
        <w:t xml:space="preserve">2016). </w:t>
      </w:r>
    </w:p>
    <w:p w14:paraId="3527D9EC" w14:textId="77777777" w:rsidR="00DD5772" w:rsidRDefault="000E7047">
      <w:pPr>
        <w:pStyle w:val="Body"/>
      </w:pPr>
      <w:r>
        <w:rPr>
          <w:b/>
          <w:bCs/>
        </w:rPr>
        <w:t>Legal</w:t>
      </w:r>
      <w:r>
        <w:rPr>
          <w:lang w:val="en-US"/>
        </w:rPr>
        <w:t xml:space="preserve">: Another challenging aspect with respect to the undertaking of the issues of EVs has been the variable law issues. The labor law, environment protection law, and several other such laws shall be dealt with considerably for the purpose of the management of the issues. </w:t>
      </w:r>
    </w:p>
    <w:p w14:paraId="54E00EF8" w14:textId="77777777" w:rsidR="00DD5772" w:rsidRDefault="000E7047">
      <w:pPr>
        <w:pStyle w:val="Heading"/>
      </w:pPr>
      <w:bookmarkStart w:id="3" w:name="_Toc2"/>
      <w:r>
        <w:rPr>
          <w:rFonts w:eastAsia="Arial Unicode MS" w:hAnsi="Arial Unicode MS" w:cs="Arial Unicode MS"/>
        </w:rPr>
        <w:t>Porter</w:t>
      </w:r>
      <w:r>
        <w:rPr>
          <w:rFonts w:ascii="Arial Unicode MS" w:eastAsia="Arial Unicode MS" w:cs="Arial Unicode MS"/>
          <w:lang w:val="fr-FR"/>
        </w:rPr>
        <w:t>’</w:t>
      </w:r>
      <w:r>
        <w:rPr>
          <w:rFonts w:eastAsia="Arial Unicode MS" w:hAnsi="Arial Unicode MS" w:cs="Arial Unicode MS"/>
          <w:lang w:val="en-US"/>
        </w:rPr>
        <w:t xml:space="preserve">s Five Forces and Conclusion </w:t>
      </w:r>
      <w:bookmarkEnd w:id="3"/>
    </w:p>
    <w:p w14:paraId="32AB30F0" w14:textId="77777777" w:rsidR="00DD5772" w:rsidRDefault="000E7047">
      <w:pPr>
        <w:pStyle w:val="Body"/>
      </w:pPr>
      <w:r>
        <w:rPr>
          <w:lang w:val="en-US"/>
        </w:rPr>
        <w:t>With respect to Volvo, which decided that starting from the year 2019, the Volvo cars would be having an electric motor. Based on the demand and the environmental need of the hour, the President and the CEO of the company had undertaken an analysis of the forces affecting the introduction of such cars (</w:t>
      </w:r>
      <w:r>
        <w:rPr>
          <w:shd w:val="clear" w:color="auto" w:fill="FFFFFF"/>
          <w:lang w:val="pt-PT"/>
        </w:rPr>
        <w:t xml:space="preserve">Fincham </w:t>
      </w:r>
      <w:r>
        <w:rPr>
          <w:i/>
          <w:iCs/>
          <w:shd w:val="clear" w:color="auto" w:fill="FFFFFF"/>
          <w:lang w:val="nl-NL"/>
        </w:rPr>
        <w:t xml:space="preserve">et al., </w:t>
      </w:r>
      <w:r>
        <w:rPr>
          <w:shd w:val="clear" w:color="auto" w:fill="FFFFFF"/>
        </w:rPr>
        <w:t>2017)</w:t>
      </w:r>
      <w:r>
        <w:t xml:space="preserve">. </w:t>
      </w:r>
    </w:p>
    <w:p w14:paraId="6C812FCA" w14:textId="77777777" w:rsidR="00DD5772" w:rsidRDefault="000E7047">
      <w:pPr>
        <w:pStyle w:val="Body"/>
      </w:pPr>
      <w:proofErr w:type="spellStart"/>
      <w:r>
        <w:rPr>
          <w:b/>
          <w:bCs/>
          <w:lang w:val="fr-FR"/>
        </w:rPr>
        <w:t>Competitive</w:t>
      </w:r>
      <w:proofErr w:type="spellEnd"/>
      <w:r>
        <w:rPr>
          <w:b/>
          <w:bCs/>
          <w:lang w:val="fr-FR"/>
        </w:rPr>
        <w:t xml:space="preserve"> </w:t>
      </w:r>
      <w:proofErr w:type="spellStart"/>
      <w:proofErr w:type="gramStart"/>
      <w:r>
        <w:rPr>
          <w:b/>
          <w:bCs/>
          <w:lang w:val="fr-FR"/>
        </w:rPr>
        <w:t>Rivalry</w:t>
      </w:r>
      <w:proofErr w:type="spellEnd"/>
      <w:r>
        <w:rPr>
          <w:lang w:val="en-US"/>
        </w:rPr>
        <w:t>:</w:t>
      </w:r>
      <w:proofErr w:type="gramEnd"/>
      <w:r>
        <w:rPr>
          <w:lang w:val="en-US"/>
        </w:rPr>
        <w:t xml:space="preserve"> Even though there are small number of firms operating for the production of the EVs, the firms which are already present, for example Tesla, is a strong impeder. Demand of the consumers and the low switching costs also further affects such profitability and productivity. Hence this </w:t>
      </w:r>
      <w:proofErr w:type="gramStart"/>
      <w:r>
        <w:rPr>
          <w:lang w:val="en-US"/>
        </w:rPr>
        <w:t>is considered to be</w:t>
      </w:r>
      <w:proofErr w:type="gramEnd"/>
      <w:r>
        <w:rPr>
          <w:lang w:val="en-US"/>
        </w:rPr>
        <w:t xml:space="preserve"> a major force. </w:t>
      </w:r>
    </w:p>
    <w:p w14:paraId="331358F6" w14:textId="77777777" w:rsidR="00DD5772" w:rsidRDefault="000E7047">
      <w:pPr>
        <w:pStyle w:val="Body"/>
      </w:pPr>
      <w:r>
        <w:rPr>
          <w:b/>
          <w:bCs/>
          <w:lang w:val="en-US"/>
        </w:rPr>
        <w:t>Bargaining Power of Consumers</w:t>
      </w:r>
      <w:r>
        <w:rPr>
          <w:lang w:val="en-US"/>
        </w:rPr>
        <w:t>: It has been observed that the consumers of Volvo would be having direct impact on the revenue generation capacity. Lower switching costs for the consumers, are strong impeders, which can regulate the business. The availability of the substitutes is also improving, which makes the consumers even more powerful. Hence it is a moderately strong force (</w:t>
      </w:r>
      <w:r>
        <w:rPr>
          <w:shd w:val="clear" w:color="auto" w:fill="FFFFFF"/>
          <w:lang w:val="it-IT"/>
        </w:rPr>
        <w:t xml:space="preserve">Cano </w:t>
      </w:r>
      <w:r>
        <w:rPr>
          <w:i/>
          <w:iCs/>
          <w:shd w:val="clear" w:color="auto" w:fill="FFFFFF"/>
          <w:lang w:val="nl-NL"/>
        </w:rPr>
        <w:t xml:space="preserve">et al., </w:t>
      </w:r>
      <w:r>
        <w:rPr>
          <w:shd w:val="clear" w:color="auto" w:fill="FFFFFF"/>
        </w:rPr>
        <w:t>2018)</w:t>
      </w:r>
      <w:r>
        <w:t xml:space="preserve">. </w:t>
      </w:r>
    </w:p>
    <w:p w14:paraId="0848A385" w14:textId="77777777" w:rsidR="00DD5772" w:rsidRDefault="000E7047">
      <w:pPr>
        <w:pStyle w:val="Body"/>
      </w:pPr>
      <w:r>
        <w:rPr>
          <w:b/>
          <w:bCs/>
          <w:lang w:val="en-US"/>
        </w:rPr>
        <w:lastRenderedPageBreak/>
        <w:t>Bargaining Power of Suppliers</w:t>
      </w:r>
      <w:r>
        <w:rPr>
          <w:lang w:val="en-US"/>
        </w:rPr>
        <w:t>: The moderate force with respect to this aspect has been the moderate forward integration of the suppliers. Another aspect has been the relatively moderate size of the suppliers, for the EVs. The supply level is also not as much as the combustible engines. Hence this is the force which has moderate effect on the profitability of the system (</w:t>
      </w:r>
      <w:r>
        <w:rPr>
          <w:shd w:val="clear" w:color="auto" w:fill="FFFFFF"/>
          <w:lang w:val="pt-PT"/>
        </w:rPr>
        <w:t xml:space="preserve">Fincham </w:t>
      </w:r>
      <w:r>
        <w:rPr>
          <w:i/>
          <w:iCs/>
          <w:shd w:val="clear" w:color="auto" w:fill="FFFFFF"/>
          <w:lang w:val="nl-NL"/>
        </w:rPr>
        <w:t xml:space="preserve">et al., </w:t>
      </w:r>
      <w:r>
        <w:rPr>
          <w:shd w:val="clear" w:color="auto" w:fill="FFFFFF"/>
        </w:rPr>
        <w:t>2017)</w:t>
      </w:r>
      <w:r>
        <w:t xml:space="preserve">. </w:t>
      </w:r>
    </w:p>
    <w:p w14:paraId="65B5EA19" w14:textId="77777777" w:rsidR="00DD5772" w:rsidRDefault="000E7047">
      <w:pPr>
        <w:pStyle w:val="Body"/>
      </w:pPr>
      <w:r>
        <w:rPr>
          <w:b/>
          <w:bCs/>
          <w:lang w:val="en-US"/>
        </w:rPr>
        <w:t>Threat of Substitutes</w:t>
      </w:r>
      <w:r>
        <w:rPr>
          <w:lang w:val="en-US"/>
        </w:rPr>
        <w:t xml:space="preserve">: The cost of switching from the EVs to some other types, or between two companies manufacturing has been found to be less. The availability of the substitute has been rather moderate. Besides, the performance of the substitutes has also been relatively moderate. Hence overall this is the kind of the threat which has been found to be moderate. </w:t>
      </w:r>
    </w:p>
    <w:p w14:paraId="0EE2B78C" w14:textId="77777777" w:rsidR="00DD5772" w:rsidRDefault="000E7047">
      <w:pPr>
        <w:pStyle w:val="Body"/>
      </w:pPr>
      <w:r>
        <w:rPr>
          <w:b/>
          <w:bCs/>
          <w:lang w:val="en-US"/>
        </w:rPr>
        <w:t>Threat of New Entrant</w:t>
      </w:r>
      <w:r>
        <w:t>: Volvo</w:t>
      </w:r>
      <w:r>
        <w:rPr>
          <w:rFonts w:ascii="Arial Unicode MS" w:hAnsi="Times New Roman"/>
          <w:lang w:val="fr-FR"/>
        </w:rPr>
        <w:t>’</w:t>
      </w:r>
      <w:r>
        <w:rPr>
          <w:lang w:val="en-US"/>
        </w:rPr>
        <w:t xml:space="preserve">s business is often perceived to be difficult to compete with. The cost of brand formation for the other brands would be high, and cost of doing business has also been perceived to be rather high. </w:t>
      </w:r>
      <w:proofErr w:type="gramStart"/>
      <w:r>
        <w:rPr>
          <w:lang w:val="en-US"/>
        </w:rPr>
        <w:t>Furthermore</w:t>
      </w:r>
      <w:proofErr w:type="gramEnd"/>
      <w:r>
        <w:rPr>
          <w:lang w:val="en-US"/>
        </w:rPr>
        <w:t xml:space="preserve"> the economies of scale have also been related to be a weak force. Hence this has been referred to as one of the weak </w:t>
      </w:r>
      <w:proofErr w:type="gramStart"/>
      <w:r>
        <w:rPr>
          <w:lang w:val="en-US"/>
        </w:rPr>
        <w:t>force</w:t>
      </w:r>
      <w:proofErr w:type="gramEnd"/>
      <w:r>
        <w:rPr>
          <w:lang w:val="en-US"/>
        </w:rPr>
        <w:t xml:space="preserve"> which has been related to the new entrants within the new market (Chen </w:t>
      </w:r>
      <w:r>
        <w:rPr>
          <w:i/>
          <w:iCs/>
          <w:lang w:val="nl-NL"/>
        </w:rPr>
        <w:t xml:space="preserve">et al., </w:t>
      </w:r>
      <w:r>
        <w:t xml:space="preserve">2016). </w:t>
      </w:r>
    </w:p>
    <w:p w14:paraId="2AA83001" w14:textId="77777777" w:rsidR="00DD5772" w:rsidRDefault="000E7047">
      <w:pPr>
        <w:pStyle w:val="Heading"/>
      </w:pPr>
      <w:bookmarkStart w:id="4" w:name="_Toc3"/>
      <w:r>
        <w:rPr>
          <w:rFonts w:eastAsia="Arial Unicode MS" w:hAnsi="Arial Unicode MS" w:cs="Arial Unicode MS"/>
          <w:lang w:val="en-US"/>
        </w:rPr>
        <w:t xml:space="preserve">Organizational Changes </w:t>
      </w:r>
      <w:bookmarkEnd w:id="4"/>
    </w:p>
    <w:p w14:paraId="11466E68" w14:textId="77777777" w:rsidR="00DD5772" w:rsidRDefault="000E7047">
      <w:pPr>
        <w:pStyle w:val="Body"/>
      </w:pPr>
      <w:r>
        <w:rPr>
          <w:lang w:val="en-US"/>
        </w:rPr>
        <w:t xml:space="preserve">Europe has been undertaking the issues of adaptation to the Electronic Vehicles. Owing to the various environmental concerns, over the expulsion of harmful gases due to the fossil fuel combustion, the traditional combustion engines are being modified and being made to be more environment friendly. One of the major barriers to the substantial organizational changes has been the rate of higher amount of costs, anxiety and the lesser level of awareness with respect to the adoption to the electronic vehicles. </w:t>
      </w:r>
    </w:p>
    <w:p w14:paraId="56064FAA" w14:textId="77777777" w:rsidR="00DD5772" w:rsidRDefault="000E7047">
      <w:pPr>
        <w:pStyle w:val="Body"/>
      </w:pPr>
      <w:r>
        <w:rPr>
          <w:lang w:val="en-US"/>
        </w:rPr>
        <w:t>The combustible engines are more used form of engines within the Europe; however, in the future it can be analyzed that the electronic vehicles would be claiming substantial space. Cost competitiveness has also been regarded as one of the most critical aspect which would be regulating the growth of the company in the future. There shall be subsequent change in the type of the sector management with respect to the public and private sectors. Charging portals are undertaking the conversion from the public to the private sector. The infrastructure with respect to the development of the power sector and the production of the electricity has been associated with the wired charging infrastructure which is related to the EVs (</w:t>
      </w:r>
      <w:proofErr w:type="spellStart"/>
      <w:r>
        <w:rPr>
          <w:lang w:val="en-US"/>
        </w:rPr>
        <w:t>Fotouhi</w:t>
      </w:r>
      <w:proofErr w:type="spellEnd"/>
      <w:r>
        <w:rPr>
          <w:lang w:val="en-US"/>
        </w:rPr>
        <w:t xml:space="preserve"> </w:t>
      </w:r>
      <w:r>
        <w:rPr>
          <w:i/>
          <w:iCs/>
          <w:lang w:val="nl-NL"/>
        </w:rPr>
        <w:t xml:space="preserve">et al., </w:t>
      </w:r>
      <w:r>
        <w:rPr>
          <w:lang w:val="en-US"/>
        </w:rPr>
        <w:t xml:space="preserve">2016). The </w:t>
      </w:r>
      <w:r>
        <w:rPr>
          <w:lang w:val="en-US"/>
        </w:rPr>
        <w:lastRenderedPageBreak/>
        <w:t xml:space="preserve">infrastructure investment shall be related to the issues of standardization, economies of the scale and the subsequent undertaking of the issues of the formation of the commercial business models. Large scale adaption of the EVs in the recent future would be eventually related to the demand of the consumers. The change in the mode of management would be requiring the issue of undertaking of the mode of development of the grid infrastructure. There has been immense amount of market opportunities for the EVs those are going to be undertaken. The adoption demands for the newer model of value chain which would include the charging stations, power sectors, and the recycling services. </w:t>
      </w:r>
    </w:p>
    <w:p w14:paraId="4B2B1C53" w14:textId="77777777" w:rsidR="00DD5772" w:rsidRDefault="000E7047">
      <w:pPr>
        <w:pStyle w:val="Heading"/>
      </w:pPr>
      <w:bookmarkStart w:id="5" w:name="_Toc4"/>
      <w:r>
        <w:rPr>
          <w:rFonts w:eastAsia="Arial Unicode MS" w:hAnsi="Arial Unicode MS" w:cs="Arial Unicode MS"/>
          <w:lang w:val="en-US"/>
        </w:rPr>
        <w:t xml:space="preserve">Part 2: New Opportunities </w:t>
      </w:r>
      <w:bookmarkEnd w:id="5"/>
    </w:p>
    <w:p w14:paraId="4FEA87C0" w14:textId="77777777" w:rsidR="00DD5772" w:rsidRDefault="000E7047">
      <w:pPr>
        <w:pStyle w:val="Heading"/>
      </w:pPr>
      <w:bookmarkStart w:id="6" w:name="_Toc5"/>
      <w:r>
        <w:rPr>
          <w:rFonts w:eastAsia="Arial Unicode MS" w:hAnsi="Arial Unicode MS" w:cs="Arial Unicode MS"/>
        </w:rPr>
        <w:t>A. Porter</w:t>
      </w:r>
      <w:r>
        <w:rPr>
          <w:rFonts w:ascii="Arial Unicode MS" w:eastAsia="Arial Unicode MS" w:cs="Arial Unicode MS"/>
          <w:lang w:val="fr-FR"/>
        </w:rPr>
        <w:t>’</w:t>
      </w:r>
      <w:r>
        <w:rPr>
          <w:rFonts w:eastAsia="Arial Unicode MS" w:hAnsi="Arial Unicode MS" w:cs="Arial Unicode MS"/>
          <w:lang w:val="en-US"/>
        </w:rPr>
        <w:t xml:space="preserve">s value chain and conclusion </w:t>
      </w:r>
      <w:bookmarkEnd w:id="6"/>
    </w:p>
    <w:p w14:paraId="7366A44B" w14:textId="77777777" w:rsidR="00DD5772" w:rsidRDefault="000E7047">
      <w:pPr>
        <w:pStyle w:val="Body"/>
      </w:pPr>
      <w:r>
        <w:rPr>
          <w:noProof/>
        </w:rPr>
        <w:drawing>
          <wp:anchor distT="57150" distB="57150" distL="57150" distR="57150" simplePos="0" relativeHeight="251659264" behindDoc="0" locked="0" layoutInCell="1" allowOverlap="1" wp14:anchorId="0CAB0C30" wp14:editId="18FF35D4">
            <wp:simplePos x="0" y="0"/>
            <wp:positionH relativeFrom="page">
              <wp:posOffset>876299</wp:posOffset>
            </wp:positionH>
            <wp:positionV relativeFrom="line">
              <wp:posOffset>2074544</wp:posOffset>
            </wp:positionV>
            <wp:extent cx="5734051" cy="3352801"/>
            <wp:effectExtent l="0" t="0" r="0" b="0"/>
            <wp:wrapThrough wrapText="bothSides" distL="57150" distR="57150">
              <wp:wrapPolygon edited="1">
                <wp:start x="0" y="-31"/>
                <wp:lineTo x="-18" y="21600"/>
                <wp:lineTo x="21600" y="21631"/>
                <wp:lineTo x="21618" y="0"/>
                <wp:lineTo x="0" y="-31"/>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pic:nvPicPr>
                  <pic:blipFill>
                    <a:blip r:embed="rId7"/>
                    <a:srcRect l="53512" t="17734" r="3611" b="39408"/>
                    <a:stretch>
                      <a:fillRect/>
                    </a:stretch>
                  </pic:blipFill>
                  <pic:spPr>
                    <a:xfrm>
                      <a:off x="0" y="0"/>
                      <a:ext cx="5734051" cy="3352801"/>
                    </a:xfrm>
                    <a:prstGeom prst="rect">
                      <a:avLst/>
                    </a:prstGeom>
                    <a:ln w="9525" cap="flat">
                      <a:solidFill>
                        <a:srgbClr val="000000"/>
                      </a:solidFill>
                      <a:prstDash val="solid"/>
                      <a:bevel/>
                    </a:ln>
                    <a:effectLst/>
                  </pic:spPr>
                </pic:pic>
              </a:graphicData>
            </a:graphic>
          </wp:anchor>
        </w:drawing>
      </w:r>
      <w:r>
        <w:t>Porter</w:t>
      </w:r>
      <w:r>
        <w:rPr>
          <w:rFonts w:ascii="Arial Unicode MS" w:hAnsi="Times New Roman"/>
          <w:lang w:val="fr-FR"/>
        </w:rPr>
        <w:t>’</w:t>
      </w:r>
      <w:r>
        <w:rPr>
          <w:lang w:val="en-US"/>
        </w:rPr>
        <w:t>s value chain is a type of accounting model with the help of which the entire system is looked up on the factors that predominantly changes the inputs to the kind of outputs are required by the consumers all over the world (</w:t>
      </w:r>
      <w:proofErr w:type="spellStart"/>
      <w:r>
        <w:rPr>
          <w:lang w:val="en-US"/>
        </w:rPr>
        <w:t>Fotouhi</w:t>
      </w:r>
      <w:proofErr w:type="spellEnd"/>
      <w:r>
        <w:rPr>
          <w:lang w:val="en-US"/>
        </w:rPr>
        <w:t xml:space="preserve"> </w:t>
      </w:r>
      <w:r>
        <w:rPr>
          <w:i/>
          <w:iCs/>
          <w:lang w:val="nl-NL"/>
        </w:rPr>
        <w:t xml:space="preserve">et al., </w:t>
      </w:r>
      <w:r>
        <w:rPr>
          <w:lang w:val="en-US"/>
        </w:rPr>
        <w:t xml:space="preserve">2016). Taking this entire </w:t>
      </w:r>
      <w:proofErr w:type="gramStart"/>
      <w:r>
        <w:rPr>
          <w:lang w:val="en-US"/>
        </w:rPr>
        <w:t>view point</w:t>
      </w:r>
      <w:proofErr w:type="gramEnd"/>
      <w:r>
        <w:rPr>
          <w:lang w:val="en-US"/>
        </w:rPr>
        <w:t xml:space="preserve"> into consideration, a sequence of activities that is common within the chosen business factor. The main target objective of this enterprise is to discuss about the evolution of electric vehicles within the </w:t>
      </w:r>
      <w:r>
        <w:rPr>
          <w:lang w:val="en-US"/>
        </w:rPr>
        <w:lastRenderedPageBreak/>
        <w:t xml:space="preserve">chosen organization Volvo. Based on this factor various primary and the supported organizational activities would be discussed over here. </w:t>
      </w:r>
    </w:p>
    <w:p w14:paraId="43B9BF64" w14:textId="77777777" w:rsidR="00DD5772" w:rsidRDefault="000E7047">
      <w:pPr>
        <w:pStyle w:val="Body"/>
      </w:pPr>
      <w:r>
        <w:rPr>
          <w:lang w:val="en-US"/>
        </w:rPr>
        <w:t>The list of primary activities that directly relates to the evolution of the electric vehicles requires a lot of support to the associated services as well. The first and the foremost activity is to determine the associated primary activities (</w:t>
      </w:r>
      <w:proofErr w:type="spellStart"/>
      <w:r>
        <w:rPr>
          <w:shd w:val="clear" w:color="auto" w:fill="FFFFFF"/>
        </w:rPr>
        <w:t>Poullikkas</w:t>
      </w:r>
      <w:proofErr w:type="spellEnd"/>
      <w:r>
        <w:rPr>
          <w:shd w:val="clear" w:color="auto" w:fill="FFFFFF"/>
        </w:rPr>
        <w:t xml:space="preserve"> </w:t>
      </w:r>
      <w:r>
        <w:rPr>
          <w:i/>
          <w:iCs/>
          <w:shd w:val="clear" w:color="auto" w:fill="FFFFFF"/>
          <w:lang w:val="nl-NL"/>
        </w:rPr>
        <w:t>et al., i2015)</w:t>
      </w:r>
      <w:r>
        <w:t xml:space="preserve">. </w:t>
      </w:r>
    </w:p>
    <w:p w14:paraId="47F039C4" w14:textId="77777777" w:rsidR="00DD5772" w:rsidRDefault="000E7047">
      <w:pPr>
        <w:pStyle w:val="Body"/>
        <w:rPr>
          <w:b/>
          <w:bCs/>
          <w:i/>
          <w:iCs/>
        </w:rPr>
      </w:pPr>
      <w:r>
        <w:rPr>
          <w:b/>
          <w:bCs/>
          <w:i/>
          <w:iCs/>
          <w:lang w:val="en-US"/>
        </w:rPr>
        <w:t xml:space="preserve">Stage 1: evolution of the associated primary activities </w:t>
      </w:r>
    </w:p>
    <w:p w14:paraId="65E4F742" w14:textId="77777777" w:rsidR="00DD5772" w:rsidRDefault="000E7047">
      <w:pPr>
        <w:pStyle w:val="Body"/>
      </w:pPr>
      <w:r>
        <w:rPr>
          <w:lang w:val="en-US"/>
        </w:rPr>
        <w:t xml:space="preserve">Within the direct activities, there exists various other purposes which play the vital ole behind the evolution of the electric vehicle. The first and the foremost activity is the development of the value within themselves. This means that while developing the electric vehicles it is quite important to spread is usage and the effectiveness to the people to quite a great extent. Second is the indirect activities. </w:t>
      </w:r>
    </w:p>
    <w:p w14:paraId="1BEE7DC3" w14:textId="77777777" w:rsidR="00DD5772" w:rsidRDefault="000E7047">
      <w:pPr>
        <w:pStyle w:val="Body"/>
        <w:rPr>
          <w:i/>
          <w:iCs/>
        </w:rPr>
      </w:pPr>
      <w:r>
        <w:rPr>
          <w:lang w:val="en-US"/>
        </w:rPr>
        <w:t xml:space="preserve">This means that for the evolution of the electric vehicles, its functions and the operating features need to be smooth enough in order to serve the best services to the people across the entire country. The first factor is the maintenance of the quality factor. If the quality of the vehicle is not accurate then its market share would decrease considerably and thus the electric vehicle would not evolve. </w:t>
      </w:r>
    </w:p>
    <w:p w14:paraId="275B7310" w14:textId="77777777" w:rsidR="00DD5772" w:rsidRDefault="000E7047">
      <w:pPr>
        <w:pStyle w:val="Body"/>
        <w:rPr>
          <w:b/>
          <w:bCs/>
          <w:i/>
          <w:iCs/>
        </w:rPr>
      </w:pPr>
      <w:r>
        <w:rPr>
          <w:b/>
          <w:bCs/>
          <w:i/>
          <w:iCs/>
          <w:lang w:val="en-US"/>
        </w:rPr>
        <w:t xml:space="preserve">Stage 2: determination of the sub activities </w:t>
      </w:r>
    </w:p>
    <w:p w14:paraId="7A5A02C1" w14:textId="77777777" w:rsidR="00DD5772" w:rsidRDefault="000E7047">
      <w:pPr>
        <w:pStyle w:val="Body"/>
      </w:pPr>
      <w:r>
        <w:rPr>
          <w:lang w:val="en-US"/>
        </w:rPr>
        <w:t xml:space="preserve"> In order to execute the </w:t>
      </w:r>
      <w:proofErr w:type="gramStart"/>
      <w:r>
        <w:rPr>
          <w:lang w:val="en-US"/>
        </w:rPr>
        <w:t>above mentioned</w:t>
      </w:r>
      <w:proofErr w:type="gramEnd"/>
      <w:r>
        <w:rPr>
          <w:lang w:val="en-US"/>
        </w:rPr>
        <w:t xml:space="preserve"> activities, it is quite an important and the vital factor to determine and extract the sub activities as well so that the tasks are conducted in the best possible way. For example, the contribution of the human resource manager along with thee technological department delivered the most accurate support to the evolution of the electric vehicles (</w:t>
      </w:r>
      <w:proofErr w:type="spellStart"/>
      <w:r>
        <w:rPr>
          <w:shd w:val="clear" w:color="auto" w:fill="FFFFFF"/>
        </w:rPr>
        <w:t>Poullikkas</w:t>
      </w:r>
      <w:proofErr w:type="spellEnd"/>
      <w:r>
        <w:rPr>
          <w:shd w:val="clear" w:color="auto" w:fill="FFFFFF"/>
        </w:rPr>
        <w:t xml:space="preserve"> </w:t>
      </w:r>
      <w:r>
        <w:rPr>
          <w:i/>
          <w:iCs/>
          <w:shd w:val="clear" w:color="auto" w:fill="FFFFFF"/>
          <w:lang w:val="nl-NL"/>
        </w:rPr>
        <w:t xml:space="preserve">et al., </w:t>
      </w:r>
      <w:r>
        <w:rPr>
          <w:shd w:val="clear" w:color="auto" w:fill="FFFFFF"/>
        </w:rPr>
        <w:t>2015)</w:t>
      </w:r>
      <w:r>
        <w:t xml:space="preserve">. </w:t>
      </w:r>
    </w:p>
    <w:p w14:paraId="6A288D10" w14:textId="77777777" w:rsidR="00DD5772" w:rsidRDefault="000E7047">
      <w:pPr>
        <w:pStyle w:val="Body"/>
      </w:pPr>
      <w:r>
        <w:rPr>
          <w:lang w:val="en-US"/>
        </w:rPr>
        <w:t xml:space="preserve">The human resource department play the most vital role behind the further growth and the development of the organization and thus each of the quality factors are taken into consideration by the HR department itself. That is why, it has been considered the fact that determination of the sub activities alongside the primary activities is very essential </w:t>
      </w:r>
    </w:p>
    <w:p w14:paraId="30B88ED5" w14:textId="77777777" w:rsidR="00DD5772" w:rsidRDefault="000E7047">
      <w:pPr>
        <w:pStyle w:val="Body"/>
        <w:rPr>
          <w:b/>
          <w:bCs/>
          <w:i/>
          <w:iCs/>
        </w:rPr>
      </w:pPr>
      <w:r>
        <w:rPr>
          <w:b/>
          <w:bCs/>
          <w:i/>
          <w:iCs/>
          <w:lang w:val="en-US"/>
        </w:rPr>
        <w:t xml:space="preserve">Stage 3: determination of the links </w:t>
      </w:r>
    </w:p>
    <w:p w14:paraId="334C4A0F" w14:textId="77777777" w:rsidR="00DD5772" w:rsidRDefault="000E7047">
      <w:pPr>
        <w:pStyle w:val="Body"/>
      </w:pPr>
      <w:r>
        <w:rPr>
          <w:lang w:val="en-US"/>
        </w:rPr>
        <w:lastRenderedPageBreak/>
        <w:t xml:space="preserve">While evolving a certain factor that is the evolution of the electric vehicles, some of the </w:t>
      </w:r>
      <w:proofErr w:type="gramStart"/>
      <w:r>
        <w:rPr>
          <w:lang w:val="en-US"/>
        </w:rPr>
        <w:t>value added</w:t>
      </w:r>
      <w:proofErr w:type="gramEnd"/>
      <w:r>
        <w:rPr>
          <w:lang w:val="en-US"/>
        </w:rPr>
        <w:t xml:space="preserve"> service splays the most vital role. The links are essentially important as it creates and initiates the nature of competitive advantage within the supply chain framework. With the help of this factor, the evolving nature of the electric vehicle increases and thus takes up the space within the business market (</w:t>
      </w:r>
      <w:proofErr w:type="spellStart"/>
      <w:r>
        <w:rPr>
          <w:lang w:val="en-US"/>
        </w:rPr>
        <w:t>Jeong</w:t>
      </w:r>
      <w:proofErr w:type="spellEnd"/>
      <w:r>
        <w:rPr>
          <w:lang w:val="en-US"/>
        </w:rPr>
        <w:t xml:space="preserve"> </w:t>
      </w:r>
      <w:r>
        <w:rPr>
          <w:i/>
          <w:iCs/>
          <w:lang w:val="nl-NL"/>
        </w:rPr>
        <w:t xml:space="preserve">et al., </w:t>
      </w:r>
      <w:r>
        <w:t xml:space="preserve">2015) </w:t>
      </w:r>
    </w:p>
    <w:p w14:paraId="10C202A2" w14:textId="77777777" w:rsidR="00DD5772" w:rsidRDefault="000E7047">
      <w:pPr>
        <w:pStyle w:val="Body"/>
        <w:rPr>
          <w:b/>
          <w:bCs/>
          <w:i/>
          <w:iCs/>
        </w:rPr>
      </w:pPr>
      <w:r>
        <w:rPr>
          <w:b/>
          <w:bCs/>
          <w:i/>
          <w:iCs/>
          <w:lang w:val="en-US"/>
        </w:rPr>
        <w:t xml:space="preserve">Stage 4: look up for the new opportunities  </w:t>
      </w:r>
    </w:p>
    <w:p w14:paraId="7DEBCAE1" w14:textId="77777777" w:rsidR="00DD5772" w:rsidRDefault="000E7047">
      <w:pPr>
        <w:pStyle w:val="Body"/>
      </w:pPr>
      <w:r>
        <w:rPr>
          <w:lang w:val="en-US"/>
        </w:rPr>
        <w:t xml:space="preserve">After achieving the purpose of evolution, the first and the foremost thing that business prospective need to find is the opportunities to enhance the various features to increase the </w:t>
      </w:r>
      <w:proofErr w:type="gramStart"/>
      <w:r>
        <w:rPr>
          <w:lang w:val="en-US"/>
        </w:rPr>
        <w:t>value added</w:t>
      </w:r>
      <w:proofErr w:type="gramEnd"/>
      <w:r>
        <w:rPr>
          <w:lang w:val="en-US"/>
        </w:rPr>
        <w:t xml:space="preserve"> services. The more the opportunities are increased, more is the possibility that the electric vehicle would get publicity within the people living in the society. </w:t>
      </w:r>
    </w:p>
    <w:p w14:paraId="59D30542" w14:textId="77777777" w:rsidR="00DD5772" w:rsidRDefault="000E7047">
      <w:pPr>
        <w:pStyle w:val="Body"/>
        <w:rPr>
          <w:b/>
          <w:bCs/>
          <w:i/>
          <w:iCs/>
        </w:rPr>
      </w:pPr>
      <w:r>
        <w:rPr>
          <w:b/>
          <w:bCs/>
          <w:i/>
          <w:iCs/>
          <w:lang w:val="en-US"/>
        </w:rPr>
        <w:t xml:space="preserve">Conclusion </w:t>
      </w:r>
    </w:p>
    <w:p w14:paraId="0F7DA7FF" w14:textId="77777777" w:rsidR="00DD5772" w:rsidRDefault="000E7047">
      <w:pPr>
        <w:pStyle w:val="Body"/>
      </w:pPr>
      <w:r>
        <w:rPr>
          <w:lang w:val="en-US"/>
        </w:rPr>
        <w:t>From this entire model it has been analyzed the fact that in order to increase the evolution of the electric vehicle it is quite important to follow up the necessity activities within the sub activities so that more and more opportunities can be established and acquired in the most authenticated way (</w:t>
      </w:r>
      <w:proofErr w:type="spellStart"/>
      <w:r>
        <w:rPr>
          <w:lang w:val="en-US"/>
        </w:rPr>
        <w:t>Jeong</w:t>
      </w:r>
      <w:proofErr w:type="spellEnd"/>
      <w:r>
        <w:rPr>
          <w:lang w:val="en-US"/>
        </w:rPr>
        <w:t xml:space="preserve"> </w:t>
      </w:r>
      <w:r>
        <w:rPr>
          <w:i/>
          <w:iCs/>
          <w:lang w:val="nl-NL"/>
        </w:rPr>
        <w:t xml:space="preserve">et al., </w:t>
      </w:r>
      <w:r>
        <w:rPr>
          <w:lang w:val="en-US"/>
        </w:rPr>
        <w:t xml:space="preserve">2015). In order to </w:t>
      </w:r>
      <w:proofErr w:type="spellStart"/>
      <w:r>
        <w:rPr>
          <w:lang w:val="en-US"/>
        </w:rPr>
        <w:t>evolute</w:t>
      </w:r>
      <w:proofErr w:type="spellEnd"/>
      <w:r>
        <w:rPr>
          <w:lang w:val="en-US"/>
        </w:rPr>
        <w:t xml:space="preserve"> the electric vehicle it is necessary to create and awareness among the people about the new features so that the business market can be established maintaining the positive aspects. </w:t>
      </w:r>
    </w:p>
    <w:p w14:paraId="62A28E24" w14:textId="77777777" w:rsidR="00DD5772" w:rsidRDefault="000E7047">
      <w:pPr>
        <w:pStyle w:val="Heading"/>
      </w:pPr>
      <w:bookmarkStart w:id="7" w:name="_Toc6"/>
      <w:r>
        <w:rPr>
          <w:rFonts w:eastAsia="Arial Unicode MS" w:hAnsi="Arial Unicode MS" w:cs="Arial Unicode MS"/>
          <w:lang w:val="en-US"/>
        </w:rPr>
        <w:t xml:space="preserve">B. New business opportunities </w:t>
      </w:r>
      <w:bookmarkEnd w:id="7"/>
    </w:p>
    <w:p w14:paraId="1133F73D" w14:textId="77777777" w:rsidR="00DD5772" w:rsidRDefault="000E7047">
      <w:pPr>
        <w:pStyle w:val="Body"/>
      </w:pPr>
      <w:r>
        <w:rPr>
          <w:lang w:val="en-US"/>
        </w:rPr>
        <w:t>Apart from the production and the selling of the electric cars, there exists various other opportunities regarding the electric vehicles that drives the development and the future of the automotive industries. The list of new business opportunities regarding the evolution of the electric vehicles are as follows:</w:t>
      </w:r>
    </w:p>
    <w:p w14:paraId="11A091D1" w14:textId="77777777" w:rsidR="00DD5772" w:rsidRDefault="000E7047">
      <w:pPr>
        <w:pStyle w:val="Body"/>
        <w:rPr>
          <w:b/>
          <w:bCs/>
          <w:i/>
          <w:iCs/>
        </w:rPr>
      </w:pPr>
      <w:r>
        <w:rPr>
          <w:b/>
          <w:bCs/>
          <w:i/>
          <w:iCs/>
          <w:lang w:val="en-US"/>
        </w:rPr>
        <w:t>Delivery of the electric vehicle chargers via the business platform model</w:t>
      </w:r>
    </w:p>
    <w:p w14:paraId="5806AA4F" w14:textId="77777777" w:rsidR="00DD5772" w:rsidRDefault="000E7047">
      <w:pPr>
        <w:pStyle w:val="Body"/>
      </w:pPr>
      <w:r>
        <w:rPr>
          <w:lang w:val="en-US"/>
        </w:rPr>
        <w:t xml:space="preserve">One of the major factors that would effectively drive the business function of electric vehicles is the delivery of the electric vehicle charger. This is because of the fact, the rate based on which the connectivity of the mobility chargers would increase, there is a possibility that </w:t>
      </w:r>
      <w:proofErr w:type="gramStart"/>
      <w:r>
        <w:rPr>
          <w:lang w:val="en-US"/>
        </w:rPr>
        <w:t>more</w:t>
      </w:r>
      <w:proofErr w:type="gramEnd"/>
      <w:r>
        <w:rPr>
          <w:lang w:val="en-US"/>
        </w:rPr>
        <w:t xml:space="preserve"> number of electric vehicles would be purchased by the consumers. </w:t>
      </w:r>
    </w:p>
    <w:p w14:paraId="12C0790F" w14:textId="77777777" w:rsidR="00DD5772" w:rsidRDefault="000E7047">
      <w:pPr>
        <w:pStyle w:val="Body"/>
      </w:pPr>
      <w:r>
        <w:rPr>
          <w:lang w:val="en-US"/>
        </w:rPr>
        <w:lastRenderedPageBreak/>
        <w:t>As per the recent research works it has been evaluated the fact that more than 12.8 million electric vehicle chargers would be installed within the electric vehicles by the end of the year 2020 (</w:t>
      </w:r>
      <w:proofErr w:type="spellStart"/>
      <w:r>
        <w:rPr>
          <w:shd w:val="clear" w:color="auto" w:fill="FFFFFF"/>
        </w:rPr>
        <w:t>Rezvani</w:t>
      </w:r>
      <w:proofErr w:type="spellEnd"/>
      <w:r>
        <w:rPr>
          <w:shd w:val="clear" w:color="auto" w:fill="FFFFFF"/>
        </w:rPr>
        <w:t xml:space="preserve"> </w:t>
      </w:r>
      <w:r>
        <w:rPr>
          <w:i/>
          <w:iCs/>
          <w:shd w:val="clear" w:color="auto" w:fill="FFFFFF"/>
          <w:lang w:val="nl-NL"/>
        </w:rPr>
        <w:t xml:space="preserve">et al., </w:t>
      </w:r>
      <w:r>
        <w:rPr>
          <w:shd w:val="clear" w:color="auto" w:fill="FFFFFF"/>
        </w:rPr>
        <w:t>2015)</w:t>
      </w:r>
      <w:r>
        <w:t xml:space="preserve">. </w:t>
      </w:r>
    </w:p>
    <w:p w14:paraId="7CF0FE8D" w14:textId="77777777" w:rsidR="00DD5772" w:rsidRDefault="000E7047">
      <w:pPr>
        <w:pStyle w:val="Body"/>
        <w:rPr>
          <w:b/>
          <w:bCs/>
          <w:i/>
          <w:iCs/>
        </w:rPr>
      </w:pPr>
      <w:r>
        <w:rPr>
          <w:b/>
          <w:bCs/>
          <w:i/>
          <w:iCs/>
          <w:lang w:val="en-US"/>
        </w:rPr>
        <w:t xml:space="preserve">Providing the efficient disposal services of the battery </w:t>
      </w:r>
    </w:p>
    <w:p w14:paraId="446259B7" w14:textId="77777777" w:rsidR="00DD5772" w:rsidRDefault="000E7047">
      <w:pPr>
        <w:pStyle w:val="Body"/>
      </w:pPr>
      <w:r>
        <w:rPr>
          <w:lang w:val="en-US"/>
        </w:rPr>
        <w:t xml:space="preserve">With the rise of the electric vehicle there is a possibility that a lot of issues may arise. The electric vehicle battery is similar as that of the normal battery where </w:t>
      </w:r>
      <w:proofErr w:type="spellStart"/>
      <w:r>
        <w:rPr>
          <w:lang w:val="en-US"/>
        </w:rPr>
        <w:t>litium</w:t>
      </w:r>
      <w:proofErr w:type="spellEnd"/>
      <w:r>
        <w:rPr>
          <w:lang w:val="en-US"/>
        </w:rPr>
        <w:t xml:space="preserve"> is used. And </w:t>
      </w:r>
      <w:proofErr w:type="gramStart"/>
      <w:r>
        <w:rPr>
          <w:lang w:val="en-US"/>
        </w:rPr>
        <w:t>thus</w:t>
      </w:r>
      <w:proofErr w:type="gramEnd"/>
      <w:r>
        <w:rPr>
          <w:lang w:val="en-US"/>
        </w:rPr>
        <w:t xml:space="preserve"> a lot of pollution is being created and causes a lot of environmental concern. In order to provide better and effective environment, global battery recycling procedure is being used which not only require 12 billion </w:t>
      </w:r>
      <w:proofErr w:type="gramStart"/>
      <w:r>
        <w:rPr>
          <w:lang w:val="en-US"/>
        </w:rPr>
        <w:t>dollar</w:t>
      </w:r>
      <w:proofErr w:type="gramEnd"/>
      <w:r>
        <w:rPr>
          <w:lang w:val="en-US"/>
        </w:rPr>
        <w:t xml:space="preserve"> but this entire procedure would be fulfilled by the end of the year 2022. </w:t>
      </w:r>
    </w:p>
    <w:p w14:paraId="0C1889F1" w14:textId="77777777" w:rsidR="00DD5772" w:rsidRDefault="000E7047">
      <w:pPr>
        <w:pStyle w:val="Heading"/>
      </w:pPr>
      <w:bookmarkStart w:id="8" w:name="_Toc7"/>
      <w:r>
        <w:rPr>
          <w:rFonts w:eastAsia="Arial Unicode MS" w:hAnsi="Arial Unicode MS" w:cs="Arial Unicode MS"/>
          <w:lang w:val="en-US"/>
        </w:rPr>
        <w:t xml:space="preserve">C. businesses to be discontinued </w:t>
      </w:r>
      <w:bookmarkEnd w:id="8"/>
    </w:p>
    <w:p w14:paraId="24708877" w14:textId="77777777" w:rsidR="00DD5772" w:rsidRDefault="000E7047">
      <w:pPr>
        <w:pStyle w:val="Body"/>
      </w:pPr>
      <w:r>
        <w:rPr>
          <w:lang w:val="en-US"/>
        </w:rPr>
        <w:t>The business factors that currently need to be discontinued are as follows:</w:t>
      </w:r>
    </w:p>
    <w:p w14:paraId="0C3013A0" w14:textId="77777777" w:rsidR="00DD5772" w:rsidRDefault="000E7047">
      <w:pPr>
        <w:pStyle w:val="ListParagraph"/>
        <w:numPr>
          <w:ilvl w:val="0"/>
          <w:numId w:val="3"/>
        </w:numPr>
        <w:tabs>
          <w:tab w:val="num" w:pos="720"/>
        </w:tabs>
        <w:ind w:hanging="360"/>
      </w:pPr>
      <w:r>
        <w:t xml:space="preserve">The first and the foremost activity related to the electric vehicle that need to be mitigated is the introduction of the internal combustion engine. This is because of the fact initiating an overall electric vehicle, the combustion engine is not required and thus may create loss. </w:t>
      </w:r>
      <w:proofErr w:type="gramStart"/>
      <w:r>
        <w:t>Therefore</w:t>
      </w:r>
      <w:proofErr w:type="gramEnd"/>
      <w:r>
        <w:t xml:space="preserve"> investment in this case need to be mitigated. </w:t>
      </w:r>
    </w:p>
    <w:p w14:paraId="2B6DA529" w14:textId="77777777" w:rsidR="00DD5772" w:rsidRDefault="000E7047">
      <w:pPr>
        <w:pStyle w:val="ListParagraph"/>
        <w:numPr>
          <w:ilvl w:val="0"/>
          <w:numId w:val="4"/>
        </w:numPr>
        <w:tabs>
          <w:tab w:val="num" w:pos="720"/>
        </w:tabs>
        <w:ind w:hanging="360"/>
      </w:pPr>
      <w:r>
        <w:t xml:space="preserve">Use of fuel cell in the electric vehicle is not necessary. This is because of the fact, the use of fuel is least in the electric vehicles (Rucker </w:t>
      </w:r>
      <w:r>
        <w:rPr>
          <w:i/>
          <w:iCs/>
        </w:rPr>
        <w:t xml:space="preserve">et al., </w:t>
      </w:r>
      <w:r>
        <w:t xml:space="preserve">2015) </w:t>
      </w:r>
    </w:p>
    <w:p w14:paraId="2865ED0A" w14:textId="77777777" w:rsidR="00DD5772" w:rsidRDefault="000E7047">
      <w:pPr>
        <w:pStyle w:val="Heading"/>
      </w:pPr>
      <w:bookmarkStart w:id="9" w:name="_Toc8"/>
      <w:r>
        <w:rPr>
          <w:rFonts w:eastAsia="Arial Unicode MS" w:hAnsi="Arial Unicode MS" w:cs="Arial Unicode MS"/>
          <w:lang w:val="en-US"/>
        </w:rPr>
        <w:t>Conclusion for part 2</w:t>
      </w:r>
      <w:bookmarkEnd w:id="9"/>
    </w:p>
    <w:p w14:paraId="6943559F" w14:textId="77777777" w:rsidR="00DD5772" w:rsidRDefault="000E7047">
      <w:pPr>
        <w:pStyle w:val="Body"/>
      </w:pPr>
      <w:r>
        <w:rPr>
          <w:lang w:val="en-US"/>
        </w:rPr>
        <w:t xml:space="preserve">From this entire section it has been understood the fact that the opportunities of the new business activities within the electric vehicle business are huge. </w:t>
      </w:r>
      <w:proofErr w:type="gramStart"/>
      <w:r>
        <w:rPr>
          <w:lang w:val="en-US"/>
        </w:rPr>
        <w:t>Therefore</w:t>
      </w:r>
      <w:proofErr w:type="gramEnd"/>
      <w:r>
        <w:rPr>
          <w:lang w:val="en-US"/>
        </w:rPr>
        <w:t xml:space="preserve"> after the evolution of the electric vehicle, the opportunities need to be taken into consideration so that the establishment of the business can be effective (</w:t>
      </w:r>
      <w:proofErr w:type="spellStart"/>
      <w:r>
        <w:rPr>
          <w:shd w:val="clear" w:color="auto" w:fill="FFFFFF"/>
        </w:rPr>
        <w:t>Rezvani</w:t>
      </w:r>
      <w:proofErr w:type="spellEnd"/>
      <w:r>
        <w:rPr>
          <w:shd w:val="clear" w:color="auto" w:fill="FFFFFF"/>
        </w:rPr>
        <w:t xml:space="preserve"> </w:t>
      </w:r>
      <w:r>
        <w:rPr>
          <w:i/>
          <w:iCs/>
          <w:shd w:val="clear" w:color="auto" w:fill="FFFFFF"/>
          <w:lang w:val="nl-NL"/>
        </w:rPr>
        <w:t xml:space="preserve">et al., </w:t>
      </w:r>
      <w:r>
        <w:rPr>
          <w:shd w:val="clear" w:color="auto" w:fill="FFFFFF"/>
        </w:rPr>
        <w:t>2016)</w:t>
      </w:r>
      <w:r>
        <w:t xml:space="preserve"> </w:t>
      </w:r>
    </w:p>
    <w:p w14:paraId="5738AF6B" w14:textId="77777777" w:rsidR="00DD5772" w:rsidRDefault="000E7047">
      <w:pPr>
        <w:pStyle w:val="Heading"/>
      </w:pPr>
      <w:bookmarkStart w:id="10" w:name="_Toc9"/>
      <w:r>
        <w:rPr>
          <w:rFonts w:eastAsia="Arial Unicode MS" w:hAnsi="Arial Unicode MS" w:cs="Arial Unicode MS"/>
          <w:lang w:val="en-US"/>
        </w:rPr>
        <w:t xml:space="preserve">Overall conclusion </w:t>
      </w:r>
      <w:bookmarkEnd w:id="10"/>
    </w:p>
    <w:p w14:paraId="34AE82F9" w14:textId="77777777" w:rsidR="00DD5772" w:rsidRDefault="000E7047">
      <w:pPr>
        <w:pStyle w:val="Body"/>
      </w:pPr>
      <w:r>
        <w:rPr>
          <w:lang w:val="en-US"/>
        </w:rPr>
        <w:t xml:space="preserve">From this entre assignment it has been understood the fact that the introduction and the evolution of the electric vehicles would change the entire scenario of the automotive industry. Most importantly, it reduces effects of pollution and would further create pollution less society. </w:t>
      </w:r>
      <w:r>
        <w:rPr>
          <w:lang w:val="en-US"/>
        </w:rPr>
        <w:lastRenderedPageBreak/>
        <w:t xml:space="preserve">Therefore, it is the responsibility of the chosen sector to make use of effective strategies so that the evolution of the electric vehicles can be proceeded in the most beneficial way (Rucker </w:t>
      </w:r>
      <w:r>
        <w:rPr>
          <w:i/>
          <w:iCs/>
          <w:lang w:val="nl-NL"/>
        </w:rPr>
        <w:t xml:space="preserve">et al., </w:t>
      </w:r>
      <w:r>
        <w:t xml:space="preserve">2016). </w:t>
      </w:r>
    </w:p>
    <w:p w14:paraId="25E361E6" w14:textId="77777777" w:rsidR="00DD5772" w:rsidRDefault="000E7047">
      <w:pPr>
        <w:pStyle w:val="Body"/>
        <w:spacing w:line="276" w:lineRule="auto"/>
        <w:jc w:val="left"/>
      </w:pPr>
      <w:r>
        <w:br w:type="page"/>
      </w:r>
    </w:p>
    <w:p w14:paraId="1F2F8D6C" w14:textId="77777777" w:rsidR="00DD5772" w:rsidRDefault="00DD5772">
      <w:pPr>
        <w:pStyle w:val="Body"/>
        <w:spacing w:line="276" w:lineRule="auto"/>
        <w:jc w:val="left"/>
        <w:rPr>
          <w:b/>
          <w:bCs/>
        </w:rPr>
      </w:pPr>
    </w:p>
    <w:p w14:paraId="7E512C0A" w14:textId="77777777" w:rsidR="00DD5772" w:rsidRDefault="000E7047">
      <w:pPr>
        <w:pStyle w:val="Heading"/>
      </w:pPr>
      <w:bookmarkStart w:id="11" w:name="_Toc10"/>
      <w:r>
        <w:rPr>
          <w:rFonts w:eastAsia="Arial Unicode MS" w:hAnsi="Arial Unicode MS" w:cs="Arial Unicode MS"/>
          <w:lang w:val="fr-FR"/>
        </w:rPr>
        <w:t xml:space="preserve">Bibliography </w:t>
      </w:r>
      <w:bookmarkEnd w:id="11"/>
    </w:p>
    <w:p w14:paraId="0B138A99" w14:textId="77777777" w:rsidR="00DD5772" w:rsidRDefault="000E7047">
      <w:pPr>
        <w:pStyle w:val="Body"/>
        <w:rPr>
          <w:shd w:val="clear" w:color="auto" w:fill="FFFFFF"/>
        </w:rPr>
      </w:pPr>
      <w:r>
        <w:rPr>
          <w:shd w:val="clear" w:color="auto" w:fill="FFFFFF"/>
          <w:lang w:val="en-US"/>
        </w:rPr>
        <w:t xml:space="preserve">Cano, Z.P., Banham, D., Ye, S., </w:t>
      </w:r>
      <w:proofErr w:type="spellStart"/>
      <w:r>
        <w:rPr>
          <w:shd w:val="clear" w:color="auto" w:fill="FFFFFF"/>
          <w:lang w:val="en-US"/>
        </w:rPr>
        <w:t>Hintennach</w:t>
      </w:r>
      <w:proofErr w:type="spellEnd"/>
      <w:r>
        <w:rPr>
          <w:shd w:val="clear" w:color="auto" w:fill="FFFFFF"/>
          <w:lang w:val="en-US"/>
        </w:rPr>
        <w:t>, A., Lu, J., Fowler, M. and Chen, Z., 2018. Batteries and fuel cells for emerging electric vehicle markets.</w:t>
      </w:r>
      <w:r>
        <w:rPr>
          <w:rFonts w:ascii="Arial Unicode MS" w:hAnsi="Times New Roman"/>
          <w:shd w:val="clear" w:color="auto" w:fill="FFFFFF"/>
        </w:rPr>
        <w:t> </w:t>
      </w:r>
      <w:r>
        <w:rPr>
          <w:i/>
          <w:iCs/>
          <w:shd w:val="clear" w:color="auto" w:fill="FFFFFF"/>
          <w:lang w:val="en-US"/>
        </w:rPr>
        <w:t>Nature Energy</w:t>
      </w:r>
      <w:r>
        <w:rPr>
          <w:shd w:val="clear" w:color="auto" w:fill="FFFFFF"/>
        </w:rPr>
        <w:t>,</w:t>
      </w:r>
      <w:r>
        <w:rPr>
          <w:rFonts w:ascii="Arial Unicode MS" w:hAnsi="Times New Roman"/>
          <w:shd w:val="clear" w:color="auto" w:fill="FFFFFF"/>
        </w:rPr>
        <w:t> </w:t>
      </w:r>
      <w:r>
        <w:rPr>
          <w:i/>
          <w:iCs/>
          <w:shd w:val="clear" w:color="auto" w:fill="FFFFFF"/>
        </w:rPr>
        <w:t>3</w:t>
      </w:r>
      <w:r>
        <w:rPr>
          <w:shd w:val="clear" w:color="auto" w:fill="FFFFFF"/>
        </w:rPr>
        <w:t>(4), pp.279-289.</w:t>
      </w:r>
    </w:p>
    <w:p w14:paraId="07B8D8F1" w14:textId="77777777" w:rsidR="00DD5772" w:rsidRDefault="000E7047">
      <w:pPr>
        <w:pStyle w:val="Body"/>
        <w:rPr>
          <w:shd w:val="clear" w:color="auto" w:fill="FFFFFF"/>
        </w:rPr>
      </w:pPr>
      <w:r>
        <w:rPr>
          <w:shd w:val="clear" w:color="auto" w:fill="FFFFFF"/>
          <w:lang w:val="en-US"/>
        </w:rPr>
        <w:t xml:space="preserve">Chen, T.D., </w:t>
      </w:r>
      <w:proofErr w:type="spellStart"/>
      <w:r>
        <w:rPr>
          <w:shd w:val="clear" w:color="auto" w:fill="FFFFFF"/>
          <w:lang w:val="en-US"/>
        </w:rPr>
        <w:t>Kockelman</w:t>
      </w:r>
      <w:proofErr w:type="spellEnd"/>
      <w:r>
        <w:rPr>
          <w:shd w:val="clear" w:color="auto" w:fill="FFFFFF"/>
          <w:lang w:val="en-US"/>
        </w:rPr>
        <w:t>, K.M. and Hanna, J.P., 2016. Operations of a shared, autonomous, electric vehicle fleet: Implications of vehicle &amp; charging infrastructure decisions.</w:t>
      </w:r>
      <w:r>
        <w:rPr>
          <w:rFonts w:ascii="Arial Unicode MS" w:hAnsi="Times New Roman"/>
          <w:shd w:val="clear" w:color="auto" w:fill="FFFFFF"/>
        </w:rPr>
        <w:t> </w:t>
      </w:r>
      <w:r>
        <w:rPr>
          <w:i/>
          <w:iCs/>
          <w:shd w:val="clear" w:color="auto" w:fill="FFFFFF"/>
          <w:lang w:val="en-US"/>
        </w:rPr>
        <w:t>Transportation Research Part A: Policy and Practice</w:t>
      </w:r>
      <w:r>
        <w:rPr>
          <w:shd w:val="clear" w:color="auto" w:fill="FFFFFF"/>
        </w:rPr>
        <w:t>,</w:t>
      </w:r>
      <w:r>
        <w:rPr>
          <w:rFonts w:ascii="Arial Unicode MS" w:hAnsi="Times New Roman"/>
          <w:shd w:val="clear" w:color="auto" w:fill="FFFFFF"/>
        </w:rPr>
        <w:t> </w:t>
      </w:r>
      <w:r>
        <w:rPr>
          <w:i/>
          <w:iCs/>
          <w:shd w:val="clear" w:color="auto" w:fill="FFFFFF"/>
        </w:rPr>
        <w:t>94</w:t>
      </w:r>
      <w:r>
        <w:rPr>
          <w:shd w:val="clear" w:color="auto" w:fill="FFFFFF"/>
        </w:rPr>
        <w:t>, pp.243-254.</w:t>
      </w:r>
    </w:p>
    <w:p w14:paraId="5967425B" w14:textId="77777777" w:rsidR="00DD5772" w:rsidRDefault="000E7047">
      <w:pPr>
        <w:pStyle w:val="Body"/>
        <w:rPr>
          <w:shd w:val="clear" w:color="auto" w:fill="FFFFFF"/>
        </w:rPr>
      </w:pPr>
      <w:r>
        <w:rPr>
          <w:shd w:val="clear" w:color="auto" w:fill="FFFFFF"/>
          <w:lang w:val="en-US"/>
        </w:rPr>
        <w:t xml:space="preserve">Fincham, C.C. and </w:t>
      </w:r>
      <w:proofErr w:type="spellStart"/>
      <w:r>
        <w:rPr>
          <w:shd w:val="clear" w:color="auto" w:fill="FFFFFF"/>
          <w:lang w:val="en-US"/>
        </w:rPr>
        <w:t>Amroziak</w:t>
      </w:r>
      <w:proofErr w:type="spellEnd"/>
      <w:r>
        <w:rPr>
          <w:shd w:val="clear" w:color="auto" w:fill="FFFFFF"/>
          <w:lang w:val="en-US"/>
        </w:rPr>
        <w:t>, J.R., Charge Fusion Technologies LLC, 2017.</w:t>
      </w:r>
      <w:r>
        <w:rPr>
          <w:rFonts w:ascii="Arial Unicode MS" w:hAnsi="Times New Roman"/>
          <w:shd w:val="clear" w:color="auto" w:fill="FFFFFF"/>
        </w:rPr>
        <w:t> </w:t>
      </w:r>
      <w:r>
        <w:rPr>
          <w:i/>
          <w:iCs/>
          <w:shd w:val="clear" w:color="auto" w:fill="FFFFFF"/>
          <w:lang w:val="en-US"/>
        </w:rPr>
        <w:t>Systems and methods for electric vehicle charging and power management</w:t>
      </w:r>
      <w:r>
        <w:rPr>
          <w:shd w:val="clear" w:color="auto" w:fill="FFFFFF"/>
          <w:lang w:val="en-US"/>
        </w:rPr>
        <w:t>. U.S. Patent 9,853,488.</w:t>
      </w:r>
    </w:p>
    <w:p w14:paraId="69698EB9" w14:textId="77777777" w:rsidR="00DD5772" w:rsidRDefault="000E7047">
      <w:pPr>
        <w:pStyle w:val="Body"/>
        <w:rPr>
          <w:shd w:val="clear" w:color="auto" w:fill="FFFFFF"/>
        </w:rPr>
      </w:pPr>
      <w:proofErr w:type="spellStart"/>
      <w:r>
        <w:rPr>
          <w:shd w:val="clear" w:color="auto" w:fill="FFFFFF"/>
          <w:lang w:val="en-US"/>
        </w:rPr>
        <w:t>Fotouhi</w:t>
      </w:r>
      <w:proofErr w:type="spellEnd"/>
      <w:r>
        <w:rPr>
          <w:shd w:val="clear" w:color="auto" w:fill="FFFFFF"/>
          <w:lang w:val="en-US"/>
        </w:rPr>
        <w:t>, A., Auger, D.J., Propp, K., Longo, S. and Wild, M., 2016. A review on electric vehicle battery modelling: From Lithium-ion toward Lithium</w:t>
      </w:r>
      <w:r>
        <w:rPr>
          <w:rFonts w:ascii="Arial Unicode MS" w:hAnsi="Times New Roman"/>
          <w:shd w:val="clear" w:color="auto" w:fill="FFFFFF"/>
        </w:rPr>
        <w:t>–</w:t>
      </w:r>
      <w:r>
        <w:rPr>
          <w:shd w:val="clear" w:color="auto" w:fill="FFFFFF"/>
        </w:rPr>
        <w:t>Sulphur.</w:t>
      </w:r>
      <w:r>
        <w:rPr>
          <w:rFonts w:ascii="Arial Unicode MS" w:hAnsi="Times New Roman"/>
          <w:shd w:val="clear" w:color="auto" w:fill="FFFFFF"/>
        </w:rPr>
        <w:t> </w:t>
      </w:r>
      <w:r>
        <w:rPr>
          <w:i/>
          <w:iCs/>
          <w:shd w:val="clear" w:color="auto" w:fill="FFFFFF"/>
          <w:lang w:val="en-US"/>
        </w:rPr>
        <w:t>Renewable and Sustainable Energy Reviews</w:t>
      </w:r>
      <w:r>
        <w:rPr>
          <w:shd w:val="clear" w:color="auto" w:fill="FFFFFF"/>
        </w:rPr>
        <w:t>,</w:t>
      </w:r>
      <w:r>
        <w:rPr>
          <w:rFonts w:ascii="Arial Unicode MS" w:hAnsi="Times New Roman"/>
          <w:shd w:val="clear" w:color="auto" w:fill="FFFFFF"/>
        </w:rPr>
        <w:t> </w:t>
      </w:r>
      <w:r>
        <w:rPr>
          <w:i/>
          <w:iCs/>
          <w:shd w:val="clear" w:color="auto" w:fill="FFFFFF"/>
        </w:rPr>
        <w:t>56</w:t>
      </w:r>
      <w:r>
        <w:rPr>
          <w:shd w:val="clear" w:color="auto" w:fill="FFFFFF"/>
        </w:rPr>
        <w:t>, pp.1008-1021.</w:t>
      </w:r>
    </w:p>
    <w:p w14:paraId="11953E1B" w14:textId="77777777" w:rsidR="00DD5772" w:rsidRDefault="000E7047">
      <w:pPr>
        <w:pStyle w:val="Body"/>
        <w:rPr>
          <w:shd w:val="clear" w:color="auto" w:fill="FFFFFF"/>
        </w:rPr>
      </w:pPr>
      <w:proofErr w:type="spellStart"/>
      <w:r>
        <w:rPr>
          <w:shd w:val="clear" w:color="auto" w:fill="FFFFFF"/>
        </w:rPr>
        <w:t>Jeong</w:t>
      </w:r>
      <w:proofErr w:type="spellEnd"/>
      <w:r>
        <w:rPr>
          <w:shd w:val="clear" w:color="auto" w:fill="FFFFFF"/>
        </w:rPr>
        <w:t>, M.H., KT Corp, 2016.</w:t>
      </w:r>
      <w:r>
        <w:rPr>
          <w:rFonts w:ascii="Arial Unicode MS" w:hAnsi="Times New Roman"/>
          <w:shd w:val="clear" w:color="auto" w:fill="FFFFFF"/>
        </w:rPr>
        <w:t> </w:t>
      </w:r>
      <w:r>
        <w:rPr>
          <w:i/>
          <w:iCs/>
          <w:shd w:val="clear" w:color="auto" w:fill="FFFFFF"/>
          <w:lang w:val="en-US"/>
        </w:rPr>
        <w:t>Management of electric power demand in electric vehicle charging stations</w:t>
      </w:r>
      <w:r>
        <w:rPr>
          <w:shd w:val="clear" w:color="auto" w:fill="FFFFFF"/>
          <w:lang w:val="en-US"/>
        </w:rPr>
        <w:t>. U.S. Patent 9,227,522.</w:t>
      </w:r>
    </w:p>
    <w:p w14:paraId="257C3EB1" w14:textId="77777777" w:rsidR="00DD5772" w:rsidRDefault="000E7047">
      <w:pPr>
        <w:pStyle w:val="Body"/>
        <w:rPr>
          <w:shd w:val="clear" w:color="auto" w:fill="FFFFFF"/>
        </w:rPr>
      </w:pPr>
      <w:proofErr w:type="spellStart"/>
      <w:r>
        <w:rPr>
          <w:shd w:val="clear" w:color="auto" w:fill="FFFFFF"/>
          <w:lang w:val="en-US"/>
        </w:rPr>
        <w:t>Poullikkas</w:t>
      </w:r>
      <w:proofErr w:type="spellEnd"/>
      <w:r>
        <w:rPr>
          <w:shd w:val="clear" w:color="auto" w:fill="FFFFFF"/>
          <w:lang w:val="en-US"/>
        </w:rPr>
        <w:t>, A., 2015. Sustainable options for electric vehicle technologies.</w:t>
      </w:r>
      <w:r>
        <w:rPr>
          <w:rFonts w:ascii="Arial Unicode MS" w:hAnsi="Times New Roman"/>
          <w:shd w:val="clear" w:color="auto" w:fill="FFFFFF"/>
        </w:rPr>
        <w:t> </w:t>
      </w:r>
      <w:r>
        <w:rPr>
          <w:i/>
          <w:iCs/>
          <w:shd w:val="clear" w:color="auto" w:fill="FFFFFF"/>
          <w:lang w:val="en-US"/>
        </w:rPr>
        <w:t>Renewable and Sustainable Energy Reviews</w:t>
      </w:r>
      <w:r>
        <w:rPr>
          <w:shd w:val="clear" w:color="auto" w:fill="FFFFFF"/>
        </w:rPr>
        <w:t>,</w:t>
      </w:r>
      <w:r>
        <w:rPr>
          <w:rFonts w:ascii="Arial Unicode MS" w:hAnsi="Times New Roman"/>
          <w:shd w:val="clear" w:color="auto" w:fill="FFFFFF"/>
        </w:rPr>
        <w:t> </w:t>
      </w:r>
      <w:r>
        <w:rPr>
          <w:i/>
          <w:iCs/>
          <w:shd w:val="clear" w:color="auto" w:fill="FFFFFF"/>
        </w:rPr>
        <w:t>41</w:t>
      </w:r>
      <w:r>
        <w:rPr>
          <w:shd w:val="clear" w:color="auto" w:fill="FFFFFF"/>
        </w:rPr>
        <w:t>, pp.1277-1287.</w:t>
      </w:r>
    </w:p>
    <w:p w14:paraId="2A7DDE93" w14:textId="77777777" w:rsidR="00DD5772" w:rsidRDefault="000E7047">
      <w:pPr>
        <w:pStyle w:val="Body"/>
        <w:rPr>
          <w:shd w:val="clear" w:color="auto" w:fill="FFFFFF"/>
        </w:rPr>
      </w:pPr>
      <w:proofErr w:type="spellStart"/>
      <w:r>
        <w:rPr>
          <w:shd w:val="clear" w:color="auto" w:fill="FFFFFF"/>
          <w:lang w:val="en-US"/>
        </w:rPr>
        <w:t>Rezvani</w:t>
      </w:r>
      <w:proofErr w:type="spellEnd"/>
      <w:r>
        <w:rPr>
          <w:shd w:val="clear" w:color="auto" w:fill="FFFFFF"/>
          <w:lang w:val="en-US"/>
        </w:rPr>
        <w:t xml:space="preserve">, Z., Jansson, J. and </w:t>
      </w:r>
      <w:proofErr w:type="spellStart"/>
      <w:r>
        <w:rPr>
          <w:shd w:val="clear" w:color="auto" w:fill="FFFFFF"/>
          <w:lang w:val="en-US"/>
        </w:rPr>
        <w:t>Bodin</w:t>
      </w:r>
      <w:proofErr w:type="spellEnd"/>
      <w:r>
        <w:rPr>
          <w:shd w:val="clear" w:color="auto" w:fill="FFFFFF"/>
          <w:lang w:val="en-US"/>
        </w:rPr>
        <w:t>, J., 2015. Advances in consumer electric vehicle adoption research: A review and research agenda.</w:t>
      </w:r>
      <w:r>
        <w:rPr>
          <w:rFonts w:ascii="Arial Unicode MS" w:hAnsi="Times New Roman"/>
          <w:shd w:val="clear" w:color="auto" w:fill="FFFFFF"/>
        </w:rPr>
        <w:t> </w:t>
      </w:r>
      <w:r>
        <w:rPr>
          <w:i/>
          <w:iCs/>
          <w:shd w:val="clear" w:color="auto" w:fill="FFFFFF"/>
          <w:lang w:val="en-US"/>
        </w:rPr>
        <w:t>Transportation research part D: transport and environment</w:t>
      </w:r>
      <w:r>
        <w:rPr>
          <w:shd w:val="clear" w:color="auto" w:fill="FFFFFF"/>
        </w:rPr>
        <w:t>,</w:t>
      </w:r>
      <w:r>
        <w:rPr>
          <w:rFonts w:ascii="Arial Unicode MS" w:hAnsi="Times New Roman"/>
          <w:shd w:val="clear" w:color="auto" w:fill="FFFFFF"/>
        </w:rPr>
        <w:t> </w:t>
      </w:r>
      <w:r>
        <w:rPr>
          <w:i/>
          <w:iCs/>
          <w:shd w:val="clear" w:color="auto" w:fill="FFFFFF"/>
        </w:rPr>
        <w:t>34</w:t>
      </w:r>
      <w:r>
        <w:rPr>
          <w:shd w:val="clear" w:color="auto" w:fill="FFFFFF"/>
        </w:rPr>
        <w:t>, pp.122-136.</w:t>
      </w:r>
    </w:p>
    <w:p w14:paraId="39D071D0" w14:textId="77777777" w:rsidR="00DD5772" w:rsidRDefault="000E7047">
      <w:pPr>
        <w:pStyle w:val="Body"/>
      </w:pPr>
      <w:proofErr w:type="spellStart"/>
      <w:r>
        <w:rPr>
          <w:shd w:val="clear" w:color="auto" w:fill="FFFFFF"/>
        </w:rPr>
        <w:t>R</w:t>
      </w:r>
      <w:r>
        <w:rPr>
          <w:rFonts w:ascii="Arial Unicode MS" w:hAnsi="Times New Roman"/>
          <w:shd w:val="clear" w:color="auto" w:fill="FFFFFF"/>
        </w:rPr>
        <w:t>ü</w:t>
      </w:r>
      <w:r>
        <w:rPr>
          <w:shd w:val="clear" w:color="auto" w:fill="FFFFFF"/>
          <w:lang w:val="en-US"/>
        </w:rPr>
        <w:t>cker</w:t>
      </w:r>
      <w:proofErr w:type="spellEnd"/>
      <w:r>
        <w:rPr>
          <w:shd w:val="clear" w:color="auto" w:fill="FFFFFF"/>
          <w:lang w:val="en-US"/>
        </w:rPr>
        <w:t xml:space="preserve">, F., Bremer, I., Linden, S., </w:t>
      </w:r>
      <w:proofErr w:type="spellStart"/>
      <w:r>
        <w:rPr>
          <w:shd w:val="clear" w:color="auto" w:fill="FFFFFF"/>
          <w:lang w:val="en-US"/>
        </w:rPr>
        <w:t>Badeda</w:t>
      </w:r>
      <w:proofErr w:type="spellEnd"/>
      <w:r>
        <w:rPr>
          <w:shd w:val="clear" w:color="auto" w:fill="FFFFFF"/>
          <w:lang w:val="en-US"/>
        </w:rPr>
        <w:t>, J. and Sauer, D.U., 2016. Development and evaluation of a battery lifetime extending charging algorithm for an electric vehicle fleet.</w:t>
      </w:r>
      <w:r>
        <w:rPr>
          <w:rFonts w:ascii="Arial Unicode MS" w:hAnsi="Times New Roman"/>
          <w:shd w:val="clear" w:color="auto" w:fill="FFFFFF"/>
        </w:rPr>
        <w:t> </w:t>
      </w:r>
      <w:r>
        <w:rPr>
          <w:i/>
          <w:iCs/>
          <w:shd w:val="clear" w:color="auto" w:fill="FFFFFF"/>
        </w:rPr>
        <w:t>Energy Procedia</w:t>
      </w:r>
      <w:r>
        <w:rPr>
          <w:shd w:val="clear" w:color="auto" w:fill="FFFFFF"/>
        </w:rPr>
        <w:t>,</w:t>
      </w:r>
      <w:r>
        <w:rPr>
          <w:rFonts w:ascii="Arial Unicode MS" w:hAnsi="Times New Roman"/>
          <w:shd w:val="clear" w:color="auto" w:fill="FFFFFF"/>
        </w:rPr>
        <w:t> </w:t>
      </w:r>
      <w:r>
        <w:rPr>
          <w:i/>
          <w:iCs/>
          <w:shd w:val="clear" w:color="auto" w:fill="FFFFFF"/>
        </w:rPr>
        <w:t>99</w:t>
      </w:r>
      <w:r>
        <w:rPr>
          <w:shd w:val="clear" w:color="auto" w:fill="FFFFFF"/>
        </w:rPr>
        <w:t>, pp.285-291.</w:t>
      </w:r>
    </w:p>
    <w:sectPr w:rsidR="00DD5772">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97FB4" w14:textId="77777777" w:rsidR="00A57C51" w:rsidRDefault="00A57C51">
      <w:r>
        <w:separator/>
      </w:r>
    </w:p>
  </w:endnote>
  <w:endnote w:type="continuationSeparator" w:id="0">
    <w:p w14:paraId="0072D88F" w14:textId="77777777" w:rsidR="00A57C51" w:rsidRDefault="00A57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DF037" w14:textId="77777777" w:rsidR="000E7047" w:rsidRDefault="000E704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918BC" w14:textId="77777777" w:rsidR="00A57C51" w:rsidRDefault="00A57C51">
      <w:r>
        <w:separator/>
      </w:r>
    </w:p>
  </w:footnote>
  <w:footnote w:type="continuationSeparator" w:id="0">
    <w:p w14:paraId="08AD718C" w14:textId="77777777" w:rsidR="00A57C51" w:rsidRDefault="00A57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7C093" w14:textId="77777777" w:rsidR="000E7047" w:rsidRDefault="000E704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210ABF"/>
    <w:multiLevelType w:val="multilevel"/>
    <w:tmpl w:val="D46232D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43822081"/>
    <w:multiLevelType w:val="multilevel"/>
    <w:tmpl w:val="72022B16"/>
    <w:styleLink w:val="List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63E06298"/>
    <w:multiLevelType w:val="multilevel"/>
    <w:tmpl w:val="5070608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64847829"/>
    <w:multiLevelType w:val="multilevel"/>
    <w:tmpl w:val="0CB2859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772"/>
    <w:rsid w:val="000E7047"/>
    <w:rsid w:val="00903B32"/>
    <w:rsid w:val="00A57C51"/>
    <w:rsid w:val="00CD2DBC"/>
    <w:rsid w:val="00DC23F5"/>
    <w:rsid w:val="00DD5772"/>
  </w:rsids>
  <m:mathPr>
    <m:mathFont m:val="Cambria Math"/>
    <m:brkBin m:val="before"/>
    <m:brkBinSub m:val="--"/>
    <m:smallFrac m:val="0"/>
    <m:dispDef/>
    <m:lMargin m:val="0"/>
    <m:rMargin m:val="0"/>
    <m:defJc m:val="centerGroup"/>
    <m:wrapIndent m:val="1440"/>
    <m:intLim m:val="subSup"/>
    <m:naryLim m:val="undOvr"/>
  </m:mathPr>
  <w:themeFontLang w:val="en-C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E21"/>
  <w15:docId w15:val="{F5659C9A-EA1B-41E8-A41C-90E89473C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CY" w:eastAsia="en-CY"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pacing w:after="200" w:line="360" w:lineRule="auto"/>
      <w:jc w:val="both"/>
    </w:pPr>
    <w:rPr>
      <w:rFonts w:hAnsi="Arial Unicode MS" w:cs="Arial Unicode MS"/>
      <w:color w:val="000000"/>
      <w:sz w:val="24"/>
      <w:szCs w:val="24"/>
      <w:u w:color="000000"/>
    </w:rPr>
  </w:style>
  <w:style w:type="paragraph" w:styleId="TOCHeading">
    <w:name w:val="TOC Heading"/>
    <w:next w:val="Body"/>
    <w:pPr>
      <w:keepNext/>
      <w:keepLines/>
      <w:spacing w:before="240" w:line="259" w:lineRule="auto"/>
    </w:pPr>
    <w:rPr>
      <w:rFonts w:ascii="Cambria" w:eastAsia="Cambria" w:hAnsi="Cambria" w:cs="Cambria"/>
      <w:color w:val="365F91"/>
      <w:sz w:val="32"/>
      <w:szCs w:val="32"/>
      <w:u w:color="365F91"/>
      <w:lang w:val="en-US"/>
    </w:rPr>
  </w:style>
  <w:style w:type="paragraph" w:styleId="TOC1">
    <w:name w:val="toc 1"/>
    <w:pPr>
      <w:tabs>
        <w:tab w:val="right" w:leader="dot" w:pos="9340"/>
      </w:tabs>
      <w:spacing w:after="100" w:line="360" w:lineRule="auto"/>
      <w:jc w:val="both"/>
    </w:pPr>
    <w:rPr>
      <w:rFonts w:eastAsia="Times New Roman"/>
      <w:color w:val="000000"/>
      <w:sz w:val="24"/>
      <w:szCs w:val="24"/>
      <w:u w:color="000000"/>
      <w:lang w:val="en-US"/>
    </w:rPr>
  </w:style>
  <w:style w:type="paragraph" w:customStyle="1" w:styleId="Heading">
    <w:name w:val="Heading"/>
    <w:next w:val="Body"/>
    <w:pPr>
      <w:keepNext/>
      <w:keepLines/>
      <w:spacing w:before="480" w:line="360" w:lineRule="auto"/>
      <w:jc w:val="both"/>
      <w:outlineLvl w:val="0"/>
    </w:pPr>
    <w:rPr>
      <w:rFonts w:eastAsia="Times New Roman"/>
      <w:b/>
      <w:bCs/>
      <w:color w:val="000000"/>
      <w:sz w:val="24"/>
      <w:szCs w:val="24"/>
      <w:u w:color="000000"/>
    </w:rPr>
  </w:style>
  <w:style w:type="paragraph" w:styleId="ListParagraph">
    <w:name w:val="List Paragraph"/>
    <w:pPr>
      <w:spacing w:after="200" w:line="360" w:lineRule="auto"/>
      <w:ind w:left="720"/>
      <w:jc w:val="both"/>
    </w:pPr>
    <w:rPr>
      <w:rFonts w:hAnsi="Arial Unicode MS" w:cs="Arial Unicode MS"/>
      <w:color w:val="000000"/>
      <w:sz w:val="24"/>
      <w:szCs w:val="24"/>
      <w:u w:color="000000"/>
      <w:lang w:val="en-US"/>
    </w:rPr>
  </w:style>
  <w:style w:type="numbering" w:customStyle="1" w:styleId="List0">
    <w:name w:val="List 0"/>
    <w:basedOn w:val="ImportedStyle1"/>
    <w:pPr>
      <w:numPr>
        <w:numId w:val="4"/>
      </w:numPr>
    </w:pPr>
  </w:style>
  <w:style w:type="numbering" w:customStyle="1" w:styleId="ImportedStyle1">
    <w:name w:val="Imported Style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just" defTabSz="457200" rtl="0" fontAlgn="auto" latinLnBrk="1" hangingPunct="0">
          <a:lnSpc>
            <a:spcPct val="150000"/>
          </a:lnSpc>
          <a:spcBef>
            <a:spcPts val="100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Evelina Emilova</cp:lastModifiedBy>
  <cp:revision>2</cp:revision>
  <dcterms:created xsi:type="dcterms:W3CDTF">2020-01-05T09:24:00Z</dcterms:created>
  <dcterms:modified xsi:type="dcterms:W3CDTF">2020-01-05T09:24:00Z</dcterms:modified>
</cp:coreProperties>
</file>