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C62C46" w14:textId="77777777" w:rsidR="00CD7C77" w:rsidRPr="00CD7C77" w:rsidRDefault="00CD7C77" w:rsidP="00CD7C77">
      <w:pPr>
        <w:spacing w:before="200" w:after="120"/>
        <w:rPr>
          <w:rFonts w:ascii="Arial" w:hAnsi="Arial" w:cs="Arial"/>
          <w:b/>
          <w:bCs/>
          <w:color w:val="1F3864"/>
          <w:sz w:val="28"/>
          <w:szCs w:val="28"/>
        </w:rPr>
      </w:pPr>
      <w:r w:rsidRPr="00CD7C77">
        <w:rPr>
          <w:rFonts w:ascii="Arial" w:hAnsi="Arial" w:cs="Arial"/>
          <w:b/>
          <w:bCs/>
          <w:noProof/>
          <w:color w:val="1F3864"/>
          <w:sz w:val="28"/>
          <w:szCs w:val="28"/>
        </w:rPr>
        <w:drawing>
          <wp:anchor distT="0" distB="0" distL="114300" distR="114300" simplePos="0" relativeHeight="251659264" behindDoc="0" locked="0" layoutInCell="1" allowOverlap="1" wp14:anchorId="02F75E32" wp14:editId="66E5693F">
            <wp:simplePos x="0" y="0"/>
            <wp:positionH relativeFrom="column">
              <wp:posOffset>1066800</wp:posOffset>
            </wp:positionH>
            <wp:positionV relativeFrom="paragraph">
              <wp:posOffset>0</wp:posOffset>
            </wp:positionV>
            <wp:extent cx="3597910" cy="1440180"/>
            <wp:effectExtent l="0" t="0" r="2540" b="7620"/>
            <wp:wrapTopAndBottom/>
            <wp:docPr id="10514691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469157" name="Picture 1051469157"/>
                    <pic:cNvPicPr/>
                  </pic:nvPicPr>
                  <pic:blipFill>
                    <a:blip r:embed="rId8">
                      <a:extLst>
                        <a:ext uri="{28A0092B-C50C-407E-A947-70E740481C1C}">
                          <a14:useLocalDpi xmlns:a14="http://schemas.microsoft.com/office/drawing/2010/main" val="0"/>
                        </a:ext>
                      </a:extLst>
                    </a:blip>
                    <a:stretch>
                      <a:fillRect/>
                    </a:stretch>
                  </pic:blipFill>
                  <pic:spPr>
                    <a:xfrm>
                      <a:off x="0" y="0"/>
                      <a:ext cx="3597910" cy="1440180"/>
                    </a:xfrm>
                    <a:prstGeom prst="rect">
                      <a:avLst/>
                    </a:prstGeom>
                  </pic:spPr>
                </pic:pic>
              </a:graphicData>
            </a:graphic>
          </wp:anchor>
        </w:drawing>
      </w:r>
    </w:p>
    <w:p w14:paraId="6D9D48C7" w14:textId="77777777" w:rsidR="00CD7C77" w:rsidRPr="000B668F" w:rsidRDefault="00CD7C77" w:rsidP="00CD7C77">
      <w:pPr>
        <w:spacing w:before="200" w:after="120"/>
        <w:jc w:val="center"/>
        <w:rPr>
          <w:rFonts w:ascii="Arial" w:hAnsi="Arial" w:cs="Arial"/>
          <w:sz w:val="32"/>
          <w:szCs w:val="32"/>
        </w:rPr>
      </w:pPr>
      <w:r w:rsidRPr="000B668F">
        <w:rPr>
          <w:rFonts w:ascii="Arial" w:hAnsi="Arial" w:cs="Arial"/>
          <w:b/>
          <w:bCs/>
          <w:color w:val="1F3864"/>
          <w:sz w:val="36"/>
          <w:szCs w:val="36"/>
        </w:rPr>
        <w:t>UNIVERSITY OF WALES TRINITY SAINT DAVID</w:t>
      </w:r>
    </w:p>
    <w:p w14:paraId="45FDE1D8" w14:textId="77777777" w:rsidR="00CD7C77" w:rsidRPr="000B668F" w:rsidRDefault="00CD7C77" w:rsidP="00CD7C77">
      <w:pPr>
        <w:spacing w:after="60"/>
        <w:jc w:val="center"/>
        <w:rPr>
          <w:rFonts w:ascii="Arial" w:hAnsi="Arial" w:cs="Arial"/>
          <w:sz w:val="32"/>
          <w:szCs w:val="32"/>
        </w:rPr>
      </w:pPr>
      <w:r w:rsidRPr="000B668F">
        <w:rPr>
          <w:rFonts w:ascii="Arial" w:hAnsi="Arial" w:cs="Arial"/>
          <w:b/>
          <w:bCs/>
          <w:color w:val="2E5FA3"/>
          <w:sz w:val="32"/>
          <w:szCs w:val="32"/>
        </w:rPr>
        <w:t>Master of Business Administration</w:t>
      </w:r>
    </w:p>
    <w:p w14:paraId="37CDF682" w14:textId="77777777" w:rsidR="00CD7C77" w:rsidRPr="000B668F" w:rsidRDefault="00CD7C77" w:rsidP="00CD7C77">
      <w:pPr>
        <w:spacing w:after="600"/>
        <w:jc w:val="center"/>
        <w:rPr>
          <w:rFonts w:ascii="Arial" w:hAnsi="Arial" w:cs="Arial"/>
          <w:sz w:val="32"/>
          <w:szCs w:val="32"/>
        </w:rPr>
      </w:pPr>
      <w:r w:rsidRPr="000B668F">
        <w:rPr>
          <w:rFonts w:ascii="Arial" w:hAnsi="Arial" w:cs="Arial"/>
          <w:color w:val="595959"/>
        </w:rPr>
        <w:t>Module Code: LCMB7034 | International Business Concepts</w:t>
      </w:r>
    </w:p>
    <w:p w14:paraId="7376A74D" w14:textId="77777777" w:rsidR="00CD7C77" w:rsidRPr="00CD7C77" w:rsidRDefault="00CD7C77" w:rsidP="00CD7C77">
      <w:pPr>
        <w:pBdr>
          <w:bottom w:val="single" w:sz="6" w:space="1" w:color="2E5FA3"/>
        </w:pBdr>
        <w:spacing w:before="100" w:after="100" w:line="360" w:lineRule="auto"/>
        <w:rPr>
          <w:rFonts w:ascii="Arial" w:hAnsi="Arial" w:cs="Arial"/>
        </w:rPr>
      </w:pPr>
    </w:p>
    <w:p w14:paraId="068AAB8A" w14:textId="783239BE" w:rsidR="00CD7C77" w:rsidRPr="00CD7C77" w:rsidRDefault="00CD7C77" w:rsidP="00CD7C77">
      <w:pPr>
        <w:spacing w:after="60" w:line="360" w:lineRule="auto"/>
        <w:jc w:val="center"/>
        <w:rPr>
          <w:rFonts w:ascii="Arial" w:hAnsi="Arial" w:cs="Arial"/>
          <w:b/>
          <w:bCs/>
          <w:color w:val="1F3864"/>
          <w:sz w:val="36"/>
          <w:szCs w:val="36"/>
        </w:rPr>
      </w:pPr>
      <w:r w:rsidRPr="00CD7C77">
        <w:rPr>
          <w:rFonts w:ascii="Arial" w:hAnsi="Arial" w:cs="Arial"/>
          <w:b/>
          <w:bCs/>
          <w:i/>
          <w:iCs/>
          <w:color w:val="1F3864"/>
          <w:sz w:val="36"/>
          <w:szCs w:val="36"/>
        </w:rPr>
        <w:t>A Strategic Analysis of Primark's Potential Market Entry into South Korea</w:t>
      </w:r>
    </w:p>
    <w:p w14:paraId="10E37FA3" w14:textId="77777777" w:rsidR="00CD7C77" w:rsidRPr="00CD7C77" w:rsidRDefault="00CD7C77" w:rsidP="00CD7C77">
      <w:pPr>
        <w:pBdr>
          <w:bottom w:val="single" w:sz="6" w:space="1" w:color="2E5FA3"/>
        </w:pBdr>
        <w:spacing w:before="100" w:after="100" w:line="360" w:lineRule="auto"/>
        <w:rPr>
          <w:rFonts w:ascii="Arial" w:hAnsi="Arial" w:cs="Arial"/>
        </w:rPr>
      </w:pPr>
    </w:p>
    <w:p w14:paraId="02A45407" w14:textId="77777777" w:rsidR="00CD7C77" w:rsidRPr="00CD7C77" w:rsidRDefault="00CD7C77" w:rsidP="00CD7C77">
      <w:pPr>
        <w:spacing w:after="60" w:line="360" w:lineRule="auto"/>
        <w:rPr>
          <w:rFonts w:ascii="Arial" w:hAnsi="Arial" w:cs="Arial"/>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400"/>
        <w:gridCol w:w="5626"/>
      </w:tblGrid>
      <w:tr w:rsidR="00CD7C77" w:rsidRPr="00CD7C77" w14:paraId="1E243944" w14:textId="77777777" w:rsidTr="00CE2568">
        <w:tc>
          <w:tcPr>
            <w:tcW w:w="3400" w:type="dxa"/>
            <w:tcBorders>
              <w:top w:val="single" w:sz="4" w:space="0" w:color="CCCCCC"/>
              <w:left w:val="single" w:sz="4" w:space="0" w:color="CCCCCC"/>
              <w:bottom w:val="single" w:sz="4" w:space="0" w:color="CCCCCC"/>
              <w:right w:val="single" w:sz="4" w:space="0" w:color="CCCCCC"/>
            </w:tcBorders>
            <w:shd w:val="clear" w:color="auto" w:fill="D6E4F0"/>
            <w:tcMar>
              <w:top w:w="80" w:type="dxa"/>
              <w:left w:w="120" w:type="dxa"/>
              <w:bottom w:w="80" w:type="dxa"/>
              <w:right w:w="120" w:type="dxa"/>
            </w:tcMar>
            <w:vAlign w:val="center"/>
          </w:tcPr>
          <w:p w14:paraId="753852C7" w14:textId="77777777" w:rsidR="00CD7C77" w:rsidRPr="00CD7C77" w:rsidRDefault="00CD7C77" w:rsidP="00CE2568">
            <w:pPr>
              <w:spacing w:after="80" w:line="360" w:lineRule="auto"/>
              <w:rPr>
                <w:rFonts w:ascii="Arial" w:hAnsi="Arial" w:cs="Arial"/>
              </w:rPr>
            </w:pPr>
            <w:r w:rsidRPr="00CD7C77">
              <w:rPr>
                <w:rFonts w:ascii="Arial" w:hAnsi="Arial" w:cs="Arial"/>
                <w:b/>
                <w:bCs/>
                <w:color w:val="000000"/>
              </w:rPr>
              <w:t>Lecturer:</w:t>
            </w:r>
          </w:p>
        </w:tc>
        <w:tc>
          <w:tcPr>
            <w:tcW w:w="5626"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0CCC8C04" w14:textId="77777777" w:rsidR="00CD7C77" w:rsidRPr="00CD7C77" w:rsidRDefault="00CD7C77" w:rsidP="00CE2568">
            <w:pPr>
              <w:spacing w:after="80" w:line="360" w:lineRule="auto"/>
              <w:rPr>
                <w:rFonts w:ascii="Arial" w:hAnsi="Arial" w:cs="Arial"/>
              </w:rPr>
            </w:pPr>
            <w:r w:rsidRPr="00CD7C77">
              <w:rPr>
                <w:rFonts w:ascii="Arial" w:hAnsi="Arial" w:cs="Arial"/>
                <w:color w:val="000000"/>
              </w:rPr>
              <w:t>Akshay Narayanan</w:t>
            </w:r>
          </w:p>
        </w:tc>
      </w:tr>
      <w:tr w:rsidR="00CD7C77" w:rsidRPr="00CD7C77" w14:paraId="60024486" w14:textId="77777777" w:rsidTr="00CE2568">
        <w:tc>
          <w:tcPr>
            <w:tcW w:w="3400" w:type="dxa"/>
            <w:tcBorders>
              <w:top w:val="single" w:sz="4" w:space="0" w:color="CCCCCC"/>
              <w:left w:val="single" w:sz="4" w:space="0" w:color="CCCCCC"/>
              <w:bottom w:val="single" w:sz="4" w:space="0" w:color="CCCCCC"/>
              <w:right w:val="single" w:sz="4" w:space="0" w:color="CCCCCC"/>
            </w:tcBorders>
            <w:shd w:val="clear" w:color="auto" w:fill="D6E4F0"/>
            <w:tcMar>
              <w:top w:w="80" w:type="dxa"/>
              <w:left w:w="120" w:type="dxa"/>
              <w:bottom w:w="80" w:type="dxa"/>
              <w:right w:w="120" w:type="dxa"/>
            </w:tcMar>
            <w:vAlign w:val="center"/>
          </w:tcPr>
          <w:p w14:paraId="6EB5A7F0" w14:textId="77777777" w:rsidR="00CD7C77" w:rsidRPr="00CD7C77" w:rsidRDefault="00CD7C77" w:rsidP="00CE2568">
            <w:pPr>
              <w:spacing w:after="80" w:line="360" w:lineRule="auto"/>
              <w:rPr>
                <w:rFonts w:ascii="Arial" w:hAnsi="Arial" w:cs="Arial"/>
              </w:rPr>
            </w:pPr>
            <w:r w:rsidRPr="00CD7C77">
              <w:rPr>
                <w:rFonts w:ascii="Arial" w:hAnsi="Arial" w:cs="Arial"/>
                <w:b/>
                <w:bCs/>
                <w:color w:val="000000"/>
              </w:rPr>
              <w:t>Programme:</w:t>
            </w:r>
          </w:p>
        </w:tc>
        <w:tc>
          <w:tcPr>
            <w:tcW w:w="5626"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49F891E8" w14:textId="77777777" w:rsidR="00CD7C77" w:rsidRPr="00CD7C77" w:rsidRDefault="00CD7C77" w:rsidP="00CE2568">
            <w:pPr>
              <w:spacing w:after="80" w:line="360" w:lineRule="auto"/>
              <w:rPr>
                <w:rFonts w:ascii="Arial" w:hAnsi="Arial" w:cs="Arial"/>
              </w:rPr>
            </w:pPr>
            <w:r w:rsidRPr="00CD7C77">
              <w:rPr>
                <w:rFonts w:ascii="Arial" w:hAnsi="Arial" w:cs="Arial"/>
                <w:color w:val="000000"/>
              </w:rPr>
              <w:t>Master of Business Administration</w:t>
            </w:r>
          </w:p>
        </w:tc>
      </w:tr>
      <w:tr w:rsidR="00CD7C77" w:rsidRPr="00CD7C77" w14:paraId="3D3A595D" w14:textId="77777777" w:rsidTr="00CE2568">
        <w:tc>
          <w:tcPr>
            <w:tcW w:w="3400" w:type="dxa"/>
            <w:tcBorders>
              <w:top w:val="single" w:sz="4" w:space="0" w:color="CCCCCC"/>
              <w:left w:val="single" w:sz="4" w:space="0" w:color="CCCCCC"/>
              <w:bottom w:val="single" w:sz="4" w:space="0" w:color="CCCCCC"/>
              <w:right w:val="single" w:sz="4" w:space="0" w:color="CCCCCC"/>
            </w:tcBorders>
            <w:shd w:val="clear" w:color="auto" w:fill="D6E4F0"/>
            <w:tcMar>
              <w:top w:w="80" w:type="dxa"/>
              <w:left w:w="120" w:type="dxa"/>
              <w:bottom w:w="80" w:type="dxa"/>
              <w:right w:w="120" w:type="dxa"/>
            </w:tcMar>
            <w:vAlign w:val="center"/>
          </w:tcPr>
          <w:p w14:paraId="520BC150" w14:textId="77777777" w:rsidR="00CD7C77" w:rsidRPr="00CD7C77" w:rsidRDefault="00CD7C77" w:rsidP="00CE2568">
            <w:pPr>
              <w:spacing w:after="80" w:line="360" w:lineRule="auto"/>
              <w:rPr>
                <w:rFonts w:ascii="Arial" w:hAnsi="Arial" w:cs="Arial"/>
              </w:rPr>
            </w:pPr>
            <w:r w:rsidRPr="00CD7C77">
              <w:rPr>
                <w:rFonts w:ascii="Arial" w:hAnsi="Arial" w:cs="Arial"/>
                <w:b/>
                <w:bCs/>
                <w:color w:val="000000"/>
              </w:rPr>
              <w:t>Module:</w:t>
            </w:r>
          </w:p>
        </w:tc>
        <w:tc>
          <w:tcPr>
            <w:tcW w:w="5626"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280404D6" w14:textId="77777777" w:rsidR="00CD7C77" w:rsidRPr="00CD7C77" w:rsidRDefault="00CD7C77" w:rsidP="00CE2568">
            <w:pPr>
              <w:spacing w:after="80" w:line="360" w:lineRule="auto"/>
              <w:rPr>
                <w:rFonts w:ascii="Arial" w:hAnsi="Arial" w:cs="Arial"/>
              </w:rPr>
            </w:pPr>
            <w:r w:rsidRPr="00CD7C77">
              <w:rPr>
                <w:rFonts w:ascii="Arial" w:hAnsi="Arial" w:cs="Arial"/>
                <w:color w:val="000000"/>
              </w:rPr>
              <w:t>International Business Concepts (LCMB7034)</w:t>
            </w:r>
          </w:p>
        </w:tc>
      </w:tr>
      <w:tr w:rsidR="00CD7C77" w:rsidRPr="00CD7C77" w14:paraId="550E80AF" w14:textId="77777777" w:rsidTr="00CE2568">
        <w:tc>
          <w:tcPr>
            <w:tcW w:w="3400" w:type="dxa"/>
            <w:tcBorders>
              <w:top w:val="single" w:sz="4" w:space="0" w:color="CCCCCC"/>
              <w:left w:val="single" w:sz="4" w:space="0" w:color="CCCCCC"/>
              <w:bottom w:val="single" w:sz="4" w:space="0" w:color="CCCCCC"/>
              <w:right w:val="single" w:sz="4" w:space="0" w:color="CCCCCC"/>
            </w:tcBorders>
            <w:shd w:val="clear" w:color="auto" w:fill="D6E4F0"/>
            <w:tcMar>
              <w:top w:w="80" w:type="dxa"/>
              <w:left w:w="120" w:type="dxa"/>
              <w:bottom w:w="80" w:type="dxa"/>
              <w:right w:w="120" w:type="dxa"/>
            </w:tcMar>
            <w:vAlign w:val="center"/>
          </w:tcPr>
          <w:p w14:paraId="0283138A" w14:textId="77777777" w:rsidR="00CD7C77" w:rsidRPr="00CD7C77" w:rsidRDefault="00CD7C77" w:rsidP="00CE2568">
            <w:pPr>
              <w:spacing w:after="80" w:line="360" w:lineRule="auto"/>
              <w:rPr>
                <w:rFonts w:ascii="Arial" w:hAnsi="Arial" w:cs="Arial"/>
              </w:rPr>
            </w:pPr>
            <w:r w:rsidRPr="00CD7C77">
              <w:rPr>
                <w:rFonts w:ascii="Arial" w:hAnsi="Arial" w:cs="Arial"/>
                <w:b/>
                <w:bCs/>
                <w:color w:val="000000"/>
              </w:rPr>
              <w:t>Submission Date:</w:t>
            </w:r>
          </w:p>
        </w:tc>
        <w:tc>
          <w:tcPr>
            <w:tcW w:w="5626"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799144EF" w14:textId="00F5491A" w:rsidR="00CD7C77" w:rsidRPr="00CD7C77" w:rsidRDefault="00CD7C77" w:rsidP="00CE2568">
            <w:pPr>
              <w:spacing w:after="80" w:line="360" w:lineRule="auto"/>
              <w:rPr>
                <w:rFonts w:ascii="Arial" w:hAnsi="Arial" w:cs="Arial"/>
              </w:rPr>
            </w:pPr>
            <w:r w:rsidRPr="00CD7C77">
              <w:rPr>
                <w:rFonts w:ascii="Arial" w:hAnsi="Arial" w:cs="Arial"/>
                <w:color w:val="000000"/>
              </w:rPr>
              <w:t>Monday 10th August 2026</w:t>
            </w:r>
          </w:p>
        </w:tc>
      </w:tr>
    </w:tbl>
    <w:p w14:paraId="286B8DB8" w14:textId="77777777" w:rsidR="00CD7C77" w:rsidRPr="00CD7C77" w:rsidRDefault="00CD7C77" w:rsidP="00CD7C77">
      <w:pPr>
        <w:spacing w:before="50" w:after="200" w:line="360" w:lineRule="auto"/>
        <w:jc w:val="center"/>
        <w:rPr>
          <w:rFonts w:ascii="Arial" w:hAnsi="Arial" w:cs="Arial"/>
          <w:b/>
          <w:bCs/>
        </w:rPr>
      </w:pPr>
    </w:p>
    <w:p w14:paraId="4128A502" w14:textId="77777777" w:rsidR="00CD7C77" w:rsidRPr="00CD7C77" w:rsidRDefault="00CD7C77" w:rsidP="00CD7C77">
      <w:pPr>
        <w:spacing w:before="50" w:after="200" w:line="360" w:lineRule="auto"/>
        <w:jc w:val="center"/>
        <w:rPr>
          <w:rFonts w:ascii="Arial" w:hAnsi="Arial" w:cs="Arial"/>
          <w:sz w:val="32"/>
          <w:szCs w:val="32"/>
        </w:rPr>
      </w:pPr>
      <w:r w:rsidRPr="00CD7C77">
        <w:rPr>
          <w:rFonts w:ascii="Arial" w:hAnsi="Arial" w:cs="Arial"/>
          <w:b/>
          <w:bCs/>
          <w:sz w:val="32"/>
          <w:szCs w:val="32"/>
        </w:rPr>
        <w:t>Student name: Md Alamin</w:t>
      </w:r>
    </w:p>
    <w:p w14:paraId="4F4F1D69" w14:textId="77777777" w:rsidR="00CD7C77" w:rsidRPr="00CD7C77" w:rsidRDefault="00CD7C77" w:rsidP="00CD7C77">
      <w:pPr>
        <w:spacing w:before="50" w:after="200" w:line="360" w:lineRule="auto"/>
        <w:jc w:val="center"/>
        <w:rPr>
          <w:rFonts w:ascii="Arial" w:hAnsi="Arial" w:cs="Arial"/>
          <w:b/>
          <w:bCs/>
          <w:sz w:val="32"/>
          <w:szCs w:val="32"/>
        </w:rPr>
      </w:pPr>
      <w:r w:rsidRPr="00CD7C77">
        <w:rPr>
          <w:rFonts w:ascii="Arial" w:hAnsi="Arial" w:cs="Arial"/>
          <w:b/>
          <w:bCs/>
          <w:sz w:val="32"/>
          <w:szCs w:val="32"/>
        </w:rPr>
        <w:t>Student ID number: 2434280</w:t>
      </w:r>
    </w:p>
    <w:p w14:paraId="50F708DF" w14:textId="2705B233" w:rsidR="008A3A05" w:rsidRPr="008A3A05" w:rsidRDefault="000B668F" w:rsidP="000B668F">
      <w:pPr>
        <w:spacing w:before="50" w:after="200" w:line="360" w:lineRule="auto"/>
        <w:jc w:val="center"/>
        <w:rPr>
          <w:rFonts w:ascii="Arial" w:hAnsi="Arial" w:cs="Arial"/>
          <w:b/>
          <w:bCs/>
          <w:i/>
          <w:iCs/>
          <w:sz w:val="36"/>
          <w:szCs w:val="36"/>
        </w:rPr>
      </w:pPr>
      <w:r w:rsidRPr="008A3A05">
        <w:rPr>
          <w:rFonts w:ascii="Arial" w:hAnsi="Arial" w:cs="Arial"/>
          <w:b/>
          <w:bCs/>
          <w:i/>
          <w:iCs/>
          <w:sz w:val="36"/>
          <w:szCs w:val="36"/>
        </w:rPr>
        <w:t xml:space="preserve"> </w:t>
      </w:r>
      <w:r w:rsidR="00CD7C77" w:rsidRPr="008A3A05">
        <w:rPr>
          <w:rFonts w:ascii="Arial" w:hAnsi="Arial" w:cs="Arial"/>
          <w:b/>
          <w:bCs/>
          <w:i/>
          <w:iCs/>
          <w:sz w:val="36"/>
          <w:szCs w:val="36"/>
        </w:rPr>
        <w:t>Word Count:</w:t>
      </w:r>
      <w:r w:rsidRPr="008A3A05">
        <w:rPr>
          <w:rFonts w:ascii="Arial" w:hAnsi="Arial" w:cs="Arial"/>
          <w:b/>
          <w:bCs/>
          <w:i/>
          <w:iCs/>
          <w:sz w:val="36"/>
          <w:szCs w:val="36"/>
        </w:rPr>
        <w:t xml:space="preserve"> 53</w:t>
      </w:r>
      <w:r w:rsidR="00147427">
        <w:rPr>
          <w:rFonts w:ascii="Arial" w:hAnsi="Arial" w:cs="Arial"/>
          <w:b/>
          <w:bCs/>
          <w:i/>
          <w:iCs/>
          <w:sz w:val="36"/>
          <w:szCs w:val="36"/>
        </w:rPr>
        <w:t>90</w:t>
      </w:r>
    </w:p>
    <w:p w14:paraId="57757E94" w14:textId="4A62ED7B" w:rsidR="00612205" w:rsidRPr="008A3A05" w:rsidRDefault="000B668F" w:rsidP="000B668F">
      <w:pPr>
        <w:spacing w:before="50" w:after="200" w:line="360" w:lineRule="auto"/>
        <w:jc w:val="center"/>
        <w:rPr>
          <w:rFonts w:ascii="Arial" w:hAnsi="Arial" w:cs="Arial"/>
          <w:i/>
          <w:iCs/>
          <w:sz w:val="40"/>
          <w:szCs w:val="40"/>
        </w:rPr>
        <w:sectPr w:rsidR="00612205" w:rsidRPr="008A3A05">
          <w:pgSz w:w="11906" w:h="16838"/>
          <w:pgMar w:top="1440" w:right="1440" w:bottom="1440" w:left="1440" w:header="708" w:footer="708" w:gutter="0"/>
          <w:cols w:space="720"/>
          <w:docGrid w:linePitch="360"/>
        </w:sectPr>
      </w:pPr>
      <w:r w:rsidRPr="008A3A05">
        <w:rPr>
          <w:rFonts w:ascii="Arial" w:hAnsi="Arial" w:cs="Arial"/>
          <w:i/>
          <w:iCs/>
          <w:sz w:val="22"/>
          <w:szCs w:val="22"/>
        </w:rPr>
        <w:t xml:space="preserve">(Without Cover page, Table of </w:t>
      </w:r>
      <w:r w:rsidR="004554C3">
        <w:rPr>
          <w:rFonts w:ascii="Arial" w:hAnsi="Arial" w:cs="Arial"/>
          <w:i/>
          <w:iCs/>
          <w:sz w:val="22"/>
          <w:szCs w:val="22"/>
        </w:rPr>
        <w:t>Contents</w:t>
      </w:r>
      <w:r w:rsidR="008A3A05" w:rsidRPr="008A3A05">
        <w:rPr>
          <w:rFonts w:ascii="Arial" w:hAnsi="Arial" w:cs="Arial"/>
          <w:i/>
          <w:iCs/>
          <w:sz w:val="22"/>
          <w:szCs w:val="22"/>
        </w:rPr>
        <w:t>, Reference</w:t>
      </w:r>
      <w:r w:rsidRPr="008A3A05">
        <w:rPr>
          <w:rFonts w:ascii="Arial" w:hAnsi="Arial" w:cs="Arial"/>
          <w:i/>
          <w:iCs/>
          <w:sz w:val="22"/>
          <w:szCs w:val="22"/>
        </w:rPr>
        <w:t xml:space="preserve"> list</w:t>
      </w:r>
      <w:r w:rsidR="004554C3">
        <w:rPr>
          <w:rFonts w:ascii="Arial" w:hAnsi="Arial" w:cs="Arial"/>
          <w:i/>
          <w:iCs/>
          <w:sz w:val="22"/>
          <w:szCs w:val="22"/>
        </w:rPr>
        <w:t>,</w:t>
      </w:r>
      <w:r w:rsidR="008902F9">
        <w:rPr>
          <w:rFonts w:ascii="Arial" w:hAnsi="Arial" w:cs="Arial"/>
          <w:i/>
          <w:iCs/>
          <w:sz w:val="22"/>
          <w:szCs w:val="22"/>
        </w:rPr>
        <w:t xml:space="preserve"> </w:t>
      </w:r>
      <w:r w:rsidR="004554C3">
        <w:rPr>
          <w:rFonts w:ascii="Arial" w:hAnsi="Arial" w:cs="Arial"/>
          <w:i/>
          <w:iCs/>
          <w:sz w:val="22"/>
          <w:szCs w:val="22"/>
        </w:rPr>
        <w:t>and Source</w:t>
      </w:r>
      <w:r w:rsidRPr="008A3A05">
        <w:rPr>
          <w:rFonts w:ascii="Arial" w:hAnsi="Arial" w:cs="Arial"/>
          <w:i/>
          <w:iCs/>
          <w:sz w:val="22"/>
          <w:szCs w:val="22"/>
        </w:rPr>
        <w:t>)</w:t>
      </w:r>
    </w:p>
    <w:sdt>
      <w:sdtPr>
        <w:rPr>
          <w:rFonts w:ascii="Arial" w:eastAsia="Times New Roman" w:hAnsi="Arial" w:cs="Arial"/>
          <w:color w:val="333333"/>
          <w:sz w:val="24"/>
          <w:szCs w:val="24"/>
        </w:rPr>
        <w:id w:val="-1889413059"/>
        <w:docPartObj>
          <w:docPartGallery w:val="Table of Contents"/>
          <w:docPartUnique/>
        </w:docPartObj>
      </w:sdtPr>
      <w:sdtEndPr>
        <w:rPr>
          <w:b/>
          <w:bCs/>
          <w:noProof/>
        </w:rPr>
      </w:sdtEndPr>
      <w:sdtContent>
        <w:p w14:paraId="3E7B79E8" w14:textId="64EBDE03" w:rsidR="0094245B" w:rsidRPr="00CB2A4A" w:rsidRDefault="0094245B" w:rsidP="00747BFD">
          <w:pPr>
            <w:pStyle w:val="TOCHeading"/>
            <w:spacing w:line="360" w:lineRule="auto"/>
            <w:jc w:val="both"/>
            <w:rPr>
              <w:rFonts w:ascii="Arial" w:hAnsi="Arial" w:cs="Arial"/>
            </w:rPr>
          </w:pPr>
          <w:r w:rsidRPr="00CB2A4A">
            <w:rPr>
              <w:rFonts w:ascii="Arial" w:hAnsi="Arial" w:cs="Arial"/>
            </w:rPr>
            <w:t>Table of Contents</w:t>
          </w:r>
        </w:p>
        <w:p w14:paraId="67202AEF" w14:textId="077F21B9" w:rsidR="0094245B" w:rsidRPr="00CB2A4A" w:rsidRDefault="0094245B" w:rsidP="00747BFD">
          <w:pPr>
            <w:pStyle w:val="TOC1"/>
            <w:tabs>
              <w:tab w:val="right" w:leader="dot" w:pos="9016"/>
            </w:tabs>
            <w:spacing w:line="360" w:lineRule="auto"/>
            <w:jc w:val="both"/>
            <w:rPr>
              <w:rFonts w:ascii="Arial" w:eastAsiaTheme="minorEastAsia" w:hAnsi="Arial" w:cs="Arial"/>
              <w:noProof/>
              <w:color w:val="auto"/>
              <w:kern w:val="2"/>
              <w14:ligatures w14:val="standardContextual"/>
            </w:rPr>
          </w:pPr>
          <w:r w:rsidRPr="00CB2A4A">
            <w:rPr>
              <w:rFonts w:ascii="Arial" w:hAnsi="Arial" w:cs="Arial"/>
            </w:rPr>
            <w:fldChar w:fldCharType="begin"/>
          </w:r>
          <w:r w:rsidRPr="00CB2A4A">
            <w:rPr>
              <w:rFonts w:ascii="Arial" w:hAnsi="Arial" w:cs="Arial"/>
            </w:rPr>
            <w:instrText xml:space="preserve"> TOC \o "1-3" \h \z \u </w:instrText>
          </w:r>
          <w:r w:rsidRPr="00CB2A4A">
            <w:rPr>
              <w:rFonts w:ascii="Arial" w:hAnsi="Arial" w:cs="Arial"/>
            </w:rPr>
            <w:fldChar w:fldCharType="separate"/>
          </w:r>
          <w:hyperlink w:anchor="_Toc236296274" w:history="1">
            <w:r w:rsidRPr="00CB2A4A">
              <w:rPr>
                <w:rStyle w:val="Hyperlink"/>
                <w:rFonts w:ascii="Arial" w:hAnsi="Arial" w:cs="Arial"/>
                <w:noProof/>
              </w:rPr>
              <w:t>Introduction</w:t>
            </w:r>
            <w:r w:rsidRPr="00CB2A4A">
              <w:rPr>
                <w:rFonts w:ascii="Arial" w:hAnsi="Arial" w:cs="Arial"/>
                <w:noProof/>
                <w:webHidden/>
              </w:rPr>
              <w:tab/>
            </w:r>
            <w:r w:rsidRPr="00CB2A4A">
              <w:rPr>
                <w:rFonts w:ascii="Arial" w:hAnsi="Arial" w:cs="Arial"/>
                <w:noProof/>
                <w:webHidden/>
              </w:rPr>
              <w:fldChar w:fldCharType="begin"/>
            </w:r>
            <w:r w:rsidRPr="00CB2A4A">
              <w:rPr>
                <w:rFonts w:ascii="Arial" w:hAnsi="Arial" w:cs="Arial"/>
                <w:noProof/>
                <w:webHidden/>
              </w:rPr>
              <w:instrText xml:space="preserve"> PAGEREF _Toc236296274 \h </w:instrText>
            </w:r>
            <w:r w:rsidRPr="00CB2A4A">
              <w:rPr>
                <w:rFonts w:ascii="Arial" w:hAnsi="Arial" w:cs="Arial"/>
                <w:noProof/>
                <w:webHidden/>
              </w:rPr>
            </w:r>
            <w:r w:rsidRPr="00CB2A4A">
              <w:rPr>
                <w:rFonts w:ascii="Arial" w:hAnsi="Arial" w:cs="Arial"/>
                <w:noProof/>
                <w:webHidden/>
              </w:rPr>
              <w:fldChar w:fldCharType="separate"/>
            </w:r>
            <w:r w:rsidR="000B668F">
              <w:rPr>
                <w:rFonts w:ascii="Arial" w:hAnsi="Arial" w:cs="Arial"/>
                <w:noProof/>
                <w:webHidden/>
              </w:rPr>
              <w:t>3</w:t>
            </w:r>
            <w:r w:rsidRPr="00CB2A4A">
              <w:rPr>
                <w:rFonts w:ascii="Arial" w:hAnsi="Arial" w:cs="Arial"/>
                <w:noProof/>
                <w:webHidden/>
              </w:rPr>
              <w:fldChar w:fldCharType="end"/>
            </w:r>
          </w:hyperlink>
        </w:p>
        <w:p w14:paraId="581BFD99" w14:textId="45E11EBA" w:rsidR="0094245B" w:rsidRPr="00CB2A4A" w:rsidRDefault="0094245B" w:rsidP="00747BFD">
          <w:pPr>
            <w:pStyle w:val="TOC1"/>
            <w:tabs>
              <w:tab w:val="right" w:leader="dot" w:pos="9016"/>
            </w:tabs>
            <w:spacing w:line="360" w:lineRule="auto"/>
            <w:jc w:val="both"/>
            <w:rPr>
              <w:rFonts w:ascii="Arial" w:eastAsiaTheme="minorEastAsia" w:hAnsi="Arial" w:cs="Arial"/>
              <w:noProof/>
              <w:color w:val="auto"/>
              <w:kern w:val="2"/>
              <w14:ligatures w14:val="standardContextual"/>
            </w:rPr>
          </w:pPr>
          <w:hyperlink w:anchor="_Toc236296275" w:history="1">
            <w:r w:rsidRPr="00CB2A4A">
              <w:rPr>
                <w:rStyle w:val="Hyperlink"/>
                <w:rFonts w:ascii="Arial" w:hAnsi="Arial" w:cs="Arial"/>
                <w:noProof/>
              </w:rPr>
              <w:t>Section 1: Organisational Classification and Global Strategy</w:t>
            </w:r>
            <w:r w:rsidRPr="00CB2A4A">
              <w:rPr>
                <w:rFonts w:ascii="Arial" w:hAnsi="Arial" w:cs="Arial"/>
                <w:noProof/>
                <w:webHidden/>
              </w:rPr>
              <w:tab/>
            </w:r>
            <w:r w:rsidRPr="00CB2A4A">
              <w:rPr>
                <w:rFonts w:ascii="Arial" w:hAnsi="Arial" w:cs="Arial"/>
                <w:noProof/>
                <w:webHidden/>
              </w:rPr>
              <w:fldChar w:fldCharType="begin"/>
            </w:r>
            <w:r w:rsidRPr="00CB2A4A">
              <w:rPr>
                <w:rFonts w:ascii="Arial" w:hAnsi="Arial" w:cs="Arial"/>
                <w:noProof/>
                <w:webHidden/>
              </w:rPr>
              <w:instrText xml:space="preserve"> PAGEREF _Toc236296275 \h </w:instrText>
            </w:r>
            <w:r w:rsidRPr="00CB2A4A">
              <w:rPr>
                <w:rFonts w:ascii="Arial" w:hAnsi="Arial" w:cs="Arial"/>
                <w:noProof/>
                <w:webHidden/>
              </w:rPr>
            </w:r>
            <w:r w:rsidRPr="00CB2A4A">
              <w:rPr>
                <w:rFonts w:ascii="Arial" w:hAnsi="Arial" w:cs="Arial"/>
                <w:noProof/>
                <w:webHidden/>
              </w:rPr>
              <w:fldChar w:fldCharType="separate"/>
            </w:r>
            <w:r w:rsidR="000B668F">
              <w:rPr>
                <w:rFonts w:ascii="Arial" w:hAnsi="Arial" w:cs="Arial"/>
                <w:noProof/>
                <w:webHidden/>
              </w:rPr>
              <w:t>3</w:t>
            </w:r>
            <w:r w:rsidRPr="00CB2A4A">
              <w:rPr>
                <w:rFonts w:ascii="Arial" w:hAnsi="Arial" w:cs="Arial"/>
                <w:noProof/>
                <w:webHidden/>
              </w:rPr>
              <w:fldChar w:fldCharType="end"/>
            </w:r>
          </w:hyperlink>
        </w:p>
        <w:p w14:paraId="44DCAA34" w14:textId="19F53D1E" w:rsidR="0094245B" w:rsidRPr="00CB2A4A" w:rsidRDefault="0094245B" w:rsidP="00747BFD">
          <w:pPr>
            <w:pStyle w:val="TOC2"/>
            <w:tabs>
              <w:tab w:val="right" w:leader="dot" w:pos="9016"/>
            </w:tabs>
            <w:spacing w:line="360" w:lineRule="auto"/>
            <w:jc w:val="both"/>
            <w:rPr>
              <w:rFonts w:ascii="Arial" w:eastAsiaTheme="minorEastAsia" w:hAnsi="Arial" w:cs="Arial"/>
              <w:noProof/>
              <w:color w:val="auto"/>
              <w:kern w:val="2"/>
              <w14:ligatures w14:val="standardContextual"/>
            </w:rPr>
          </w:pPr>
          <w:hyperlink w:anchor="_Toc236296276" w:history="1">
            <w:r w:rsidRPr="00CB2A4A">
              <w:rPr>
                <w:rStyle w:val="Hyperlink"/>
                <w:rFonts w:ascii="Arial" w:hAnsi="Arial" w:cs="Arial"/>
                <w:noProof/>
              </w:rPr>
              <w:t>1.1 Classification within the Integration-Responsiveness Framework</w:t>
            </w:r>
            <w:r w:rsidRPr="00CB2A4A">
              <w:rPr>
                <w:rFonts w:ascii="Arial" w:hAnsi="Arial" w:cs="Arial"/>
                <w:noProof/>
                <w:webHidden/>
              </w:rPr>
              <w:tab/>
            </w:r>
            <w:r w:rsidRPr="00CB2A4A">
              <w:rPr>
                <w:rFonts w:ascii="Arial" w:hAnsi="Arial" w:cs="Arial"/>
                <w:noProof/>
                <w:webHidden/>
              </w:rPr>
              <w:fldChar w:fldCharType="begin"/>
            </w:r>
            <w:r w:rsidRPr="00CB2A4A">
              <w:rPr>
                <w:rFonts w:ascii="Arial" w:hAnsi="Arial" w:cs="Arial"/>
                <w:noProof/>
                <w:webHidden/>
              </w:rPr>
              <w:instrText xml:space="preserve"> PAGEREF _Toc236296276 \h </w:instrText>
            </w:r>
            <w:r w:rsidRPr="00CB2A4A">
              <w:rPr>
                <w:rFonts w:ascii="Arial" w:hAnsi="Arial" w:cs="Arial"/>
                <w:noProof/>
                <w:webHidden/>
              </w:rPr>
            </w:r>
            <w:r w:rsidRPr="00CB2A4A">
              <w:rPr>
                <w:rFonts w:ascii="Arial" w:hAnsi="Arial" w:cs="Arial"/>
                <w:noProof/>
                <w:webHidden/>
              </w:rPr>
              <w:fldChar w:fldCharType="separate"/>
            </w:r>
            <w:r w:rsidR="000B668F">
              <w:rPr>
                <w:rFonts w:ascii="Arial" w:hAnsi="Arial" w:cs="Arial"/>
                <w:noProof/>
                <w:webHidden/>
              </w:rPr>
              <w:t>4</w:t>
            </w:r>
            <w:r w:rsidRPr="00CB2A4A">
              <w:rPr>
                <w:rFonts w:ascii="Arial" w:hAnsi="Arial" w:cs="Arial"/>
                <w:noProof/>
                <w:webHidden/>
              </w:rPr>
              <w:fldChar w:fldCharType="end"/>
            </w:r>
          </w:hyperlink>
        </w:p>
        <w:p w14:paraId="607A5BA3" w14:textId="1018F092" w:rsidR="0094245B" w:rsidRPr="00CB2A4A" w:rsidRDefault="0094245B" w:rsidP="00747BFD">
          <w:pPr>
            <w:pStyle w:val="TOC2"/>
            <w:tabs>
              <w:tab w:val="right" w:leader="dot" w:pos="9016"/>
            </w:tabs>
            <w:spacing w:line="360" w:lineRule="auto"/>
            <w:jc w:val="both"/>
            <w:rPr>
              <w:rFonts w:ascii="Arial" w:eastAsiaTheme="minorEastAsia" w:hAnsi="Arial" w:cs="Arial"/>
              <w:noProof/>
              <w:color w:val="auto"/>
              <w:kern w:val="2"/>
              <w14:ligatures w14:val="standardContextual"/>
            </w:rPr>
          </w:pPr>
          <w:hyperlink w:anchor="_Toc236296277" w:history="1">
            <w:r w:rsidRPr="00CB2A4A">
              <w:rPr>
                <w:rStyle w:val="Hyperlink"/>
                <w:rFonts w:ascii="Arial" w:hAnsi="Arial" w:cs="Arial"/>
                <w:noProof/>
              </w:rPr>
              <w:t>1.2 Value Chain Configuration</w:t>
            </w:r>
            <w:r w:rsidRPr="00CB2A4A">
              <w:rPr>
                <w:rFonts w:ascii="Arial" w:hAnsi="Arial" w:cs="Arial"/>
                <w:noProof/>
                <w:webHidden/>
              </w:rPr>
              <w:tab/>
            </w:r>
            <w:r w:rsidRPr="00CB2A4A">
              <w:rPr>
                <w:rFonts w:ascii="Arial" w:hAnsi="Arial" w:cs="Arial"/>
                <w:noProof/>
                <w:webHidden/>
              </w:rPr>
              <w:fldChar w:fldCharType="begin"/>
            </w:r>
            <w:r w:rsidRPr="00CB2A4A">
              <w:rPr>
                <w:rFonts w:ascii="Arial" w:hAnsi="Arial" w:cs="Arial"/>
                <w:noProof/>
                <w:webHidden/>
              </w:rPr>
              <w:instrText xml:space="preserve"> PAGEREF _Toc236296277 \h </w:instrText>
            </w:r>
            <w:r w:rsidRPr="00CB2A4A">
              <w:rPr>
                <w:rFonts w:ascii="Arial" w:hAnsi="Arial" w:cs="Arial"/>
                <w:noProof/>
                <w:webHidden/>
              </w:rPr>
            </w:r>
            <w:r w:rsidRPr="00CB2A4A">
              <w:rPr>
                <w:rFonts w:ascii="Arial" w:hAnsi="Arial" w:cs="Arial"/>
                <w:noProof/>
                <w:webHidden/>
              </w:rPr>
              <w:fldChar w:fldCharType="separate"/>
            </w:r>
            <w:r w:rsidR="000B668F">
              <w:rPr>
                <w:rFonts w:ascii="Arial" w:hAnsi="Arial" w:cs="Arial"/>
                <w:noProof/>
                <w:webHidden/>
              </w:rPr>
              <w:t>5</w:t>
            </w:r>
            <w:r w:rsidRPr="00CB2A4A">
              <w:rPr>
                <w:rFonts w:ascii="Arial" w:hAnsi="Arial" w:cs="Arial"/>
                <w:noProof/>
                <w:webHidden/>
              </w:rPr>
              <w:fldChar w:fldCharType="end"/>
            </w:r>
          </w:hyperlink>
        </w:p>
        <w:p w14:paraId="511A78BF" w14:textId="24C1E139" w:rsidR="0094245B" w:rsidRPr="00CB2A4A" w:rsidRDefault="0094245B" w:rsidP="00747BFD">
          <w:pPr>
            <w:pStyle w:val="TOC1"/>
            <w:tabs>
              <w:tab w:val="right" w:leader="dot" w:pos="9016"/>
            </w:tabs>
            <w:spacing w:line="360" w:lineRule="auto"/>
            <w:jc w:val="both"/>
            <w:rPr>
              <w:rFonts w:ascii="Arial" w:eastAsiaTheme="minorEastAsia" w:hAnsi="Arial" w:cs="Arial"/>
              <w:noProof/>
              <w:color w:val="auto"/>
              <w:kern w:val="2"/>
              <w14:ligatures w14:val="standardContextual"/>
            </w:rPr>
          </w:pPr>
          <w:hyperlink w:anchor="_Toc236296278" w:history="1">
            <w:r w:rsidRPr="00CB2A4A">
              <w:rPr>
                <w:rStyle w:val="Hyperlink"/>
                <w:rFonts w:ascii="Arial" w:hAnsi="Arial" w:cs="Arial"/>
                <w:noProof/>
              </w:rPr>
              <w:t>Section 2: Macro-Environmental Appraisal and Market Attractiveness</w:t>
            </w:r>
            <w:r w:rsidRPr="00CB2A4A">
              <w:rPr>
                <w:rFonts w:ascii="Arial" w:hAnsi="Arial" w:cs="Arial"/>
                <w:noProof/>
                <w:webHidden/>
              </w:rPr>
              <w:tab/>
            </w:r>
            <w:r w:rsidRPr="00CB2A4A">
              <w:rPr>
                <w:rFonts w:ascii="Arial" w:hAnsi="Arial" w:cs="Arial"/>
                <w:noProof/>
                <w:webHidden/>
              </w:rPr>
              <w:fldChar w:fldCharType="begin"/>
            </w:r>
            <w:r w:rsidRPr="00CB2A4A">
              <w:rPr>
                <w:rFonts w:ascii="Arial" w:hAnsi="Arial" w:cs="Arial"/>
                <w:noProof/>
                <w:webHidden/>
              </w:rPr>
              <w:instrText xml:space="preserve"> PAGEREF _Toc236296278 \h </w:instrText>
            </w:r>
            <w:r w:rsidRPr="00CB2A4A">
              <w:rPr>
                <w:rFonts w:ascii="Arial" w:hAnsi="Arial" w:cs="Arial"/>
                <w:noProof/>
                <w:webHidden/>
              </w:rPr>
            </w:r>
            <w:r w:rsidRPr="00CB2A4A">
              <w:rPr>
                <w:rFonts w:ascii="Arial" w:hAnsi="Arial" w:cs="Arial"/>
                <w:noProof/>
                <w:webHidden/>
              </w:rPr>
              <w:fldChar w:fldCharType="separate"/>
            </w:r>
            <w:r w:rsidR="000B668F">
              <w:rPr>
                <w:rFonts w:ascii="Arial" w:hAnsi="Arial" w:cs="Arial"/>
                <w:noProof/>
                <w:webHidden/>
              </w:rPr>
              <w:t>6</w:t>
            </w:r>
            <w:r w:rsidRPr="00CB2A4A">
              <w:rPr>
                <w:rFonts w:ascii="Arial" w:hAnsi="Arial" w:cs="Arial"/>
                <w:noProof/>
                <w:webHidden/>
              </w:rPr>
              <w:fldChar w:fldCharType="end"/>
            </w:r>
          </w:hyperlink>
        </w:p>
        <w:p w14:paraId="7F970CE0" w14:textId="45FEBE78" w:rsidR="0094245B" w:rsidRPr="00CB2A4A" w:rsidRDefault="0094245B" w:rsidP="00747BFD">
          <w:pPr>
            <w:pStyle w:val="TOC2"/>
            <w:tabs>
              <w:tab w:val="right" w:leader="dot" w:pos="9016"/>
            </w:tabs>
            <w:spacing w:line="360" w:lineRule="auto"/>
            <w:jc w:val="both"/>
            <w:rPr>
              <w:rFonts w:ascii="Arial" w:eastAsiaTheme="minorEastAsia" w:hAnsi="Arial" w:cs="Arial"/>
              <w:noProof/>
              <w:color w:val="auto"/>
              <w:kern w:val="2"/>
              <w14:ligatures w14:val="standardContextual"/>
            </w:rPr>
          </w:pPr>
          <w:hyperlink w:anchor="_Toc236296279" w:history="1">
            <w:r w:rsidRPr="00CB2A4A">
              <w:rPr>
                <w:rStyle w:val="Hyperlink"/>
                <w:rFonts w:ascii="Arial" w:hAnsi="Arial" w:cs="Arial"/>
                <w:noProof/>
              </w:rPr>
              <w:t>2.1 PESTLE Analysis of South Korea</w:t>
            </w:r>
            <w:r w:rsidRPr="00CB2A4A">
              <w:rPr>
                <w:rFonts w:ascii="Arial" w:hAnsi="Arial" w:cs="Arial"/>
                <w:noProof/>
                <w:webHidden/>
              </w:rPr>
              <w:tab/>
            </w:r>
            <w:r w:rsidRPr="00CB2A4A">
              <w:rPr>
                <w:rFonts w:ascii="Arial" w:hAnsi="Arial" w:cs="Arial"/>
                <w:noProof/>
                <w:webHidden/>
              </w:rPr>
              <w:fldChar w:fldCharType="begin"/>
            </w:r>
            <w:r w:rsidRPr="00CB2A4A">
              <w:rPr>
                <w:rFonts w:ascii="Arial" w:hAnsi="Arial" w:cs="Arial"/>
                <w:noProof/>
                <w:webHidden/>
              </w:rPr>
              <w:instrText xml:space="preserve"> PAGEREF _Toc236296279 \h </w:instrText>
            </w:r>
            <w:r w:rsidRPr="00CB2A4A">
              <w:rPr>
                <w:rFonts w:ascii="Arial" w:hAnsi="Arial" w:cs="Arial"/>
                <w:noProof/>
                <w:webHidden/>
              </w:rPr>
            </w:r>
            <w:r w:rsidRPr="00CB2A4A">
              <w:rPr>
                <w:rFonts w:ascii="Arial" w:hAnsi="Arial" w:cs="Arial"/>
                <w:noProof/>
                <w:webHidden/>
              </w:rPr>
              <w:fldChar w:fldCharType="separate"/>
            </w:r>
            <w:r w:rsidR="000B668F">
              <w:rPr>
                <w:rFonts w:ascii="Arial" w:hAnsi="Arial" w:cs="Arial"/>
                <w:noProof/>
                <w:webHidden/>
              </w:rPr>
              <w:t>7</w:t>
            </w:r>
            <w:r w:rsidRPr="00CB2A4A">
              <w:rPr>
                <w:rFonts w:ascii="Arial" w:hAnsi="Arial" w:cs="Arial"/>
                <w:noProof/>
                <w:webHidden/>
              </w:rPr>
              <w:fldChar w:fldCharType="end"/>
            </w:r>
          </w:hyperlink>
        </w:p>
        <w:p w14:paraId="60D5F73E" w14:textId="214E4F68" w:rsidR="0094245B" w:rsidRPr="00CB2A4A" w:rsidRDefault="0094245B" w:rsidP="00747BFD">
          <w:pPr>
            <w:pStyle w:val="TOC2"/>
            <w:tabs>
              <w:tab w:val="right" w:leader="dot" w:pos="9016"/>
            </w:tabs>
            <w:spacing w:line="360" w:lineRule="auto"/>
            <w:jc w:val="both"/>
            <w:rPr>
              <w:rFonts w:ascii="Arial" w:eastAsiaTheme="minorEastAsia" w:hAnsi="Arial" w:cs="Arial"/>
              <w:noProof/>
              <w:color w:val="auto"/>
              <w:kern w:val="2"/>
              <w14:ligatures w14:val="standardContextual"/>
            </w:rPr>
          </w:pPr>
          <w:hyperlink w:anchor="_Toc236296280" w:history="1">
            <w:r w:rsidRPr="00CB2A4A">
              <w:rPr>
                <w:rStyle w:val="Hyperlink"/>
                <w:rFonts w:ascii="Arial" w:hAnsi="Arial" w:cs="Arial"/>
                <w:noProof/>
              </w:rPr>
              <w:t>2.2 OLI Framework Assessment</w:t>
            </w:r>
            <w:r w:rsidRPr="00CB2A4A">
              <w:rPr>
                <w:rFonts w:ascii="Arial" w:hAnsi="Arial" w:cs="Arial"/>
                <w:noProof/>
                <w:webHidden/>
              </w:rPr>
              <w:tab/>
            </w:r>
            <w:r w:rsidRPr="00CB2A4A">
              <w:rPr>
                <w:rFonts w:ascii="Arial" w:hAnsi="Arial" w:cs="Arial"/>
                <w:noProof/>
                <w:webHidden/>
              </w:rPr>
              <w:fldChar w:fldCharType="begin"/>
            </w:r>
            <w:r w:rsidRPr="00CB2A4A">
              <w:rPr>
                <w:rFonts w:ascii="Arial" w:hAnsi="Arial" w:cs="Arial"/>
                <w:noProof/>
                <w:webHidden/>
              </w:rPr>
              <w:instrText xml:space="preserve"> PAGEREF _Toc236296280 \h </w:instrText>
            </w:r>
            <w:r w:rsidRPr="00CB2A4A">
              <w:rPr>
                <w:rFonts w:ascii="Arial" w:hAnsi="Arial" w:cs="Arial"/>
                <w:noProof/>
                <w:webHidden/>
              </w:rPr>
            </w:r>
            <w:r w:rsidRPr="00CB2A4A">
              <w:rPr>
                <w:rFonts w:ascii="Arial" w:hAnsi="Arial" w:cs="Arial"/>
                <w:noProof/>
                <w:webHidden/>
              </w:rPr>
              <w:fldChar w:fldCharType="separate"/>
            </w:r>
            <w:r w:rsidR="000B668F">
              <w:rPr>
                <w:rFonts w:ascii="Arial" w:hAnsi="Arial" w:cs="Arial"/>
                <w:noProof/>
                <w:webHidden/>
              </w:rPr>
              <w:t>12</w:t>
            </w:r>
            <w:r w:rsidRPr="00CB2A4A">
              <w:rPr>
                <w:rFonts w:ascii="Arial" w:hAnsi="Arial" w:cs="Arial"/>
                <w:noProof/>
                <w:webHidden/>
              </w:rPr>
              <w:fldChar w:fldCharType="end"/>
            </w:r>
          </w:hyperlink>
        </w:p>
        <w:p w14:paraId="0B7AE7C2" w14:textId="69263682" w:rsidR="0094245B" w:rsidRPr="00CB2A4A" w:rsidRDefault="0094245B" w:rsidP="00747BFD">
          <w:pPr>
            <w:pStyle w:val="TOC1"/>
            <w:tabs>
              <w:tab w:val="right" w:leader="dot" w:pos="9016"/>
            </w:tabs>
            <w:spacing w:line="360" w:lineRule="auto"/>
            <w:jc w:val="both"/>
            <w:rPr>
              <w:rFonts w:ascii="Arial" w:eastAsiaTheme="minorEastAsia" w:hAnsi="Arial" w:cs="Arial"/>
              <w:noProof/>
              <w:color w:val="auto"/>
              <w:kern w:val="2"/>
              <w14:ligatures w14:val="standardContextual"/>
            </w:rPr>
          </w:pPr>
          <w:hyperlink w:anchor="_Toc236296281" w:history="1">
            <w:r w:rsidRPr="00CB2A4A">
              <w:rPr>
                <w:rStyle w:val="Hyperlink"/>
                <w:rFonts w:ascii="Arial" w:hAnsi="Arial" w:cs="Arial"/>
                <w:noProof/>
              </w:rPr>
              <w:t>Section 3: Entry Mode Strategy and Strategic Synthesis</w:t>
            </w:r>
            <w:r w:rsidRPr="00CB2A4A">
              <w:rPr>
                <w:rFonts w:ascii="Arial" w:hAnsi="Arial" w:cs="Arial"/>
                <w:noProof/>
                <w:webHidden/>
              </w:rPr>
              <w:tab/>
            </w:r>
            <w:r w:rsidRPr="00CB2A4A">
              <w:rPr>
                <w:rFonts w:ascii="Arial" w:hAnsi="Arial" w:cs="Arial"/>
                <w:noProof/>
                <w:webHidden/>
              </w:rPr>
              <w:fldChar w:fldCharType="begin"/>
            </w:r>
            <w:r w:rsidRPr="00CB2A4A">
              <w:rPr>
                <w:rFonts w:ascii="Arial" w:hAnsi="Arial" w:cs="Arial"/>
                <w:noProof/>
                <w:webHidden/>
              </w:rPr>
              <w:instrText xml:space="preserve"> PAGEREF _Toc236296281 \h </w:instrText>
            </w:r>
            <w:r w:rsidRPr="00CB2A4A">
              <w:rPr>
                <w:rFonts w:ascii="Arial" w:hAnsi="Arial" w:cs="Arial"/>
                <w:noProof/>
                <w:webHidden/>
              </w:rPr>
            </w:r>
            <w:r w:rsidRPr="00CB2A4A">
              <w:rPr>
                <w:rFonts w:ascii="Arial" w:hAnsi="Arial" w:cs="Arial"/>
                <w:noProof/>
                <w:webHidden/>
              </w:rPr>
              <w:fldChar w:fldCharType="separate"/>
            </w:r>
            <w:r w:rsidR="000B668F">
              <w:rPr>
                <w:rFonts w:ascii="Arial" w:hAnsi="Arial" w:cs="Arial"/>
                <w:noProof/>
                <w:webHidden/>
              </w:rPr>
              <w:t>16</w:t>
            </w:r>
            <w:r w:rsidRPr="00CB2A4A">
              <w:rPr>
                <w:rFonts w:ascii="Arial" w:hAnsi="Arial" w:cs="Arial"/>
                <w:noProof/>
                <w:webHidden/>
              </w:rPr>
              <w:fldChar w:fldCharType="end"/>
            </w:r>
          </w:hyperlink>
        </w:p>
        <w:p w14:paraId="0519B5FA" w14:textId="758F1863" w:rsidR="0094245B" w:rsidRPr="00CB2A4A" w:rsidRDefault="0094245B" w:rsidP="00747BFD">
          <w:pPr>
            <w:pStyle w:val="TOC2"/>
            <w:tabs>
              <w:tab w:val="right" w:leader="dot" w:pos="9016"/>
            </w:tabs>
            <w:spacing w:line="360" w:lineRule="auto"/>
            <w:jc w:val="both"/>
            <w:rPr>
              <w:rFonts w:ascii="Arial" w:eastAsiaTheme="minorEastAsia" w:hAnsi="Arial" w:cs="Arial"/>
              <w:noProof/>
              <w:color w:val="auto"/>
              <w:kern w:val="2"/>
              <w14:ligatures w14:val="standardContextual"/>
            </w:rPr>
          </w:pPr>
          <w:hyperlink w:anchor="_Toc236296282" w:history="1">
            <w:r w:rsidRPr="00CB2A4A">
              <w:rPr>
                <w:rStyle w:val="Hyperlink"/>
                <w:rFonts w:ascii="Arial" w:hAnsi="Arial" w:cs="Arial"/>
                <w:noProof/>
              </w:rPr>
              <w:t>3.1 Historical Pattern Recognition</w:t>
            </w:r>
            <w:r w:rsidRPr="00CB2A4A">
              <w:rPr>
                <w:rFonts w:ascii="Arial" w:hAnsi="Arial" w:cs="Arial"/>
                <w:noProof/>
                <w:webHidden/>
              </w:rPr>
              <w:tab/>
            </w:r>
            <w:r w:rsidRPr="00CB2A4A">
              <w:rPr>
                <w:rFonts w:ascii="Arial" w:hAnsi="Arial" w:cs="Arial"/>
                <w:noProof/>
                <w:webHidden/>
              </w:rPr>
              <w:fldChar w:fldCharType="begin"/>
            </w:r>
            <w:r w:rsidRPr="00CB2A4A">
              <w:rPr>
                <w:rFonts w:ascii="Arial" w:hAnsi="Arial" w:cs="Arial"/>
                <w:noProof/>
                <w:webHidden/>
              </w:rPr>
              <w:instrText xml:space="preserve"> PAGEREF _Toc236296282 \h </w:instrText>
            </w:r>
            <w:r w:rsidRPr="00CB2A4A">
              <w:rPr>
                <w:rFonts w:ascii="Arial" w:hAnsi="Arial" w:cs="Arial"/>
                <w:noProof/>
                <w:webHidden/>
              </w:rPr>
            </w:r>
            <w:r w:rsidRPr="00CB2A4A">
              <w:rPr>
                <w:rFonts w:ascii="Arial" w:hAnsi="Arial" w:cs="Arial"/>
                <w:noProof/>
                <w:webHidden/>
              </w:rPr>
              <w:fldChar w:fldCharType="separate"/>
            </w:r>
            <w:r w:rsidR="000B668F">
              <w:rPr>
                <w:rFonts w:ascii="Arial" w:hAnsi="Arial" w:cs="Arial"/>
                <w:noProof/>
                <w:webHidden/>
              </w:rPr>
              <w:t>16</w:t>
            </w:r>
            <w:r w:rsidRPr="00CB2A4A">
              <w:rPr>
                <w:rFonts w:ascii="Arial" w:hAnsi="Arial" w:cs="Arial"/>
                <w:noProof/>
                <w:webHidden/>
              </w:rPr>
              <w:fldChar w:fldCharType="end"/>
            </w:r>
          </w:hyperlink>
        </w:p>
        <w:p w14:paraId="4666E9A6" w14:textId="10497413" w:rsidR="0094245B" w:rsidRPr="00CB2A4A" w:rsidRDefault="0094245B" w:rsidP="00747BFD">
          <w:pPr>
            <w:pStyle w:val="TOC2"/>
            <w:tabs>
              <w:tab w:val="right" w:leader="dot" w:pos="9016"/>
            </w:tabs>
            <w:spacing w:line="360" w:lineRule="auto"/>
            <w:jc w:val="both"/>
            <w:rPr>
              <w:rFonts w:ascii="Arial" w:eastAsiaTheme="minorEastAsia" w:hAnsi="Arial" w:cs="Arial"/>
              <w:noProof/>
              <w:color w:val="auto"/>
              <w:kern w:val="2"/>
              <w14:ligatures w14:val="standardContextual"/>
            </w:rPr>
          </w:pPr>
          <w:hyperlink w:anchor="_Toc236296283" w:history="1">
            <w:r w:rsidRPr="00CB2A4A">
              <w:rPr>
                <w:rStyle w:val="Hyperlink"/>
                <w:rFonts w:ascii="Arial" w:hAnsi="Arial" w:cs="Arial"/>
                <w:noProof/>
              </w:rPr>
              <w:t>3.2 Strategic Fit and Entry Mode Recommendation</w:t>
            </w:r>
            <w:r w:rsidRPr="00CB2A4A">
              <w:rPr>
                <w:rFonts w:ascii="Arial" w:hAnsi="Arial" w:cs="Arial"/>
                <w:noProof/>
                <w:webHidden/>
              </w:rPr>
              <w:tab/>
            </w:r>
            <w:r w:rsidRPr="00CB2A4A">
              <w:rPr>
                <w:rFonts w:ascii="Arial" w:hAnsi="Arial" w:cs="Arial"/>
                <w:noProof/>
                <w:webHidden/>
              </w:rPr>
              <w:fldChar w:fldCharType="begin"/>
            </w:r>
            <w:r w:rsidRPr="00CB2A4A">
              <w:rPr>
                <w:rFonts w:ascii="Arial" w:hAnsi="Arial" w:cs="Arial"/>
                <w:noProof/>
                <w:webHidden/>
              </w:rPr>
              <w:instrText xml:space="preserve"> PAGEREF _Toc236296283 \h </w:instrText>
            </w:r>
            <w:r w:rsidRPr="00CB2A4A">
              <w:rPr>
                <w:rFonts w:ascii="Arial" w:hAnsi="Arial" w:cs="Arial"/>
                <w:noProof/>
                <w:webHidden/>
              </w:rPr>
            </w:r>
            <w:r w:rsidRPr="00CB2A4A">
              <w:rPr>
                <w:rFonts w:ascii="Arial" w:hAnsi="Arial" w:cs="Arial"/>
                <w:noProof/>
                <w:webHidden/>
              </w:rPr>
              <w:fldChar w:fldCharType="separate"/>
            </w:r>
            <w:r w:rsidR="000B668F">
              <w:rPr>
                <w:rFonts w:ascii="Arial" w:hAnsi="Arial" w:cs="Arial"/>
                <w:noProof/>
                <w:webHidden/>
              </w:rPr>
              <w:t>16</w:t>
            </w:r>
            <w:r w:rsidRPr="00CB2A4A">
              <w:rPr>
                <w:rFonts w:ascii="Arial" w:hAnsi="Arial" w:cs="Arial"/>
                <w:noProof/>
                <w:webHidden/>
              </w:rPr>
              <w:fldChar w:fldCharType="end"/>
            </w:r>
          </w:hyperlink>
        </w:p>
        <w:p w14:paraId="751E5720" w14:textId="5892F842" w:rsidR="0094245B" w:rsidRPr="00CB2A4A" w:rsidRDefault="0094245B" w:rsidP="00747BFD">
          <w:pPr>
            <w:pStyle w:val="TOC2"/>
            <w:tabs>
              <w:tab w:val="right" w:leader="dot" w:pos="9016"/>
            </w:tabs>
            <w:spacing w:line="360" w:lineRule="auto"/>
            <w:jc w:val="both"/>
            <w:rPr>
              <w:rFonts w:ascii="Arial" w:eastAsiaTheme="minorEastAsia" w:hAnsi="Arial" w:cs="Arial"/>
              <w:noProof/>
              <w:color w:val="auto"/>
              <w:kern w:val="2"/>
              <w14:ligatures w14:val="standardContextual"/>
            </w:rPr>
          </w:pPr>
          <w:hyperlink w:anchor="_Toc236296284" w:history="1">
            <w:r w:rsidRPr="00CB2A4A">
              <w:rPr>
                <w:rStyle w:val="Hyperlink"/>
                <w:rFonts w:ascii="Arial" w:hAnsi="Arial" w:cs="Arial"/>
                <w:noProof/>
              </w:rPr>
              <w:t>3.3 Conclusion and Recommendations</w:t>
            </w:r>
            <w:r w:rsidRPr="00CB2A4A">
              <w:rPr>
                <w:rFonts w:ascii="Arial" w:hAnsi="Arial" w:cs="Arial"/>
                <w:noProof/>
                <w:webHidden/>
              </w:rPr>
              <w:tab/>
            </w:r>
            <w:r w:rsidRPr="00CB2A4A">
              <w:rPr>
                <w:rFonts w:ascii="Arial" w:hAnsi="Arial" w:cs="Arial"/>
                <w:noProof/>
                <w:webHidden/>
              </w:rPr>
              <w:fldChar w:fldCharType="begin"/>
            </w:r>
            <w:r w:rsidRPr="00CB2A4A">
              <w:rPr>
                <w:rFonts w:ascii="Arial" w:hAnsi="Arial" w:cs="Arial"/>
                <w:noProof/>
                <w:webHidden/>
              </w:rPr>
              <w:instrText xml:space="preserve"> PAGEREF _Toc236296284 \h </w:instrText>
            </w:r>
            <w:r w:rsidRPr="00CB2A4A">
              <w:rPr>
                <w:rFonts w:ascii="Arial" w:hAnsi="Arial" w:cs="Arial"/>
                <w:noProof/>
                <w:webHidden/>
              </w:rPr>
            </w:r>
            <w:r w:rsidRPr="00CB2A4A">
              <w:rPr>
                <w:rFonts w:ascii="Arial" w:hAnsi="Arial" w:cs="Arial"/>
                <w:noProof/>
                <w:webHidden/>
              </w:rPr>
              <w:fldChar w:fldCharType="separate"/>
            </w:r>
            <w:r w:rsidR="000B668F">
              <w:rPr>
                <w:rFonts w:ascii="Arial" w:hAnsi="Arial" w:cs="Arial"/>
                <w:noProof/>
                <w:webHidden/>
              </w:rPr>
              <w:t>18</w:t>
            </w:r>
            <w:r w:rsidRPr="00CB2A4A">
              <w:rPr>
                <w:rFonts w:ascii="Arial" w:hAnsi="Arial" w:cs="Arial"/>
                <w:noProof/>
                <w:webHidden/>
              </w:rPr>
              <w:fldChar w:fldCharType="end"/>
            </w:r>
          </w:hyperlink>
        </w:p>
        <w:p w14:paraId="28014DF4" w14:textId="04DF62F9" w:rsidR="0094245B" w:rsidRPr="00CB2A4A" w:rsidRDefault="0094245B" w:rsidP="00747BFD">
          <w:pPr>
            <w:pStyle w:val="TOC1"/>
            <w:tabs>
              <w:tab w:val="right" w:leader="dot" w:pos="9016"/>
            </w:tabs>
            <w:spacing w:line="360" w:lineRule="auto"/>
            <w:jc w:val="both"/>
            <w:rPr>
              <w:rFonts w:ascii="Arial" w:eastAsiaTheme="minorEastAsia" w:hAnsi="Arial" w:cs="Arial"/>
              <w:noProof/>
              <w:color w:val="auto"/>
              <w:kern w:val="2"/>
              <w14:ligatures w14:val="standardContextual"/>
            </w:rPr>
          </w:pPr>
          <w:hyperlink w:anchor="_Toc236296285" w:history="1">
            <w:r w:rsidRPr="00CB2A4A">
              <w:rPr>
                <w:rStyle w:val="Hyperlink"/>
                <w:rFonts w:ascii="Arial" w:hAnsi="Arial" w:cs="Arial"/>
                <w:noProof/>
              </w:rPr>
              <w:t>Section 4: Reflective Account – Gibbs Reflective Cycle</w:t>
            </w:r>
            <w:r w:rsidRPr="00CB2A4A">
              <w:rPr>
                <w:rFonts w:ascii="Arial" w:hAnsi="Arial" w:cs="Arial"/>
                <w:noProof/>
                <w:webHidden/>
              </w:rPr>
              <w:tab/>
            </w:r>
            <w:r w:rsidRPr="00CB2A4A">
              <w:rPr>
                <w:rFonts w:ascii="Arial" w:hAnsi="Arial" w:cs="Arial"/>
                <w:noProof/>
                <w:webHidden/>
              </w:rPr>
              <w:fldChar w:fldCharType="begin"/>
            </w:r>
            <w:r w:rsidRPr="00CB2A4A">
              <w:rPr>
                <w:rFonts w:ascii="Arial" w:hAnsi="Arial" w:cs="Arial"/>
                <w:noProof/>
                <w:webHidden/>
              </w:rPr>
              <w:instrText xml:space="preserve"> PAGEREF _Toc236296285 \h </w:instrText>
            </w:r>
            <w:r w:rsidRPr="00CB2A4A">
              <w:rPr>
                <w:rFonts w:ascii="Arial" w:hAnsi="Arial" w:cs="Arial"/>
                <w:noProof/>
                <w:webHidden/>
              </w:rPr>
            </w:r>
            <w:r w:rsidRPr="00CB2A4A">
              <w:rPr>
                <w:rFonts w:ascii="Arial" w:hAnsi="Arial" w:cs="Arial"/>
                <w:noProof/>
                <w:webHidden/>
              </w:rPr>
              <w:fldChar w:fldCharType="separate"/>
            </w:r>
            <w:r w:rsidR="000B668F">
              <w:rPr>
                <w:rFonts w:ascii="Arial" w:hAnsi="Arial" w:cs="Arial"/>
                <w:noProof/>
                <w:webHidden/>
              </w:rPr>
              <w:t>20</w:t>
            </w:r>
            <w:r w:rsidRPr="00CB2A4A">
              <w:rPr>
                <w:rFonts w:ascii="Arial" w:hAnsi="Arial" w:cs="Arial"/>
                <w:noProof/>
                <w:webHidden/>
              </w:rPr>
              <w:fldChar w:fldCharType="end"/>
            </w:r>
          </w:hyperlink>
        </w:p>
        <w:p w14:paraId="55184FB3" w14:textId="1DBEBB7B" w:rsidR="0094245B" w:rsidRPr="00CB2A4A" w:rsidRDefault="0094245B" w:rsidP="00747BFD">
          <w:pPr>
            <w:pStyle w:val="TOC2"/>
            <w:tabs>
              <w:tab w:val="right" w:leader="dot" w:pos="9016"/>
            </w:tabs>
            <w:spacing w:line="360" w:lineRule="auto"/>
            <w:jc w:val="both"/>
            <w:rPr>
              <w:rFonts w:ascii="Arial" w:eastAsiaTheme="minorEastAsia" w:hAnsi="Arial" w:cs="Arial"/>
              <w:noProof/>
              <w:color w:val="auto"/>
              <w:kern w:val="2"/>
              <w14:ligatures w14:val="standardContextual"/>
            </w:rPr>
          </w:pPr>
          <w:hyperlink w:anchor="_Toc236296286" w:history="1">
            <w:r w:rsidRPr="00CB2A4A">
              <w:rPr>
                <w:rStyle w:val="Hyperlink"/>
                <w:rFonts w:ascii="Arial" w:hAnsi="Arial" w:cs="Arial"/>
                <w:noProof/>
              </w:rPr>
              <w:t>4.1 Description</w:t>
            </w:r>
            <w:r w:rsidRPr="00CB2A4A">
              <w:rPr>
                <w:rFonts w:ascii="Arial" w:hAnsi="Arial" w:cs="Arial"/>
                <w:noProof/>
                <w:webHidden/>
              </w:rPr>
              <w:tab/>
            </w:r>
            <w:r w:rsidRPr="00CB2A4A">
              <w:rPr>
                <w:rFonts w:ascii="Arial" w:hAnsi="Arial" w:cs="Arial"/>
                <w:noProof/>
                <w:webHidden/>
              </w:rPr>
              <w:fldChar w:fldCharType="begin"/>
            </w:r>
            <w:r w:rsidRPr="00CB2A4A">
              <w:rPr>
                <w:rFonts w:ascii="Arial" w:hAnsi="Arial" w:cs="Arial"/>
                <w:noProof/>
                <w:webHidden/>
              </w:rPr>
              <w:instrText xml:space="preserve"> PAGEREF _Toc236296286 \h </w:instrText>
            </w:r>
            <w:r w:rsidRPr="00CB2A4A">
              <w:rPr>
                <w:rFonts w:ascii="Arial" w:hAnsi="Arial" w:cs="Arial"/>
                <w:noProof/>
                <w:webHidden/>
              </w:rPr>
            </w:r>
            <w:r w:rsidRPr="00CB2A4A">
              <w:rPr>
                <w:rFonts w:ascii="Arial" w:hAnsi="Arial" w:cs="Arial"/>
                <w:noProof/>
                <w:webHidden/>
              </w:rPr>
              <w:fldChar w:fldCharType="separate"/>
            </w:r>
            <w:r w:rsidR="000B668F">
              <w:rPr>
                <w:rFonts w:ascii="Arial" w:hAnsi="Arial" w:cs="Arial"/>
                <w:noProof/>
                <w:webHidden/>
              </w:rPr>
              <w:t>20</w:t>
            </w:r>
            <w:r w:rsidRPr="00CB2A4A">
              <w:rPr>
                <w:rFonts w:ascii="Arial" w:hAnsi="Arial" w:cs="Arial"/>
                <w:noProof/>
                <w:webHidden/>
              </w:rPr>
              <w:fldChar w:fldCharType="end"/>
            </w:r>
          </w:hyperlink>
        </w:p>
        <w:p w14:paraId="20B65980" w14:textId="6FC3F43D" w:rsidR="0094245B" w:rsidRPr="00CB2A4A" w:rsidRDefault="0094245B" w:rsidP="00747BFD">
          <w:pPr>
            <w:pStyle w:val="TOC2"/>
            <w:tabs>
              <w:tab w:val="right" w:leader="dot" w:pos="9016"/>
            </w:tabs>
            <w:spacing w:line="360" w:lineRule="auto"/>
            <w:jc w:val="both"/>
            <w:rPr>
              <w:rFonts w:ascii="Arial" w:eastAsiaTheme="minorEastAsia" w:hAnsi="Arial" w:cs="Arial"/>
              <w:noProof/>
              <w:color w:val="auto"/>
              <w:kern w:val="2"/>
              <w14:ligatures w14:val="standardContextual"/>
            </w:rPr>
          </w:pPr>
          <w:hyperlink w:anchor="_Toc236296287" w:history="1">
            <w:r w:rsidRPr="00CB2A4A">
              <w:rPr>
                <w:rStyle w:val="Hyperlink"/>
                <w:rFonts w:ascii="Arial" w:hAnsi="Arial" w:cs="Arial"/>
                <w:noProof/>
              </w:rPr>
              <w:t>4.2 Feelings</w:t>
            </w:r>
            <w:r w:rsidRPr="00CB2A4A">
              <w:rPr>
                <w:rFonts w:ascii="Arial" w:hAnsi="Arial" w:cs="Arial"/>
                <w:noProof/>
                <w:webHidden/>
              </w:rPr>
              <w:tab/>
            </w:r>
            <w:r w:rsidRPr="00CB2A4A">
              <w:rPr>
                <w:rFonts w:ascii="Arial" w:hAnsi="Arial" w:cs="Arial"/>
                <w:noProof/>
                <w:webHidden/>
              </w:rPr>
              <w:fldChar w:fldCharType="begin"/>
            </w:r>
            <w:r w:rsidRPr="00CB2A4A">
              <w:rPr>
                <w:rFonts w:ascii="Arial" w:hAnsi="Arial" w:cs="Arial"/>
                <w:noProof/>
                <w:webHidden/>
              </w:rPr>
              <w:instrText xml:space="preserve"> PAGEREF _Toc236296287 \h </w:instrText>
            </w:r>
            <w:r w:rsidRPr="00CB2A4A">
              <w:rPr>
                <w:rFonts w:ascii="Arial" w:hAnsi="Arial" w:cs="Arial"/>
                <w:noProof/>
                <w:webHidden/>
              </w:rPr>
            </w:r>
            <w:r w:rsidRPr="00CB2A4A">
              <w:rPr>
                <w:rFonts w:ascii="Arial" w:hAnsi="Arial" w:cs="Arial"/>
                <w:noProof/>
                <w:webHidden/>
              </w:rPr>
              <w:fldChar w:fldCharType="separate"/>
            </w:r>
            <w:r w:rsidR="000B668F">
              <w:rPr>
                <w:rFonts w:ascii="Arial" w:hAnsi="Arial" w:cs="Arial"/>
                <w:noProof/>
                <w:webHidden/>
              </w:rPr>
              <w:t>20</w:t>
            </w:r>
            <w:r w:rsidRPr="00CB2A4A">
              <w:rPr>
                <w:rFonts w:ascii="Arial" w:hAnsi="Arial" w:cs="Arial"/>
                <w:noProof/>
                <w:webHidden/>
              </w:rPr>
              <w:fldChar w:fldCharType="end"/>
            </w:r>
          </w:hyperlink>
        </w:p>
        <w:p w14:paraId="0E944451" w14:textId="43F94436" w:rsidR="0094245B" w:rsidRPr="00CB2A4A" w:rsidRDefault="0094245B" w:rsidP="00747BFD">
          <w:pPr>
            <w:pStyle w:val="TOC2"/>
            <w:tabs>
              <w:tab w:val="right" w:leader="dot" w:pos="9016"/>
            </w:tabs>
            <w:spacing w:line="360" w:lineRule="auto"/>
            <w:jc w:val="both"/>
            <w:rPr>
              <w:rFonts w:ascii="Arial" w:eastAsiaTheme="minorEastAsia" w:hAnsi="Arial" w:cs="Arial"/>
              <w:noProof/>
              <w:color w:val="auto"/>
              <w:kern w:val="2"/>
              <w14:ligatures w14:val="standardContextual"/>
            </w:rPr>
          </w:pPr>
          <w:hyperlink w:anchor="_Toc236296288" w:history="1">
            <w:r w:rsidRPr="00CB2A4A">
              <w:rPr>
                <w:rStyle w:val="Hyperlink"/>
                <w:rFonts w:ascii="Arial" w:hAnsi="Arial" w:cs="Arial"/>
                <w:noProof/>
              </w:rPr>
              <w:t>4.3 Evaluation</w:t>
            </w:r>
            <w:r w:rsidRPr="00CB2A4A">
              <w:rPr>
                <w:rFonts w:ascii="Arial" w:hAnsi="Arial" w:cs="Arial"/>
                <w:noProof/>
                <w:webHidden/>
              </w:rPr>
              <w:tab/>
            </w:r>
            <w:r w:rsidRPr="00CB2A4A">
              <w:rPr>
                <w:rFonts w:ascii="Arial" w:hAnsi="Arial" w:cs="Arial"/>
                <w:noProof/>
                <w:webHidden/>
              </w:rPr>
              <w:fldChar w:fldCharType="begin"/>
            </w:r>
            <w:r w:rsidRPr="00CB2A4A">
              <w:rPr>
                <w:rFonts w:ascii="Arial" w:hAnsi="Arial" w:cs="Arial"/>
                <w:noProof/>
                <w:webHidden/>
              </w:rPr>
              <w:instrText xml:space="preserve"> PAGEREF _Toc236296288 \h </w:instrText>
            </w:r>
            <w:r w:rsidRPr="00CB2A4A">
              <w:rPr>
                <w:rFonts w:ascii="Arial" w:hAnsi="Arial" w:cs="Arial"/>
                <w:noProof/>
                <w:webHidden/>
              </w:rPr>
            </w:r>
            <w:r w:rsidRPr="00CB2A4A">
              <w:rPr>
                <w:rFonts w:ascii="Arial" w:hAnsi="Arial" w:cs="Arial"/>
                <w:noProof/>
                <w:webHidden/>
              </w:rPr>
              <w:fldChar w:fldCharType="separate"/>
            </w:r>
            <w:r w:rsidR="000B668F">
              <w:rPr>
                <w:rFonts w:ascii="Arial" w:hAnsi="Arial" w:cs="Arial"/>
                <w:noProof/>
                <w:webHidden/>
              </w:rPr>
              <w:t>20</w:t>
            </w:r>
            <w:r w:rsidRPr="00CB2A4A">
              <w:rPr>
                <w:rFonts w:ascii="Arial" w:hAnsi="Arial" w:cs="Arial"/>
                <w:noProof/>
                <w:webHidden/>
              </w:rPr>
              <w:fldChar w:fldCharType="end"/>
            </w:r>
          </w:hyperlink>
        </w:p>
        <w:p w14:paraId="690D8F78" w14:textId="073CD792" w:rsidR="0094245B" w:rsidRPr="00CB2A4A" w:rsidRDefault="0094245B" w:rsidP="00747BFD">
          <w:pPr>
            <w:pStyle w:val="TOC2"/>
            <w:tabs>
              <w:tab w:val="right" w:leader="dot" w:pos="9016"/>
            </w:tabs>
            <w:spacing w:line="360" w:lineRule="auto"/>
            <w:jc w:val="both"/>
            <w:rPr>
              <w:rFonts w:ascii="Arial" w:eastAsiaTheme="minorEastAsia" w:hAnsi="Arial" w:cs="Arial"/>
              <w:noProof/>
              <w:color w:val="auto"/>
              <w:kern w:val="2"/>
              <w14:ligatures w14:val="standardContextual"/>
            </w:rPr>
          </w:pPr>
          <w:hyperlink w:anchor="_Toc236296289" w:history="1">
            <w:r w:rsidRPr="00CB2A4A">
              <w:rPr>
                <w:rStyle w:val="Hyperlink"/>
                <w:rFonts w:ascii="Arial" w:hAnsi="Arial" w:cs="Arial"/>
                <w:noProof/>
              </w:rPr>
              <w:t>4.4 Analysis</w:t>
            </w:r>
            <w:r w:rsidRPr="00CB2A4A">
              <w:rPr>
                <w:rFonts w:ascii="Arial" w:hAnsi="Arial" w:cs="Arial"/>
                <w:noProof/>
                <w:webHidden/>
              </w:rPr>
              <w:tab/>
            </w:r>
            <w:r w:rsidRPr="00CB2A4A">
              <w:rPr>
                <w:rFonts w:ascii="Arial" w:hAnsi="Arial" w:cs="Arial"/>
                <w:noProof/>
                <w:webHidden/>
              </w:rPr>
              <w:fldChar w:fldCharType="begin"/>
            </w:r>
            <w:r w:rsidRPr="00CB2A4A">
              <w:rPr>
                <w:rFonts w:ascii="Arial" w:hAnsi="Arial" w:cs="Arial"/>
                <w:noProof/>
                <w:webHidden/>
              </w:rPr>
              <w:instrText xml:space="preserve"> PAGEREF _Toc236296289 \h </w:instrText>
            </w:r>
            <w:r w:rsidRPr="00CB2A4A">
              <w:rPr>
                <w:rFonts w:ascii="Arial" w:hAnsi="Arial" w:cs="Arial"/>
                <w:noProof/>
                <w:webHidden/>
              </w:rPr>
            </w:r>
            <w:r w:rsidRPr="00CB2A4A">
              <w:rPr>
                <w:rFonts w:ascii="Arial" w:hAnsi="Arial" w:cs="Arial"/>
                <w:noProof/>
                <w:webHidden/>
              </w:rPr>
              <w:fldChar w:fldCharType="separate"/>
            </w:r>
            <w:r w:rsidR="000B668F">
              <w:rPr>
                <w:rFonts w:ascii="Arial" w:hAnsi="Arial" w:cs="Arial"/>
                <w:noProof/>
                <w:webHidden/>
              </w:rPr>
              <w:t>21</w:t>
            </w:r>
            <w:r w:rsidRPr="00CB2A4A">
              <w:rPr>
                <w:rFonts w:ascii="Arial" w:hAnsi="Arial" w:cs="Arial"/>
                <w:noProof/>
                <w:webHidden/>
              </w:rPr>
              <w:fldChar w:fldCharType="end"/>
            </w:r>
          </w:hyperlink>
        </w:p>
        <w:p w14:paraId="4845E9B3" w14:textId="7DC42CD8" w:rsidR="0094245B" w:rsidRPr="00CB2A4A" w:rsidRDefault="0094245B" w:rsidP="00747BFD">
          <w:pPr>
            <w:pStyle w:val="TOC2"/>
            <w:tabs>
              <w:tab w:val="right" w:leader="dot" w:pos="9016"/>
            </w:tabs>
            <w:spacing w:line="360" w:lineRule="auto"/>
            <w:jc w:val="both"/>
            <w:rPr>
              <w:rFonts w:ascii="Arial" w:eastAsiaTheme="minorEastAsia" w:hAnsi="Arial" w:cs="Arial"/>
              <w:noProof/>
              <w:color w:val="auto"/>
              <w:kern w:val="2"/>
              <w14:ligatures w14:val="standardContextual"/>
            </w:rPr>
          </w:pPr>
          <w:hyperlink w:anchor="_Toc236296290" w:history="1">
            <w:r w:rsidRPr="00CB2A4A">
              <w:rPr>
                <w:rStyle w:val="Hyperlink"/>
                <w:rFonts w:ascii="Arial" w:hAnsi="Arial" w:cs="Arial"/>
                <w:noProof/>
              </w:rPr>
              <w:t>4.5 Conclusion</w:t>
            </w:r>
            <w:r w:rsidRPr="00CB2A4A">
              <w:rPr>
                <w:rFonts w:ascii="Arial" w:hAnsi="Arial" w:cs="Arial"/>
                <w:noProof/>
                <w:webHidden/>
              </w:rPr>
              <w:tab/>
            </w:r>
            <w:r w:rsidRPr="00CB2A4A">
              <w:rPr>
                <w:rFonts w:ascii="Arial" w:hAnsi="Arial" w:cs="Arial"/>
                <w:noProof/>
                <w:webHidden/>
              </w:rPr>
              <w:fldChar w:fldCharType="begin"/>
            </w:r>
            <w:r w:rsidRPr="00CB2A4A">
              <w:rPr>
                <w:rFonts w:ascii="Arial" w:hAnsi="Arial" w:cs="Arial"/>
                <w:noProof/>
                <w:webHidden/>
              </w:rPr>
              <w:instrText xml:space="preserve"> PAGEREF _Toc236296290 \h </w:instrText>
            </w:r>
            <w:r w:rsidRPr="00CB2A4A">
              <w:rPr>
                <w:rFonts w:ascii="Arial" w:hAnsi="Arial" w:cs="Arial"/>
                <w:noProof/>
                <w:webHidden/>
              </w:rPr>
            </w:r>
            <w:r w:rsidRPr="00CB2A4A">
              <w:rPr>
                <w:rFonts w:ascii="Arial" w:hAnsi="Arial" w:cs="Arial"/>
                <w:noProof/>
                <w:webHidden/>
              </w:rPr>
              <w:fldChar w:fldCharType="separate"/>
            </w:r>
            <w:r w:rsidR="000B668F">
              <w:rPr>
                <w:rFonts w:ascii="Arial" w:hAnsi="Arial" w:cs="Arial"/>
                <w:noProof/>
                <w:webHidden/>
              </w:rPr>
              <w:t>21</w:t>
            </w:r>
            <w:r w:rsidRPr="00CB2A4A">
              <w:rPr>
                <w:rFonts w:ascii="Arial" w:hAnsi="Arial" w:cs="Arial"/>
                <w:noProof/>
                <w:webHidden/>
              </w:rPr>
              <w:fldChar w:fldCharType="end"/>
            </w:r>
          </w:hyperlink>
        </w:p>
        <w:p w14:paraId="3D236293" w14:textId="3836D4C7" w:rsidR="0094245B" w:rsidRPr="00CB2A4A" w:rsidRDefault="0094245B" w:rsidP="00747BFD">
          <w:pPr>
            <w:pStyle w:val="TOC2"/>
            <w:tabs>
              <w:tab w:val="right" w:leader="dot" w:pos="9016"/>
            </w:tabs>
            <w:spacing w:line="360" w:lineRule="auto"/>
            <w:jc w:val="both"/>
            <w:rPr>
              <w:rFonts w:ascii="Arial" w:eastAsiaTheme="minorEastAsia" w:hAnsi="Arial" w:cs="Arial"/>
              <w:noProof/>
              <w:color w:val="auto"/>
              <w:kern w:val="2"/>
              <w14:ligatures w14:val="standardContextual"/>
            </w:rPr>
          </w:pPr>
          <w:hyperlink w:anchor="_Toc236296291" w:history="1">
            <w:r w:rsidRPr="00CB2A4A">
              <w:rPr>
                <w:rStyle w:val="Hyperlink"/>
                <w:rFonts w:ascii="Arial" w:hAnsi="Arial" w:cs="Arial"/>
                <w:noProof/>
              </w:rPr>
              <w:t>4.6 Action Plan</w:t>
            </w:r>
            <w:r w:rsidRPr="00CB2A4A">
              <w:rPr>
                <w:rFonts w:ascii="Arial" w:hAnsi="Arial" w:cs="Arial"/>
                <w:noProof/>
                <w:webHidden/>
              </w:rPr>
              <w:tab/>
            </w:r>
            <w:r w:rsidRPr="00CB2A4A">
              <w:rPr>
                <w:rFonts w:ascii="Arial" w:hAnsi="Arial" w:cs="Arial"/>
                <w:noProof/>
                <w:webHidden/>
              </w:rPr>
              <w:fldChar w:fldCharType="begin"/>
            </w:r>
            <w:r w:rsidRPr="00CB2A4A">
              <w:rPr>
                <w:rFonts w:ascii="Arial" w:hAnsi="Arial" w:cs="Arial"/>
                <w:noProof/>
                <w:webHidden/>
              </w:rPr>
              <w:instrText xml:space="preserve"> PAGEREF _Toc236296291 \h </w:instrText>
            </w:r>
            <w:r w:rsidRPr="00CB2A4A">
              <w:rPr>
                <w:rFonts w:ascii="Arial" w:hAnsi="Arial" w:cs="Arial"/>
                <w:noProof/>
                <w:webHidden/>
              </w:rPr>
            </w:r>
            <w:r w:rsidRPr="00CB2A4A">
              <w:rPr>
                <w:rFonts w:ascii="Arial" w:hAnsi="Arial" w:cs="Arial"/>
                <w:noProof/>
                <w:webHidden/>
              </w:rPr>
              <w:fldChar w:fldCharType="separate"/>
            </w:r>
            <w:r w:rsidR="000B668F">
              <w:rPr>
                <w:rFonts w:ascii="Arial" w:hAnsi="Arial" w:cs="Arial"/>
                <w:noProof/>
                <w:webHidden/>
              </w:rPr>
              <w:t>22</w:t>
            </w:r>
            <w:r w:rsidRPr="00CB2A4A">
              <w:rPr>
                <w:rFonts w:ascii="Arial" w:hAnsi="Arial" w:cs="Arial"/>
                <w:noProof/>
                <w:webHidden/>
              </w:rPr>
              <w:fldChar w:fldCharType="end"/>
            </w:r>
          </w:hyperlink>
        </w:p>
        <w:p w14:paraId="1189867C" w14:textId="1EDCCD35" w:rsidR="0094245B" w:rsidRPr="00CB2A4A" w:rsidRDefault="0094245B" w:rsidP="00747BFD">
          <w:pPr>
            <w:pStyle w:val="TOC1"/>
            <w:tabs>
              <w:tab w:val="right" w:leader="dot" w:pos="9016"/>
            </w:tabs>
            <w:spacing w:line="360" w:lineRule="auto"/>
            <w:jc w:val="both"/>
            <w:rPr>
              <w:rFonts w:ascii="Arial" w:eastAsiaTheme="minorEastAsia" w:hAnsi="Arial" w:cs="Arial"/>
              <w:noProof/>
              <w:color w:val="auto"/>
              <w:kern w:val="2"/>
              <w14:ligatures w14:val="standardContextual"/>
            </w:rPr>
          </w:pPr>
          <w:hyperlink w:anchor="_Toc236296292" w:history="1">
            <w:r w:rsidRPr="00CB2A4A">
              <w:rPr>
                <w:rStyle w:val="Hyperlink"/>
                <w:rFonts w:ascii="Arial" w:hAnsi="Arial" w:cs="Arial"/>
                <w:noProof/>
              </w:rPr>
              <w:t>Reference List</w:t>
            </w:r>
            <w:r w:rsidRPr="00CB2A4A">
              <w:rPr>
                <w:rFonts w:ascii="Arial" w:hAnsi="Arial" w:cs="Arial"/>
                <w:noProof/>
                <w:webHidden/>
              </w:rPr>
              <w:tab/>
            </w:r>
            <w:r w:rsidRPr="00CB2A4A">
              <w:rPr>
                <w:rFonts w:ascii="Arial" w:hAnsi="Arial" w:cs="Arial"/>
                <w:noProof/>
                <w:webHidden/>
              </w:rPr>
              <w:fldChar w:fldCharType="begin"/>
            </w:r>
            <w:r w:rsidRPr="00CB2A4A">
              <w:rPr>
                <w:rFonts w:ascii="Arial" w:hAnsi="Arial" w:cs="Arial"/>
                <w:noProof/>
                <w:webHidden/>
              </w:rPr>
              <w:instrText xml:space="preserve"> PAGEREF _Toc236296292 \h </w:instrText>
            </w:r>
            <w:r w:rsidRPr="00CB2A4A">
              <w:rPr>
                <w:rFonts w:ascii="Arial" w:hAnsi="Arial" w:cs="Arial"/>
                <w:noProof/>
                <w:webHidden/>
              </w:rPr>
            </w:r>
            <w:r w:rsidRPr="00CB2A4A">
              <w:rPr>
                <w:rFonts w:ascii="Arial" w:hAnsi="Arial" w:cs="Arial"/>
                <w:noProof/>
                <w:webHidden/>
              </w:rPr>
              <w:fldChar w:fldCharType="separate"/>
            </w:r>
            <w:r w:rsidR="000B668F">
              <w:rPr>
                <w:rFonts w:ascii="Arial" w:hAnsi="Arial" w:cs="Arial"/>
                <w:noProof/>
                <w:webHidden/>
              </w:rPr>
              <w:t>23</w:t>
            </w:r>
            <w:r w:rsidRPr="00CB2A4A">
              <w:rPr>
                <w:rFonts w:ascii="Arial" w:hAnsi="Arial" w:cs="Arial"/>
                <w:noProof/>
                <w:webHidden/>
              </w:rPr>
              <w:fldChar w:fldCharType="end"/>
            </w:r>
          </w:hyperlink>
        </w:p>
        <w:p w14:paraId="22008509" w14:textId="47CB7F9F" w:rsidR="0094245B" w:rsidRPr="00CB2A4A" w:rsidRDefault="0094245B" w:rsidP="00747BFD">
          <w:pPr>
            <w:spacing w:line="360" w:lineRule="auto"/>
            <w:jc w:val="both"/>
            <w:rPr>
              <w:rFonts w:ascii="Arial" w:hAnsi="Arial" w:cs="Arial"/>
            </w:rPr>
          </w:pPr>
          <w:r w:rsidRPr="00CB2A4A">
            <w:rPr>
              <w:rFonts w:ascii="Arial" w:hAnsi="Arial" w:cs="Arial"/>
              <w:b/>
              <w:bCs/>
              <w:noProof/>
            </w:rPr>
            <w:fldChar w:fldCharType="end"/>
          </w:r>
        </w:p>
      </w:sdtContent>
    </w:sdt>
    <w:p w14:paraId="73A4C58B" w14:textId="762A4480" w:rsidR="00612205" w:rsidRPr="00CB2A4A" w:rsidRDefault="00612205" w:rsidP="00747BFD">
      <w:pPr>
        <w:spacing w:line="360" w:lineRule="auto"/>
        <w:jc w:val="both"/>
        <w:rPr>
          <w:rFonts w:ascii="Arial" w:hAnsi="Arial" w:cs="Arial"/>
        </w:rPr>
      </w:pPr>
    </w:p>
    <w:p w14:paraId="133B4EED" w14:textId="77777777" w:rsidR="00612205" w:rsidRPr="00CB2A4A" w:rsidRDefault="0023584E" w:rsidP="00747BFD">
      <w:pPr>
        <w:spacing w:line="360" w:lineRule="auto"/>
        <w:jc w:val="both"/>
        <w:rPr>
          <w:rFonts w:ascii="Arial" w:hAnsi="Arial" w:cs="Arial"/>
        </w:rPr>
      </w:pPr>
      <w:r w:rsidRPr="00CB2A4A">
        <w:rPr>
          <w:rFonts w:ascii="Arial" w:hAnsi="Arial" w:cs="Arial"/>
        </w:rPr>
        <w:br w:type="page"/>
      </w:r>
    </w:p>
    <w:p w14:paraId="654F8AE0" w14:textId="77777777" w:rsidR="00612205" w:rsidRPr="00CB2A4A" w:rsidRDefault="00612205" w:rsidP="00747BFD">
      <w:pPr>
        <w:spacing w:line="360" w:lineRule="auto"/>
        <w:jc w:val="both"/>
        <w:rPr>
          <w:rFonts w:ascii="Arial" w:hAnsi="Arial" w:cs="Arial"/>
        </w:rPr>
        <w:sectPr w:rsidR="00612205" w:rsidRPr="00CB2A4A">
          <w:pgSz w:w="11906" w:h="16838"/>
          <w:pgMar w:top="1440" w:right="1440" w:bottom="1440" w:left="1440" w:header="708" w:footer="708" w:gutter="0"/>
          <w:cols w:space="720"/>
          <w:docGrid w:linePitch="360"/>
        </w:sectPr>
      </w:pPr>
    </w:p>
    <w:p w14:paraId="378F96BB" w14:textId="77777777" w:rsidR="00612205" w:rsidRPr="00CB2A4A" w:rsidRDefault="0023584E" w:rsidP="00747BFD">
      <w:pPr>
        <w:pStyle w:val="Heading1"/>
        <w:pBdr>
          <w:bottom w:val="single" w:sz="6" w:space="0" w:color="2E5090"/>
        </w:pBdr>
        <w:spacing w:line="360" w:lineRule="auto"/>
        <w:jc w:val="both"/>
      </w:pPr>
      <w:bookmarkStart w:id="0" w:name="_Toc236295272"/>
      <w:bookmarkStart w:id="1" w:name="_Toc236296274"/>
      <w:r w:rsidRPr="00CB2A4A">
        <w:lastRenderedPageBreak/>
        <w:t>Introduction</w:t>
      </w:r>
      <w:bookmarkEnd w:id="0"/>
      <w:bookmarkEnd w:id="1"/>
    </w:p>
    <w:p w14:paraId="03D1F947" w14:textId="58F1CC26" w:rsidR="00594BA3" w:rsidRPr="00CB2A4A" w:rsidRDefault="00594BA3" w:rsidP="00747BFD">
      <w:pPr>
        <w:pStyle w:val="Heading1"/>
        <w:pBdr>
          <w:bottom w:val="single" w:sz="6" w:space="0" w:color="2E5090"/>
        </w:pBdr>
        <w:spacing w:line="360" w:lineRule="auto"/>
        <w:jc w:val="both"/>
        <w:rPr>
          <w:rFonts w:eastAsia="Times New Roman"/>
          <w:b w:val="0"/>
          <w:bCs w:val="0"/>
          <w:color w:val="333333"/>
          <w:sz w:val="24"/>
          <w:szCs w:val="24"/>
        </w:rPr>
      </w:pPr>
      <w:bookmarkStart w:id="2" w:name="_Toc236295273"/>
      <w:bookmarkStart w:id="3" w:name="_Toc236296275"/>
      <w:r w:rsidRPr="00CB2A4A">
        <w:rPr>
          <w:rFonts w:eastAsia="Times New Roman"/>
          <w:b w:val="0"/>
          <w:bCs w:val="0"/>
          <w:color w:val="333333"/>
          <w:sz w:val="24"/>
          <w:szCs w:val="24"/>
        </w:rPr>
        <w:t xml:space="preserve">Primark, a part of Associated British Foods (ABF), is a value fashion retailer with more than 430 stores in 17 markets as of mid-2026 (GlobalData, 2026b). The company operates from Dublin, Ireland, and has established its competitive edge on cost-leadership by leveraging </w:t>
      </w:r>
      <w:proofErr w:type="spellStart"/>
      <w:r w:rsidRPr="00CB2A4A">
        <w:rPr>
          <w:rFonts w:eastAsia="Times New Roman"/>
          <w:b w:val="0"/>
          <w:bCs w:val="0"/>
          <w:color w:val="333333"/>
          <w:sz w:val="24"/>
          <w:szCs w:val="24"/>
        </w:rPr>
        <w:t>centralised</w:t>
      </w:r>
      <w:proofErr w:type="spellEnd"/>
      <w:r w:rsidRPr="00CB2A4A">
        <w:rPr>
          <w:rFonts w:eastAsia="Times New Roman"/>
          <w:b w:val="0"/>
          <w:bCs w:val="0"/>
          <w:color w:val="333333"/>
          <w:sz w:val="24"/>
          <w:szCs w:val="24"/>
        </w:rPr>
        <w:t xml:space="preserve"> sourcing, volume purchases</w:t>
      </w:r>
      <w:r w:rsidR="00B25E44">
        <w:rPr>
          <w:rFonts w:eastAsia="Times New Roman"/>
          <w:b w:val="0"/>
          <w:bCs w:val="0"/>
          <w:color w:val="333333"/>
          <w:sz w:val="24"/>
          <w:szCs w:val="24"/>
        </w:rPr>
        <w:t>,</w:t>
      </w:r>
      <w:r w:rsidRPr="00CB2A4A">
        <w:rPr>
          <w:rFonts w:eastAsia="Times New Roman"/>
          <w:b w:val="0"/>
          <w:bCs w:val="0"/>
          <w:color w:val="333333"/>
          <w:sz w:val="24"/>
          <w:szCs w:val="24"/>
        </w:rPr>
        <w:t xml:space="preserve"> and by intentionally not investing in e-commerce delivery infrastructure (GlobalData, 2025b). This report outlines the strategic analysis of Primark in </w:t>
      </w:r>
      <w:proofErr w:type="gramStart"/>
      <w:r w:rsidRPr="00CB2A4A">
        <w:rPr>
          <w:rFonts w:eastAsia="Times New Roman"/>
          <w:b w:val="0"/>
          <w:bCs w:val="0"/>
          <w:color w:val="333333"/>
          <w:sz w:val="24"/>
          <w:szCs w:val="24"/>
        </w:rPr>
        <w:t>entering into</w:t>
      </w:r>
      <w:proofErr w:type="gramEnd"/>
      <w:r w:rsidRPr="00CB2A4A">
        <w:rPr>
          <w:rFonts w:eastAsia="Times New Roman"/>
          <w:b w:val="0"/>
          <w:bCs w:val="0"/>
          <w:color w:val="333333"/>
          <w:sz w:val="24"/>
          <w:szCs w:val="24"/>
        </w:rPr>
        <w:t xml:space="preserve"> South Korea, a high-income OECD economy that has a GDP per capita of USD 55,500 at purchasing power parity (OECD, 2024) and doesn't have any Primark presence. The case is of analytical significance because it looks at the possibility of a European value retailer without Asian experience being successful in one of the world's most digitally advanced, culturally unique, and </w:t>
      </w:r>
      <w:r w:rsidR="00B25E44">
        <w:rPr>
          <w:rFonts w:eastAsia="Times New Roman"/>
          <w:b w:val="0"/>
          <w:bCs w:val="0"/>
          <w:color w:val="333333"/>
          <w:sz w:val="24"/>
          <w:szCs w:val="24"/>
        </w:rPr>
        <w:t>brand-conscious</w:t>
      </w:r>
      <w:r w:rsidRPr="00CB2A4A">
        <w:rPr>
          <w:rFonts w:eastAsia="Times New Roman"/>
          <w:b w:val="0"/>
          <w:bCs w:val="0"/>
          <w:color w:val="333333"/>
          <w:sz w:val="24"/>
          <w:szCs w:val="24"/>
        </w:rPr>
        <w:t xml:space="preserve"> consumer markets.</w:t>
      </w:r>
    </w:p>
    <w:p w14:paraId="2954D616" w14:textId="24F3679D" w:rsidR="00594BA3" w:rsidRPr="00CB2A4A" w:rsidRDefault="00594BA3" w:rsidP="00747BFD">
      <w:pPr>
        <w:pStyle w:val="Heading1"/>
        <w:pBdr>
          <w:bottom w:val="single" w:sz="6" w:space="0" w:color="2E5090"/>
        </w:pBdr>
        <w:spacing w:line="360" w:lineRule="auto"/>
        <w:jc w:val="both"/>
        <w:rPr>
          <w:rFonts w:eastAsia="Times New Roman"/>
          <w:b w:val="0"/>
          <w:bCs w:val="0"/>
          <w:color w:val="333333"/>
          <w:sz w:val="24"/>
          <w:szCs w:val="24"/>
        </w:rPr>
      </w:pPr>
      <w:r w:rsidRPr="00CB2A4A">
        <w:rPr>
          <w:rFonts w:eastAsia="Times New Roman"/>
          <w:b w:val="0"/>
          <w:bCs w:val="0"/>
          <w:color w:val="333333"/>
          <w:sz w:val="24"/>
          <w:szCs w:val="24"/>
        </w:rPr>
        <w:t xml:space="preserve">The analysis is divided into four sections. In Section 1, Primark is </w:t>
      </w:r>
      <w:proofErr w:type="spellStart"/>
      <w:r w:rsidRPr="00CB2A4A">
        <w:rPr>
          <w:rFonts w:eastAsia="Times New Roman"/>
          <w:b w:val="0"/>
          <w:bCs w:val="0"/>
          <w:color w:val="333333"/>
          <w:sz w:val="24"/>
          <w:szCs w:val="24"/>
        </w:rPr>
        <w:t>categorised</w:t>
      </w:r>
      <w:proofErr w:type="spellEnd"/>
      <w:r w:rsidRPr="00CB2A4A">
        <w:rPr>
          <w:rFonts w:eastAsia="Times New Roman"/>
          <w:b w:val="0"/>
          <w:bCs w:val="0"/>
          <w:color w:val="333333"/>
          <w:sz w:val="24"/>
          <w:szCs w:val="24"/>
        </w:rPr>
        <w:t xml:space="preserve"> based on Bartlett and Ghoshal's (1989) integration-responsiveness framework and a value chain analysis is carried out. In Section 2</w:t>
      </w:r>
      <w:r w:rsidR="00B25E44">
        <w:rPr>
          <w:rFonts w:eastAsia="Times New Roman"/>
          <w:b w:val="0"/>
          <w:bCs w:val="0"/>
          <w:color w:val="333333"/>
          <w:sz w:val="24"/>
          <w:szCs w:val="24"/>
        </w:rPr>
        <w:t>,</w:t>
      </w:r>
      <w:r w:rsidRPr="00CB2A4A">
        <w:rPr>
          <w:rFonts w:eastAsia="Times New Roman"/>
          <w:b w:val="0"/>
          <w:bCs w:val="0"/>
          <w:color w:val="333333"/>
          <w:sz w:val="24"/>
          <w:szCs w:val="24"/>
        </w:rPr>
        <w:t xml:space="preserve"> the selective PESTLE analysis and Dunning's (2000; 2001) OLI paradigm will be used to evaluate South Korea's attractiveness and the conditions for Primark's potential investment. The results of Section 3 are then condensed in an entry mode recommendation, based on the historical internationalisation trajectories of companies and the updated Uppsala model (Johanson and Vahlne, 2009). A personal reflective account is used in Section 4 with Gibbs' (1988) Reflective Cycle.</w:t>
      </w:r>
    </w:p>
    <w:p w14:paraId="0434511A" w14:textId="77777777" w:rsidR="00594BA3" w:rsidRDefault="00594BA3" w:rsidP="00747BFD">
      <w:pPr>
        <w:pStyle w:val="Heading1"/>
        <w:pBdr>
          <w:bottom w:val="single" w:sz="6" w:space="0" w:color="2E5090"/>
        </w:pBdr>
        <w:spacing w:line="360" w:lineRule="auto"/>
        <w:jc w:val="both"/>
        <w:rPr>
          <w:rFonts w:eastAsia="Times New Roman"/>
          <w:b w:val="0"/>
          <w:bCs w:val="0"/>
          <w:color w:val="333333"/>
          <w:sz w:val="24"/>
          <w:szCs w:val="24"/>
        </w:rPr>
      </w:pPr>
      <w:r w:rsidRPr="00CB2A4A">
        <w:rPr>
          <w:rFonts w:eastAsia="Times New Roman"/>
          <w:b w:val="0"/>
          <w:bCs w:val="0"/>
          <w:color w:val="333333"/>
          <w:sz w:val="24"/>
          <w:szCs w:val="24"/>
        </w:rPr>
        <w:t>The first step in analysis is that the organisational classification of Primark's existing strategy and value chain configuration is carried out.</w:t>
      </w:r>
    </w:p>
    <w:p w14:paraId="1BDB2C6F" w14:textId="77777777" w:rsidR="00EF1DFD" w:rsidRDefault="00EF1DFD" w:rsidP="00747BFD">
      <w:pPr>
        <w:pStyle w:val="Heading1"/>
        <w:pBdr>
          <w:bottom w:val="single" w:sz="6" w:space="0" w:color="2E5090"/>
        </w:pBdr>
        <w:spacing w:line="360" w:lineRule="auto"/>
        <w:jc w:val="both"/>
        <w:rPr>
          <w:rFonts w:eastAsia="Times New Roman"/>
          <w:b w:val="0"/>
          <w:bCs w:val="0"/>
          <w:color w:val="333333"/>
          <w:sz w:val="24"/>
          <w:szCs w:val="24"/>
        </w:rPr>
      </w:pPr>
    </w:p>
    <w:p w14:paraId="54EE5585" w14:textId="77777777" w:rsidR="00EF1DFD" w:rsidRDefault="00EF1DFD" w:rsidP="00747BFD">
      <w:pPr>
        <w:pStyle w:val="Heading1"/>
        <w:pBdr>
          <w:bottom w:val="single" w:sz="6" w:space="0" w:color="2E5090"/>
        </w:pBdr>
        <w:spacing w:line="360" w:lineRule="auto"/>
        <w:jc w:val="both"/>
        <w:rPr>
          <w:rFonts w:eastAsia="Times New Roman"/>
          <w:b w:val="0"/>
          <w:bCs w:val="0"/>
          <w:color w:val="333333"/>
          <w:sz w:val="24"/>
          <w:szCs w:val="24"/>
        </w:rPr>
      </w:pPr>
    </w:p>
    <w:p w14:paraId="62E37152" w14:textId="77777777" w:rsidR="00EF1DFD" w:rsidRPr="00CB2A4A" w:rsidRDefault="00EF1DFD" w:rsidP="00747BFD">
      <w:pPr>
        <w:pStyle w:val="Heading1"/>
        <w:pBdr>
          <w:bottom w:val="single" w:sz="6" w:space="0" w:color="2E5090"/>
        </w:pBdr>
        <w:spacing w:line="360" w:lineRule="auto"/>
        <w:jc w:val="both"/>
        <w:rPr>
          <w:rFonts w:eastAsia="Times New Roman"/>
          <w:b w:val="0"/>
          <w:bCs w:val="0"/>
          <w:color w:val="333333"/>
          <w:sz w:val="24"/>
          <w:szCs w:val="24"/>
        </w:rPr>
      </w:pPr>
    </w:p>
    <w:p w14:paraId="72829176" w14:textId="798F2967" w:rsidR="00612205" w:rsidRPr="00CB2A4A" w:rsidRDefault="0023584E" w:rsidP="00747BFD">
      <w:pPr>
        <w:pStyle w:val="Heading1"/>
        <w:pBdr>
          <w:bottom w:val="single" w:sz="6" w:space="0" w:color="2E5090"/>
        </w:pBdr>
        <w:spacing w:line="360" w:lineRule="auto"/>
        <w:jc w:val="both"/>
      </w:pPr>
      <w:r w:rsidRPr="00CB2A4A">
        <w:lastRenderedPageBreak/>
        <w:t>Section 1: Organisational Classification and Global Strategy</w:t>
      </w:r>
      <w:bookmarkEnd w:id="2"/>
      <w:bookmarkEnd w:id="3"/>
    </w:p>
    <w:p w14:paraId="1613460B" w14:textId="77777777" w:rsidR="00612205" w:rsidRPr="00CB2A4A" w:rsidRDefault="0023584E" w:rsidP="00747BFD">
      <w:pPr>
        <w:pStyle w:val="Heading2"/>
        <w:spacing w:line="360" w:lineRule="auto"/>
        <w:jc w:val="both"/>
      </w:pPr>
      <w:bookmarkStart w:id="4" w:name="_Toc236295274"/>
      <w:bookmarkStart w:id="5" w:name="_Toc236296276"/>
      <w:r w:rsidRPr="00CB2A4A">
        <w:t>1.1 Classification within the Integration-Responsiveness Framework</w:t>
      </w:r>
      <w:bookmarkEnd w:id="4"/>
      <w:bookmarkEnd w:id="5"/>
    </w:p>
    <w:p w14:paraId="745B1546" w14:textId="279DBEB9" w:rsidR="00594BA3" w:rsidRPr="00CB2A4A" w:rsidRDefault="00594BA3" w:rsidP="00747BFD">
      <w:pPr>
        <w:spacing w:before="280" w:after="100" w:line="360" w:lineRule="auto"/>
        <w:jc w:val="both"/>
        <w:rPr>
          <w:rFonts w:ascii="Arial" w:hAnsi="Arial" w:cs="Arial"/>
        </w:rPr>
      </w:pPr>
      <w:r w:rsidRPr="00CB2A4A">
        <w:rPr>
          <w:rFonts w:ascii="Arial" w:hAnsi="Arial" w:cs="Arial"/>
        </w:rPr>
        <w:t>According to Bartlett and Ghoshal (1989), there are four strategic orientations to which Multinational enterprises (MNEs) can move: global, international, multidomestic and transnational. Importantly, Raskovic, Makovec Brencic and Jaklic (2013) point out that these need to be viewed as a continuum rather than as a category</w:t>
      </w:r>
      <w:r w:rsidR="00D02E08">
        <w:rPr>
          <w:rFonts w:ascii="Arial" w:hAnsi="Arial" w:cs="Arial"/>
        </w:rPr>
        <w:t>,</w:t>
      </w:r>
      <w:r w:rsidRPr="00CB2A4A">
        <w:rPr>
          <w:rFonts w:ascii="Arial" w:hAnsi="Arial" w:cs="Arial"/>
        </w:rPr>
        <w:t xml:space="preserve"> and Rugman and Verbeke (1992) warn that the transnational solution is not the best solution in every case. This critical lens is one that does not require the explanation of the framework</w:t>
      </w:r>
      <w:r w:rsidR="00D02E08">
        <w:rPr>
          <w:rFonts w:ascii="Arial" w:hAnsi="Arial" w:cs="Arial"/>
        </w:rPr>
        <w:t>;</w:t>
      </w:r>
      <w:r w:rsidRPr="00CB2A4A">
        <w:rPr>
          <w:rFonts w:ascii="Arial" w:hAnsi="Arial" w:cs="Arial"/>
        </w:rPr>
        <w:t xml:space="preserve"> rather</w:t>
      </w:r>
      <w:r w:rsidR="00D02E08">
        <w:rPr>
          <w:rFonts w:ascii="Arial" w:hAnsi="Arial" w:cs="Arial"/>
        </w:rPr>
        <w:t>,</w:t>
      </w:r>
      <w:r w:rsidRPr="00CB2A4A">
        <w:rPr>
          <w:rFonts w:ascii="Arial" w:hAnsi="Arial" w:cs="Arial"/>
        </w:rPr>
        <w:t xml:space="preserve"> it requires an analysis of evidence which leads to the classification of Primark.</w:t>
      </w:r>
    </w:p>
    <w:p w14:paraId="187A6C6F" w14:textId="77777777" w:rsidR="00594BA3" w:rsidRPr="00CB2A4A" w:rsidRDefault="00594BA3" w:rsidP="00747BFD">
      <w:pPr>
        <w:spacing w:before="280" w:after="100" w:line="360" w:lineRule="auto"/>
        <w:jc w:val="both"/>
        <w:rPr>
          <w:rFonts w:ascii="Arial" w:hAnsi="Arial" w:cs="Arial"/>
        </w:rPr>
      </w:pPr>
      <w:r w:rsidRPr="00CB2A4A">
        <w:rPr>
          <w:rFonts w:ascii="Arial" w:hAnsi="Arial" w:cs="Arial"/>
        </w:rPr>
        <w:t xml:space="preserve">Primark is the brand that is the closest to a global approach. Product design and purchasing are centralised from the Dublin head office, sourcing is done from over 1000 factories, mainly in Bangladesh, China, India and Vietnam, and the in-store format is highly standardised in all 17 markets (GlobalData, 2025b; 2026a). Its competitive advantage is based on its cost-leadership through buying in bulk, its lack of traditional advertising spend and, until recently, its complete lack of any e-commerce delivery infrastructure (Porter, 1985; GlobalData, 2025b). In this way, Primark is </w:t>
      </w:r>
      <w:proofErr w:type="gramStart"/>
      <w:r w:rsidRPr="00CB2A4A">
        <w:rPr>
          <w:rFonts w:ascii="Arial" w:hAnsi="Arial" w:cs="Arial"/>
        </w:rPr>
        <w:t>definitely in</w:t>
      </w:r>
      <w:proofErr w:type="gramEnd"/>
      <w:r w:rsidRPr="00CB2A4A">
        <w:rPr>
          <w:rFonts w:ascii="Arial" w:hAnsi="Arial" w:cs="Arial"/>
        </w:rPr>
        <w:t xml:space="preserve"> the high-integration / low-responsiveness quadrant as it has a strong value proposition at its headquarters and local subsidiaries have a low level of autonomy in their product range, pricing or marketing.</w:t>
      </w:r>
    </w:p>
    <w:p w14:paraId="43F4663B" w14:textId="31BC1B92" w:rsidR="00612205" w:rsidRPr="00CB2A4A" w:rsidRDefault="0023584E" w:rsidP="00747BFD">
      <w:pPr>
        <w:spacing w:before="280" w:after="100" w:line="360" w:lineRule="auto"/>
        <w:jc w:val="both"/>
        <w:rPr>
          <w:rFonts w:ascii="Arial" w:hAnsi="Arial" w:cs="Arial"/>
        </w:rPr>
      </w:pPr>
      <w:r w:rsidRPr="00CB2A4A">
        <w:rPr>
          <w:rFonts w:ascii="Arial" w:eastAsia="Arial" w:hAnsi="Arial" w:cs="Arial"/>
          <w:b/>
          <w:bCs/>
          <w:color w:val="1B2A4A"/>
          <w:sz w:val="22"/>
          <w:szCs w:val="22"/>
        </w:rPr>
        <w:t>Table 1: Primark Financial Performance Summary (FY2023/24 – Q3 FY2025/26)</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801"/>
        <w:gridCol w:w="1453"/>
        <w:gridCol w:w="1453"/>
        <w:gridCol w:w="1660"/>
        <w:gridCol w:w="1657"/>
      </w:tblGrid>
      <w:tr w:rsidR="00612205" w:rsidRPr="00CB2A4A" w14:paraId="62730B7E" w14:textId="77777777" w:rsidTr="00594BA3">
        <w:trPr>
          <w:tblHeader/>
        </w:trPr>
        <w:tc>
          <w:tcPr>
            <w:tcW w:w="1552" w:type="pct"/>
            <w:tcBorders>
              <w:top w:val="single" w:sz="1" w:space="0" w:color="1B2A4A"/>
              <w:left w:val="single" w:sz="1" w:space="0" w:color="1B2A4A"/>
              <w:bottom w:val="single" w:sz="1" w:space="0" w:color="1B2A4A"/>
              <w:right w:val="single" w:sz="1" w:space="0" w:color="1B2A4A"/>
            </w:tcBorders>
            <w:shd w:val="clear" w:color="auto" w:fill="1B2A4A"/>
            <w:vAlign w:val="center"/>
          </w:tcPr>
          <w:p w14:paraId="1202B11D" w14:textId="77777777" w:rsidR="00612205" w:rsidRPr="00CB2A4A" w:rsidRDefault="0023584E" w:rsidP="008F0395">
            <w:pPr>
              <w:spacing w:before="50" w:after="50" w:line="360" w:lineRule="auto"/>
              <w:jc w:val="center"/>
              <w:rPr>
                <w:rFonts w:ascii="Arial" w:hAnsi="Arial" w:cs="Arial"/>
              </w:rPr>
            </w:pPr>
            <w:r w:rsidRPr="00CB2A4A">
              <w:rPr>
                <w:rFonts w:ascii="Arial" w:eastAsia="Arial" w:hAnsi="Arial" w:cs="Arial"/>
                <w:b/>
                <w:bCs/>
                <w:color w:val="FFFFFF"/>
                <w:sz w:val="19"/>
                <w:szCs w:val="19"/>
              </w:rPr>
              <w:t>Metric</w:t>
            </w:r>
          </w:p>
        </w:tc>
        <w:tc>
          <w:tcPr>
            <w:tcW w:w="805" w:type="pct"/>
            <w:tcBorders>
              <w:top w:val="single" w:sz="1" w:space="0" w:color="1B2A4A"/>
              <w:left w:val="single" w:sz="1" w:space="0" w:color="1B2A4A"/>
              <w:bottom w:val="single" w:sz="1" w:space="0" w:color="1B2A4A"/>
              <w:right w:val="single" w:sz="1" w:space="0" w:color="1B2A4A"/>
            </w:tcBorders>
            <w:shd w:val="clear" w:color="auto" w:fill="1B2A4A"/>
            <w:vAlign w:val="center"/>
          </w:tcPr>
          <w:p w14:paraId="0C516A8C" w14:textId="77777777" w:rsidR="00612205" w:rsidRPr="00CB2A4A" w:rsidRDefault="0023584E" w:rsidP="008F0395">
            <w:pPr>
              <w:spacing w:before="50" w:after="50" w:line="360" w:lineRule="auto"/>
              <w:jc w:val="center"/>
              <w:rPr>
                <w:rFonts w:ascii="Arial" w:hAnsi="Arial" w:cs="Arial"/>
              </w:rPr>
            </w:pPr>
            <w:r w:rsidRPr="00CB2A4A">
              <w:rPr>
                <w:rFonts w:ascii="Arial" w:eastAsia="Arial" w:hAnsi="Arial" w:cs="Arial"/>
                <w:b/>
                <w:bCs/>
                <w:color w:val="FFFFFF"/>
                <w:sz w:val="19"/>
                <w:szCs w:val="19"/>
              </w:rPr>
              <w:t>FY2023/24</w:t>
            </w:r>
          </w:p>
        </w:tc>
        <w:tc>
          <w:tcPr>
            <w:tcW w:w="805" w:type="pct"/>
            <w:tcBorders>
              <w:top w:val="single" w:sz="1" w:space="0" w:color="1B2A4A"/>
              <w:left w:val="single" w:sz="1" w:space="0" w:color="1B2A4A"/>
              <w:bottom w:val="single" w:sz="1" w:space="0" w:color="1B2A4A"/>
              <w:right w:val="single" w:sz="1" w:space="0" w:color="1B2A4A"/>
            </w:tcBorders>
            <w:shd w:val="clear" w:color="auto" w:fill="1B2A4A"/>
            <w:vAlign w:val="center"/>
          </w:tcPr>
          <w:p w14:paraId="2A713B80" w14:textId="77777777" w:rsidR="00612205" w:rsidRPr="00CB2A4A" w:rsidRDefault="0023584E" w:rsidP="008F0395">
            <w:pPr>
              <w:spacing w:before="50" w:after="50" w:line="360" w:lineRule="auto"/>
              <w:jc w:val="center"/>
              <w:rPr>
                <w:rFonts w:ascii="Arial" w:hAnsi="Arial" w:cs="Arial"/>
              </w:rPr>
            </w:pPr>
            <w:r w:rsidRPr="00CB2A4A">
              <w:rPr>
                <w:rFonts w:ascii="Arial" w:eastAsia="Arial" w:hAnsi="Arial" w:cs="Arial"/>
                <w:b/>
                <w:bCs/>
                <w:color w:val="FFFFFF"/>
                <w:sz w:val="19"/>
                <w:szCs w:val="19"/>
              </w:rPr>
              <w:t>FY2024/25</w:t>
            </w:r>
          </w:p>
        </w:tc>
        <w:tc>
          <w:tcPr>
            <w:tcW w:w="920" w:type="pct"/>
            <w:tcBorders>
              <w:top w:val="single" w:sz="1" w:space="0" w:color="1B2A4A"/>
              <w:left w:val="single" w:sz="1" w:space="0" w:color="1B2A4A"/>
              <w:bottom w:val="single" w:sz="1" w:space="0" w:color="1B2A4A"/>
              <w:right w:val="single" w:sz="1" w:space="0" w:color="1B2A4A"/>
            </w:tcBorders>
            <w:shd w:val="clear" w:color="auto" w:fill="1B2A4A"/>
            <w:vAlign w:val="center"/>
          </w:tcPr>
          <w:p w14:paraId="550471A5" w14:textId="77777777" w:rsidR="00612205" w:rsidRPr="00CB2A4A" w:rsidRDefault="0023584E" w:rsidP="008F0395">
            <w:pPr>
              <w:spacing w:before="50" w:after="50" w:line="360" w:lineRule="auto"/>
              <w:jc w:val="center"/>
              <w:rPr>
                <w:rFonts w:ascii="Arial" w:hAnsi="Arial" w:cs="Arial"/>
              </w:rPr>
            </w:pPr>
            <w:r w:rsidRPr="00CB2A4A">
              <w:rPr>
                <w:rFonts w:ascii="Arial" w:eastAsia="Arial" w:hAnsi="Arial" w:cs="Arial"/>
                <w:b/>
                <w:bCs/>
                <w:color w:val="FFFFFF"/>
                <w:sz w:val="19"/>
                <w:szCs w:val="19"/>
              </w:rPr>
              <w:t>H1 FY2025/26</w:t>
            </w:r>
          </w:p>
        </w:tc>
        <w:tc>
          <w:tcPr>
            <w:tcW w:w="920" w:type="pct"/>
            <w:tcBorders>
              <w:top w:val="single" w:sz="1" w:space="0" w:color="1B2A4A"/>
              <w:left w:val="single" w:sz="1" w:space="0" w:color="1B2A4A"/>
              <w:bottom w:val="single" w:sz="1" w:space="0" w:color="1B2A4A"/>
              <w:right w:val="single" w:sz="1" w:space="0" w:color="1B2A4A"/>
            </w:tcBorders>
            <w:shd w:val="clear" w:color="auto" w:fill="1B2A4A"/>
            <w:vAlign w:val="center"/>
          </w:tcPr>
          <w:p w14:paraId="2688A01C" w14:textId="77777777" w:rsidR="00612205" w:rsidRPr="00CB2A4A" w:rsidRDefault="0023584E" w:rsidP="008F0395">
            <w:pPr>
              <w:spacing w:before="50" w:after="50" w:line="360" w:lineRule="auto"/>
              <w:jc w:val="center"/>
              <w:rPr>
                <w:rFonts w:ascii="Arial" w:hAnsi="Arial" w:cs="Arial"/>
              </w:rPr>
            </w:pPr>
            <w:r w:rsidRPr="00CB2A4A">
              <w:rPr>
                <w:rFonts w:ascii="Arial" w:eastAsia="Arial" w:hAnsi="Arial" w:cs="Arial"/>
                <w:b/>
                <w:bCs/>
                <w:color w:val="FFFFFF"/>
                <w:sz w:val="19"/>
                <w:szCs w:val="19"/>
              </w:rPr>
              <w:t>Q3 FY2025/26</w:t>
            </w:r>
          </w:p>
        </w:tc>
      </w:tr>
      <w:tr w:rsidR="00612205" w:rsidRPr="00CB2A4A" w14:paraId="788251B4" w14:textId="77777777" w:rsidTr="00594BA3">
        <w:tc>
          <w:tcPr>
            <w:tcW w:w="1552" w:type="pct"/>
            <w:tcBorders>
              <w:top w:val="single" w:sz="1" w:space="0" w:color="D0D5DD"/>
              <w:left w:val="single" w:sz="1" w:space="0" w:color="D0D5DD"/>
              <w:bottom w:val="single" w:sz="1" w:space="0" w:color="D0D5DD"/>
              <w:right w:val="single" w:sz="1" w:space="0" w:color="D0D5DD"/>
            </w:tcBorders>
            <w:vAlign w:val="center"/>
          </w:tcPr>
          <w:p w14:paraId="728CB8E3"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Total Revenue (£bn)</w:t>
            </w:r>
          </w:p>
        </w:tc>
        <w:tc>
          <w:tcPr>
            <w:tcW w:w="805" w:type="pct"/>
            <w:tcBorders>
              <w:top w:val="single" w:sz="1" w:space="0" w:color="D0D5DD"/>
              <w:left w:val="single" w:sz="1" w:space="0" w:color="D0D5DD"/>
              <w:bottom w:val="single" w:sz="1" w:space="0" w:color="D0D5DD"/>
              <w:right w:val="single" w:sz="1" w:space="0" w:color="D0D5DD"/>
            </w:tcBorders>
            <w:vAlign w:val="center"/>
          </w:tcPr>
          <w:p w14:paraId="1B9DCDAF"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9.4</w:t>
            </w:r>
          </w:p>
        </w:tc>
        <w:tc>
          <w:tcPr>
            <w:tcW w:w="805" w:type="pct"/>
            <w:tcBorders>
              <w:top w:val="single" w:sz="1" w:space="0" w:color="D0D5DD"/>
              <w:left w:val="single" w:sz="1" w:space="0" w:color="D0D5DD"/>
              <w:bottom w:val="single" w:sz="1" w:space="0" w:color="D0D5DD"/>
              <w:right w:val="single" w:sz="1" w:space="0" w:color="D0D5DD"/>
            </w:tcBorders>
            <w:vAlign w:val="center"/>
          </w:tcPr>
          <w:p w14:paraId="0FE877BC"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9.5</w:t>
            </w:r>
          </w:p>
        </w:tc>
        <w:tc>
          <w:tcPr>
            <w:tcW w:w="920" w:type="pct"/>
            <w:tcBorders>
              <w:top w:val="single" w:sz="1" w:space="0" w:color="D0D5DD"/>
              <w:left w:val="single" w:sz="1" w:space="0" w:color="D0D5DD"/>
              <w:bottom w:val="single" w:sz="1" w:space="0" w:color="D0D5DD"/>
              <w:right w:val="single" w:sz="1" w:space="0" w:color="D0D5DD"/>
            </w:tcBorders>
            <w:vAlign w:val="center"/>
          </w:tcPr>
          <w:p w14:paraId="644633DF"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4.7</w:t>
            </w:r>
          </w:p>
        </w:tc>
        <w:tc>
          <w:tcPr>
            <w:tcW w:w="920" w:type="pct"/>
            <w:tcBorders>
              <w:top w:val="single" w:sz="1" w:space="0" w:color="D0D5DD"/>
              <w:left w:val="single" w:sz="1" w:space="0" w:color="D0D5DD"/>
              <w:bottom w:val="single" w:sz="1" w:space="0" w:color="D0D5DD"/>
              <w:right w:val="single" w:sz="1" w:space="0" w:color="D0D5DD"/>
            </w:tcBorders>
            <w:vAlign w:val="center"/>
          </w:tcPr>
          <w:p w14:paraId="7440E446"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2.9</w:t>
            </w:r>
          </w:p>
        </w:tc>
      </w:tr>
      <w:tr w:rsidR="00612205" w:rsidRPr="00CB2A4A" w14:paraId="55C03897" w14:textId="77777777" w:rsidTr="00594BA3">
        <w:tc>
          <w:tcPr>
            <w:tcW w:w="1552"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3A856565"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Revenue Growth (reported %)</w:t>
            </w:r>
          </w:p>
        </w:tc>
        <w:tc>
          <w:tcPr>
            <w:tcW w:w="805"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2A8FA909"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+4.9%</w:t>
            </w:r>
          </w:p>
        </w:tc>
        <w:tc>
          <w:tcPr>
            <w:tcW w:w="805"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645493D6"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+0.4%</w:t>
            </w:r>
          </w:p>
        </w:tc>
        <w:tc>
          <w:tcPr>
            <w:tcW w:w="920"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1BB86338"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+4.1%</w:t>
            </w:r>
          </w:p>
        </w:tc>
        <w:tc>
          <w:tcPr>
            <w:tcW w:w="920"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0BC31318"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+4.3%</w:t>
            </w:r>
          </w:p>
        </w:tc>
      </w:tr>
      <w:tr w:rsidR="00612205" w:rsidRPr="00CB2A4A" w14:paraId="4400B340" w14:textId="77777777" w:rsidTr="00594BA3">
        <w:tc>
          <w:tcPr>
            <w:tcW w:w="1552" w:type="pct"/>
            <w:tcBorders>
              <w:top w:val="single" w:sz="1" w:space="0" w:color="D0D5DD"/>
              <w:left w:val="single" w:sz="1" w:space="0" w:color="D0D5DD"/>
              <w:bottom w:val="single" w:sz="1" w:space="0" w:color="D0D5DD"/>
              <w:right w:val="single" w:sz="1" w:space="0" w:color="D0D5DD"/>
            </w:tcBorders>
            <w:vAlign w:val="center"/>
          </w:tcPr>
          <w:p w14:paraId="4A47CD86"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Like-for-Like Sales (%)</w:t>
            </w:r>
          </w:p>
        </w:tc>
        <w:tc>
          <w:tcPr>
            <w:tcW w:w="805" w:type="pct"/>
            <w:tcBorders>
              <w:top w:val="single" w:sz="1" w:space="0" w:color="D0D5DD"/>
              <w:left w:val="single" w:sz="1" w:space="0" w:color="D0D5DD"/>
              <w:bottom w:val="single" w:sz="1" w:space="0" w:color="D0D5DD"/>
              <w:right w:val="single" w:sz="1" w:space="0" w:color="D0D5DD"/>
            </w:tcBorders>
            <w:vAlign w:val="center"/>
          </w:tcPr>
          <w:p w14:paraId="3FA47142"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+1.2%</w:t>
            </w:r>
          </w:p>
        </w:tc>
        <w:tc>
          <w:tcPr>
            <w:tcW w:w="805" w:type="pct"/>
            <w:tcBorders>
              <w:top w:val="single" w:sz="1" w:space="0" w:color="D0D5DD"/>
              <w:left w:val="single" w:sz="1" w:space="0" w:color="D0D5DD"/>
              <w:bottom w:val="single" w:sz="1" w:space="0" w:color="D0D5DD"/>
              <w:right w:val="single" w:sz="1" w:space="0" w:color="D0D5DD"/>
            </w:tcBorders>
            <w:vAlign w:val="center"/>
          </w:tcPr>
          <w:p w14:paraId="2299DA2E"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-2.3%</w:t>
            </w:r>
          </w:p>
        </w:tc>
        <w:tc>
          <w:tcPr>
            <w:tcW w:w="920" w:type="pct"/>
            <w:tcBorders>
              <w:top w:val="single" w:sz="1" w:space="0" w:color="D0D5DD"/>
              <w:left w:val="single" w:sz="1" w:space="0" w:color="D0D5DD"/>
              <w:bottom w:val="single" w:sz="1" w:space="0" w:color="D0D5DD"/>
              <w:right w:val="single" w:sz="1" w:space="0" w:color="D0D5DD"/>
            </w:tcBorders>
            <w:vAlign w:val="center"/>
          </w:tcPr>
          <w:p w14:paraId="0353CB17"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-2.7%</w:t>
            </w:r>
          </w:p>
        </w:tc>
        <w:tc>
          <w:tcPr>
            <w:tcW w:w="920" w:type="pct"/>
            <w:tcBorders>
              <w:top w:val="single" w:sz="1" w:space="0" w:color="D0D5DD"/>
              <w:left w:val="single" w:sz="1" w:space="0" w:color="D0D5DD"/>
              <w:bottom w:val="single" w:sz="1" w:space="0" w:color="D0D5DD"/>
              <w:right w:val="single" w:sz="1" w:space="0" w:color="D0D5DD"/>
            </w:tcBorders>
            <w:vAlign w:val="center"/>
          </w:tcPr>
          <w:p w14:paraId="40A2E38F"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-2.2%</w:t>
            </w:r>
          </w:p>
        </w:tc>
      </w:tr>
      <w:tr w:rsidR="00612205" w:rsidRPr="00CB2A4A" w14:paraId="4A026E76" w14:textId="77777777" w:rsidTr="00594BA3">
        <w:tc>
          <w:tcPr>
            <w:tcW w:w="1552"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69E987F9"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Adj. Operating Profit Margin</w:t>
            </w:r>
          </w:p>
        </w:tc>
        <w:tc>
          <w:tcPr>
            <w:tcW w:w="805"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3F12409C"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11.7%</w:t>
            </w:r>
          </w:p>
        </w:tc>
        <w:tc>
          <w:tcPr>
            <w:tcW w:w="805"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3A4582C1"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11.9%</w:t>
            </w:r>
          </w:p>
        </w:tc>
        <w:tc>
          <w:tcPr>
            <w:tcW w:w="920"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17B5F70A"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w:t>
            </w:r>
          </w:p>
        </w:tc>
        <w:tc>
          <w:tcPr>
            <w:tcW w:w="920"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3AD2F4B4"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~10.0%</w:t>
            </w:r>
          </w:p>
        </w:tc>
      </w:tr>
      <w:tr w:rsidR="00612205" w:rsidRPr="00CB2A4A" w14:paraId="0A6234D4" w14:textId="77777777" w:rsidTr="00594BA3">
        <w:tc>
          <w:tcPr>
            <w:tcW w:w="1552" w:type="pct"/>
            <w:tcBorders>
              <w:top w:val="single" w:sz="1" w:space="0" w:color="D0D5DD"/>
              <w:left w:val="single" w:sz="1" w:space="0" w:color="D0D5DD"/>
              <w:bottom w:val="single" w:sz="1" w:space="0" w:color="D0D5DD"/>
              <w:right w:val="single" w:sz="1" w:space="0" w:color="D0D5DD"/>
            </w:tcBorders>
            <w:vAlign w:val="center"/>
          </w:tcPr>
          <w:p w14:paraId="5A54933C"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UK &amp; Ireland Revenue Growth</w:t>
            </w:r>
          </w:p>
        </w:tc>
        <w:tc>
          <w:tcPr>
            <w:tcW w:w="805" w:type="pct"/>
            <w:tcBorders>
              <w:top w:val="single" w:sz="1" w:space="0" w:color="D0D5DD"/>
              <w:left w:val="single" w:sz="1" w:space="0" w:color="D0D5DD"/>
              <w:bottom w:val="single" w:sz="1" w:space="0" w:color="D0D5DD"/>
              <w:right w:val="single" w:sz="1" w:space="0" w:color="D0D5DD"/>
            </w:tcBorders>
            <w:vAlign w:val="center"/>
          </w:tcPr>
          <w:p w14:paraId="79A153FD"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w:t>
            </w:r>
          </w:p>
        </w:tc>
        <w:tc>
          <w:tcPr>
            <w:tcW w:w="805" w:type="pct"/>
            <w:tcBorders>
              <w:top w:val="single" w:sz="1" w:space="0" w:color="D0D5DD"/>
              <w:left w:val="single" w:sz="1" w:space="0" w:color="D0D5DD"/>
              <w:bottom w:val="single" w:sz="1" w:space="0" w:color="D0D5DD"/>
              <w:right w:val="single" w:sz="1" w:space="0" w:color="D0D5DD"/>
            </w:tcBorders>
            <w:vAlign w:val="center"/>
          </w:tcPr>
          <w:p w14:paraId="3D200008"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-1%</w:t>
            </w:r>
          </w:p>
        </w:tc>
        <w:tc>
          <w:tcPr>
            <w:tcW w:w="920" w:type="pct"/>
            <w:tcBorders>
              <w:top w:val="single" w:sz="1" w:space="0" w:color="D0D5DD"/>
              <w:left w:val="single" w:sz="1" w:space="0" w:color="D0D5DD"/>
              <w:bottom w:val="single" w:sz="1" w:space="0" w:color="D0D5DD"/>
              <w:right w:val="single" w:sz="1" w:space="0" w:color="D0D5DD"/>
            </w:tcBorders>
            <w:vAlign w:val="center"/>
          </w:tcPr>
          <w:p w14:paraId="0FADF4C6"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+2%</w:t>
            </w:r>
          </w:p>
        </w:tc>
        <w:tc>
          <w:tcPr>
            <w:tcW w:w="920" w:type="pct"/>
            <w:tcBorders>
              <w:top w:val="single" w:sz="1" w:space="0" w:color="D0D5DD"/>
              <w:left w:val="single" w:sz="1" w:space="0" w:color="D0D5DD"/>
              <w:bottom w:val="single" w:sz="1" w:space="0" w:color="D0D5DD"/>
              <w:right w:val="single" w:sz="1" w:space="0" w:color="D0D5DD"/>
            </w:tcBorders>
            <w:vAlign w:val="center"/>
          </w:tcPr>
          <w:p w14:paraId="1F93F672"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-0.2%</w:t>
            </w:r>
          </w:p>
        </w:tc>
      </w:tr>
      <w:tr w:rsidR="00612205" w:rsidRPr="00CB2A4A" w14:paraId="43D60171" w14:textId="77777777" w:rsidTr="00594BA3">
        <w:tc>
          <w:tcPr>
            <w:tcW w:w="1552"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74917271"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US Revenue Growth</w:t>
            </w:r>
          </w:p>
        </w:tc>
        <w:tc>
          <w:tcPr>
            <w:tcW w:w="805"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0AE0598E"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w:t>
            </w:r>
          </w:p>
        </w:tc>
        <w:tc>
          <w:tcPr>
            <w:tcW w:w="805"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5BD863D7"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+20%</w:t>
            </w:r>
          </w:p>
        </w:tc>
        <w:tc>
          <w:tcPr>
            <w:tcW w:w="920"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177B2558"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+12%</w:t>
            </w:r>
          </w:p>
        </w:tc>
        <w:tc>
          <w:tcPr>
            <w:tcW w:w="920"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6A546C92"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+16%</w:t>
            </w:r>
          </w:p>
        </w:tc>
      </w:tr>
      <w:tr w:rsidR="00612205" w:rsidRPr="00CB2A4A" w14:paraId="7DA1C9FE" w14:textId="77777777" w:rsidTr="00594BA3">
        <w:tc>
          <w:tcPr>
            <w:tcW w:w="1552" w:type="pct"/>
            <w:tcBorders>
              <w:top w:val="single" w:sz="1" w:space="0" w:color="D0D5DD"/>
              <w:left w:val="single" w:sz="1" w:space="0" w:color="D0D5DD"/>
              <w:bottom w:val="single" w:sz="1" w:space="0" w:color="D0D5DD"/>
              <w:right w:val="single" w:sz="1" w:space="0" w:color="D0D5DD"/>
            </w:tcBorders>
            <w:vAlign w:val="center"/>
          </w:tcPr>
          <w:p w14:paraId="0402352E"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New Stores Opened</w:t>
            </w:r>
          </w:p>
        </w:tc>
        <w:tc>
          <w:tcPr>
            <w:tcW w:w="805" w:type="pct"/>
            <w:tcBorders>
              <w:top w:val="single" w:sz="1" w:space="0" w:color="D0D5DD"/>
              <w:left w:val="single" w:sz="1" w:space="0" w:color="D0D5DD"/>
              <w:bottom w:val="single" w:sz="1" w:space="0" w:color="D0D5DD"/>
              <w:right w:val="single" w:sz="1" w:space="0" w:color="D0D5DD"/>
            </w:tcBorders>
            <w:vAlign w:val="center"/>
          </w:tcPr>
          <w:p w14:paraId="63BED31E"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w:t>
            </w:r>
          </w:p>
        </w:tc>
        <w:tc>
          <w:tcPr>
            <w:tcW w:w="805" w:type="pct"/>
            <w:tcBorders>
              <w:top w:val="single" w:sz="1" w:space="0" w:color="D0D5DD"/>
              <w:left w:val="single" w:sz="1" w:space="0" w:color="D0D5DD"/>
              <w:bottom w:val="single" w:sz="1" w:space="0" w:color="D0D5DD"/>
              <w:right w:val="single" w:sz="1" w:space="0" w:color="D0D5DD"/>
            </w:tcBorders>
            <w:vAlign w:val="center"/>
          </w:tcPr>
          <w:p w14:paraId="2AB60296"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23</w:t>
            </w:r>
          </w:p>
        </w:tc>
        <w:tc>
          <w:tcPr>
            <w:tcW w:w="920" w:type="pct"/>
            <w:tcBorders>
              <w:top w:val="single" w:sz="1" w:space="0" w:color="D0D5DD"/>
              <w:left w:val="single" w:sz="1" w:space="0" w:color="D0D5DD"/>
              <w:bottom w:val="single" w:sz="1" w:space="0" w:color="D0D5DD"/>
              <w:right w:val="single" w:sz="1" w:space="0" w:color="D0D5DD"/>
            </w:tcBorders>
            <w:vAlign w:val="center"/>
          </w:tcPr>
          <w:p w14:paraId="238E026B"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w:t>
            </w:r>
          </w:p>
        </w:tc>
        <w:tc>
          <w:tcPr>
            <w:tcW w:w="920" w:type="pct"/>
            <w:tcBorders>
              <w:top w:val="single" w:sz="1" w:space="0" w:color="D0D5DD"/>
              <w:left w:val="single" w:sz="1" w:space="0" w:color="D0D5DD"/>
              <w:bottom w:val="single" w:sz="1" w:space="0" w:color="D0D5DD"/>
              <w:right w:val="single" w:sz="1" w:space="0" w:color="D0D5DD"/>
            </w:tcBorders>
            <w:vAlign w:val="center"/>
          </w:tcPr>
          <w:p w14:paraId="19FF991E"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w:t>
            </w:r>
          </w:p>
        </w:tc>
      </w:tr>
      <w:tr w:rsidR="00612205" w:rsidRPr="00CB2A4A" w14:paraId="51F77D44" w14:textId="77777777" w:rsidTr="00594BA3">
        <w:tc>
          <w:tcPr>
            <w:tcW w:w="1552"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42CF1B05"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Total Selling Space Added</w:t>
            </w:r>
          </w:p>
        </w:tc>
        <w:tc>
          <w:tcPr>
            <w:tcW w:w="805"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1E4C7180"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w:t>
            </w:r>
          </w:p>
        </w:tc>
        <w:tc>
          <w:tcPr>
            <w:tcW w:w="805"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75AAF771"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+0.8m sq ft</w:t>
            </w:r>
          </w:p>
        </w:tc>
        <w:tc>
          <w:tcPr>
            <w:tcW w:w="920"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3AE38FE1"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w:t>
            </w:r>
          </w:p>
        </w:tc>
        <w:tc>
          <w:tcPr>
            <w:tcW w:w="920"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47137EE2" w14:textId="77777777" w:rsidR="00612205" w:rsidRPr="00CB2A4A" w:rsidRDefault="0023584E" w:rsidP="008F0395">
            <w:pPr>
              <w:spacing w:before="35" w:after="35" w:line="360" w:lineRule="auto"/>
              <w:jc w:val="center"/>
              <w:rPr>
                <w:rFonts w:ascii="Arial" w:hAnsi="Arial" w:cs="Arial"/>
              </w:rPr>
            </w:pPr>
            <w:r w:rsidRPr="00CB2A4A">
              <w:rPr>
                <w:rFonts w:ascii="Arial" w:hAnsi="Arial" w:cs="Arial"/>
                <w:sz w:val="19"/>
                <w:szCs w:val="19"/>
              </w:rPr>
              <w:t>—</w:t>
            </w:r>
          </w:p>
        </w:tc>
      </w:tr>
    </w:tbl>
    <w:p w14:paraId="1E8D7964" w14:textId="17F24FFF" w:rsidR="00612205" w:rsidRPr="00CB2A4A" w:rsidRDefault="0023584E" w:rsidP="00B2068D">
      <w:pPr>
        <w:spacing w:before="40" w:after="240" w:line="360" w:lineRule="auto"/>
        <w:jc w:val="center"/>
        <w:rPr>
          <w:rFonts w:ascii="Arial" w:hAnsi="Arial" w:cs="Arial"/>
          <w:sz w:val="28"/>
          <w:szCs w:val="28"/>
        </w:rPr>
      </w:pPr>
      <w:r w:rsidRPr="00CB2A4A">
        <w:rPr>
          <w:rFonts w:ascii="Arial" w:hAnsi="Arial" w:cs="Arial"/>
          <w:color w:val="555555"/>
          <w:sz w:val="20"/>
          <w:szCs w:val="20"/>
        </w:rPr>
        <w:t>Source: GlobalData Retail Viewpoints (2025a, 2025b, 2026a, 2026b). LfL = Like-for-Like, measuring revenue growth from stores open for at least one year.</w:t>
      </w:r>
      <w:r w:rsidR="00B2068D" w:rsidRPr="00CB2A4A">
        <w:rPr>
          <w:rFonts w:ascii="Arial" w:hAnsi="Arial" w:cs="Arial"/>
          <w:color w:val="555555"/>
          <w:sz w:val="20"/>
          <w:szCs w:val="20"/>
        </w:rPr>
        <w:t xml:space="preserve"> Created in </w:t>
      </w:r>
      <w:r w:rsidR="00D02E08">
        <w:rPr>
          <w:rFonts w:ascii="Arial" w:hAnsi="Arial" w:cs="Arial"/>
          <w:color w:val="555555"/>
          <w:sz w:val="20"/>
          <w:szCs w:val="20"/>
        </w:rPr>
        <w:t>Excel</w:t>
      </w:r>
      <w:r w:rsidR="00B2068D" w:rsidRPr="00CB2A4A">
        <w:rPr>
          <w:rFonts w:ascii="Arial" w:hAnsi="Arial" w:cs="Arial"/>
          <w:color w:val="555555"/>
          <w:sz w:val="20"/>
          <w:szCs w:val="20"/>
        </w:rPr>
        <w:t>.</w:t>
      </w:r>
    </w:p>
    <w:p w14:paraId="7D11BD25" w14:textId="77777777" w:rsidR="00594BA3" w:rsidRPr="00CB2A4A" w:rsidRDefault="00594BA3" w:rsidP="00747BFD">
      <w:pPr>
        <w:spacing w:before="160" w:after="80" w:line="360" w:lineRule="auto"/>
        <w:jc w:val="both"/>
        <w:rPr>
          <w:rFonts w:ascii="Arial" w:hAnsi="Arial" w:cs="Arial"/>
          <w:noProof/>
        </w:rPr>
      </w:pPr>
    </w:p>
    <w:p w14:paraId="3476A315" w14:textId="66EBBF2B" w:rsidR="00612205" w:rsidRPr="00CB2A4A" w:rsidRDefault="0023584E" w:rsidP="00747BFD">
      <w:pPr>
        <w:spacing w:before="160" w:after="80" w:line="360" w:lineRule="auto"/>
        <w:jc w:val="both"/>
        <w:rPr>
          <w:rFonts w:ascii="Arial" w:hAnsi="Arial" w:cs="Arial"/>
        </w:rPr>
      </w:pPr>
      <w:r w:rsidRPr="00CB2A4A">
        <w:rPr>
          <w:rFonts w:ascii="Arial" w:hAnsi="Arial" w:cs="Arial"/>
          <w:noProof/>
        </w:rPr>
        <w:drawing>
          <wp:inline distT="0" distB="0" distL="0" distR="0" wp14:anchorId="28A34EB6" wp14:editId="38170A1D">
            <wp:extent cx="5524500" cy="286893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9"/>
                    <a:srcRect t="8727"/>
                    <a:stretch>
                      <a:fillRect/>
                    </a:stretch>
                  </pic:blipFill>
                  <pic:spPr bwMode="auto">
                    <a:xfrm>
                      <a:off x="0" y="0"/>
                      <a:ext cx="5524500" cy="2868930"/>
                    </a:xfrm>
                    <a:prstGeom prst="rect">
                      <a:avLst/>
                    </a:prstGeom>
                    <a:ln>
                      <a:noFill/>
                    </a:ln>
                    <a:extLst>
                      <a:ext uri="{53640926-AAD7-44D8-BBD7-CCE9431645EC}">
                        <a14:shadowObscured xmlns:a14="http://schemas.microsoft.com/office/drawing/2010/main"/>
                      </a:ext>
                    </a:extLst>
                  </pic:spPr>
                </pic:pic>
              </a:graphicData>
            </a:graphic>
          </wp:inline>
        </w:drawing>
      </w:r>
    </w:p>
    <w:p w14:paraId="7F9C5C80" w14:textId="6226BD8A" w:rsidR="00594BA3" w:rsidRPr="00CB2A4A" w:rsidRDefault="00594BA3" w:rsidP="00A84D68">
      <w:pPr>
        <w:spacing w:after="140" w:line="360" w:lineRule="auto"/>
        <w:jc w:val="center"/>
        <w:rPr>
          <w:rFonts w:ascii="Arial" w:hAnsi="Arial" w:cs="Arial"/>
          <w:sz w:val="20"/>
          <w:szCs w:val="20"/>
        </w:rPr>
      </w:pPr>
      <w:r w:rsidRPr="00CB2A4A">
        <w:rPr>
          <w:rFonts w:ascii="Arial" w:hAnsi="Arial" w:cs="Arial"/>
          <w:sz w:val="20"/>
          <w:szCs w:val="20"/>
        </w:rPr>
        <w:t>Figure 1: Primark Revenue Growth vs Like-for-Like Sales</w:t>
      </w:r>
      <w:r w:rsidR="00CB1E44" w:rsidRPr="00CB2A4A">
        <w:rPr>
          <w:rFonts w:ascii="Arial" w:hAnsi="Arial" w:cs="Arial"/>
          <w:sz w:val="20"/>
          <w:szCs w:val="20"/>
        </w:rPr>
        <w:t xml:space="preserve">. </w:t>
      </w:r>
      <w:r w:rsidR="00CB1E44" w:rsidRPr="00CB2A4A">
        <w:rPr>
          <w:rFonts w:ascii="Arial" w:hAnsi="Arial" w:cs="Arial"/>
          <w:color w:val="555555"/>
          <w:sz w:val="20"/>
          <w:szCs w:val="20"/>
        </w:rPr>
        <w:t xml:space="preserve">Created in </w:t>
      </w:r>
      <w:r w:rsidR="00D02E08">
        <w:rPr>
          <w:rFonts w:ascii="Arial" w:hAnsi="Arial" w:cs="Arial"/>
          <w:color w:val="555555"/>
          <w:sz w:val="20"/>
          <w:szCs w:val="20"/>
        </w:rPr>
        <w:t>Excel</w:t>
      </w:r>
      <w:r w:rsidR="00CB1E44" w:rsidRPr="00CB2A4A">
        <w:rPr>
          <w:rFonts w:ascii="Arial" w:hAnsi="Arial" w:cs="Arial"/>
          <w:color w:val="555555"/>
          <w:sz w:val="20"/>
          <w:szCs w:val="20"/>
        </w:rPr>
        <w:t>.</w:t>
      </w:r>
    </w:p>
    <w:p w14:paraId="6480B512" w14:textId="1922E925" w:rsidR="00594BA3" w:rsidRDefault="00594BA3" w:rsidP="00747BFD">
      <w:pPr>
        <w:pStyle w:val="Heading2"/>
        <w:spacing w:line="360" w:lineRule="auto"/>
        <w:jc w:val="both"/>
        <w:rPr>
          <w:rFonts w:eastAsia="Times New Roman"/>
          <w:b w:val="0"/>
          <w:bCs w:val="0"/>
          <w:color w:val="333333"/>
          <w:sz w:val="24"/>
          <w:szCs w:val="24"/>
        </w:rPr>
      </w:pPr>
      <w:bookmarkStart w:id="6" w:name="_Toc236295275"/>
      <w:bookmarkStart w:id="7" w:name="_Toc236296277"/>
      <w:r w:rsidRPr="00CB2A4A">
        <w:rPr>
          <w:rFonts w:eastAsia="Times New Roman"/>
          <w:b w:val="0"/>
          <w:bCs w:val="0"/>
          <w:color w:val="333333"/>
          <w:sz w:val="24"/>
          <w:szCs w:val="24"/>
        </w:rPr>
        <w:t xml:space="preserve">As shown in Table 1 and Figure 1, Primark's overall revenue has increased marginally, with its expansion primarily coming from opening new stores and not the demand of the customers per se. S. Like-for-Like (LfL) sales, which compare revenue growth from stores open for at least one year, </w:t>
      </w:r>
      <w:r w:rsidR="00745222" w:rsidRPr="00CB2A4A">
        <w:rPr>
          <w:rFonts w:eastAsia="Times New Roman"/>
          <w:b w:val="0"/>
          <w:bCs w:val="0"/>
          <w:color w:val="333333"/>
          <w:sz w:val="24"/>
          <w:szCs w:val="24"/>
        </w:rPr>
        <w:t>have</w:t>
      </w:r>
      <w:r w:rsidRPr="00CB2A4A">
        <w:rPr>
          <w:rFonts w:eastAsia="Times New Roman"/>
          <w:b w:val="0"/>
          <w:bCs w:val="0"/>
          <w:color w:val="333333"/>
          <w:sz w:val="24"/>
          <w:szCs w:val="24"/>
        </w:rPr>
        <w:t xml:space="preserve"> been trending downward since FY2023/24, dropping from +1.2% to -2.7% in H1 FY2025/26. The gap between total revenue growth and LfL performance is a sign that Primark's cost-leadership strategy has some structural struggles in mature markets, which is why entering new geographies via capital-efficient models makes sense. But this attitude is changing. In October 2025, Primark debuted in Kuwait with the launch of its first franchise store, which was a joint venture with Alshaya Group, the first move away from a wholly owned subsidiary (WOS) entry mode (GlobalData, 2025b). At the same time, App launches in Ireland and Italy, localised marketing efforts like ‘Shockingly Chic’ and ‘The Get Away</w:t>
      </w:r>
      <w:r w:rsidR="00745222" w:rsidRPr="00CB2A4A">
        <w:rPr>
          <w:rFonts w:eastAsia="Times New Roman"/>
          <w:b w:val="0"/>
          <w:bCs w:val="0"/>
          <w:color w:val="333333"/>
          <w:sz w:val="24"/>
          <w:szCs w:val="24"/>
        </w:rPr>
        <w:t>’ and</w:t>
      </w:r>
      <w:r w:rsidRPr="00CB2A4A">
        <w:rPr>
          <w:rFonts w:eastAsia="Times New Roman"/>
          <w:b w:val="0"/>
          <w:bCs w:val="0"/>
          <w:color w:val="333333"/>
          <w:sz w:val="24"/>
          <w:szCs w:val="24"/>
        </w:rPr>
        <w:t xml:space="preserve"> click-and-collect availability in all 187 stores in the UK are all indicative of growing pressures to be responsive (GlobalData, 2026a; 2026b). This puts Primark in a kind of “grey area” between global and transnational orientations, as Harzing (2000) found in an empirical study that few MNEs exist in a pure category. Responsiveness pressures would be even greater in a culturally distant market like South Korea.</w:t>
      </w:r>
    </w:p>
    <w:p w14:paraId="738BB66E" w14:textId="77777777" w:rsidR="00CB2A4A" w:rsidRPr="00CB2A4A" w:rsidRDefault="00CB2A4A" w:rsidP="00747BFD">
      <w:pPr>
        <w:pStyle w:val="Heading2"/>
        <w:spacing w:line="360" w:lineRule="auto"/>
        <w:jc w:val="both"/>
        <w:rPr>
          <w:rFonts w:eastAsia="Times New Roman"/>
          <w:b w:val="0"/>
          <w:bCs w:val="0"/>
          <w:color w:val="333333"/>
          <w:sz w:val="24"/>
          <w:szCs w:val="24"/>
        </w:rPr>
      </w:pPr>
    </w:p>
    <w:p w14:paraId="3F2E2EF6" w14:textId="5D46142C" w:rsidR="00612205" w:rsidRPr="00CB2A4A" w:rsidRDefault="0023584E" w:rsidP="00747BFD">
      <w:pPr>
        <w:pStyle w:val="Heading2"/>
        <w:spacing w:line="360" w:lineRule="auto"/>
        <w:jc w:val="both"/>
      </w:pPr>
      <w:r w:rsidRPr="00CB2A4A">
        <w:lastRenderedPageBreak/>
        <w:t>1.2 Value Chain Configuration</w:t>
      </w:r>
      <w:bookmarkEnd w:id="6"/>
      <w:bookmarkEnd w:id="7"/>
    </w:p>
    <w:p w14:paraId="610EA91C" w14:textId="7DF3AF80" w:rsidR="00163622" w:rsidRDefault="00594BA3" w:rsidP="00747BFD">
      <w:pPr>
        <w:pStyle w:val="Heading1"/>
        <w:pBdr>
          <w:bottom w:val="single" w:sz="6" w:space="0" w:color="2E5090"/>
        </w:pBdr>
        <w:spacing w:line="360" w:lineRule="auto"/>
        <w:jc w:val="both"/>
        <w:rPr>
          <w:rFonts w:eastAsia="Times New Roman"/>
          <w:b w:val="0"/>
          <w:bCs w:val="0"/>
          <w:color w:val="333333"/>
          <w:sz w:val="24"/>
          <w:szCs w:val="24"/>
        </w:rPr>
      </w:pPr>
      <w:bookmarkStart w:id="8" w:name="_Toc236295276"/>
      <w:bookmarkStart w:id="9" w:name="_Toc236296278"/>
      <w:r w:rsidRPr="00CB2A4A">
        <w:rPr>
          <w:rFonts w:eastAsia="Times New Roman"/>
          <w:b w:val="0"/>
          <w:bCs w:val="0"/>
          <w:color w:val="333333"/>
          <w:sz w:val="24"/>
          <w:szCs w:val="24"/>
        </w:rPr>
        <w:t xml:space="preserve">Porter (1986) suggests that international strategy can be differentiated by two dimensions, namely, the configuration of the value chain activities at different locations and the way the dispersed value chain activities are coordinated. Hollensen (2020) quantifies these concepts as configuration (activity location economies) and coordination (managerial linkages between activities across borders). Primark has a very concentrated value chain with a high level of central </w:t>
      </w:r>
      <w:r w:rsidR="0043541F">
        <w:rPr>
          <w:rFonts w:eastAsia="Times New Roman"/>
          <w:b w:val="0"/>
          <w:bCs w:val="0"/>
          <w:color w:val="333333"/>
          <w:sz w:val="24"/>
          <w:szCs w:val="24"/>
        </w:rPr>
        <w:t>coordination</w:t>
      </w:r>
      <w:r w:rsidRPr="00CB2A4A">
        <w:rPr>
          <w:rFonts w:eastAsia="Times New Roman"/>
          <w:b w:val="0"/>
          <w:bCs w:val="0"/>
          <w:color w:val="333333"/>
          <w:sz w:val="24"/>
          <w:szCs w:val="24"/>
        </w:rPr>
        <w:t xml:space="preserve">. South and South-East Asia are the focus areas of inbound logistics and procurement. HQ of design, quality assurance and merchandising in Dublin. There are distribution centres in the United Kingdom (Kettering), continental Europe and the United States. As of mid-2026, the retail business operates over 430 outlets globally (GlobalData, 2026b), with support functions centralized. It provides cost efficiency with scale and standardisation, but poses coordination problems when the company comes up against markets with markedly different expectations from and competitive pressures on consumers. The test would be whether or not Primark's "centralised value chain" could withstand the level of local adaptation needed without losing its core advantage: low prices—especially in a digital-first retail landscape like South Korea, where consumers have a wide range of choices and are shopping for brands. The global efficiency and the local responsiveness identified by Prahalad and </w:t>
      </w:r>
      <w:proofErr w:type="spellStart"/>
      <w:r w:rsidRPr="00CB2A4A">
        <w:rPr>
          <w:rFonts w:eastAsia="Times New Roman"/>
          <w:b w:val="0"/>
          <w:bCs w:val="0"/>
          <w:color w:val="333333"/>
          <w:sz w:val="24"/>
          <w:szCs w:val="24"/>
        </w:rPr>
        <w:t>Doz</w:t>
      </w:r>
      <w:proofErr w:type="spellEnd"/>
      <w:r w:rsidRPr="00CB2A4A">
        <w:rPr>
          <w:rFonts w:eastAsia="Times New Roman"/>
          <w:b w:val="0"/>
          <w:bCs w:val="0"/>
          <w:color w:val="333333"/>
          <w:sz w:val="24"/>
          <w:szCs w:val="24"/>
        </w:rPr>
        <w:t xml:space="preserve"> (1987) </w:t>
      </w:r>
      <w:r w:rsidR="0043541F">
        <w:rPr>
          <w:rFonts w:eastAsia="Times New Roman"/>
          <w:b w:val="0"/>
          <w:bCs w:val="0"/>
          <w:color w:val="333333"/>
          <w:sz w:val="24"/>
          <w:szCs w:val="24"/>
        </w:rPr>
        <w:t>are</w:t>
      </w:r>
      <w:r w:rsidRPr="00CB2A4A">
        <w:rPr>
          <w:rFonts w:eastAsia="Times New Roman"/>
          <w:b w:val="0"/>
          <w:bCs w:val="0"/>
          <w:color w:val="333333"/>
          <w:sz w:val="24"/>
          <w:szCs w:val="24"/>
        </w:rPr>
        <w:t xml:space="preserve"> hence crucial to any decision to enter South Korea</w:t>
      </w:r>
      <w:r w:rsidR="0043541F">
        <w:rPr>
          <w:rFonts w:eastAsia="Times New Roman"/>
          <w:b w:val="0"/>
          <w:bCs w:val="0"/>
          <w:color w:val="333333"/>
          <w:sz w:val="24"/>
          <w:szCs w:val="24"/>
        </w:rPr>
        <w:t>,</w:t>
      </w:r>
      <w:r w:rsidRPr="00CB2A4A">
        <w:rPr>
          <w:rFonts w:eastAsia="Times New Roman"/>
          <w:b w:val="0"/>
          <w:bCs w:val="0"/>
          <w:color w:val="333333"/>
          <w:sz w:val="24"/>
          <w:szCs w:val="24"/>
        </w:rPr>
        <w:t xml:space="preserve"> as Primark would have to decide which activities in the value chain can be centralised and which need to be configured locally, which is something that the company has not faced at this scale of cultural distance. Having decided that the current global strategy of Primark is closest to a global one, yet it is under pressure to become more responsive, the analysis now shifts to consideration of the macro-environment of South Korea with respect to this strategic profile.</w:t>
      </w:r>
    </w:p>
    <w:p w14:paraId="7BD11F8E" w14:textId="77777777" w:rsidR="00CB2A4A" w:rsidRPr="00CB2A4A" w:rsidRDefault="00CB2A4A" w:rsidP="00747BFD">
      <w:pPr>
        <w:pStyle w:val="Heading1"/>
        <w:pBdr>
          <w:bottom w:val="single" w:sz="6" w:space="0" w:color="2E5090"/>
        </w:pBdr>
        <w:spacing w:line="360" w:lineRule="auto"/>
        <w:jc w:val="both"/>
        <w:rPr>
          <w:rFonts w:eastAsia="Times New Roman"/>
          <w:b w:val="0"/>
          <w:bCs w:val="0"/>
          <w:color w:val="333333"/>
          <w:sz w:val="24"/>
          <w:szCs w:val="24"/>
        </w:rPr>
      </w:pPr>
    </w:p>
    <w:p w14:paraId="14FB94A2" w14:textId="01E59EED" w:rsidR="00612205" w:rsidRPr="00CB2A4A" w:rsidRDefault="00594BA3" w:rsidP="00CB2A4A">
      <w:pPr>
        <w:pStyle w:val="Heading1"/>
        <w:pBdr>
          <w:bottom w:val="single" w:sz="6" w:space="0" w:color="2E5090"/>
        </w:pBdr>
        <w:spacing w:line="360" w:lineRule="auto"/>
      </w:pPr>
      <w:r w:rsidRPr="00CB2A4A">
        <w:rPr>
          <w:rFonts w:eastAsia="Times New Roman"/>
          <w:b w:val="0"/>
          <w:bCs w:val="0"/>
          <w:color w:val="333333"/>
          <w:sz w:val="24"/>
          <w:szCs w:val="24"/>
        </w:rPr>
        <w:br/>
      </w:r>
      <w:r w:rsidRPr="00CB2A4A">
        <w:rPr>
          <w:rFonts w:eastAsia="Times New Roman"/>
          <w:b w:val="0"/>
          <w:bCs w:val="0"/>
          <w:color w:val="333333"/>
          <w:sz w:val="24"/>
          <w:szCs w:val="24"/>
        </w:rPr>
        <w:br/>
      </w:r>
      <w:r w:rsidRPr="00CB2A4A">
        <w:lastRenderedPageBreak/>
        <w:t>Section 2: Macro-Environmental Appraisal and Market Attractiveness</w:t>
      </w:r>
      <w:bookmarkEnd w:id="8"/>
      <w:bookmarkEnd w:id="9"/>
    </w:p>
    <w:p w14:paraId="1281BE55" w14:textId="77777777" w:rsidR="00612205" w:rsidRPr="00CB2A4A" w:rsidRDefault="0023584E" w:rsidP="00747BFD">
      <w:pPr>
        <w:pStyle w:val="Heading2"/>
        <w:spacing w:line="360" w:lineRule="auto"/>
        <w:jc w:val="both"/>
      </w:pPr>
      <w:bookmarkStart w:id="10" w:name="_Toc236295277"/>
      <w:bookmarkStart w:id="11" w:name="_Toc236296279"/>
      <w:r w:rsidRPr="00CB2A4A">
        <w:t>2.1 PESTLE Analysis of South Korea</w:t>
      </w:r>
      <w:bookmarkEnd w:id="10"/>
      <w:bookmarkEnd w:id="11"/>
    </w:p>
    <w:p w14:paraId="1AFFC4CB" w14:textId="3D4A873A" w:rsidR="00D632BB" w:rsidRPr="00CB2A4A" w:rsidRDefault="00594BA3" w:rsidP="00747BFD">
      <w:pPr>
        <w:spacing w:before="240" w:after="120" w:line="360" w:lineRule="auto"/>
        <w:jc w:val="both"/>
        <w:rPr>
          <w:rFonts w:ascii="Arial" w:hAnsi="Arial" w:cs="Arial"/>
        </w:rPr>
      </w:pPr>
      <w:r w:rsidRPr="00CB2A4A">
        <w:rPr>
          <w:rFonts w:ascii="Arial" w:hAnsi="Arial" w:cs="Arial"/>
        </w:rPr>
        <w:t>In this section</w:t>
      </w:r>
      <w:r w:rsidR="0043541F">
        <w:rPr>
          <w:rFonts w:ascii="Arial" w:hAnsi="Arial" w:cs="Arial"/>
        </w:rPr>
        <w:t>,</w:t>
      </w:r>
      <w:r w:rsidRPr="00CB2A4A">
        <w:rPr>
          <w:rFonts w:ascii="Arial" w:hAnsi="Arial" w:cs="Arial"/>
        </w:rPr>
        <w:t xml:space="preserve"> PESTLE analysis is used to analyse South Korea's macro environment in relation to Primark's possible entry. The analysis is selective, in line with Hill (2024), meaning that the factors have been prioritised based on their strategic relevance to a value fashion retailer that relies on high footfall physical stores with a centralised sourcing and cost-leadership strategy. </w:t>
      </w:r>
    </w:p>
    <w:p w14:paraId="4BE300D4" w14:textId="5E7CF1C4" w:rsidR="00612205" w:rsidRPr="00CB2A4A" w:rsidRDefault="0023584E" w:rsidP="00747BFD">
      <w:pPr>
        <w:spacing w:before="240" w:after="120" w:line="360" w:lineRule="auto"/>
        <w:jc w:val="both"/>
        <w:rPr>
          <w:rFonts w:ascii="Arial" w:hAnsi="Arial" w:cs="Arial"/>
        </w:rPr>
      </w:pPr>
      <w:r w:rsidRPr="00CB2A4A">
        <w:rPr>
          <w:rFonts w:ascii="Arial" w:hAnsi="Arial" w:cs="Arial"/>
          <w:b/>
          <w:bCs/>
          <w:color w:val="1B2A4A"/>
        </w:rPr>
        <w:t xml:space="preserve">Political </w:t>
      </w:r>
      <w:r w:rsidR="00D92980">
        <w:rPr>
          <w:rFonts w:ascii="Arial" w:hAnsi="Arial" w:cs="Arial"/>
          <w:b/>
          <w:bCs/>
          <w:color w:val="1B2A4A"/>
        </w:rPr>
        <w:t>Factors</w:t>
      </w:r>
    </w:p>
    <w:p w14:paraId="4AB7542C" w14:textId="27AA0F78" w:rsidR="00CC6A6E" w:rsidRPr="00CB2A4A" w:rsidRDefault="00594BA3" w:rsidP="00747BFD">
      <w:pPr>
        <w:spacing w:before="240" w:after="120" w:line="360" w:lineRule="auto"/>
        <w:jc w:val="both"/>
        <w:rPr>
          <w:rFonts w:ascii="Arial" w:hAnsi="Arial" w:cs="Arial"/>
        </w:rPr>
      </w:pPr>
      <w:r w:rsidRPr="00CB2A4A">
        <w:rPr>
          <w:rFonts w:ascii="Arial" w:hAnsi="Arial" w:cs="Arial"/>
        </w:rPr>
        <w:t xml:space="preserve">Despite being a consolidated democracy according to Freedom House (2025) and </w:t>
      </w:r>
      <w:r w:rsidR="00CB07CA">
        <w:rPr>
          <w:rFonts w:ascii="Arial" w:hAnsi="Arial" w:cs="Arial"/>
        </w:rPr>
        <w:t>scoring</w:t>
      </w:r>
      <w:r w:rsidRPr="00CB2A4A">
        <w:rPr>
          <w:rFonts w:ascii="Arial" w:hAnsi="Arial" w:cs="Arial"/>
        </w:rPr>
        <w:t xml:space="preserve"> 83 out of 100 for being Free, South Korea's democratic institutions were suddenly shaken by the martial law crisis in December 2024 under the current president, Yoon Suk-yeol. The main geopolitical risk relates to tensions with North Korea, but this risk of major armed conflict is very limited in OECD (2024), and there is no evidence of major market disruption </w:t>
      </w:r>
      <w:proofErr w:type="gramStart"/>
      <w:r w:rsidRPr="00CB2A4A">
        <w:rPr>
          <w:rFonts w:ascii="Arial" w:hAnsi="Arial" w:cs="Arial"/>
        </w:rPr>
        <w:t>as a result of</w:t>
      </w:r>
      <w:proofErr w:type="gramEnd"/>
      <w:r w:rsidRPr="00CB2A4A">
        <w:rPr>
          <w:rFonts w:ascii="Arial" w:hAnsi="Arial" w:cs="Arial"/>
        </w:rPr>
        <w:t xml:space="preserve"> past provocations. Primark's value chain is positively affected by the tariff-free EU-South Korea Free Trade Agreement (FTA), which has been in force since 2011. The FDI environment is also becoming liberalized</w:t>
      </w:r>
      <w:r w:rsidR="00CB07CA">
        <w:rPr>
          <w:rFonts w:ascii="Arial" w:hAnsi="Arial" w:cs="Arial"/>
        </w:rPr>
        <w:t>,</w:t>
      </w:r>
      <w:r w:rsidRPr="00CB2A4A">
        <w:rPr>
          <w:rFonts w:ascii="Arial" w:hAnsi="Arial" w:cs="Arial"/>
        </w:rPr>
        <w:t xml:space="preserve"> with pledges reaching a record USD 32.7 billion in 2023 (MOTIE, 2024). The political environment for Primark is low to moderate risk.</w:t>
      </w:r>
    </w:p>
    <w:p w14:paraId="44547D47" w14:textId="2D0CC8B7" w:rsidR="00612205" w:rsidRPr="00CB2A4A" w:rsidRDefault="0023584E" w:rsidP="00747BFD">
      <w:pPr>
        <w:spacing w:before="240" w:after="120" w:line="360" w:lineRule="auto"/>
        <w:jc w:val="both"/>
        <w:rPr>
          <w:rFonts w:ascii="Arial" w:hAnsi="Arial" w:cs="Arial"/>
        </w:rPr>
      </w:pPr>
      <w:r w:rsidRPr="00CB2A4A">
        <w:rPr>
          <w:rFonts w:ascii="Arial" w:hAnsi="Arial" w:cs="Arial"/>
          <w:b/>
          <w:bCs/>
          <w:color w:val="1B2A4A"/>
        </w:rPr>
        <w:t>Economic</w:t>
      </w:r>
      <w:r w:rsidR="00D92980">
        <w:rPr>
          <w:rFonts w:ascii="Arial" w:hAnsi="Arial" w:cs="Arial"/>
          <w:b/>
          <w:bCs/>
          <w:color w:val="1B2A4A"/>
        </w:rPr>
        <w:t xml:space="preserve"> Factors</w:t>
      </w:r>
    </w:p>
    <w:p w14:paraId="7856D8C4" w14:textId="77777777" w:rsidR="00612205" w:rsidRPr="00CB2A4A" w:rsidRDefault="0023584E" w:rsidP="00747BFD">
      <w:pPr>
        <w:spacing w:before="280" w:after="100" w:line="360" w:lineRule="auto"/>
        <w:jc w:val="both"/>
        <w:rPr>
          <w:rFonts w:ascii="Arial" w:hAnsi="Arial" w:cs="Arial"/>
        </w:rPr>
      </w:pPr>
      <w:r w:rsidRPr="00CB2A4A">
        <w:rPr>
          <w:rFonts w:ascii="Arial" w:eastAsia="Arial" w:hAnsi="Arial" w:cs="Arial"/>
          <w:b/>
          <w:bCs/>
          <w:color w:val="1B2A4A"/>
          <w:sz w:val="22"/>
          <w:szCs w:val="22"/>
        </w:rPr>
        <w:t>Table 2: South Korea – Key Economic and Social Indicators</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3200"/>
        <w:gridCol w:w="1800"/>
        <w:gridCol w:w="1800"/>
        <w:gridCol w:w="2200"/>
      </w:tblGrid>
      <w:tr w:rsidR="00612205" w:rsidRPr="00CB2A4A" w14:paraId="2CB0677E" w14:textId="77777777">
        <w:trPr>
          <w:tblHeader/>
        </w:trPr>
        <w:tc>
          <w:tcPr>
            <w:tcW w:w="3200" w:type="dxa"/>
            <w:tcBorders>
              <w:top w:val="single" w:sz="1" w:space="0" w:color="1B2A4A"/>
              <w:left w:val="single" w:sz="1" w:space="0" w:color="1B2A4A"/>
              <w:bottom w:val="single" w:sz="1" w:space="0" w:color="1B2A4A"/>
              <w:right w:val="single" w:sz="1" w:space="0" w:color="1B2A4A"/>
            </w:tcBorders>
            <w:shd w:val="clear" w:color="auto" w:fill="1B2A4A"/>
            <w:vAlign w:val="center"/>
          </w:tcPr>
          <w:p w14:paraId="36C6DE73" w14:textId="77777777" w:rsidR="00612205" w:rsidRPr="00CB2A4A" w:rsidRDefault="0023584E" w:rsidP="00376D75">
            <w:pPr>
              <w:spacing w:before="50" w:after="50" w:line="360" w:lineRule="auto"/>
              <w:jc w:val="center"/>
              <w:rPr>
                <w:rFonts w:ascii="Arial" w:hAnsi="Arial" w:cs="Arial"/>
              </w:rPr>
            </w:pPr>
            <w:r w:rsidRPr="00CB2A4A">
              <w:rPr>
                <w:rFonts w:ascii="Arial" w:eastAsia="Arial" w:hAnsi="Arial" w:cs="Arial"/>
                <w:b/>
                <w:bCs/>
                <w:color w:val="FFFFFF"/>
                <w:sz w:val="19"/>
                <w:szCs w:val="19"/>
              </w:rPr>
              <w:t>Indicator</w:t>
            </w:r>
          </w:p>
        </w:tc>
        <w:tc>
          <w:tcPr>
            <w:tcW w:w="1800" w:type="dxa"/>
            <w:tcBorders>
              <w:top w:val="single" w:sz="1" w:space="0" w:color="1B2A4A"/>
              <w:left w:val="single" w:sz="1" w:space="0" w:color="1B2A4A"/>
              <w:bottom w:val="single" w:sz="1" w:space="0" w:color="1B2A4A"/>
              <w:right w:val="single" w:sz="1" w:space="0" w:color="1B2A4A"/>
            </w:tcBorders>
            <w:shd w:val="clear" w:color="auto" w:fill="1B2A4A"/>
            <w:vAlign w:val="center"/>
          </w:tcPr>
          <w:p w14:paraId="0650B660" w14:textId="77777777" w:rsidR="00612205" w:rsidRPr="00CB2A4A" w:rsidRDefault="0023584E" w:rsidP="00376D75">
            <w:pPr>
              <w:spacing w:before="50" w:after="50" w:line="360" w:lineRule="auto"/>
              <w:jc w:val="center"/>
              <w:rPr>
                <w:rFonts w:ascii="Arial" w:hAnsi="Arial" w:cs="Arial"/>
              </w:rPr>
            </w:pPr>
            <w:r w:rsidRPr="00CB2A4A">
              <w:rPr>
                <w:rFonts w:ascii="Arial" w:eastAsia="Arial" w:hAnsi="Arial" w:cs="Arial"/>
                <w:b/>
                <w:bCs/>
                <w:color w:val="FFFFFF"/>
                <w:sz w:val="19"/>
                <w:szCs w:val="19"/>
              </w:rPr>
              <w:t>South Korea</w:t>
            </w:r>
          </w:p>
        </w:tc>
        <w:tc>
          <w:tcPr>
            <w:tcW w:w="1800" w:type="dxa"/>
            <w:tcBorders>
              <w:top w:val="single" w:sz="1" w:space="0" w:color="1B2A4A"/>
              <w:left w:val="single" w:sz="1" w:space="0" w:color="1B2A4A"/>
              <w:bottom w:val="single" w:sz="1" w:space="0" w:color="1B2A4A"/>
              <w:right w:val="single" w:sz="1" w:space="0" w:color="1B2A4A"/>
            </w:tcBorders>
            <w:shd w:val="clear" w:color="auto" w:fill="1B2A4A"/>
            <w:vAlign w:val="center"/>
          </w:tcPr>
          <w:p w14:paraId="6171371F" w14:textId="77777777" w:rsidR="00612205" w:rsidRPr="00CB2A4A" w:rsidRDefault="0023584E" w:rsidP="00376D75">
            <w:pPr>
              <w:spacing w:before="50" w:after="50" w:line="360" w:lineRule="auto"/>
              <w:jc w:val="center"/>
              <w:rPr>
                <w:rFonts w:ascii="Arial" w:hAnsi="Arial" w:cs="Arial"/>
              </w:rPr>
            </w:pPr>
            <w:r w:rsidRPr="00CB2A4A">
              <w:rPr>
                <w:rFonts w:ascii="Arial" w:eastAsia="Arial" w:hAnsi="Arial" w:cs="Arial"/>
                <w:b/>
                <w:bCs/>
                <w:color w:val="FFFFFF"/>
                <w:sz w:val="19"/>
                <w:szCs w:val="19"/>
              </w:rPr>
              <w:t>OECD Average</w:t>
            </w:r>
          </w:p>
        </w:tc>
        <w:tc>
          <w:tcPr>
            <w:tcW w:w="2200" w:type="dxa"/>
            <w:tcBorders>
              <w:top w:val="single" w:sz="1" w:space="0" w:color="1B2A4A"/>
              <w:left w:val="single" w:sz="1" w:space="0" w:color="1B2A4A"/>
              <w:bottom w:val="single" w:sz="1" w:space="0" w:color="1B2A4A"/>
              <w:right w:val="single" w:sz="1" w:space="0" w:color="1B2A4A"/>
            </w:tcBorders>
            <w:shd w:val="clear" w:color="auto" w:fill="1B2A4A"/>
            <w:vAlign w:val="center"/>
          </w:tcPr>
          <w:p w14:paraId="4F5C8D95" w14:textId="77777777" w:rsidR="00612205" w:rsidRPr="00CB2A4A" w:rsidRDefault="0023584E" w:rsidP="00376D75">
            <w:pPr>
              <w:spacing w:before="50" w:after="50" w:line="360" w:lineRule="auto"/>
              <w:jc w:val="center"/>
              <w:rPr>
                <w:rFonts w:ascii="Arial" w:hAnsi="Arial" w:cs="Arial"/>
              </w:rPr>
            </w:pPr>
            <w:r w:rsidRPr="00CB2A4A">
              <w:rPr>
                <w:rFonts w:ascii="Arial" w:eastAsia="Arial" w:hAnsi="Arial" w:cs="Arial"/>
                <w:b/>
                <w:bCs/>
                <w:color w:val="FFFFFF"/>
                <w:sz w:val="19"/>
                <w:szCs w:val="19"/>
              </w:rPr>
              <w:t>Source</w:t>
            </w:r>
          </w:p>
        </w:tc>
      </w:tr>
      <w:tr w:rsidR="00612205" w:rsidRPr="00CB2A4A" w14:paraId="37A53CF2" w14:textId="77777777">
        <w:tc>
          <w:tcPr>
            <w:tcW w:w="3200" w:type="dxa"/>
            <w:tcBorders>
              <w:top w:val="single" w:sz="1" w:space="0" w:color="D0D5DD"/>
              <w:left w:val="single" w:sz="1" w:space="0" w:color="D0D5DD"/>
              <w:bottom w:val="single" w:sz="1" w:space="0" w:color="D0D5DD"/>
              <w:right w:val="single" w:sz="1" w:space="0" w:color="D0D5DD"/>
            </w:tcBorders>
            <w:vAlign w:val="center"/>
          </w:tcPr>
          <w:p w14:paraId="067F28DD"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GDP (current USD bn, 2022)</w:t>
            </w:r>
          </w:p>
        </w:tc>
        <w:tc>
          <w:tcPr>
            <w:tcW w:w="1800" w:type="dxa"/>
            <w:tcBorders>
              <w:top w:val="single" w:sz="1" w:space="0" w:color="D0D5DD"/>
              <w:left w:val="single" w:sz="1" w:space="0" w:color="D0D5DD"/>
              <w:bottom w:val="single" w:sz="1" w:space="0" w:color="D0D5DD"/>
              <w:right w:val="single" w:sz="1" w:space="0" w:color="D0D5DD"/>
            </w:tcBorders>
            <w:vAlign w:val="center"/>
          </w:tcPr>
          <w:p w14:paraId="574F62D3"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1,830.7</w:t>
            </w:r>
          </w:p>
        </w:tc>
        <w:tc>
          <w:tcPr>
            <w:tcW w:w="1800" w:type="dxa"/>
            <w:tcBorders>
              <w:top w:val="single" w:sz="1" w:space="0" w:color="D0D5DD"/>
              <w:left w:val="single" w:sz="1" w:space="0" w:color="D0D5DD"/>
              <w:bottom w:val="single" w:sz="1" w:space="0" w:color="D0D5DD"/>
              <w:right w:val="single" w:sz="1" w:space="0" w:color="D0D5DD"/>
            </w:tcBorders>
            <w:vAlign w:val="center"/>
          </w:tcPr>
          <w:p w14:paraId="1B8F2FDE"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w:t>
            </w:r>
          </w:p>
        </w:tc>
        <w:tc>
          <w:tcPr>
            <w:tcW w:w="2200" w:type="dxa"/>
            <w:tcBorders>
              <w:top w:val="single" w:sz="1" w:space="0" w:color="D0D5DD"/>
              <w:left w:val="single" w:sz="1" w:space="0" w:color="D0D5DD"/>
              <w:bottom w:val="single" w:sz="1" w:space="0" w:color="D0D5DD"/>
              <w:right w:val="single" w:sz="1" w:space="0" w:color="D0D5DD"/>
            </w:tcBorders>
            <w:vAlign w:val="center"/>
          </w:tcPr>
          <w:p w14:paraId="5F2C0ABF"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OECD (2024)</w:t>
            </w:r>
          </w:p>
        </w:tc>
      </w:tr>
      <w:tr w:rsidR="00612205" w:rsidRPr="00CB2A4A" w14:paraId="20625D9A" w14:textId="77777777">
        <w:tc>
          <w:tcPr>
            <w:tcW w:w="32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591FD78B"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GDP Per Capita (USD PPP, 000)</w:t>
            </w:r>
          </w:p>
        </w:tc>
        <w:tc>
          <w:tcPr>
            <w:tcW w:w="18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359CE236"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55.5</w:t>
            </w:r>
          </w:p>
        </w:tc>
        <w:tc>
          <w:tcPr>
            <w:tcW w:w="18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5E9F0EFA"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56.0</w:t>
            </w:r>
          </w:p>
        </w:tc>
        <w:tc>
          <w:tcPr>
            <w:tcW w:w="22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170E731A"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OECD (2024)</w:t>
            </w:r>
          </w:p>
        </w:tc>
      </w:tr>
      <w:tr w:rsidR="00612205" w:rsidRPr="00CB2A4A" w14:paraId="4D72CC2C" w14:textId="77777777">
        <w:tc>
          <w:tcPr>
            <w:tcW w:w="3200" w:type="dxa"/>
            <w:tcBorders>
              <w:top w:val="single" w:sz="1" w:space="0" w:color="D0D5DD"/>
              <w:left w:val="single" w:sz="1" w:space="0" w:color="D0D5DD"/>
              <w:bottom w:val="single" w:sz="1" w:space="0" w:color="D0D5DD"/>
              <w:right w:val="single" w:sz="1" w:space="0" w:color="D0D5DD"/>
            </w:tcBorders>
            <w:vAlign w:val="center"/>
          </w:tcPr>
          <w:p w14:paraId="78AD966A"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Real GDP Growth 2023 (%)</w:t>
            </w:r>
          </w:p>
        </w:tc>
        <w:tc>
          <w:tcPr>
            <w:tcW w:w="1800" w:type="dxa"/>
            <w:tcBorders>
              <w:top w:val="single" w:sz="1" w:space="0" w:color="D0D5DD"/>
              <w:left w:val="single" w:sz="1" w:space="0" w:color="D0D5DD"/>
              <w:bottom w:val="single" w:sz="1" w:space="0" w:color="D0D5DD"/>
              <w:right w:val="single" w:sz="1" w:space="0" w:color="D0D5DD"/>
            </w:tcBorders>
            <w:vAlign w:val="center"/>
          </w:tcPr>
          <w:p w14:paraId="36704690"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1.4</w:t>
            </w:r>
          </w:p>
        </w:tc>
        <w:tc>
          <w:tcPr>
            <w:tcW w:w="1800" w:type="dxa"/>
            <w:tcBorders>
              <w:top w:val="single" w:sz="1" w:space="0" w:color="D0D5DD"/>
              <w:left w:val="single" w:sz="1" w:space="0" w:color="D0D5DD"/>
              <w:bottom w:val="single" w:sz="1" w:space="0" w:color="D0D5DD"/>
              <w:right w:val="single" w:sz="1" w:space="0" w:color="D0D5DD"/>
            </w:tcBorders>
            <w:vAlign w:val="center"/>
          </w:tcPr>
          <w:p w14:paraId="0C4FC514"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w:t>
            </w:r>
          </w:p>
        </w:tc>
        <w:tc>
          <w:tcPr>
            <w:tcW w:w="2200" w:type="dxa"/>
            <w:tcBorders>
              <w:top w:val="single" w:sz="1" w:space="0" w:color="D0D5DD"/>
              <w:left w:val="single" w:sz="1" w:space="0" w:color="D0D5DD"/>
              <w:bottom w:val="single" w:sz="1" w:space="0" w:color="D0D5DD"/>
              <w:right w:val="single" w:sz="1" w:space="0" w:color="D0D5DD"/>
            </w:tcBorders>
            <w:vAlign w:val="center"/>
          </w:tcPr>
          <w:p w14:paraId="6B483DAB"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OECD Outlook 115</w:t>
            </w:r>
          </w:p>
        </w:tc>
      </w:tr>
      <w:tr w:rsidR="00612205" w:rsidRPr="00CB2A4A" w14:paraId="0BB210A9" w14:textId="77777777">
        <w:tc>
          <w:tcPr>
            <w:tcW w:w="32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480F81FC"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Real GDP Growth 2024e (%)</w:t>
            </w:r>
          </w:p>
        </w:tc>
        <w:tc>
          <w:tcPr>
            <w:tcW w:w="18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15FA7DC3"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2.6</w:t>
            </w:r>
          </w:p>
        </w:tc>
        <w:tc>
          <w:tcPr>
            <w:tcW w:w="18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45B753D1"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w:t>
            </w:r>
          </w:p>
        </w:tc>
        <w:tc>
          <w:tcPr>
            <w:tcW w:w="22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251758B0"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OECD Outlook 115</w:t>
            </w:r>
          </w:p>
        </w:tc>
      </w:tr>
      <w:tr w:rsidR="00612205" w:rsidRPr="00CB2A4A" w14:paraId="6994A9A9" w14:textId="77777777">
        <w:tc>
          <w:tcPr>
            <w:tcW w:w="3200" w:type="dxa"/>
            <w:tcBorders>
              <w:top w:val="single" w:sz="1" w:space="0" w:color="D0D5DD"/>
              <w:left w:val="single" w:sz="1" w:space="0" w:color="D0D5DD"/>
              <w:bottom w:val="single" w:sz="1" w:space="0" w:color="D0D5DD"/>
              <w:right w:val="single" w:sz="1" w:space="0" w:color="D0D5DD"/>
            </w:tcBorders>
            <w:vAlign w:val="center"/>
          </w:tcPr>
          <w:p w14:paraId="4935EA20"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Real GDP Growth 2025p (%)</w:t>
            </w:r>
          </w:p>
        </w:tc>
        <w:tc>
          <w:tcPr>
            <w:tcW w:w="1800" w:type="dxa"/>
            <w:tcBorders>
              <w:top w:val="single" w:sz="1" w:space="0" w:color="D0D5DD"/>
              <w:left w:val="single" w:sz="1" w:space="0" w:color="D0D5DD"/>
              <w:bottom w:val="single" w:sz="1" w:space="0" w:color="D0D5DD"/>
              <w:right w:val="single" w:sz="1" w:space="0" w:color="D0D5DD"/>
            </w:tcBorders>
            <w:vAlign w:val="center"/>
          </w:tcPr>
          <w:p w14:paraId="3463B973"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2.2</w:t>
            </w:r>
          </w:p>
        </w:tc>
        <w:tc>
          <w:tcPr>
            <w:tcW w:w="1800" w:type="dxa"/>
            <w:tcBorders>
              <w:top w:val="single" w:sz="1" w:space="0" w:color="D0D5DD"/>
              <w:left w:val="single" w:sz="1" w:space="0" w:color="D0D5DD"/>
              <w:bottom w:val="single" w:sz="1" w:space="0" w:color="D0D5DD"/>
              <w:right w:val="single" w:sz="1" w:space="0" w:color="D0D5DD"/>
            </w:tcBorders>
            <w:vAlign w:val="center"/>
          </w:tcPr>
          <w:p w14:paraId="70CE32DD"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w:t>
            </w:r>
          </w:p>
        </w:tc>
        <w:tc>
          <w:tcPr>
            <w:tcW w:w="2200" w:type="dxa"/>
            <w:tcBorders>
              <w:top w:val="single" w:sz="1" w:space="0" w:color="D0D5DD"/>
              <w:left w:val="single" w:sz="1" w:space="0" w:color="D0D5DD"/>
              <w:bottom w:val="single" w:sz="1" w:space="0" w:color="D0D5DD"/>
              <w:right w:val="single" w:sz="1" w:space="0" w:color="D0D5DD"/>
            </w:tcBorders>
            <w:vAlign w:val="center"/>
          </w:tcPr>
          <w:p w14:paraId="31822A11"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OECD Outlook 115</w:t>
            </w:r>
          </w:p>
        </w:tc>
      </w:tr>
      <w:tr w:rsidR="00612205" w:rsidRPr="00CB2A4A" w14:paraId="36E030BA" w14:textId="77777777">
        <w:tc>
          <w:tcPr>
            <w:tcW w:w="32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073DB049"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Unemployment Rate (%)</w:t>
            </w:r>
          </w:p>
        </w:tc>
        <w:tc>
          <w:tcPr>
            <w:tcW w:w="18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64A0859B"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2.9</w:t>
            </w:r>
          </w:p>
        </w:tc>
        <w:tc>
          <w:tcPr>
            <w:tcW w:w="18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7D328823"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5.0</w:t>
            </w:r>
          </w:p>
        </w:tc>
        <w:tc>
          <w:tcPr>
            <w:tcW w:w="22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169D9816"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OECD (2024)</w:t>
            </w:r>
          </w:p>
        </w:tc>
      </w:tr>
      <w:tr w:rsidR="00612205" w:rsidRPr="00CB2A4A" w14:paraId="0B47E986" w14:textId="77777777">
        <w:tc>
          <w:tcPr>
            <w:tcW w:w="3200" w:type="dxa"/>
            <w:tcBorders>
              <w:top w:val="single" w:sz="1" w:space="0" w:color="D0D5DD"/>
              <w:left w:val="single" w:sz="1" w:space="0" w:color="D0D5DD"/>
              <w:bottom w:val="single" w:sz="1" w:space="0" w:color="D0D5DD"/>
              <w:right w:val="single" w:sz="1" w:space="0" w:color="D0D5DD"/>
            </w:tcBorders>
            <w:vAlign w:val="center"/>
          </w:tcPr>
          <w:p w14:paraId="51BA13E7"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Tertiary Education 25-64 (%)</w:t>
            </w:r>
          </w:p>
        </w:tc>
        <w:tc>
          <w:tcPr>
            <w:tcW w:w="1800" w:type="dxa"/>
            <w:tcBorders>
              <w:top w:val="single" w:sz="1" w:space="0" w:color="D0D5DD"/>
              <w:left w:val="single" w:sz="1" w:space="0" w:color="D0D5DD"/>
              <w:bottom w:val="single" w:sz="1" w:space="0" w:color="D0D5DD"/>
              <w:right w:val="single" w:sz="1" w:space="0" w:color="D0D5DD"/>
            </w:tcBorders>
            <w:vAlign w:val="center"/>
          </w:tcPr>
          <w:p w14:paraId="6A9A77EE"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52.8</w:t>
            </w:r>
          </w:p>
        </w:tc>
        <w:tc>
          <w:tcPr>
            <w:tcW w:w="1800" w:type="dxa"/>
            <w:tcBorders>
              <w:top w:val="single" w:sz="1" w:space="0" w:color="D0D5DD"/>
              <w:left w:val="single" w:sz="1" w:space="0" w:color="D0D5DD"/>
              <w:bottom w:val="single" w:sz="1" w:space="0" w:color="D0D5DD"/>
              <w:right w:val="single" w:sz="1" w:space="0" w:color="D0D5DD"/>
            </w:tcBorders>
            <w:vAlign w:val="center"/>
          </w:tcPr>
          <w:p w14:paraId="42F7DEB2"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40.7</w:t>
            </w:r>
          </w:p>
        </w:tc>
        <w:tc>
          <w:tcPr>
            <w:tcW w:w="2200" w:type="dxa"/>
            <w:tcBorders>
              <w:top w:val="single" w:sz="1" w:space="0" w:color="D0D5DD"/>
              <w:left w:val="single" w:sz="1" w:space="0" w:color="D0D5DD"/>
              <w:bottom w:val="single" w:sz="1" w:space="0" w:color="D0D5DD"/>
              <w:right w:val="single" w:sz="1" w:space="0" w:color="D0D5DD"/>
            </w:tcBorders>
            <w:vAlign w:val="center"/>
          </w:tcPr>
          <w:p w14:paraId="3A272875"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OECD (2024)</w:t>
            </w:r>
          </w:p>
        </w:tc>
      </w:tr>
      <w:tr w:rsidR="00612205" w:rsidRPr="00CB2A4A" w14:paraId="2273A881" w14:textId="77777777">
        <w:tc>
          <w:tcPr>
            <w:tcW w:w="32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60D66510"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lastRenderedPageBreak/>
              <w:t>Govt Gross Debt (% of GDP)</w:t>
            </w:r>
          </w:p>
        </w:tc>
        <w:tc>
          <w:tcPr>
            <w:tcW w:w="18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1BEFF72C"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47.6</w:t>
            </w:r>
          </w:p>
        </w:tc>
        <w:tc>
          <w:tcPr>
            <w:tcW w:w="18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5FEA1D16"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113.2</w:t>
            </w:r>
          </w:p>
        </w:tc>
        <w:tc>
          <w:tcPr>
            <w:tcW w:w="22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336AC77C"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OECD (2024)</w:t>
            </w:r>
          </w:p>
        </w:tc>
      </w:tr>
      <w:tr w:rsidR="00612205" w:rsidRPr="00CB2A4A" w14:paraId="1D9F34DE" w14:textId="77777777">
        <w:tc>
          <w:tcPr>
            <w:tcW w:w="3200" w:type="dxa"/>
            <w:tcBorders>
              <w:top w:val="single" w:sz="1" w:space="0" w:color="D0D5DD"/>
              <w:left w:val="single" w:sz="1" w:space="0" w:color="D0D5DD"/>
              <w:bottom w:val="single" w:sz="1" w:space="0" w:color="D0D5DD"/>
              <w:right w:val="single" w:sz="1" w:space="0" w:color="D0D5DD"/>
            </w:tcBorders>
            <w:vAlign w:val="center"/>
          </w:tcPr>
          <w:p w14:paraId="4A142924"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FDI Pledges 2023 (USD bn)</w:t>
            </w:r>
          </w:p>
        </w:tc>
        <w:tc>
          <w:tcPr>
            <w:tcW w:w="1800" w:type="dxa"/>
            <w:tcBorders>
              <w:top w:val="single" w:sz="1" w:space="0" w:color="D0D5DD"/>
              <w:left w:val="single" w:sz="1" w:space="0" w:color="D0D5DD"/>
              <w:bottom w:val="single" w:sz="1" w:space="0" w:color="D0D5DD"/>
              <w:right w:val="single" w:sz="1" w:space="0" w:color="D0D5DD"/>
            </w:tcBorders>
            <w:vAlign w:val="center"/>
          </w:tcPr>
          <w:p w14:paraId="027B2079"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32.7</w:t>
            </w:r>
          </w:p>
        </w:tc>
        <w:tc>
          <w:tcPr>
            <w:tcW w:w="1800" w:type="dxa"/>
            <w:tcBorders>
              <w:top w:val="single" w:sz="1" w:space="0" w:color="D0D5DD"/>
              <w:left w:val="single" w:sz="1" w:space="0" w:color="D0D5DD"/>
              <w:bottom w:val="single" w:sz="1" w:space="0" w:color="D0D5DD"/>
              <w:right w:val="single" w:sz="1" w:space="0" w:color="D0D5DD"/>
            </w:tcBorders>
            <w:vAlign w:val="center"/>
          </w:tcPr>
          <w:p w14:paraId="489985FE"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w:t>
            </w:r>
          </w:p>
        </w:tc>
        <w:tc>
          <w:tcPr>
            <w:tcW w:w="2200" w:type="dxa"/>
            <w:tcBorders>
              <w:top w:val="single" w:sz="1" w:space="0" w:color="D0D5DD"/>
              <w:left w:val="single" w:sz="1" w:space="0" w:color="D0D5DD"/>
              <w:bottom w:val="single" w:sz="1" w:space="0" w:color="D0D5DD"/>
              <w:right w:val="single" w:sz="1" w:space="0" w:color="D0D5DD"/>
            </w:tcBorders>
            <w:vAlign w:val="center"/>
          </w:tcPr>
          <w:p w14:paraId="44B6386B"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MOTIE (2024)</w:t>
            </w:r>
          </w:p>
        </w:tc>
      </w:tr>
      <w:tr w:rsidR="00612205" w:rsidRPr="00CB2A4A" w14:paraId="35B4FEB0" w14:textId="77777777">
        <w:tc>
          <w:tcPr>
            <w:tcW w:w="32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7FBBF3DF"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Freedom House Score</w:t>
            </w:r>
          </w:p>
        </w:tc>
        <w:tc>
          <w:tcPr>
            <w:tcW w:w="18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6887C04C"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83/100 (Free)</w:t>
            </w:r>
          </w:p>
        </w:tc>
        <w:tc>
          <w:tcPr>
            <w:tcW w:w="18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3AE9216A"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w:t>
            </w:r>
          </w:p>
        </w:tc>
        <w:tc>
          <w:tcPr>
            <w:tcW w:w="22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1CB3B860"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Freedom House (2025)</w:t>
            </w:r>
          </w:p>
        </w:tc>
      </w:tr>
      <w:tr w:rsidR="00612205" w:rsidRPr="00CB2A4A" w14:paraId="656E19D1" w14:textId="77777777">
        <w:tc>
          <w:tcPr>
            <w:tcW w:w="3200" w:type="dxa"/>
            <w:tcBorders>
              <w:top w:val="single" w:sz="1" w:space="0" w:color="D0D5DD"/>
              <w:left w:val="single" w:sz="1" w:space="0" w:color="D0D5DD"/>
              <w:bottom w:val="single" w:sz="1" w:space="0" w:color="D0D5DD"/>
              <w:right w:val="single" w:sz="1" w:space="0" w:color="D0D5DD"/>
            </w:tcBorders>
            <w:vAlign w:val="center"/>
          </w:tcPr>
          <w:p w14:paraId="7B9B682C"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Apparel Market Size (USD bn, 2025e)</w:t>
            </w:r>
          </w:p>
        </w:tc>
        <w:tc>
          <w:tcPr>
            <w:tcW w:w="1800" w:type="dxa"/>
            <w:tcBorders>
              <w:top w:val="single" w:sz="1" w:space="0" w:color="D0D5DD"/>
              <w:left w:val="single" w:sz="1" w:space="0" w:color="D0D5DD"/>
              <w:bottom w:val="single" w:sz="1" w:space="0" w:color="D0D5DD"/>
              <w:right w:val="single" w:sz="1" w:space="0" w:color="D0D5DD"/>
            </w:tcBorders>
            <w:vAlign w:val="center"/>
          </w:tcPr>
          <w:p w14:paraId="13F84FB5"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~30.65</w:t>
            </w:r>
          </w:p>
        </w:tc>
        <w:tc>
          <w:tcPr>
            <w:tcW w:w="1800" w:type="dxa"/>
            <w:tcBorders>
              <w:top w:val="single" w:sz="1" w:space="0" w:color="D0D5DD"/>
              <w:left w:val="single" w:sz="1" w:space="0" w:color="D0D5DD"/>
              <w:bottom w:val="single" w:sz="1" w:space="0" w:color="D0D5DD"/>
              <w:right w:val="single" w:sz="1" w:space="0" w:color="D0D5DD"/>
            </w:tcBorders>
            <w:vAlign w:val="center"/>
          </w:tcPr>
          <w:p w14:paraId="38167FA3"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w:t>
            </w:r>
          </w:p>
        </w:tc>
        <w:tc>
          <w:tcPr>
            <w:tcW w:w="2200" w:type="dxa"/>
            <w:tcBorders>
              <w:top w:val="single" w:sz="1" w:space="0" w:color="D0D5DD"/>
              <w:left w:val="single" w:sz="1" w:space="0" w:color="D0D5DD"/>
              <w:bottom w:val="single" w:sz="1" w:space="0" w:color="D0D5DD"/>
              <w:right w:val="single" w:sz="1" w:space="0" w:color="D0D5DD"/>
            </w:tcBorders>
            <w:vAlign w:val="center"/>
          </w:tcPr>
          <w:p w14:paraId="522B627C"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Expert Market Research (2025)</w:t>
            </w:r>
          </w:p>
        </w:tc>
      </w:tr>
      <w:tr w:rsidR="00612205" w:rsidRPr="00CB2A4A" w14:paraId="2A51F404" w14:textId="77777777">
        <w:tc>
          <w:tcPr>
            <w:tcW w:w="32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4BE160E9"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Apparel Market CAGR 2025-35</w:t>
            </w:r>
          </w:p>
        </w:tc>
        <w:tc>
          <w:tcPr>
            <w:tcW w:w="18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204F9965"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~3.4%</w:t>
            </w:r>
          </w:p>
        </w:tc>
        <w:tc>
          <w:tcPr>
            <w:tcW w:w="18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28BC8DDC"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w:t>
            </w:r>
          </w:p>
        </w:tc>
        <w:tc>
          <w:tcPr>
            <w:tcW w:w="22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649B066A"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Expert Market Research (2025)</w:t>
            </w:r>
          </w:p>
        </w:tc>
      </w:tr>
    </w:tbl>
    <w:p w14:paraId="250AF953" w14:textId="096203F6" w:rsidR="00612205" w:rsidRPr="00CB2A4A" w:rsidRDefault="0023584E" w:rsidP="00D632BB">
      <w:pPr>
        <w:spacing w:before="40" w:after="240" w:line="360" w:lineRule="auto"/>
        <w:jc w:val="center"/>
        <w:rPr>
          <w:rFonts w:ascii="Arial" w:hAnsi="Arial" w:cs="Arial"/>
          <w:sz w:val="28"/>
          <w:szCs w:val="28"/>
        </w:rPr>
      </w:pPr>
      <w:r w:rsidRPr="00CB2A4A">
        <w:rPr>
          <w:rFonts w:ascii="Arial" w:hAnsi="Arial" w:cs="Arial"/>
          <w:color w:val="555555"/>
          <w:sz w:val="20"/>
          <w:szCs w:val="20"/>
        </w:rPr>
        <w:t>Source: OECD (2024) Economic Surveys: Korea 2024; OECD Economic Outlook 115; MOTIE (2024); Expert Market Research (2025). Commercial market figures are indicative and vary by provider.</w:t>
      </w:r>
      <w:r w:rsidR="00D632BB" w:rsidRPr="00CB2A4A">
        <w:rPr>
          <w:rFonts w:ascii="Arial" w:hAnsi="Arial" w:cs="Arial"/>
          <w:color w:val="555555"/>
          <w:sz w:val="20"/>
          <w:szCs w:val="20"/>
        </w:rPr>
        <w:t xml:space="preserve"> Created in </w:t>
      </w:r>
      <w:r w:rsidR="00CB07CA">
        <w:rPr>
          <w:rFonts w:ascii="Arial" w:hAnsi="Arial" w:cs="Arial"/>
          <w:color w:val="555555"/>
          <w:sz w:val="20"/>
          <w:szCs w:val="20"/>
        </w:rPr>
        <w:t>Excel</w:t>
      </w:r>
      <w:r w:rsidR="00D632BB" w:rsidRPr="00CB2A4A">
        <w:rPr>
          <w:rFonts w:ascii="Arial" w:hAnsi="Arial" w:cs="Arial"/>
          <w:color w:val="555555"/>
          <w:sz w:val="20"/>
          <w:szCs w:val="20"/>
        </w:rPr>
        <w:t>.</w:t>
      </w:r>
    </w:p>
    <w:p w14:paraId="6B369192" w14:textId="77777777" w:rsidR="00CC6A6E" w:rsidRPr="00CB2A4A" w:rsidRDefault="00CC6A6E" w:rsidP="00747BFD">
      <w:pPr>
        <w:spacing w:before="160" w:after="80" w:line="360" w:lineRule="auto"/>
        <w:jc w:val="both"/>
        <w:rPr>
          <w:rFonts w:ascii="Arial" w:hAnsi="Arial" w:cs="Arial"/>
          <w:noProof/>
        </w:rPr>
      </w:pPr>
    </w:p>
    <w:p w14:paraId="310B9DA6" w14:textId="199B05B4" w:rsidR="00612205" w:rsidRPr="00CB2A4A" w:rsidRDefault="0023584E" w:rsidP="00747BFD">
      <w:pPr>
        <w:spacing w:before="160" w:after="80" w:line="360" w:lineRule="auto"/>
        <w:jc w:val="both"/>
        <w:rPr>
          <w:rFonts w:ascii="Arial" w:hAnsi="Arial" w:cs="Arial"/>
        </w:rPr>
      </w:pPr>
      <w:r w:rsidRPr="00CB2A4A">
        <w:rPr>
          <w:rFonts w:ascii="Arial" w:hAnsi="Arial" w:cs="Arial"/>
          <w:noProof/>
        </w:rPr>
        <w:drawing>
          <wp:inline distT="0" distB="0" distL="0" distR="0" wp14:anchorId="184CA842" wp14:editId="533B00D0">
            <wp:extent cx="5524500" cy="2884170"/>
            <wp:effectExtent l="0" t="0" r="0" b="0"/>
            <wp:docPr id="832608046" name="Picture 8326080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0"/>
                    <a:srcRect t="8242"/>
                    <a:stretch>
                      <a:fillRect/>
                    </a:stretch>
                  </pic:blipFill>
                  <pic:spPr bwMode="auto">
                    <a:xfrm>
                      <a:off x="0" y="0"/>
                      <a:ext cx="5524500" cy="2884170"/>
                    </a:xfrm>
                    <a:prstGeom prst="rect">
                      <a:avLst/>
                    </a:prstGeom>
                    <a:ln>
                      <a:noFill/>
                    </a:ln>
                    <a:extLst>
                      <a:ext uri="{53640926-AAD7-44D8-BBD7-CCE9431645EC}">
                        <a14:shadowObscured xmlns:a14="http://schemas.microsoft.com/office/drawing/2010/main"/>
                      </a:ext>
                    </a:extLst>
                  </pic:spPr>
                </pic:pic>
              </a:graphicData>
            </a:graphic>
          </wp:inline>
        </w:drawing>
      </w:r>
    </w:p>
    <w:p w14:paraId="60B372AF" w14:textId="22629284" w:rsidR="00CC6A6E" w:rsidRPr="00CB2A4A" w:rsidRDefault="00CC6A6E" w:rsidP="00376D75">
      <w:pPr>
        <w:spacing w:before="160" w:after="80" w:line="360" w:lineRule="auto"/>
        <w:jc w:val="center"/>
        <w:rPr>
          <w:rFonts w:ascii="Arial" w:hAnsi="Arial" w:cs="Arial"/>
          <w:sz w:val="20"/>
          <w:szCs w:val="20"/>
        </w:rPr>
      </w:pPr>
      <w:r w:rsidRPr="00CB2A4A">
        <w:rPr>
          <w:rFonts w:ascii="Arial" w:hAnsi="Arial" w:cs="Arial"/>
          <w:sz w:val="20"/>
          <w:szCs w:val="20"/>
        </w:rPr>
        <w:t>Figure 2: South Korea Real GDP Growth (2018-2025)</w:t>
      </w:r>
      <w:r w:rsidR="00376D75" w:rsidRPr="00CB2A4A">
        <w:rPr>
          <w:rFonts w:ascii="Arial" w:hAnsi="Arial" w:cs="Arial"/>
          <w:sz w:val="20"/>
          <w:szCs w:val="20"/>
        </w:rPr>
        <w:t xml:space="preserve">. </w:t>
      </w:r>
      <w:r w:rsidR="00376D75" w:rsidRPr="00CB2A4A">
        <w:rPr>
          <w:rFonts w:ascii="Arial" w:hAnsi="Arial" w:cs="Arial"/>
          <w:color w:val="555555"/>
          <w:sz w:val="20"/>
          <w:szCs w:val="20"/>
        </w:rPr>
        <w:t xml:space="preserve">Created in </w:t>
      </w:r>
      <w:r w:rsidR="00436E21">
        <w:rPr>
          <w:rFonts w:ascii="Arial" w:hAnsi="Arial" w:cs="Arial"/>
          <w:color w:val="555555"/>
          <w:sz w:val="20"/>
          <w:szCs w:val="20"/>
        </w:rPr>
        <w:t>Excel</w:t>
      </w:r>
      <w:r w:rsidR="00376D75" w:rsidRPr="00CB2A4A">
        <w:rPr>
          <w:rFonts w:ascii="Arial" w:hAnsi="Arial" w:cs="Arial"/>
          <w:color w:val="555555"/>
          <w:sz w:val="20"/>
          <w:szCs w:val="20"/>
        </w:rPr>
        <w:t>.</w:t>
      </w:r>
    </w:p>
    <w:p w14:paraId="2FE36732" w14:textId="11C84E59" w:rsidR="00376D75" w:rsidRPr="00CB2A4A" w:rsidRDefault="00CC6A6E" w:rsidP="00747BFD">
      <w:pPr>
        <w:spacing w:before="240" w:after="120" w:line="360" w:lineRule="auto"/>
        <w:jc w:val="both"/>
        <w:rPr>
          <w:rFonts w:ascii="Arial" w:hAnsi="Arial" w:cs="Arial"/>
        </w:rPr>
      </w:pPr>
      <w:r w:rsidRPr="00CB2A4A">
        <w:rPr>
          <w:rFonts w:ascii="Arial" w:hAnsi="Arial" w:cs="Arial"/>
        </w:rPr>
        <w:t xml:space="preserve">As shown in Table 2 and Figure 2, South Korea is a high-income OECD country with a GDP per capita level that is near the OECD average. GDP growth moderated to 1.4% in 2023 but is projected to recover to 2.6% in 2024 (OECD, 2024). Low unemployment (2.9%) and high educational attainment (52.8% tertiary graduates) have been experienced. South Korea's apparel market is projected to be around USD 30.65 billion in 2025, with a forecast of around 3.4% CAGR till 2035; this is critically important for Primark (Expert Market Research, 2025). About 96% of apparel sales are in the non-luxury category (Statista Market Forecast, 2025), indicating significant </w:t>
      </w:r>
      <w:r w:rsidRPr="00CB2A4A">
        <w:rPr>
          <w:rFonts w:ascii="Arial" w:hAnsi="Arial" w:cs="Arial"/>
        </w:rPr>
        <w:lastRenderedPageBreak/>
        <w:t>potential demand for value retailers. However, by 2025, online clothing sales are expected to be around KRW 17.7 trillion, and around 71% of Korean consumers utilize mobile shopping (Korea Fashion Association</w:t>
      </w:r>
      <w:r w:rsidR="00CB07CA">
        <w:rPr>
          <w:rFonts w:ascii="Arial" w:hAnsi="Arial" w:cs="Arial"/>
        </w:rPr>
        <w:t>,</w:t>
      </w:r>
      <w:r w:rsidRPr="00CB2A4A">
        <w:rPr>
          <w:rFonts w:ascii="Arial" w:hAnsi="Arial" w:cs="Arial"/>
        </w:rPr>
        <w:t xml:space="preserve"> 2026, cited by Statista). This is based on commercial market research firms, and exact numbers may differ from firm to firm</w:t>
      </w:r>
      <w:r w:rsidR="00CB07CA">
        <w:rPr>
          <w:rFonts w:ascii="Arial" w:hAnsi="Arial" w:cs="Arial"/>
        </w:rPr>
        <w:t>;</w:t>
      </w:r>
      <w:r w:rsidRPr="00CB2A4A">
        <w:rPr>
          <w:rFonts w:ascii="Arial" w:hAnsi="Arial" w:cs="Arial"/>
        </w:rPr>
        <w:t xml:space="preserve"> this is a methodological limitation. The impact on Primark's economy is not all positive. The rich consumer base shows potential for demand, while GDP per capita shows that South Korean consumers are in an income band </w:t>
      </w:r>
      <w:proofErr w:type="gramStart"/>
      <w:r w:rsidRPr="00CB2A4A">
        <w:rPr>
          <w:rFonts w:ascii="Arial" w:hAnsi="Arial" w:cs="Arial"/>
        </w:rPr>
        <w:t>similar to</w:t>
      </w:r>
      <w:proofErr w:type="gramEnd"/>
      <w:r w:rsidRPr="00CB2A4A">
        <w:rPr>
          <w:rFonts w:ascii="Arial" w:hAnsi="Arial" w:cs="Arial"/>
        </w:rPr>
        <w:t xml:space="preserve"> Primark's established markets in Western Europe, which means that </w:t>
      </w:r>
      <w:r w:rsidR="00CB07CA">
        <w:rPr>
          <w:rFonts w:ascii="Arial" w:hAnsi="Arial" w:cs="Arial"/>
        </w:rPr>
        <w:t>entry-level</w:t>
      </w:r>
      <w:r w:rsidRPr="00CB2A4A">
        <w:rPr>
          <w:rFonts w:ascii="Arial" w:hAnsi="Arial" w:cs="Arial"/>
        </w:rPr>
        <w:t xml:space="preserve"> affordability is not the problem. </w:t>
      </w:r>
      <w:r w:rsidR="00745222" w:rsidRPr="00CB2A4A">
        <w:rPr>
          <w:rFonts w:ascii="Arial" w:hAnsi="Arial" w:cs="Arial"/>
        </w:rPr>
        <w:t>But</w:t>
      </w:r>
      <w:r w:rsidRPr="00CB2A4A">
        <w:rPr>
          <w:rFonts w:ascii="Arial" w:hAnsi="Arial" w:cs="Arial"/>
        </w:rPr>
        <w:t xml:space="preserve"> the cultural demand for brand prestige will not draw consumers by the power of price. High interest rates and low real wage growth have reduced private consumption (OECD, 2024). More importantly, in commercial real estate, it is very expensive to rent in prime business districts like Myeongdong and Gangnam in Seoul, and Primark's high-footfall, high-volume-per-square-metre business model—and the unit economics that rely on this—will have a different cost structure to the UK or continental Europe. A tight labour market with high tertiary education (52.8%) means that retail staffing costs will be significantly higher than those in the countries where Primark sources, which will have a significant impact on the already marginal cost-leadership approach used in retail. There is another layer of currency risk: Primark would have currency exposure in GBP (reporting currency), USD (primary sourcing currency) and KRW (revenue currency), which the OECD (2024) considers to be a medium concern for international retail businesses. The overall economic attractiveness is moderate to high, which is offset by high real estate costs, weak consumption momentum and multi-currency risk.</w:t>
      </w:r>
    </w:p>
    <w:p w14:paraId="1050FC55" w14:textId="086BDD13" w:rsidR="00612205" w:rsidRPr="00CB2A4A" w:rsidRDefault="00CC6A6E" w:rsidP="00747BFD">
      <w:pPr>
        <w:spacing w:before="240" w:after="120" w:line="360" w:lineRule="auto"/>
        <w:jc w:val="both"/>
        <w:rPr>
          <w:rFonts w:ascii="Arial" w:hAnsi="Arial" w:cs="Arial"/>
        </w:rPr>
      </w:pPr>
      <w:r w:rsidRPr="00CB2A4A">
        <w:rPr>
          <w:rFonts w:ascii="Arial" w:hAnsi="Arial" w:cs="Arial"/>
        </w:rPr>
        <w:br/>
      </w:r>
      <w:r w:rsidRPr="00CB2A4A">
        <w:rPr>
          <w:rFonts w:ascii="Arial" w:hAnsi="Arial" w:cs="Arial"/>
        </w:rPr>
        <w:br/>
      </w:r>
      <w:r w:rsidRPr="00CB2A4A">
        <w:rPr>
          <w:rFonts w:ascii="Arial" w:hAnsi="Arial" w:cs="Arial"/>
          <w:b/>
          <w:bCs/>
          <w:color w:val="1B2A4A"/>
        </w:rPr>
        <w:t xml:space="preserve">Socio-Cultural </w:t>
      </w:r>
      <w:r w:rsidR="00D92980">
        <w:rPr>
          <w:rFonts w:ascii="Arial" w:hAnsi="Arial" w:cs="Arial"/>
          <w:b/>
          <w:bCs/>
          <w:color w:val="1B2A4A"/>
        </w:rPr>
        <w:t>Factors</w:t>
      </w:r>
      <w:r w:rsidRPr="00CB2A4A">
        <w:rPr>
          <w:rFonts w:ascii="Arial" w:hAnsi="Arial" w:cs="Arial"/>
          <w:b/>
          <w:bCs/>
          <w:color w:val="1B2A4A"/>
        </w:rPr>
        <w:t xml:space="preserve"> (Most Critical Factor)</w:t>
      </w:r>
    </w:p>
    <w:p w14:paraId="0DED0EDE" w14:textId="3AD42115" w:rsidR="00612205" w:rsidRDefault="00CC6A6E" w:rsidP="00747BFD">
      <w:pPr>
        <w:spacing w:after="140" w:line="360" w:lineRule="auto"/>
        <w:jc w:val="both"/>
        <w:rPr>
          <w:rFonts w:ascii="Arial" w:hAnsi="Arial" w:cs="Arial"/>
        </w:rPr>
      </w:pPr>
      <w:r w:rsidRPr="00CB2A4A">
        <w:rPr>
          <w:rFonts w:ascii="Arial" w:hAnsi="Arial" w:cs="Arial"/>
        </w:rPr>
        <w:t xml:space="preserve">The socio-cultural setting is the most important determinant </w:t>
      </w:r>
      <w:r w:rsidR="00CB07CA">
        <w:rPr>
          <w:rFonts w:ascii="Arial" w:hAnsi="Arial" w:cs="Arial"/>
        </w:rPr>
        <w:t xml:space="preserve">of </w:t>
      </w:r>
      <w:r w:rsidRPr="00CB2A4A">
        <w:rPr>
          <w:rFonts w:ascii="Arial" w:hAnsi="Arial" w:cs="Arial"/>
        </w:rPr>
        <w:t>whether the value proposition of Primark will be successful in South Korea. The population of the country is 51.6 million, highly urbanised</w:t>
      </w:r>
      <w:r w:rsidR="00CB07CA">
        <w:rPr>
          <w:rFonts w:ascii="Arial" w:hAnsi="Arial" w:cs="Arial"/>
        </w:rPr>
        <w:t>,</w:t>
      </w:r>
      <w:r w:rsidRPr="00CB2A4A">
        <w:rPr>
          <w:rFonts w:ascii="Arial" w:hAnsi="Arial" w:cs="Arial"/>
        </w:rPr>
        <w:t xml:space="preserve"> with about half of the population living in the Seoul Capital Area (OECD, 2024). Korean consumers are distinguished by their sense of fashion, inspired by the Korean Wave (Hallyu), K-pop aesthetics and K-drama culture.</w:t>
      </w:r>
    </w:p>
    <w:p w14:paraId="05E72C7B" w14:textId="77777777" w:rsidR="00CA63D9" w:rsidRPr="00CB2A4A" w:rsidRDefault="00CA63D9" w:rsidP="00747BFD">
      <w:pPr>
        <w:spacing w:after="140" w:line="360" w:lineRule="auto"/>
        <w:jc w:val="both"/>
        <w:rPr>
          <w:rFonts w:ascii="Arial" w:hAnsi="Arial" w:cs="Arial"/>
        </w:rPr>
      </w:pPr>
    </w:p>
    <w:p w14:paraId="5A6000C9" w14:textId="77777777" w:rsidR="00612205" w:rsidRPr="00CB2A4A" w:rsidRDefault="0023584E" w:rsidP="00747BFD">
      <w:pPr>
        <w:spacing w:before="280" w:after="100" w:line="360" w:lineRule="auto"/>
        <w:jc w:val="both"/>
        <w:rPr>
          <w:rFonts w:ascii="Arial" w:hAnsi="Arial" w:cs="Arial"/>
        </w:rPr>
      </w:pPr>
      <w:r w:rsidRPr="00CB2A4A">
        <w:rPr>
          <w:rFonts w:ascii="Arial" w:eastAsia="Arial" w:hAnsi="Arial" w:cs="Arial"/>
          <w:b/>
          <w:bCs/>
          <w:color w:val="1B2A4A"/>
          <w:sz w:val="22"/>
          <w:szCs w:val="22"/>
        </w:rPr>
        <w:lastRenderedPageBreak/>
        <w:t>Table 3: Hofstede Cultural Dimensions – United Kingdom vs South Korea</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800"/>
        <w:gridCol w:w="700"/>
        <w:gridCol w:w="900"/>
        <w:gridCol w:w="700"/>
        <w:gridCol w:w="4900"/>
      </w:tblGrid>
      <w:tr w:rsidR="00612205" w:rsidRPr="00CB2A4A" w14:paraId="4CE3ADBF" w14:textId="77777777">
        <w:trPr>
          <w:tblHeader/>
        </w:trPr>
        <w:tc>
          <w:tcPr>
            <w:tcW w:w="1800" w:type="dxa"/>
            <w:tcBorders>
              <w:top w:val="single" w:sz="1" w:space="0" w:color="1B2A4A"/>
              <w:left w:val="single" w:sz="1" w:space="0" w:color="1B2A4A"/>
              <w:bottom w:val="single" w:sz="1" w:space="0" w:color="1B2A4A"/>
              <w:right w:val="single" w:sz="1" w:space="0" w:color="1B2A4A"/>
            </w:tcBorders>
            <w:shd w:val="clear" w:color="auto" w:fill="1B2A4A"/>
            <w:vAlign w:val="center"/>
          </w:tcPr>
          <w:p w14:paraId="300B0A51" w14:textId="77777777" w:rsidR="00612205" w:rsidRPr="00CB2A4A" w:rsidRDefault="0023584E" w:rsidP="00747BFD">
            <w:pPr>
              <w:spacing w:before="50" w:after="50" w:line="360" w:lineRule="auto"/>
              <w:jc w:val="both"/>
              <w:rPr>
                <w:rFonts w:ascii="Arial" w:hAnsi="Arial" w:cs="Arial"/>
              </w:rPr>
            </w:pPr>
            <w:r w:rsidRPr="00CB2A4A">
              <w:rPr>
                <w:rFonts w:ascii="Arial" w:eastAsia="Arial" w:hAnsi="Arial" w:cs="Arial"/>
                <w:b/>
                <w:bCs/>
                <w:color w:val="FFFFFF"/>
                <w:sz w:val="19"/>
                <w:szCs w:val="19"/>
              </w:rPr>
              <w:t>Dimension</w:t>
            </w:r>
          </w:p>
        </w:tc>
        <w:tc>
          <w:tcPr>
            <w:tcW w:w="700" w:type="dxa"/>
            <w:tcBorders>
              <w:top w:val="single" w:sz="1" w:space="0" w:color="1B2A4A"/>
              <w:left w:val="single" w:sz="1" w:space="0" w:color="1B2A4A"/>
              <w:bottom w:val="single" w:sz="1" w:space="0" w:color="1B2A4A"/>
              <w:right w:val="single" w:sz="1" w:space="0" w:color="1B2A4A"/>
            </w:tcBorders>
            <w:shd w:val="clear" w:color="auto" w:fill="1B2A4A"/>
            <w:vAlign w:val="center"/>
          </w:tcPr>
          <w:p w14:paraId="3297A376" w14:textId="77777777" w:rsidR="00612205" w:rsidRPr="00CB2A4A" w:rsidRDefault="0023584E" w:rsidP="00747BFD">
            <w:pPr>
              <w:spacing w:before="50" w:after="50" w:line="360" w:lineRule="auto"/>
              <w:jc w:val="both"/>
              <w:rPr>
                <w:rFonts w:ascii="Arial" w:hAnsi="Arial" w:cs="Arial"/>
              </w:rPr>
            </w:pPr>
            <w:r w:rsidRPr="00CB2A4A">
              <w:rPr>
                <w:rFonts w:ascii="Arial" w:eastAsia="Arial" w:hAnsi="Arial" w:cs="Arial"/>
                <w:b/>
                <w:bCs/>
                <w:color w:val="FFFFFF"/>
                <w:sz w:val="19"/>
                <w:szCs w:val="19"/>
              </w:rPr>
              <w:t>UK</w:t>
            </w:r>
          </w:p>
        </w:tc>
        <w:tc>
          <w:tcPr>
            <w:tcW w:w="900" w:type="dxa"/>
            <w:tcBorders>
              <w:top w:val="single" w:sz="1" w:space="0" w:color="1B2A4A"/>
              <w:left w:val="single" w:sz="1" w:space="0" w:color="1B2A4A"/>
              <w:bottom w:val="single" w:sz="1" w:space="0" w:color="1B2A4A"/>
              <w:right w:val="single" w:sz="1" w:space="0" w:color="1B2A4A"/>
            </w:tcBorders>
            <w:shd w:val="clear" w:color="auto" w:fill="1B2A4A"/>
            <w:vAlign w:val="center"/>
          </w:tcPr>
          <w:p w14:paraId="7E66BE21" w14:textId="77777777" w:rsidR="00612205" w:rsidRPr="00CB2A4A" w:rsidRDefault="0023584E" w:rsidP="00747BFD">
            <w:pPr>
              <w:spacing w:before="50" w:after="50" w:line="360" w:lineRule="auto"/>
              <w:jc w:val="both"/>
              <w:rPr>
                <w:rFonts w:ascii="Arial" w:hAnsi="Arial" w:cs="Arial"/>
              </w:rPr>
            </w:pPr>
            <w:r w:rsidRPr="00CB2A4A">
              <w:rPr>
                <w:rFonts w:ascii="Arial" w:eastAsia="Arial" w:hAnsi="Arial" w:cs="Arial"/>
                <w:b/>
                <w:bCs/>
                <w:color w:val="FFFFFF"/>
                <w:sz w:val="19"/>
                <w:szCs w:val="19"/>
              </w:rPr>
              <w:t>S. Korea</w:t>
            </w:r>
          </w:p>
        </w:tc>
        <w:tc>
          <w:tcPr>
            <w:tcW w:w="700" w:type="dxa"/>
            <w:tcBorders>
              <w:top w:val="single" w:sz="1" w:space="0" w:color="1B2A4A"/>
              <w:left w:val="single" w:sz="1" w:space="0" w:color="1B2A4A"/>
              <w:bottom w:val="single" w:sz="1" w:space="0" w:color="1B2A4A"/>
              <w:right w:val="single" w:sz="1" w:space="0" w:color="1B2A4A"/>
            </w:tcBorders>
            <w:shd w:val="clear" w:color="auto" w:fill="1B2A4A"/>
            <w:vAlign w:val="center"/>
          </w:tcPr>
          <w:p w14:paraId="4698F724" w14:textId="77777777" w:rsidR="00612205" w:rsidRPr="00CB2A4A" w:rsidRDefault="0023584E" w:rsidP="00747BFD">
            <w:pPr>
              <w:spacing w:before="50" w:after="50" w:line="360" w:lineRule="auto"/>
              <w:jc w:val="both"/>
              <w:rPr>
                <w:rFonts w:ascii="Arial" w:hAnsi="Arial" w:cs="Arial"/>
              </w:rPr>
            </w:pPr>
            <w:r w:rsidRPr="00CB2A4A">
              <w:rPr>
                <w:rFonts w:ascii="Arial" w:eastAsia="Arial" w:hAnsi="Arial" w:cs="Arial"/>
                <w:b/>
                <w:bCs/>
                <w:color w:val="FFFFFF"/>
                <w:sz w:val="19"/>
                <w:szCs w:val="19"/>
              </w:rPr>
              <w:t>Gap</w:t>
            </w:r>
          </w:p>
        </w:tc>
        <w:tc>
          <w:tcPr>
            <w:tcW w:w="4900" w:type="dxa"/>
            <w:tcBorders>
              <w:top w:val="single" w:sz="1" w:space="0" w:color="1B2A4A"/>
              <w:left w:val="single" w:sz="1" w:space="0" w:color="1B2A4A"/>
              <w:bottom w:val="single" w:sz="1" w:space="0" w:color="1B2A4A"/>
              <w:right w:val="single" w:sz="1" w:space="0" w:color="1B2A4A"/>
            </w:tcBorders>
            <w:shd w:val="clear" w:color="auto" w:fill="1B2A4A"/>
            <w:vAlign w:val="center"/>
          </w:tcPr>
          <w:p w14:paraId="754E035B" w14:textId="77777777" w:rsidR="00612205" w:rsidRPr="00CB2A4A" w:rsidRDefault="0023584E" w:rsidP="00747BFD">
            <w:pPr>
              <w:spacing w:before="50" w:after="50" w:line="360" w:lineRule="auto"/>
              <w:jc w:val="both"/>
              <w:rPr>
                <w:rFonts w:ascii="Arial" w:hAnsi="Arial" w:cs="Arial"/>
              </w:rPr>
            </w:pPr>
            <w:r w:rsidRPr="00CB2A4A">
              <w:rPr>
                <w:rFonts w:ascii="Arial" w:eastAsia="Arial" w:hAnsi="Arial" w:cs="Arial"/>
                <w:b/>
                <w:bCs/>
                <w:color w:val="FFFFFF"/>
                <w:sz w:val="19"/>
                <w:szCs w:val="19"/>
              </w:rPr>
              <w:t>Strategic Implication for Primark</w:t>
            </w:r>
          </w:p>
        </w:tc>
      </w:tr>
      <w:tr w:rsidR="00612205" w:rsidRPr="00CB2A4A" w14:paraId="13AC4EFF" w14:textId="77777777">
        <w:tc>
          <w:tcPr>
            <w:tcW w:w="1800" w:type="dxa"/>
            <w:tcBorders>
              <w:top w:val="single" w:sz="1" w:space="0" w:color="D0D5DD"/>
              <w:left w:val="single" w:sz="1" w:space="0" w:color="D0D5DD"/>
              <w:bottom w:val="single" w:sz="1" w:space="0" w:color="D0D5DD"/>
              <w:right w:val="single" w:sz="1" w:space="0" w:color="D0D5DD"/>
            </w:tcBorders>
            <w:vAlign w:val="center"/>
          </w:tcPr>
          <w:p w14:paraId="558D639C"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Power Distance</w:t>
            </w:r>
          </w:p>
        </w:tc>
        <w:tc>
          <w:tcPr>
            <w:tcW w:w="700" w:type="dxa"/>
            <w:tcBorders>
              <w:top w:val="single" w:sz="1" w:space="0" w:color="D0D5DD"/>
              <w:left w:val="single" w:sz="1" w:space="0" w:color="D0D5DD"/>
              <w:bottom w:val="single" w:sz="1" w:space="0" w:color="D0D5DD"/>
              <w:right w:val="single" w:sz="1" w:space="0" w:color="D0D5DD"/>
            </w:tcBorders>
            <w:vAlign w:val="center"/>
          </w:tcPr>
          <w:p w14:paraId="2C332EBD"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35</w:t>
            </w:r>
          </w:p>
        </w:tc>
        <w:tc>
          <w:tcPr>
            <w:tcW w:w="900" w:type="dxa"/>
            <w:tcBorders>
              <w:top w:val="single" w:sz="1" w:space="0" w:color="D0D5DD"/>
              <w:left w:val="single" w:sz="1" w:space="0" w:color="D0D5DD"/>
              <w:bottom w:val="single" w:sz="1" w:space="0" w:color="D0D5DD"/>
              <w:right w:val="single" w:sz="1" w:space="0" w:color="D0D5DD"/>
            </w:tcBorders>
            <w:vAlign w:val="center"/>
          </w:tcPr>
          <w:p w14:paraId="4294E50C"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60</w:t>
            </w:r>
          </w:p>
        </w:tc>
        <w:tc>
          <w:tcPr>
            <w:tcW w:w="700" w:type="dxa"/>
            <w:tcBorders>
              <w:top w:val="single" w:sz="1" w:space="0" w:color="D0D5DD"/>
              <w:left w:val="single" w:sz="1" w:space="0" w:color="D0D5DD"/>
              <w:bottom w:val="single" w:sz="1" w:space="0" w:color="D0D5DD"/>
              <w:right w:val="single" w:sz="1" w:space="0" w:color="D0D5DD"/>
            </w:tcBorders>
            <w:vAlign w:val="center"/>
          </w:tcPr>
          <w:p w14:paraId="6523D5C6"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25</w:t>
            </w:r>
          </w:p>
        </w:tc>
        <w:tc>
          <w:tcPr>
            <w:tcW w:w="4900" w:type="dxa"/>
            <w:tcBorders>
              <w:top w:val="single" w:sz="1" w:space="0" w:color="D0D5DD"/>
              <w:left w:val="single" w:sz="1" w:space="0" w:color="D0D5DD"/>
              <w:bottom w:val="single" w:sz="1" w:space="0" w:color="D0D5DD"/>
              <w:right w:val="single" w:sz="1" w:space="0" w:color="D0D5DD"/>
            </w:tcBorders>
            <w:vAlign w:val="center"/>
          </w:tcPr>
          <w:p w14:paraId="2ACCF3A8"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Hierarchical business culture; adapt negotiation approach</w:t>
            </w:r>
          </w:p>
        </w:tc>
      </w:tr>
      <w:tr w:rsidR="00612205" w:rsidRPr="00CB2A4A" w14:paraId="75FE1569" w14:textId="77777777">
        <w:tc>
          <w:tcPr>
            <w:tcW w:w="18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545F53BE"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Individualism</w:t>
            </w:r>
          </w:p>
        </w:tc>
        <w:tc>
          <w:tcPr>
            <w:tcW w:w="7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681C8852"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89</w:t>
            </w:r>
          </w:p>
        </w:tc>
        <w:tc>
          <w:tcPr>
            <w:tcW w:w="9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29A6AC00"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18</w:t>
            </w:r>
          </w:p>
        </w:tc>
        <w:tc>
          <w:tcPr>
            <w:tcW w:w="7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7A21394A"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71</w:t>
            </w:r>
          </w:p>
        </w:tc>
        <w:tc>
          <w:tcPr>
            <w:tcW w:w="49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679FBC0C"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b/>
                <w:bCs/>
                <w:sz w:val="19"/>
                <w:szCs w:val="19"/>
              </w:rPr>
              <w:t>CRITICAL GAP – collectivist; group-oriented marketing essential</w:t>
            </w:r>
          </w:p>
        </w:tc>
      </w:tr>
      <w:tr w:rsidR="00612205" w:rsidRPr="00CB2A4A" w14:paraId="7700E7D1" w14:textId="77777777">
        <w:tc>
          <w:tcPr>
            <w:tcW w:w="1800" w:type="dxa"/>
            <w:tcBorders>
              <w:top w:val="single" w:sz="1" w:space="0" w:color="D0D5DD"/>
              <w:left w:val="single" w:sz="1" w:space="0" w:color="D0D5DD"/>
              <w:bottom w:val="single" w:sz="1" w:space="0" w:color="D0D5DD"/>
              <w:right w:val="single" w:sz="1" w:space="0" w:color="D0D5DD"/>
            </w:tcBorders>
            <w:vAlign w:val="center"/>
          </w:tcPr>
          <w:p w14:paraId="2F88636B"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Masculinity</w:t>
            </w:r>
          </w:p>
        </w:tc>
        <w:tc>
          <w:tcPr>
            <w:tcW w:w="700" w:type="dxa"/>
            <w:tcBorders>
              <w:top w:val="single" w:sz="1" w:space="0" w:color="D0D5DD"/>
              <w:left w:val="single" w:sz="1" w:space="0" w:color="D0D5DD"/>
              <w:bottom w:val="single" w:sz="1" w:space="0" w:color="D0D5DD"/>
              <w:right w:val="single" w:sz="1" w:space="0" w:color="D0D5DD"/>
            </w:tcBorders>
            <w:vAlign w:val="center"/>
          </w:tcPr>
          <w:p w14:paraId="1E5AC688"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66</w:t>
            </w:r>
          </w:p>
        </w:tc>
        <w:tc>
          <w:tcPr>
            <w:tcW w:w="900" w:type="dxa"/>
            <w:tcBorders>
              <w:top w:val="single" w:sz="1" w:space="0" w:color="D0D5DD"/>
              <w:left w:val="single" w:sz="1" w:space="0" w:color="D0D5DD"/>
              <w:bottom w:val="single" w:sz="1" w:space="0" w:color="D0D5DD"/>
              <w:right w:val="single" w:sz="1" w:space="0" w:color="D0D5DD"/>
            </w:tcBorders>
            <w:vAlign w:val="center"/>
          </w:tcPr>
          <w:p w14:paraId="1B7F0DE6"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39</w:t>
            </w:r>
          </w:p>
        </w:tc>
        <w:tc>
          <w:tcPr>
            <w:tcW w:w="700" w:type="dxa"/>
            <w:tcBorders>
              <w:top w:val="single" w:sz="1" w:space="0" w:color="D0D5DD"/>
              <w:left w:val="single" w:sz="1" w:space="0" w:color="D0D5DD"/>
              <w:bottom w:val="single" w:sz="1" w:space="0" w:color="D0D5DD"/>
              <w:right w:val="single" w:sz="1" w:space="0" w:color="D0D5DD"/>
            </w:tcBorders>
            <w:vAlign w:val="center"/>
          </w:tcPr>
          <w:p w14:paraId="7444F6C2"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27</w:t>
            </w:r>
          </w:p>
        </w:tc>
        <w:tc>
          <w:tcPr>
            <w:tcW w:w="4900" w:type="dxa"/>
            <w:tcBorders>
              <w:top w:val="single" w:sz="1" w:space="0" w:color="D0D5DD"/>
              <w:left w:val="single" w:sz="1" w:space="0" w:color="D0D5DD"/>
              <w:bottom w:val="single" w:sz="1" w:space="0" w:color="D0D5DD"/>
              <w:right w:val="single" w:sz="1" w:space="0" w:color="D0D5DD"/>
            </w:tcBorders>
            <w:vAlign w:val="center"/>
          </w:tcPr>
          <w:p w14:paraId="14BB7840"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Consensus-driven; softer brand messaging may resonate</w:t>
            </w:r>
          </w:p>
        </w:tc>
      </w:tr>
      <w:tr w:rsidR="00612205" w:rsidRPr="00CB2A4A" w14:paraId="4B45CE26" w14:textId="77777777">
        <w:tc>
          <w:tcPr>
            <w:tcW w:w="18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78CA4272"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Uncertainty Avoidance</w:t>
            </w:r>
          </w:p>
        </w:tc>
        <w:tc>
          <w:tcPr>
            <w:tcW w:w="7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026403A2"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35</w:t>
            </w:r>
          </w:p>
        </w:tc>
        <w:tc>
          <w:tcPr>
            <w:tcW w:w="9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51EC06D6"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85</w:t>
            </w:r>
          </w:p>
        </w:tc>
        <w:tc>
          <w:tcPr>
            <w:tcW w:w="7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66CF274B"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50</w:t>
            </w:r>
          </w:p>
        </w:tc>
        <w:tc>
          <w:tcPr>
            <w:tcW w:w="49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34235A23"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b/>
                <w:bCs/>
                <w:sz w:val="19"/>
                <w:szCs w:val="19"/>
              </w:rPr>
              <w:t>HIGH GAP – prefer established brands; Primark unknown = risk</w:t>
            </w:r>
          </w:p>
        </w:tc>
      </w:tr>
      <w:tr w:rsidR="00612205" w:rsidRPr="00CB2A4A" w14:paraId="31E13787" w14:textId="77777777">
        <w:tc>
          <w:tcPr>
            <w:tcW w:w="1800" w:type="dxa"/>
            <w:tcBorders>
              <w:top w:val="single" w:sz="1" w:space="0" w:color="D0D5DD"/>
              <w:left w:val="single" w:sz="1" w:space="0" w:color="D0D5DD"/>
              <w:bottom w:val="single" w:sz="1" w:space="0" w:color="D0D5DD"/>
              <w:right w:val="single" w:sz="1" w:space="0" w:color="D0D5DD"/>
            </w:tcBorders>
            <w:vAlign w:val="center"/>
          </w:tcPr>
          <w:p w14:paraId="5002750D"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Long-Term Orientation</w:t>
            </w:r>
          </w:p>
        </w:tc>
        <w:tc>
          <w:tcPr>
            <w:tcW w:w="700" w:type="dxa"/>
            <w:tcBorders>
              <w:top w:val="single" w:sz="1" w:space="0" w:color="D0D5DD"/>
              <w:left w:val="single" w:sz="1" w:space="0" w:color="D0D5DD"/>
              <w:bottom w:val="single" w:sz="1" w:space="0" w:color="D0D5DD"/>
              <w:right w:val="single" w:sz="1" w:space="0" w:color="D0D5DD"/>
            </w:tcBorders>
            <w:vAlign w:val="center"/>
          </w:tcPr>
          <w:p w14:paraId="0951471F"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51</w:t>
            </w:r>
          </w:p>
        </w:tc>
        <w:tc>
          <w:tcPr>
            <w:tcW w:w="900" w:type="dxa"/>
            <w:tcBorders>
              <w:top w:val="single" w:sz="1" w:space="0" w:color="D0D5DD"/>
              <w:left w:val="single" w:sz="1" w:space="0" w:color="D0D5DD"/>
              <w:bottom w:val="single" w:sz="1" w:space="0" w:color="D0D5DD"/>
              <w:right w:val="single" w:sz="1" w:space="0" w:color="D0D5DD"/>
            </w:tcBorders>
            <w:vAlign w:val="center"/>
          </w:tcPr>
          <w:p w14:paraId="0E222A1C"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100</w:t>
            </w:r>
          </w:p>
        </w:tc>
        <w:tc>
          <w:tcPr>
            <w:tcW w:w="700" w:type="dxa"/>
            <w:tcBorders>
              <w:top w:val="single" w:sz="1" w:space="0" w:color="D0D5DD"/>
              <w:left w:val="single" w:sz="1" w:space="0" w:color="D0D5DD"/>
              <w:bottom w:val="single" w:sz="1" w:space="0" w:color="D0D5DD"/>
              <w:right w:val="single" w:sz="1" w:space="0" w:color="D0D5DD"/>
            </w:tcBorders>
            <w:vAlign w:val="center"/>
          </w:tcPr>
          <w:p w14:paraId="4FB63057"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49</w:t>
            </w:r>
          </w:p>
        </w:tc>
        <w:tc>
          <w:tcPr>
            <w:tcW w:w="4900" w:type="dxa"/>
            <w:tcBorders>
              <w:top w:val="single" w:sz="1" w:space="0" w:color="D0D5DD"/>
              <w:left w:val="single" w:sz="1" w:space="0" w:color="D0D5DD"/>
              <w:bottom w:val="single" w:sz="1" w:space="0" w:color="D0D5DD"/>
              <w:right w:val="single" w:sz="1" w:space="0" w:color="D0D5DD"/>
            </w:tcBorders>
            <w:vAlign w:val="center"/>
          </w:tcPr>
          <w:p w14:paraId="1B694DFA"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Confucian values; patience and relationship-building essential</w:t>
            </w:r>
          </w:p>
        </w:tc>
      </w:tr>
      <w:tr w:rsidR="00612205" w:rsidRPr="00CB2A4A" w14:paraId="2DDBE45F" w14:textId="77777777">
        <w:tc>
          <w:tcPr>
            <w:tcW w:w="18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281C095D"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Indulgence</w:t>
            </w:r>
          </w:p>
        </w:tc>
        <w:tc>
          <w:tcPr>
            <w:tcW w:w="7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56A00E06"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69</w:t>
            </w:r>
          </w:p>
        </w:tc>
        <w:tc>
          <w:tcPr>
            <w:tcW w:w="9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5546E2D5"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29</w:t>
            </w:r>
          </w:p>
        </w:tc>
        <w:tc>
          <w:tcPr>
            <w:tcW w:w="7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1B78D960"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40</w:t>
            </w:r>
          </w:p>
        </w:tc>
        <w:tc>
          <w:tcPr>
            <w:tcW w:w="49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0638031B"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Restraint culture; less impulse purchasing; prestige over price</w:t>
            </w:r>
          </w:p>
        </w:tc>
      </w:tr>
    </w:tbl>
    <w:p w14:paraId="67D4E7E0" w14:textId="72832434" w:rsidR="00612205" w:rsidRPr="00CB2A4A" w:rsidRDefault="0023584E" w:rsidP="00376D75">
      <w:pPr>
        <w:spacing w:before="40" w:after="240" w:line="360" w:lineRule="auto"/>
        <w:jc w:val="center"/>
        <w:rPr>
          <w:rFonts w:ascii="Arial" w:hAnsi="Arial" w:cs="Arial"/>
          <w:sz w:val="28"/>
          <w:szCs w:val="28"/>
        </w:rPr>
      </w:pPr>
      <w:r w:rsidRPr="00CB2A4A">
        <w:rPr>
          <w:rFonts w:ascii="Arial" w:hAnsi="Arial" w:cs="Arial"/>
          <w:color w:val="555555"/>
          <w:sz w:val="20"/>
          <w:szCs w:val="20"/>
        </w:rPr>
        <w:t>Source: Hofstede Insights (2026) Country Comparison Tool. Accessed: 15 July 2026. Supplemented by Yoo and Donthu (2002) individual-level validation.</w:t>
      </w:r>
      <w:r w:rsidR="00376D75" w:rsidRPr="00CB2A4A">
        <w:rPr>
          <w:rFonts w:ascii="Arial" w:hAnsi="Arial" w:cs="Arial"/>
          <w:color w:val="555555"/>
          <w:sz w:val="20"/>
          <w:szCs w:val="20"/>
        </w:rPr>
        <w:t xml:space="preserve"> Created in </w:t>
      </w:r>
      <w:r w:rsidR="00CB07CA">
        <w:rPr>
          <w:rFonts w:ascii="Arial" w:hAnsi="Arial" w:cs="Arial"/>
          <w:color w:val="555555"/>
          <w:sz w:val="20"/>
          <w:szCs w:val="20"/>
        </w:rPr>
        <w:t>Excel</w:t>
      </w:r>
      <w:r w:rsidR="00376D75" w:rsidRPr="00CB2A4A">
        <w:rPr>
          <w:rFonts w:ascii="Arial" w:hAnsi="Arial" w:cs="Arial"/>
          <w:color w:val="555555"/>
          <w:sz w:val="20"/>
          <w:szCs w:val="20"/>
        </w:rPr>
        <w:t>.</w:t>
      </w:r>
    </w:p>
    <w:p w14:paraId="40C91FB2" w14:textId="77777777" w:rsidR="00CC6A6E" w:rsidRPr="00CB2A4A" w:rsidRDefault="00CC6A6E" w:rsidP="00747BFD">
      <w:pPr>
        <w:spacing w:before="160" w:after="80" w:line="360" w:lineRule="auto"/>
        <w:jc w:val="both"/>
        <w:rPr>
          <w:rFonts w:ascii="Arial" w:hAnsi="Arial" w:cs="Arial"/>
          <w:noProof/>
        </w:rPr>
      </w:pPr>
    </w:p>
    <w:p w14:paraId="6DD074A2" w14:textId="5179A196" w:rsidR="00612205" w:rsidRPr="00CB2A4A" w:rsidRDefault="0023584E" w:rsidP="00376D75">
      <w:pPr>
        <w:spacing w:before="160" w:after="80" w:line="360" w:lineRule="auto"/>
        <w:jc w:val="center"/>
        <w:rPr>
          <w:rFonts w:ascii="Arial" w:hAnsi="Arial" w:cs="Arial"/>
        </w:rPr>
      </w:pPr>
      <w:r w:rsidRPr="00CB2A4A">
        <w:rPr>
          <w:rFonts w:ascii="Arial" w:hAnsi="Arial" w:cs="Arial"/>
          <w:noProof/>
        </w:rPr>
        <w:drawing>
          <wp:inline distT="0" distB="0" distL="0" distR="0" wp14:anchorId="4FD8639D" wp14:editId="28629BA8">
            <wp:extent cx="5715000" cy="2956560"/>
            <wp:effectExtent l="0" t="0" r="0" b="0"/>
            <wp:docPr id="1506865590" name="Picture 15068655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1"/>
                    <a:srcRect t="8706"/>
                    <a:stretch>
                      <a:fillRect/>
                    </a:stretch>
                  </pic:blipFill>
                  <pic:spPr bwMode="auto">
                    <a:xfrm>
                      <a:off x="0" y="0"/>
                      <a:ext cx="5715000" cy="2956560"/>
                    </a:xfrm>
                    <a:prstGeom prst="rect">
                      <a:avLst/>
                    </a:prstGeom>
                    <a:ln>
                      <a:noFill/>
                    </a:ln>
                    <a:extLst>
                      <a:ext uri="{53640926-AAD7-44D8-BBD7-CCE9431645EC}">
                        <a14:shadowObscured xmlns:a14="http://schemas.microsoft.com/office/drawing/2010/main"/>
                      </a:ext>
                    </a:extLst>
                  </pic:spPr>
                </pic:pic>
              </a:graphicData>
            </a:graphic>
          </wp:inline>
        </w:drawing>
      </w:r>
      <w:r w:rsidR="00CC6A6E" w:rsidRPr="00CB2A4A">
        <w:rPr>
          <w:rFonts w:ascii="Arial" w:hAnsi="Arial" w:cs="Arial"/>
          <w:sz w:val="20"/>
          <w:szCs w:val="20"/>
        </w:rPr>
        <w:br/>
        <w:t>Figure 3: Hofstede Cultural Dimensions - UK vs South Korea</w:t>
      </w:r>
      <w:r w:rsidR="00376D75" w:rsidRPr="00CB2A4A">
        <w:rPr>
          <w:rFonts w:ascii="Arial" w:hAnsi="Arial" w:cs="Arial"/>
          <w:sz w:val="20"/>
          <w:szCs w:val="20"/>
        </w:rPr>
        <w:t>.</w:t>
      </w:r>
      <w:r w:rsidR="00376D75" w:rsidRPr="00CB2A4A">
        <w:rPr>
          <w:rFonts w:ascii="Arial" w:hAnsi="Arial" w:cs="Arial"/>
          <w:color w:val="555555"/>
          <w:sz w:val="20"/>
          <w:szCs w:val="20"/>
        </w:rPr>
        <w:t xml:space="preserve"> Created in </w:t>
      </w:r>
      <w:r w:rsidR="00CB07CA">
        <w:rPr>
          <w:rFonts w:ascii="Arial" w:hAnsi="Arial" w:cs="Arial"/>
          <w:color w:val="555555"/>
          <w:sz w:val="20"/>
          <w:szCs w:val="20"/>
        </w:rPr>
        <w:t>E</w:t>
      </w:r>
      <w:r w:rsidR="00376D75" w:rsidRPr="00CB2A4A">
        <w:rPr>
          <w:rFonts w:ascii="Arial" w:hAnsi="Arial" w:cs="Arial"/>
          <w:color w:val="555555"/>
          <w:sz w:val="20"/>
          <w:szCs w:val="20"/>
        </w:rPr>
        <w:t>xcel.</w:t>
      </w:r>
    </w:p>
    <w:p w14:paraId="7B5278D0" w14:textId="6812BA79" w:rsidR="009550AB" w:rsidRPr="00CB2A4A" w:rsidRDefault="009550AB" w:rsidP="00747BFD">
      <w:pPr>
        <w:spacing w:before="240" w:after="120" w:line="360" w:lineRule="auto"/>
        <w:jc w:val="both"/>
        <w:rPr>
          <w:rFonts w:ascii="Arial" w:hAnsi="Arial" w:cs="Arial"/>
        </w:rPr>
      </w:pPr>
      <w:r w:rsidRPr="00CB2A4A">
        <w:rPr>
          <w:rFonts w:ascii="Arial" w:hAnsi="Arial" w:cs="Arial"/>
        </w:rPr>
        <w:t xml:space="preserve">The results from Table 3 and Figure 3 illustrate that the UK and South Korea differ quite a lot on all six dimensions. Important differences are observed in individualism (71 points), uncertainty avoidance (50 points) and long-term orientation (49 points). The individualism gap is one of the highest among the OECD market </w:t>
      </w:r>
      <w:r w:rsidR="00745222" w:rsidRPr="00CB2A4A">
        <w:rPr>
          <w:rFonts w:ascii="Arial" w:hAnsi="Arial" w:cs="Arial"/>
        </w:rPr>
        <w:t>pairs and</w:t>
      </w:r>
      <w:r w:rsidRPr="00CB2A4A">
        <w:rPr>
          <w:rFonts w:ascii="Arial" w:hAnsi="Arial" w:cs="Arial"/>
        </w:rPr>
        <w:t xml:space="preserve"> </w:t>
      </w:r>
      <w:proofErr w:type="gramStart"/>
      <w:r w:rsidRPr="00CB2A4A">
        <w:rPr>
          <w:rFonts w:ascii="Arial" w:hAnsi="Arial" w:cs="Arial"/>
        </w:rPr>
        <w:t>is a reflection of</w:t>
      </w:r>
      <w:proofErr w:type="gramEnd"/>
      <w:r w:rsidRPr="00CB2A4A">
        <w:rPr>
          <w:rFonts w:ascii="Arial" w:hAnsi="Arial" w:cs="Arial"/>
        </w:rPr>
        <w:t xml:space="preserve"> the high collectivist tendencies of Korea, based on Confucian values. However, on the individual level, Korean respondents scored significantly higher on </w:t>
      </w:r>
      <w:r w:rsidRPr="00CB2A4A">
        <w:rPr>
          <w:rFonts w:ascii="Arial" w:hAnsi="Arial" w:cs="Arial"/>
        </w:rPr>
        <w:lastRenderedPageBreak/>
        <w:t xml:space="preserve">collectivism (3.37 versus pooled mean 2.57) in the validated CVSCALE instrument by Yoo and Donthu (2002). The Korean consumers' high uncertainty avoidance indicates that they are more likely to prefer brands that they know and trust and are not as open to new entries into the market. But Hofstede's framework should be used with caution. McSweeney (2002) questions the notion that countries' cultures can be meaningfully boiled down to quantitative dimensions that are based on one company sample. Beugelsdijk, Maseland and van Hoorn (2015) find that absolute cultural values do change with generations, but relative differences between countries are quite persistent, providing some degree of comparative usefulness for the framework. While there are these constraints, the directionality for Primark in South Korea is evident: cheap products are often linked to poor quality, and </w:t>
      </w:r>
      <w:r w:rsidR="00D766A7">
        <w:rPr>
          <w:rFonts w:ascii="Arial" w:hAnsi="Arial" w:cs="Arial"/>
        </w:rPr>
        <w:t xml:space="preserve">the </w:t>
      </w:r>
      <w:r w:rsidRPr="00CB2A4A">
        <w:rPr>
          <w:rFonts w:ascii="Arial" w:hAnsi="Arial" w:cs="Arial"/>
        </w:rPr>
        <w:t xml:space="preserve">prestige of the brand is a social symbol. Primark would have to shift </w:t>
      </w:r>
      <w:r w:rsidR="00D766A7">
        <w:rPr>
          <w:rFonts w:ascii="Arial" w:hAnsi="Arial" w:cs="Arial"/>
        </w:rPr>
        <w:t>its</w:t>
      </w:r>
      <w:r w:rsidRPr="00CB2A4A">
        <w:rPr>
          <w:rFonts w:ascii="Arial" w:hAnsi="Arial" w:cs="Arial"/>
        </w:rPr>
        <w:t xml:space="preserve"> focus from ‘unapologetically cheap' value to ‘accessible European style'. Standardising the brand message in culturally divergent markets will probably not work, as Hollensen (2020) suggests. Socio-cultural challenge is considered high.</w:t>
      </w:r>
    </w:p>
    <w:p w14:paraId="1AB2BB1A" w14:textId="77777777" w:rsidR="00376D75" w:rsidRPr="00CB2A4A" w:rsidRDefault="00376D75" w:rsidP="00747BFD">
      <w:pPr>
        <w:spacing w:before="240" w:after="120" w:line="360" w:lineRule="auto"/>
        <w:jc w:val="both"/>
        <w:rPr>
          <w:rFonts w:ascii="Arial" w:hAnsi="Arial" w:cs="Arial"/>
        </w:rPr>
      </w:pPr>
    </w:p>
    <w:p w14:paraId="1CF61513" w14:textId="67AD8FA0" w:rsidR="00612205" w:rsidRPr="00CB2A4A" w:rsidRDefault="0023584E" w:rsidP="00747BFD">
      <w:pPr>
        <w:spacing w:before="240" w:after="120" w:line="360" w:lineRule="auto"/>
        <w:jc w:val="both"/>
        <w:rPr>
          <w:rFonts w:ascii="Arial" w:hAnsi="Arial" w:cs="Arial"/>
        </w:rPr>
      </w:pPr>
      <w:r w:rsidRPr="00CB2A4A">
        <w:rPr>
          <w:rFonts w:ascii="Arial" w:hAnsi="Arial" w:cs="Arial"/>
          <w:b/>
          <w:bCs/>
          <w:color w:val="1B2A4A"/>
        </w:rPr>
        <w:t xml:space="preserve">Technological </w:t>
      </w:r>
      <w:r w:rsidR="00D92980">
        <w:rPr>
          <w:rFonts w:ascii="Arial" w:hAnsi="Arial" w:cs="Arial"/>
          <w:b/>
          <w:bCs/>
          <w:color w:val="1B2A4A"/>
        </w:rPr>
        <w:t>Factors</w:t>
      </w:r>
      <w:r w:rsidRPr="00CB2A4A">
        <w:rPr>
          <w:rFonts w:ascii="Arial" w:hAnsi="Arial" w:cs="Arial"/>
          <w:b/>
          <w:bCs/>
          <w:color w:val="1B2A4A"/>
        </w:rPr>
        <w:t xml:space="preserve"> (Critical Factor)</w:t>
      </w:r>
    </w:p>
    <w:p w14:paraId="31B9C9E5" w14:textId="4C1F045C" w:rsidR="009550AB" w:rsidRPr="00CB2A4A" w:rsidRDefault="009550AB" w:rsidP="00747BFD">
      <w:pPr>
        <w:spacing w:before="240" w:after="120" w:line="360" w:lineRule="auto"/>
        <w:jc w:val="both"/>
        <w:rPr>
          <w:rFonts w:ascii="Arial" w:hAnsi="Arial" w:cs="Arial"/>
        </w:rPr>
      </w:pPr>
      <w:r w:rsidRPr="00CB2A4A">
        <w:rPr>
          <w:rFonts w:ascii="Arial" w:hAnsi="Arial" w:cs="Arial"/>
        </w:rPr>
        <w:t>South Korea is one of the most technologically advanced markets for consumers in the world. Internet penetration is over 97%, smartphone ownership is almost universal</w:t>
      </w:r>
      <w:r w:rsidR="00D766A7">
        <w:rPr>
          <w:rFonts w:ascii="Arial" w:hAnsi="Arial" w:cs="Arial"/>
        </w:rPr>
        <w:t>,</w:t>
      </w:r>
      <w:r w:rsidRPr="00CB2A4A">
        <w:rPr>
          <w:rFonts w:ascii="Arial" w:hAnsi="Arial" w:cs="Arial"/>
        </w:rPr>
        <w:t xml:space="preserve"> and the country is a leader in 5G network deployment with spending on R&amp;D at 4.9% of GDP, above the OECD average of 2.9% (OECD, 2024). The level of penetration of e-commerce in the fashion retail sector is extremely </w:t>
      </w:r>
      <w:r w:rsidR="00745222" w:rsidRPr="00CB2A4A">
        <w:rPr>
          <w:rFonts w:ascii="Arial" w:hAnsi="Arial" w:cs="Arial"/>
        </w:rPr>
        <w:t>high,</w:t>
      </w:r>
      <w:r w:rsidRPr="00CB2A4A">
        <w:rPr>
          <w:rFonts w:ascii="Arial" w:hAnsi="Arial" w:cs="Arial"/>
        </w:rPr>
        <w:t xml:space="preserve"> and consumers are accustomed to having </w:t>
      </w:r>
      <w:r w:rsidR="00D766A7">
        <w:rPr>
          <w:rFonts w:ascii="Arial" w:hAnsi="Arial" w:cs="Arial"/>
        </w:rPr>
        <w:t xml:space="preserve">a </w:t>
      </w:r>
      <w:r w:rsidR="00745222" w:rsidRPr="00CB2A4A">
        <w:rPr>
          <w:rFonts w:ascii="Arial" w:hAnsi="Arial" w:cs="Arial"/>
        </w:rPr>
        <w:t>seamless</w:t>
      </w:r>
      <w:r w:rsidRPr="00CB2A4A">
        <w:rPr>
          <w:rFonts w:ascii="Arial" w:hAnsi="Arial" w:cs="Arial"/>
        </w:rPr>
        <w:t xml:space="preserve"> omnichannel experience with services like Coupang, Naver Shopping and Musinsa. Payment services like KakaoPay and Samsung Pay are popular</w:t>
      </w:r>
      <w:r w:rsidR="00D766A7">
        <w:rPr>
          <w:rFonts w:ascii="Arial" w:hAnsi="Arial" w:cs="Arial"/>
        </w:rPr>
        <w:t>,</w:t>
      </w:r>
      <w:r w:rsidRPr="00CB2A4A">
        <w:rPr>
          <w:rFonts w:ascii="Arial" w:hAnsi="Arial" w:cs="Arial"/>
        </w:rPr>
        <w:t xml:space="preserve"> and social commerce through KakaoTalk and Instagram Shopping is a growing medium. This digital saturation is a challenge to the very structure of Primark's business. The company has previously avoided e-commerce, with the recent evolution of click-and-collect at all 187 locations in the UK and the Primark app marking a step forward, yet GlobalData (2026a) still </w:t>
      </w:r>
      <w:r w:rsidR="00D766A7">
        <w:rPr>
          <w:rFonts w:ascii="Arial" w:hAnsi="Arial" w:cs="Arial"/>
        </w:rPr>
        <w:t>names</w:t>
      </w:r>
      <w:r w:rsidRPr="00CB2A4A">
        <w:rPr>
          <w:rFonts w:ascii="Arial" w:hAnsi="Arial" w:cs="Arial"/>
        </w:rPr>
        <w:t xml:space="preserve"> the lack of home delivery as a limitation in comparison to other global companies, even within its markets. South Korea's fast delivery and customer expectations of personalisation and social media integration would be undercut by a store-only strategy, as consumers </w:t>
      </w:r>
      <w:r w:rsidRPr="00CB2A4A">
        <w:rPr>
          <w:rFonts w:ascii="Arial" w:hAnsi="Arial" w:cs="Arial"/>
        </w:rPr>
        <w:lastRenderedPageBreak/>
        <w:t xml:space="preserve">here already have access to a full ecosystem of online-first competitors they use as their main shopping channel. This disadvantage in structure could not be overcome by opening stores alone – any potential entry would need large digital investment, and that investment would need to happen at the same time, in a market without any e-commerce offering in any geography by Primark. </w:t>
      </w:r>
      <w:r w:rsidR="00D766A7">
        <w:rPr>
          <w:rFonts w:ascii="Arial" w:hAnsi="Arial" w:cs="Arial"/>
        </w:rPr>
        <w:t>The technological</w:t>
      </w:r>
      <w:r w:rsidRPr="00CB2A4A">
        <w:rPr>
          <w:rFonts w:ascii="Arial" w:hAnsi="Arial" w:cs="Arial"/>
        </w:rPr>
        <w:t xml:space="preserve"> challenge is considered high.</w:t>
      </w:r>
    </w:p>
    <w:p w14:paraId="00003289" w14:textId="0195B781" w:rsidR="00612205" w:rsidRPr="00CB2A4A" w:rsidRDefault="0023584E" w:rsidP="00747BFD">
      <w:pPr>
        <w:spacing w:before="240" w:after="120" w:line="360" w:lineRule="auto"/>
        <w:jc w:val="both"/>
        <w:rPr>
          <w:rFonts w:ascii="Arial" w:hAnsi="Arial" w:cs="Arial"/>
        </w:rPr>
      </w:pPr>
      <w:r w:rsidRPr="00CB2A4A">
        <w:rPr>
          <w:rFonts w:ascii="Arial" w:hAnsi="Arial" w:cs="Arial"/>
          <w:b/>
          <w:bCs/>
          <w:color w:val="1B2A4A"/>
        </w:rPr>
        <w:t xml:space="preserve">Legal </w:t>
      </w:r>
      <w:r w:rsidR="00D92980">
        <w:rPr>
          <w:rFonts w:ascii="Arial" w:hAnsi="Arial" w:cs="Arial"/>
          <w:b/>
          <w:bCs/>
          <w:color w:val="1B2A4A"/>
        </w:rPr>
        <w:t>Factors</w:t>
      </w:r>
    </w:p>
    <w:p w14:paraId="49DF9F49" w14:textId="77777777" w:rsidR="009550AB" w:rsidRPr="00CB2A4A" w:rsidRDefault="009550AB" w:rsidP="00747BFD">
      <w:pPr>
        <w:spacing w:before="240" w:after="120" w:line="360" w:lineRule="auto"/>
        <w:jc w:val="both"/>
        <w:rPr>
          <w:rFonts w:ascii="Arial" w:hAnsi="Arial" w:cs="Arial"/>
        </w:rPr>
      </w:pPr>
      <w:r w:rsidRPr="00CB2A4A">
        <w:rPr>
          <w:rFonts w:ascii="Arial" w:hAnsi="Arial" w:cs="Arial"/>
        </w:rPr>
        <w:t>South Korea's legal system provides strong IP protection, with 7,309 patent applications per USD 100 billion of GDP (WIPO, 2024). One of the most complete data privacy laws in Asia is the Personal Information Protection Act (PIPA). The Fair Transactions in Franchise Business Act provides for detailed disclosure requirements in a franchise model. It could be difficult for a well-equipped company, but a knowledgeable legal team would be necessary. Rated moderate concern.</w:t>
      </w:r>
    </w:p>
    <w:p w14:paraId="54A919D7" w14:textId="288322ED" w:rsidR="00612205" w:rsidRPr="00CB2A4A" w:rsidRDefault="0023584E" w:rsidP="00747BFD">
      <w:pPr>
        <w:spacing w:before="240" w:after="120" w:line="360" w:lineRule="auto"/>
        <w:jc w:val="both"/>
        <w:rPr>
          <w:rFonts w:ascii="Arial" w:hAnsi="Arial" w:cs="Arial"/>
        </w:rPr>
      </w:pPr>
      <w:r w:rsidRPr="00CB2A4A">
        <w:rPr>
          <w:rFonts w:ascii="Arial" w:hAnsi="Arial" w:cs="Arial"/>
          <w:b/>
          <w:bCs/>
          <w:color w:val="1B2A4A"/>
        </w:rPr>
        <w:t>Environmental Factors</w:t>
      </w:r>
    </w:p>
    <w:p w14:paraId="1065A1B5" w14:textId="6772F159" w:rsidR="009550AB" w:rsidRPr="00CB2A4A" w:rsidRDefault="009550AB" w:rsidP="00747BFD">
      <w:pPr>
        <w:pStyle w:val="Heading2"/>
        <w:spacing w:line="360" w:lineRule="auto"/>
        <w:jc w:val="both"/>
        <w:rPr>
          <w:rFonts w:eastAsia="Times New Roman"/>
          <w:b w:val="0"/>
          <w:bCs w:val="0"/>
          <w:color w:val="333333"/>
          <w:sz w:val="24"/>
          <w:szCs w:val="24"/>
        </w:rPr>
      </w:pPr>
      <w:bookmarkStart w:id="12" w:name="_Toc236295278"/>
      <w:bookmarkStart w:id="13" w:name="_Toc236296280"/>
      <w:r w:rsidRPr="00CB2A4A">
        <w:rPr>
          <w:rFonts w:eastAsia="Times New Roman"/>
          <w:b w:val="0"/>
          <w:bCs w:val="0"/>
          <w:color w:val="333333"/>
          <w:sz w:val="24"/>
          <w:szCs w:val="24"/>
        </w:rPr>
        <w:t xml:space="preserve">South Korea has pledged to become carbon neutral by </w:t>
      </w:r>
      <w:r w:rsidR="00745222" w:rsidRPr="00CB2A4A">
        <w:rPr>
          <w:rFonts w:eastAsia="Times New Roman"/>
          <w:b w:val="0"/>
          <w:bCs w:val="0"/>
          <w:color w:val="333333"/>
          <w:sz w:val="24"/>
          <w:szCs w:val="24"/>
        </w:rPr>
        <w:t>2050,</w:t>
      </w:r>
      <w:r w:rsidRPr="00CB2A4A">
        <w:rPr>
          <w:rFonts w:eastAsia="Times New Roman"/>
          <w:b w:val="0"/>
          <w:bCs w:val="0"/>
          <w:color w:val="333333"/>
          <w:sz w:val="24"/>
          <w:szCs w:val="24"/>
        </w:rPr>
        <w:t xml:space="preserve"> and younger customers are more aware of the impact of fast fashion. Primark's ‘Primark Cares' initiative is a good starting point and could be enhanced. Moderate concern, more relevant to brand perception than entry feasibility.</w:t>
      </w:r>
    </w:p>
    <w:p w14:paraId="23249A05" w14:textId="66E593D8" w:rsidR="00612205" w:rsidRPr="00CB2A4A" w:rsidRDefault="0023584E" w:rsidP="00747BFD">
      <w:pPr>
        <w:pStyle w:val="Heading2"/>
        <w:spacing w:line="360" w:lineRule="auto"/>
        <w:jc w:val="both"/>
      </w:pPr>
      <w:r w:rsidRPr="00CB2A4A">
        <w:t>2.2 OLI Framework Assessment</w:t>
      </w:r>
      <w:bookmarkEnd w:id="12"/>
      <w:bookmarkEnd w:id="13"/>
    </w:p>
    <w:p w14:paraId="5AE48026" w14:textId="7BF740C5" w:rsidR="009550AB" w:rsidRPr="00CB2A4A" w:rsidRDefault="009550AB" w:rsidP="00747BFD">
      <w:pPr>
        <w:spacing w:before="240" w:after="120" w:line="360" w:lineRule="auto"/>
        <w:jc w:val="both"/>
        <w:rPr>
          <w:rFonts w:ascii="Arial" w:hAnsi="Arial" w:cs="Arial"/>
        </w:rPr>
      </w:pPr>
      <w:r w:rsidRPr="00CB2A4A">
        <w:rPr>
          <w:rFonts w:ascii="Arial" w:hAnsi="Arial" w:cs="Arial"/>
        </w:rPr>
        <w:t>The theory of whether Primark should invest in South Korea is based on Dunning's Eclectic (OLI) Paradigm (2000; 2001). The paradigm comes up with three sets of advantages, which are interdependent: Ownership (O), Location (L)</w:t>
      </w:r>
      <w:r w:rsidR="0024705B">
        <w:rPr>
          <w:rFonts w:ascii="Arial" w:hAnsi="Arial" w:cs="Arial"/>
        </w:rPr>
        <w:t>,</w:t>
      </w:r>
      <w:r w:rsidRPr="00CB2A4A">
        <w:rPr>
          <w:rFonts w:ascii="Arial" w:hAnsi="Arial" w:cs="Arial"/>
        </w:rPr>
        <w:t xml:space="preserve"> and Internalisation (I). Dunning (2001) acknowledged that these variables are interrelated</w:t>
      </w:r>
      <w:r w:rsidR="0024705B">
        <w:rPr>
          <w:rFonts w:ascii="Arial" w:hAnsi="Arial" w:cs="Arial"/>
        </w:rPr>
        <w:t>,</w:t>
      </w:r>
      <w:r w:rsidRPr="00CB2A4A">
        <w:rPr>
          <w:rFonts w:ascii="Arial" w:hAnsi="Arial" w:cs="Arial"/>
        </w:rPr>
        <w:t xml:space="preserve"> and Johanson and Vahlne (2009) posited that network relationships have a critical impact on the internationalisation outcomes.</w:t>
      </w:r>
    </w:p>
    <w:p w14:paraId="71B53D54" w14:textId="0DA7012B" w:rsidR="00612205" w:rsidRPr="00CB2A4A" w:rsidRDefault="0023584E" w:rsidP="00747BFD">
      <w:pPr>
        <w:spacing w:before="240" w:after="120" w:line="360" w:lineRule="auto"/>
        <w:jc w:val="both"/>
        <w:rPr>
          <w:rFonts w:ascii="Arial" w:hAnsi="Arial" w:cs="Arial"/>
        </w:rPr>
      </w:pPr>
      <w:r w:rsidRPr="00CB2A4A">
        <w:rPr>
          <w:rFonts w:ascii="Arial" w:hAnsi="Arial" w:cs="Arial"/>
          <w:b/>
          <w:bCs/>
          <w:color w:val="1B2A4A"/>
        </w:rPr>
        <w:t>Ownership Advantages</w:t>
      </w:r>
    </w:p>
    <w:p w14:paraId="4AA3F273" w14:textId="00EB0599" w:rsidR="009550AB" w:rsidRPr="00CB2A4A" w:rsidRDefault="009550AB" w:rsidP="00747BFD">
      <w:pPr>
        <w:spacing w:before="240" w:after="120" w:line="360" w:lineRule="auto"/>
        <w:jc w:val="both"/>
        <w:rPr>
          <w:rFonts w:ascii="Arial" w:hAnsi="Arial" w:cs="Arial"/>
        </w:rPr>
      </w:pPr>
      <w:r w:rsidRPr="00CB2A4A">
        <w:rPr>
          <w:rFonts w:ascii="Arial" w:hAnsi="Arial" w:cs="Arial"/>
        </w:rPr>
        <w:t xml:space="preserve">Primark has </w:t>
      </w:r>
      <w:proofErr w:type="gramStart"/>
      <w:r w:rsidRPr="00CB2A4A">
        <w:rPr>
          <w:rFonts w:ascii="Arial" w:hAnsi="Arial" w:cs="Arial"/>
        </w:rPr>
        <w:t>a number of</w:t>
      </w:r>
      <w:proofErr w:type="gramEnd"/>
      <w:r w:rsidRPr="00CB2A4A">
        <w:rPr>
          <w:rFonts w:ascii="Arial" w:hAnsi="Arial" w:cs="Arial"/>
        </w:rPr>
        <w:t xml:space="preserve"> potential O-advantages</w:t>
      </w:r>
      <w:r w:rsidR="0024705B">
        <w:rPr>
          <w:rFonts w:ascii="Arial" w:hAnsi="Arial" w:cs="Arial"/>
        </w:rPr>
        <w:t>:</w:t>
      </w:r>
      <w:r w:rsidRPr="00CB2A4A">
        <w:rPr>
          <w:rFonts w:ascii="Arial" w:hAnsi="Arial" w:cs="Arial"/>
        </w:rPr>
        <w:t xml:space="preserve"> a global supply chain with more than 1,000 factories</w:t>
      </w:r>
      <w:r w:rsidR="00D92980">
        <w:rPr>
          <w:rFonts w:ascii="Arial" w:hAnsi="Arial" w:cs="Arial"/>
        </w:rPr>
        <w:t>,</w:t>
      </w:r>
      <w:r w:rsidRPr="00CB2A4A">
        <w:rPr>
          <w:rFonts w:ascii="Arial" w:hAnsi="Arial" w:cs="Arial"/>
        </w:rPr>
        <w:t xml:space="preserve"> volume purchasing power</w:t>
      </w:r>
      <w:r w:rsidR="00D92980">
        <w:rPr>
          <w:rFonts w:ascii="Arial" w:hAnsi="Arial" w:cs="Arial"/>
        </w:rPr>
        <w:t>,</w:t>
      </w:r>
      <w:r w:rsidRPr="00CB2A4A">
        <w:rPr>
          <w:rFonts w:ascii="Arial" w:hAnsi="Arial" w:cs="Arial"/>
        </w:rPr>
        <w:t xml:space="preserve"> and a tried and tested store operations model in 17 markets. Primark's advantages are primarily exploitative as it draws upon </w:t>
      </w:r>
      <w:r w:rsidR="0024705B">
        <w:rPr>
          <w:rFonts w:ascii="Arial" w:hAnsi="Arial" w:cs="Arial"/>
        </w:rPr>
        <w:lastRenderedPageBreak/>
        <w:t>Dunning's</w:t>
      </w:r>
      <w:r w:rsidRPr="00CB2A4A">
        <w:rPr>
          <w:rFonts w:ascii="Arial" w:hAnsi="Arial" w:cs="Arial"/>
        </w:rPr>
        <w:t xml:space="preserve"> (2001) distinction between asset-exploiting and asset-augmenting FDI. This is an issue for South Korea, where the key O-advantage for a consumer-facing retailer – brand recognition is completely missing in the East Asian region. Digital competency is still structurally limited in markets with a long history (GlobalData, 2026a). Moderate O-advantages. </w:t>
      </w:r>
    </w:p>
    <w:p w14:paraId="57221232" w14:textId="20251BB0" w:rsidR="00612205" w:rsidRPr="00CB2A4A" w:rsidRDefault="0023584E" w:rsidP="00747BFD">
      <w:pPr>
        <w:spacing w:before="240" w:after="120" w:line="360" w:lineRule="auto"/>
        <w:jc w:val="both"/>
        <w:rPr>
          <w:rFonts w:ascii="Arial" w:hAnsi="Arial" w:cs="Arial"/>
        </w:rPr>
      </w:pPr>
      <w:r w:rsidRPr="00CB2A4A">
        <w:rPr>
          <w:rFonts w:ascii="Arial" w:hAnsi="Arial" w:cs="Arial"/>
          <w:b/>
          <w:bCs/>
          <w:color w:val="1B2A4A"/>
        </w:rPr>
        <w:t>Location Advantages</w:t>
      </w:r>
    </w:p>
    <w:p w14:paraId="5120E12E" w14:textId="2757BA87" w:rsidR="00612205" w:rsidRPr="00CB2A4A" w:rsidRDefault="009550AB" w:rsidP="00747BFD">
      <w:pPr>
        <w:spacing w:after="140" w:line="360" w:lineRule="auto"/>
        <w:jc w:val="both"/>
        <w:rPr>
          <w:rFonts w:ascii="Arial" w:hAnsi="Arial" w:cs="Arial"/>
        </w:rPr>
      </w:pPr>
      <w:r w:rsidRPr="00CB2A4A">
        <w:rPr>
          <w:rFonts w:ascii="Arial" w:hAnsi="Arial" w:cs="Arial"/>
        </w:rPr>
        <w:t xml:space="preserve">South Korea's advantages on the L (ability to jump) are mixed. There are a lot of positives: a large, affluent, fashion-conscious consumer base, a world-class retail infrastructure, a politically stable country, and a favourable trade environment thanks to the EU-Korea FTA, which saw a record number of FDI inflows in the last period (MOTIE, 2024). The size of the market for apparel is around USD 30.65 billion, which indicates </w:t>
      </w:r>
      <w:r w:rsidR="007C2204">
        <w:rPr>
          <w:rFonts w:ascii="Arial" w:hAnsi="Arial" w:cs="Arial"/>
        </w:rPr>
        <w:t>a</w:t>
      </w:r>
      <w:r w:rsidRPr="00CB2A4A">
        <w:rPr>
          <w:rFonts w:ascii="Arial" w:hAnsi="Arial" w:cs="Arial"/>
        </w:rPr>
        <w:t xml:space="preserve"> market with huge commercial potential. The downsides are very high commercial real estate prices in Seoul, lots of competition from Zara, H&amp;M, Uniqlo, Shein, great domestic brands like </w:t>
      </w:r>
      <w:proofErr w:type="spellStart"/>
      <w:r w:rsidRPr="00CB2A4A">
        <w:rPr>
          <w:rFonts w:ascii="Arial" w:hAnsi="Arial" w:cs="Arial"/>
        </w:rPr>
        <w:t>Spao</w:t>
      </w:r>
      <w:proofErr w:type="spellEnd"/>
      <w:r w:rsidRPr="00CB2A4A">
        <w:rPr>
          <w:rFonts w:ascii="Arial" w:hAnsi="Arial" w:cs="Arial"/>
        </w:rPr>
        <w:t xml:space="preserve">, 8seconds, </w:t>
      </w:r>
      <w:proofErr w:type="spellStart"/>
      <w:r w:rsidRPr="00CB2A4A">
        <w:rPr>
          <w:rFonts w:ascii="Arial" w:hAnsi="Arial" w:cs="Arial"/>
        </w:rPr>
        <w:t>Musinsa</w:t>
      </w:r>
      <w:proofErr w:type="spellEnd"/>
      <w:r w:rsidRPr="00CB2A4A">
        <w:rPr>
          <w:rFonts w:ascii="Arial" w:hAnsi="Arial" w:cs="Arial"/>
        </w:rPr>
        <w:t>, and digital maturity</w:t>
      </w:r>
      <w:r w:rsidR="007C2204">
        <w:rPr>
          <w:rFonts w:ascii="Arial" w:hAnsi="Arial" w:cs="Arial"/>
        </w:rPr>
        <w:t>,</w:t>
      </w:r>
      <w:r w:rsidRPr="00CB2A4A">
        <w:rPr>
          <w:rFonts w:ascii="Arial" w:hAnsi="Arial" w:cs="Arial"/>
        </w:rPr>
        <w:t xml:space="preserve"> which puts a store-driven retailer at </w:t>
      </w:r>
      <w:r w:rsidR="007C2204">
        <w:rPr>
          <w:rFonts w:ascii="Arial" w:hAnsi="Arial" w:cs="Arial"/>
        </w:rPr>
        <w:t xml:space="preserve">a </w:t>
      </w:r>
      <w:r w:rsidRPr="00CB2A4A">
        <w:rPr>
          <w:rFonts w:ascii="Arial" w:hAnsi="Arial" w:cs="Arial"/>
        </w:rPr>
        <w:t>structural disadvantage. L-advantages are rated moderate.</w:t>
      </w:r>
      <w:r w:rsidR="00244974">
        <w:rPr>
          <w:rFonts w:ascii="Arial" w:hAnsi="Arial" w:cs="Arial"/>
        </w:rPr>
        <w:t xml:space="preserve">     </w:t>
      </w:r>
    </w:p>
    <w:p w14:paraId="756B7374" w14:textId="77777777" w:rsidR="00612205" w:rsidRPr="00CB2A4A" w:rsidRDefault="0023584E" w:rsidP="00747BFD">
      <w:pPr>
        <w:spacing w:before="240" w:after="120" w:line="360" w:lineRule="auto"/>
        <w:jc w:val="both"/>
        <w:rPr>
          <w:rFonts w:ascii="Arial" w:hAnsi="Arial" w:cs="Arial"/>
        </w:rPr>
      </w:pPr>
      <w:r w:rsidRPr="00CB2A4A">
        <w:rPr>
          <w:rFonts w:ascii="Arial" w:hAnsi="Arial" w:cs="Arial"/>
          <w:b/>
          <w:bCs/>
          <w:color w:val="1B2A4A"/>
        </w:rPr>
        <w:t>Internalisation Advantages</w:t>
      </w:r>
    </w:p>
    <w:p w14:paraId="36392FDD" w14:textId="3D269413" w:rsidR="00612205" w:rsidRDefault="009550AB" w:rsidP="00747BFD">
      <w:pPr>
        <w:spacing w:after="140" w:line="360" w:lineRule="auto"/>
        <w:jc w:val="both"/>
        <w:rPr>
          <w:rFonts w:ascii="Arial" w:hAnsi="Arial" w:cs="Arial"/>
        </w:rPr>
      </w:pPr>
      <w:r w:rsidRPr="00CB2A4A">
        <w:rPr>
          <w:rFonts w:ascii="Arial" w:hAnsi="Arial" w:cs="Arial"/>
        </w:rPr>
        <w:t xml:space="preserve">The case is about the I-advantage analysis in the case of the Korean operations of Primark, whether to set them up into internal hierarchy (WOS) or external mechanisms (franchise/JV). There are three elements that promote </w:t>
      </w:r>
      <w:r w:rsidR="007C2204">
        <w:rPr>
          <w:rFonts w:ascii="Arial" w:hAnsi="Arial" w:cs="Arial"/>
        </w:rPr>
        <w:t xml:space="preserve">the </w:t>
      </w:r>
      <w:r w:rsidRPr="00CB2A4A">
        <w:rPr>
          <w:rFonts w:ascii="Arial" w:hAnsi="Arial" w:cs="Arial"/>
        </w:rPr>
        <w:t>external mode. Primark is also in the 'liability of outsidership' as they are not well known in the local market and do not have any relationship with the network. Second, the Kuwait franchise offers a working model (GlobalData, 2025b). Third, the costs of transacting in a culturally different market are high because monitoring the quality of products and services is costly (Anderson and Gatignon, 1986). The I-advantage analysis is in favour of a franchise/cooperative model that provides strong brand protection.</w:t>
      </w:r>
    </w:p>
    <w:p w14:paraId="3D4D16DA" w14:textId="77777777" w:rsidR="00745222" w:rsidRDefault="00745222" w:rsidP="00747BFD">
      <w:pPr>
        <w:spacing w:after="140" w:line="360" w:lineRule="auto"/>
        <w:jc w:val="both"/>
        <w:rPr>
          <w:rFonts w:ascii="Arial" w:hAnsi="Arial" w:cs="Arial"/>
        </w:rPr>
      </w:pPr>
    </w:p>
    <w:p w14:paraId="48C75E82" w14:textId="77777777" w:rsidR="00CB2A4A" w:rsidRDefault="00CB2A4A" w:rsidP="00747BFD">
      <w:pPr>
        <w:spacing w:after="140" w:line="360" w:lineRule="auto"/>
        <w:jc w:val="both"/>
        <w:rPr>
          <w:rFonts w:ascii="Arial" w:hAnsi="Arial" w:cs="Arial"/>
        </w:rPr>
      </w:pPr>
    </w:p>
    <w:p w14:paraId="342466A5" w14:textId="77777777" w:rsidR="00CB2A4A" w:rsidRDefault="00CB2A4A" w:rsidP="00747BFD">
      <w:pPr>
        <w:spacing w:after="140" w:line="360" w:lineRule="auto"/>
        <w:jc w:val="both"/>
        <w:rPr>
          <w:rFonts w:ascii="Arial" w:hAnsi="Arial" w:cs="Arial"/>
        </w:rPr>
      </w:pPr>
    </w:p>
    <w:p w14:paraId="744BF56C" w14:textId="77777777" w:rsidR="00CB2A4A" w:rsidRPr="00CB2A4A" w:rsidRDefault="00CB2A4A" w:rsidP="00747BFD">
      <w:pPr>
        <w:spacing w:after="140" w:line="360" w:lineRule="auto"/>
        <w:jc w:val="both"/>
        <w:rPr>
          <w:rFonts w:ascii="Arial" w:hAnsi="Arial" w:cs="Arial"/>
        </w:rPr>
      </w:pPr>
    </w:p>
    <w:p w14:paraId="70AB1818" w14:textId="77777777" w:rsidR="009550AB" w:rsidRPr="00CB2A4A" w:rsidRDefault="009550AB" w:rsidP="00747BFD">
      <w:pPr>
        <w:spacing w:after="140" w:line="360" w:lineRule="auto"/>
        <w:jc w:val="both"/>
        <w:rPr>
          <w:rFonts w:ascii="Arial" w:hAnsi="Arial" w:cs="Arial"/>
        </w:rPr>
      </w:pPr>
    </w:p>
    <w:p w14:paraId="4AEDFB8A" w14:textId="77777777" w:rsidR="00612205" w:rsidRPr="00CB2A4A" w:rsidRDefault="0023584E" w:rsidP="00747BFD">
      <w:pPr>
        <w:spacing w:before="280" w:after="100" w:line="360" w:lineRule="auto"/>
        <w:jc w:val="both"/>
        <w:rPr>
          <w:rFonts w:ascii="Arial" w:hAnsi="Arial" w:cs="Arial"/>
        </w:rPr>
      </w:pPr>
      <w:r w:rsidRPr="00CB2A4A">
        <w:rPr>
          <w:rFonts w:ascii="Arial" w:eastAsia="Arial" w:hAnsi="Arial" w:cs="Arial"/>
          <w:b/>
          <w:bCs/>
          <w:color w:val="1B2A4A"/>
          <w:sz w:val="22"/>
          <w:szCs w:val="22"/>
        </w:rPr>
        <w:t>Table 4: OLI Framework Assessment Summary</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05"/>
        <w:gridCol w:w="2005"/>
        <w:gridCol w:w="1604"/>
        <w:gridCol w:w="3810"/>
      </w:tblGrid>
      <w:tr w:rsidR="00612205" w:rsidRPr="00CB2A4A" w14:paraId="68916516" w14:textId="77777777" w:rsidTr="009550AB">
        <w:trPr>
          <w:tblHeader/>
        </w:trPr>
        <w:tc>
          <w:tcPr>
            <w:tcW w:w="889" w:type="pct"/>
            <w:tcBorders>
              <w:top w:val="single" w:sz="1" w:space="0" w:color="1B2A4A"/>
              <w:left w:val="single" w:sz="1" w:space="0" w:color="1B2A4A"/>
              <w:bottom w:val="single" w:sz="1" w:space="0" w:color="1B2A4A"/>
              <w:right w:val="single" w:sz="1" w:space="0" w:color="1B2A4A"/>
            </w:tcBorders>
            <w:shd w:val="clear" w:color="auto" w:fill="1B2A4A"/>
            <w:vAlign w:val="center"/>
          </w:tcPr>
          <w:p w14:paraId="26D7B733" w14:textId="77777777" w:rsidR="00612205" w:rsidRPr="00CB2A4A" w:rsidRDefault="0023584E" w:rsidP="00747BFD">
            <w:pPr>
              <w:spacing w:before="50" w:after="50" w:line="360" w:lineRule="auto"/>
              <w:jc w:val="both"/>
              <w:rPr>
                <w:rFonts w:ascii="Arial" w:hAnsi="Arial" w:cs="Arial"/>
              </w:rPr>
            </w:pPr>
            <w:r w:rsidRPr="00CB2A4A">
              <w:rPr>
                <w:rFonts w:ascii="Arial" w:eastAsia="Arial" w:hAnsi="Arial" w:cs="Arial"/>
                <w:b/>
                <w:bCs/>
                <w:color w:val="FFFFFF"/>
                <w:sz w:val="19"/>
                <w:szCs w:val="19"/>
              </w:rPr>
              <w:t>OLI Component</w:t>
            </w:r>
          </w:p>
        </w:tc>
        <w:tc>
          <w:tcPr>
            <w:tcW w:w="1111" w:type="pct"/>
            <w:tcBorders>
              <w:top w:val="single" w:sz="1" w:space="0" w:color="1B2A4A"/>
              <w:left w:val="single" w:sz="1" w:space="0" w:color="1B2A4A"/>
              <w:bottom w:val="single" w:sz="1" w:space="0" w:color="1B2A4A"/>
              <w:right w:val="single" w:sz="1" w:space="0" w:color="1B2A4A"/>
            </w:tcBorders>
            <w:shd w:val="clear" w:color="auto" w:fill="1B2A4A"/>
            <w:vAlign w:val="center"/>
          </w:tcPr>
          <w:p w14:paraId="3C9BDFBE" w14:textId="77777777" w:rsidR="00612205" w:rsidRPr="00CB2A4A" w:rsidRDefault="0023584E" w:rsidP="00747BFD">
            <w:pPr>
              <w:spacing w:before="50" w:after="50" w:line="360" w:lineRule="auto"/>
              <w:jc w:val="both"/>
              <w:rPr>
                <w:rFonts w:ascii="Arial" w:hAnsi="Arial" w:cs="Arial"/>
              </w:rPr>
            </w:pPr>
            <w:r w:rsidRPr="00CB2A4A">
              <w:rPr>
                <w:rFonts w:ascii="Arial" w:eastAsia="Arial" w:hAnsi="Arial" w:cs="Arial"/>
                <w:b/>
                <w:bCs/>
                <w:color w:val="FFFFFF"/>
                <w:sz w:val="19"/>
                <w:szCs w:val="19"/>
              </w:rPr>
              <w:t>Factor</w:t>
            </w:r>
          </w:p>
        </w:tc>
        <w:tc>
          <w:tcPr>
            <w:tcW w:w="889" w:type="pct"/>
            <w:tcBorders>
              <w:top w:val="single" w:sz="1" w:space="0" w:color="1B2A4A"/>
              <w:left w:val="single" w:sz="1" w:space="0" w:color="1B2A4A"/>
              <w:bottom w:val="single" w:sz="1" w:space="0" w:color="1B2A4A"/>
              <w:right w:val="single" w:sz="1" w:space="0" w:color="1B2A4A"/>
            </w:tcBorders>
            <w:shd w:val="clear" w:color="auto" w:fill="1B2A4A"/>
            <w:vAlign w:val="center"/>
          </w:tcPr>
          <w:p w14:paraId="42E3490D" w14:textId="77777777" w:rsidR="00612205" w:rsidRPr="00CB2A4A" w:rsidRDefault="0023584E" w:rsidP="00747BFD">
            <w:pPr>
              <w:spacing w:before="50" w:after="50" w:line="360" w:lineRule="auto"/>
              <w:jc w:val="both"/>
              <w:rPr>
                <w:rFonts w:ascii="Arial" w:hAnsi="Arial" w:cs="Arial"/>
              </w:rPr>
            </w:pPr>
            <w:r w:rsidRPr="00CB2A4A">
              <w:rPr>
                <w:rFonts w:ascii="Arial" w:eastAsia="Arial" w:hAnsi="Arial" w:cs="Arial"/>
                <w:b/>
                <w:bCs/>
                <w:color w:val="FFFFFF"/>
                <w:sz w:val="19"/>
                <w:szCs w:val="19"/>
              </w:rPr>
              <w:t>Rating</w:t>
            </w:r>
          </w:p>
        </w:tc>
        <w:tc>
          <w:tcPr>
            <w:tcW w:w="2111" w:type="pct"/>
            <w:tcBorders>
              <w:top w:val="single" w:sz="1" w:space="0" w:color="1B2A4A"/>
              <w:left w:val="single" w:sz="1" w:space="0" w:color="1B2A4A"/>
              <w:bottom w:val="single" w:sz="1" w:space="0" w:color="1B2A4A"/>
              <w:right w:val="single" w:sz="1" w:space="0" w:color="1B2A4A"/>
            </w:tcBorders>
            <w:shd w:val="clear" w:color="auto" w:fill="1B2A4A"/>
            <w:vAlign w:val="center"/>
          </w:tcPr>
          <w:p w14:paraId="24764713" w14:textId="77777777" w:rsidR="00612205" w:rsidRPr="00CB2A4A" w:rsidRDefault="0023584E" w:rsidP="00747BFD">
            <w:pPr>
              <w:spacing w:before="50" w:after="50" w:line="360" w:lineRule="auto"/>
              <w:jc w:val="both"/>
              <w:rPr>
                <w:rFonts w:ascii="Arial" w:hAnsi="Arial" w:cs="Arial"/>
              </w:rPr>
            </w:pPr>
            <w:r w:rsidRPr="00CB2A4A">
              <w:rPr>
                <w:rFonts w:ascii="Arial" w:eastAsia="Arial" w:hAnsi="Arial" w:cs="Arial"/>
                <w:b/>
                <w:bCs/>
                <w:color w:val="FFFFFF"/>
                <w:sz w:val="19"/>
                <w:szCs w:val="19"/>
              </w:rPr>
              <w:t>Key Evidence</w:t>
            </w:r>
          </w:p>
        </w:tc>
      </w:tr>
      <w:tr w:rsidR="00612205" w:rsidRPr="00CB2A4A" w14:paraId="2E1CE9AF" w14:textId="77777777" w:rsidTr="009550AB">
        <w:tc>
          <w:tcPr>
            <w:tcW w:w="889" w:type="pct"/>
            <w:tcBorders>
              <w:top w:val="single" w:sz="1" w:space="0" w:color="D0D5DD"/>
              <w:left w:val="single" w:sz="1" w:space="0" w:color="D0D5DD"/>
              <w:bottom w:val="single" w:sz="1" w:space="0" w:color="D0D5DD"/>
              <w:right w:val="single" w:sz="1" w:space="0" w:color="D0D5DD"/>
            </w:tcBorders>
            <w:vAlign w:val="center"/>
          </w:tcPr>
          <w:p w14:paraId="2CDFFE3F"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O – Ownership</w:t>
            </w:r>
          </w:p>
        </w:tc>
        <w:tc>
          <w:tcPr>
            <w:tcW w:w="1111" w:type="pct"/>
            <w:tcBorders>
              <w:top w:val="single" w:sz="1" w:space="0" w:color="D0D5DD"/>
              <w:left w:val="single" w:sz="1" w:space="0" w:color="D0D5DD"/>
              <w:bottom w:val="single" w:sz="1" w:space="0" w:color="D0D5DD"/>
              <w:right w:val="single" w:sz="1" w:space="0" w:color="D0D5DD"/>
            </w:tcBorders>
            <w:vAlign w:val="center"/>
          </w:tcPr>
          <w:p w14:paraId="28297707"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Supply Chain Efficiency</w:t>
            </w:r>
          </w:p>
        </w:tc>
        <w:tc>
          <w:tcPr>
            <w:tcW w:w="889" w:type="pct"/>
            <w:tcBorders>
              <w:top w:val="single" w:sz="1" w:space="0" w:color="D0D5DD"/>
              <w:left w:val="single" w:sz="1" w:space="0" w:color="D0D5DD"/>
              <w:bottom w:val="single" w:sz="1" w:space="0" w:color="D0D5DD"/>
              <w:right w:val="single" w:sz="1" w:space="0" w:color="D0D5DD"/>
            </w:tcBorders>
            <w:vAlign w:val="center"/>
          </w:tcPr>
          <w:p w14:paraId="59C80D9A"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b/>
                <w:bCs/>
                <w:color w:val="1A7A4C"/>
                <w:sz w:val="19"/>
                <w:szCs w:val="19"/>
              </w:rPr>
              <w:t>Strong</w:t>
            </w:r>
          </w:p>
        </w:tc>
        <w:tc>
          <w:tcPr>
            <w:tcW w:w="2111" w:type="pct"/>
            <w:tcBorders>
              <w:top w:val="single" w:sz="1" w:space="0" w:color="D0D5DD"/>
              <w:left w:val="single" w:sz="1" w:space="0" w:color="D0D5DD"/>
              <w:bottom w:val="single" w:sz="1" w:space="0" w:color="D0D5DD"/>
              <w:right w:val="single" w:sz="1" w:space="0" w:color="D0D5DD"/>
            </w:tcBorders>
            <w:vAlign w:val="center"/>
          </w:tcPr>
          <w:p w14:paraId="6ABEA06A"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1,000+ factory sourcing network</w:t>
            </w:r>
          </w:p>
        </w:tc>
      </w:tr>
      <w:tr w:rsidR="00612205" w:rsidRPr="00CB2A4A" w14:paraId="747DD4BE" w14:textId="77777777" w:rsidTr="009550AB">
        <w:tc>
          <w:tcPr>
            <w:tcW w:w="889"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263DBCFC"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O – Ownership</w:t>
            </w:r>
          </w:p>
        </w:tc>
        <w:tc>
          <w:tcPr>
            <w:tcW w:w="1111"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2987E44B"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Brand Recognition</w:t>
            </w:r>
          </w:p>
        </w:tc>
        <w:tc>
          <w:tcPr>
            <w:tcW w:w="889"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5D4DD56E"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b/>
                <w:bCs/>
                <w:color w:val="C0392B"/>
                <w:sz w:val="19"/>
                <w:szCs w:val="19"/>
              </w:rPr>
              <w:t>Weak</w:t>
            </w:r>
          </w:p>
        </w:tc>
        <w:tc>
          <w:tcPr>
            <w:tcW w:w="2111"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0E01C20B"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Zero awareness in East Asia</w:t>
            </w:r>
          </w:p>
        </w:tc>
      </w:tr>
      <w:tr w:rsidR="00612205" w:rsidRPr="00CB2A4A" w14:paraId="647A59A2" w14:textId="77777777" w:rsidTr="009550AB">
        <w:tc>
          <w:tcPr>
            <w:tcW w:w="889" w:type="pct"/>
            <w:tcBorders>
              <w:top w:val="single" w:sz="1" w:space="0" w:color="D0D5DD"/>
              <w:left w:val="single" w:sz="1" w:space="0" w:color="D0D5DD"/>
              <w:bottom w:val="single" w:sz="1" w:space="0" w:color="D0D5DD"/>
              <w:right w:val="single" w:sz="1" w:space="0" w:color="D0D5DD"/>
            </w:tcBorders>
            <w:vAlign w:val="center"/>
          </w:tcPr>
          <w:p w14:paraId="1A57786F"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O – Ownership</w:t>
            </w:r>
          </w:p>
        </w:tc>
        <w:tc>
          <w:tcPr>
            <w:tcW w:w="1111" w:type="pct"/>
            <w:tcBorders>
              <w:top w:val="single" w:sz="1" w:space="0" w:color="D0D5DD"/>
              <w:left w:val="single" w:sz="1" w:space="0" w:color="D0D5DD"/>
              <w:bottom w:val="single" w:sz="1" w:space="0" w:color="D0D5DD"/>
              <w:right w:val="single" w:sz="1" w:space="0" w:color="D0D5DD"/>
            </w:tcBorders>
            <w:vAlign w:val="center"/>
          </w:tcPr>
          <w:p w14:paraId="28B3F418"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Digital Capabilities</w:t>
            </w:r>
          </w:p>
        </w:tc>
        <w:tc>
          <w:tcPr>
            <w:tcW w:w="889" w:type="pct"/>
            <w:tcBorders>
              <w:top w:val="single" w:sz="1" w:space="0" w:color="D0D5DD"/>
              <w:left w:val="single" w:sz="1" w:space="0" w:color="D0D5DD"/>
              <w:bottom w:val="single" w:sz="1" w:space="0" w:color="D0D5DD"/>
              <w:right w:val="single" w:sz="1" w:space="0" w:color="D0D5DD"/>
            </w:tcBorders>
            <w:vAlign w:val="center"/>
          </w:tcPr>
          <w:p w14:paraId="1AA81849"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b/>
                <w:bCs/>
                <w:color w:val="C0392B"/>
                <w:sz w:val="19"/>
                <w:szCs w:val="19"/>
              </w:rPr>
              <w:t>Weak</w:t>
            </w:r>
          </w:p>
        </w:tc>
        <w:tc>
          <w:tcPr>
            <w:tcW w:w="2111" w:type="pct"/>
            <w:tcBorders>
              <w:top w:val="single" w:sz="1" w:space="0" w:color="D0D5DD"/>
              <w:left w:val="single" w:sz="1" w:space="0" w:color="D0D5DD"/>
              <w:bottom w:val="single" w:sz="1" w:space="0" w:color="D0D5DD"/>
              <w:right w:val="single" w:sz="1" w:space="0" w:color="D0D5DD"/>
            </w:tcBorders>
            <w:vAlign w:val="center"/>
          </w:tcPr>
          <w:p w14:paraId="3DB85AA6"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Click-collect only; no home delivery</w:t>
            </w:r>
          </w:p>
        </w:tc>
      </w:tr>
      <w:tr w:rsidR="00612205" w:rsidRPr="00CB2A4A" w14:paraId="5598B15E" w14:textId="77777777" w:rsidTr="009550AB">
        <w:tc>
          <w:tcPr>
            <w:tcW w:w="889"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44CD990F"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O – Ownership</w:t>
            </w:r>
          </w:p>
        </w:tc>
        <w:tc>
          <w:tcPr>
            <w:tcW w:w="1111"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1E759BEF"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Store Operations Know-How</w:t>
            </w:r>
          </w:p>
        </w:tc>
        <w:tc>
          <w:tcPr>
            <w:tcW w:w="889"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20EBDE3E"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Moderate</w:t>
            </w:r>
          </w:p>
        </w:tc>
        <w:tc>
          <w:tcPr>
            <w:tcW w:w="2111"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13B9AFC4"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17 markets but none in Asia</w:t>
            </w:r>
          </w:p>
        </w:tc>
      </w:tr>
      <w:tr w:rsidR="00612205" w:rsidRPr="00CB2A4A" w14:paraId="1DEDE493" w14:textId="77777777" w:rsidTr="009550AB">
        <w:tc>
          <w:tcPr>
            <w:tcW w:w="889" w:type="pct"/>
            <w:tcBorders>
              <w:top w:val="single" w:sz="1" w:space="0" w:color="D0D5DD"/>
              <w:left w:val="single" w:sz="1" w:space="0" w:color="D0D5DD"/>
              <w:bottom w:val="single" w:sz="1" w:space="0" w:color="D0D5DD"/>
              <w:right w:val="single" w:sz="1" w:space="0" w:color="D0D5DD"/>
            </w:tcBorders>
            <w:vAlign w:val="center"/>
          </w:tcPr>
          <w:p w14:paraId="5DD941B5"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L – Location</w:t>
            </w:r>
          </w:p>
        </w:tc>
        <w:tc>
          <w:tcPr>
            <w:tcW w:w="1111" w:type="pct"/>
            <w:tcBorders>
              <w:top w:val="single" w:sz="1" w:space="0" w:color="D0D5DD"/>
              <w:left w:val="single" w:sz="1" w:space="0" w:color="D0D5DD"/>
              <w:bottom w:val="single" w:sz="1" w:space="0" w:color="D0D5DD"/>
              <w:right w:val="single" w:sz="1" w:space="0" w:color="D0D5DD"/>
            </w:tcBorders>
            <w:vAlign w:val="center"/>
          </w:tcPr>
          <w:p w14:paraId="72BA9F6F"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Market Size &amp; Spend</w:t>
            </w:r>
          </w:p>
        </w:tc>
        <w:tc>
          <w:tcPr>
            <w:tcW w:w="889" w:type="pct"/>
            <w:tcBorders>
              <w:top w:val="single" w:sz="1" w:space="0" w:color="D0D5DD"/>
              <w:left w:val="single" w:sz="1" w:space="0" w:color="D0D5DD"/>
              <w:bottom w:val="single" w:sz="1" w:space="0" w:color="D0D5DD"/>
              <w:right w:val="single" w:sz="1" w:space="0" w:color="D0D5DD"/>
            </w:tcBorders>
            <w:vAlign w:val="center"/>
          </w:tcPr>
          <w:p w14:paraId="7C8347A0"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b/>
                <w:bCs/>
                <w:color w:val="1A7A4C"/>
                <w:sz w:val="19"/>
                <w:szCs w:val="19"/>
              </w:rPr>
              <w:t>Strong</w:t>
            </w:r>
          </w:p>
        </w:tc>
        <w:tc>
          <w:tcPr>
            <w:tcW w:w="2111" w:type="pct"/>
            <w:tcBorders>
              <w:top w:val="single" w:sz="1" w:space="0" w:color="D0D5DD"/>
              <w:left w:val="single" w:sz="1" w:space="0" w:color="D0D5DD"/>
              <w:bottom w:val="single" w:sz="1" w:space="0" w:color="D0D5DD"/>
              <w:right w:val="single" w:sz="1" w:space="0" w:color="D0D5DD"/>
            </w:tcBorders>
            <w:vAlign w:val="center"/>
          </w:tcPr>
          <w:p w14:paraId="535FD151"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USD 30.65bn apparel market</w:t>
            </w:r>
          </w:p>
        </w:tc>
      </w:tr>
      <w:tr w:rsidR="00612205" w:rsidRPr="00CB2A4A" w14:paraId="4A83E911" w14:textId="77777777" w:rsidTr="009550AB">
        <w:tc>
          <w:tcPr>
            <w:tcW w:w="889"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4A668E34"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L – Location</w:t>
            </w:r>
          </w:p>
        </w:tc>
        <w:tc>
          <w:tcPr>
            <w:tcW w:w="1111"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5B6A4093"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Trade &amp; Investment</w:t>
            </w:r>
          </w:p>
        </w:tc>
        <w:tc>
          <w:tcPr>
            <w:tcW w:w="889"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163C1F85"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b/>
                <w:bCs/>
                <w:color w:val="1A7A4C"/>
                <w:sz w:val="19"/>
                <w:szCs w:val="19"/>
              </w:rPr>
              <w:t>Strong</w:t>
            </w:r>
          </w:p>
        </w:tc>
        <w:tc>
          <w:tcPr>
            <w:tcW w:w="2111"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1B91FC2C"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EU-Korea FTA; USD 32.7bn FDI</w:t>
            </w:r>
          </w:p>
        </w:tc>
      </w:tr>
      <w:tr w:rsidR="00612205" w:rsidRPr="00CB2A4A" w14:paraId="09BB6036" w14:textId="77777777" w:rsidTr="009550AB">
        <w:tc>
          <w:tcPr>
            <w:tcW w:w="889" w:type="pct"/>
            <w:tcBorders>
              <w:top w:val="single" w:sz="1" w:space="0" w:color="D0D5DD"/>
              <w:left w:val="single" w:sz="1" w:space="0" w:color="D0D5DD"/>
              <w:bottom w:val="single" w:sz="1" w:space="0" w:color="D0D5DD"/>
              <w:right w:val="single" w:sz="1" w:space="0" w:color="D0D5DD"/>
            </w:tcBorders>
            <w:vAlign w:val="center"/>
          </w:tcPr>
          <w:p w14:paraId="41911D26"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L – Location</w:t>
            </w:r>
          </w:p>
        </w:tc>
        <w:tc>
          <w:tcPr>
            <w:tcW w:w="1111" w:type="pct"/>
            <w:tcBorders>
              <w:top w:val="single" w:sz="1" w:space="0" w:color="D0D5DD"/>
              <w:left w:val="single" w:sz="1" w:space="0" w:color="D0D5DD"/>
              <w:bottom w:val="single" w:sz="1" w:space="0" w:color="D0D5DD"/>
              <w:right w:val="single" w:sz="1" w:space="0" w:color="D0D5DD"/>
            </w:tcBorders>
            <w:vAlign w:val="center"/>
          </w:tcPr>
          <w:p w14:paraId="77180AD3"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Real Estate Costs</w:t>
            </w:r>
          </w:p>
        </w:tc>
        <w:tc>
          <w:tcPr>
            <w:tcW w:w="889" w:type="pct"/>
            <w:tcBorders>
              <w:top w:val="single" w:sz="1" w:space="0" w:color="D0D5DD"/>
              <w:left w:val="single" w:sz="1" w:space="0" w:color="D0D5DD"/>
              <w:bottom w:val="single" w:sz="1" w:space="0" w:color="D0D5DD"/>
              <w:right w:val="single" w:sz="1" w:space="0" w:color="D0D5DD"/>
            </w:tcBorders>
            <w:vAlign w:val="center"/>
          </w:tcPr>
          <w:p w14:paraId="7064408D"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b/>
                <w:bCs/>
                <w:color w:val="C0392B"/>
                <w:sz w:val="19"/>
                <w:szCs w:val="19"/>
              </w:rPr>
              <w:t>Weak</w:t>
            </w:r>
          </w:p>
        </w:tc>
        <w:tc>
          <w:tcPr>
            <w:tcW w:w="2111" w:type="pct"/>
            <w:tcBorders>
              <w:top w:val="single" w:sz="1" w:space="0" w:color="D0D5DD"/>
              <w:left w:val="single" w:sz="1" w:space="0" w:color="D0D5DD"/>
              <w:bottom w:val="single" w:sz="1" w:space="0" w:color="D0D5DD"/>
              <w:right w:val="single" w:sz="1" w:space="0" w:color="D0D5DD"/>
            </w:tcBorders>
            <w:vAlign w:val="center"/>
          </w:tcPr>
          <w:p w14:paraId="510D63D2"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Among highest in Asia (Seoul)</w:t>
            </w:r>
          </w:p>
        </w:tc>
      </w:tr>
      <w:tr w:rsidR="00612205" w:rsidRPr="00CB2A4A" w14:paraId="082FCDA2" w14:textId="77777777" w:rsidTr="009550AB">
        <w:tc>
          <w:tcPr>
            <w:tcW w:w="889"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7466A0D3"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L – Location</w:t>
            </w:r>
          </w:p>
        </w:tc>
        <w:tc>
          <w:tcPr>
            <w:tcW w:w="1111"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2034BB1C"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Competitive Intensity</w:t>
            </w:r>
          </w:p>
        </w:tc>
        <w:tc>
          <w:tcPr>
            <w:tcW w:w="889"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21FAEFC6"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b/>
                <w:bCs/>
                <w:color w:val="C0392B"/>
                <w:sz w:val="19"/>
                <w:szCs w:val="19"/>
              </w:rPr>
              <w:t>Weak</w:t>
            </w:r>
          </w:p>
        </w:tc>
        <w:tc>
          <w:tcPr>
            <w:tcW w:w="2111"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32CD4729"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Zara, H&amp;M, Uniqlo, Shein, Musinsa</w:t>
            </w:r>
          </w:p>
        </w:tc>
      </w:tr>
      <w:tr w:rsidR="00612205" w:rsidRPr="00CB2A4A" w14:paraId="184D5F30" w14:textId="77777777" w:rsidTr="009550AB">
        <w:tc>
          <w:tcPr>
            <w:tcW w:w="889" w:type="pct"/>
            <w:tcBorders>
              <w:top w:val="single" w:sz="1" w:space="0" w:color="D0D5DD"/>
              <w:left w:val="single" w:sz="1" w:space="0" w:color="D0D5DD"/>
              <w:bottom w:val="single" w:sz="1" w:space="0" w:color="D0D5DD"/>
              <w:right w:val="single" w:sz="1" w:space="0" w:color="D0D5DD"/>
            </w:tcBorders>
            <w:vAlign w:val="center"/>
          </w:tcPr>
          <w:p w14:paraId="2CF07C3F"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L – Location</w:t>
            </w:r>
          </w:p>
        </w:tc>
        <w:tc>
          <w:tcPr>
            <w:tcW w:w="1111" w:type="pct"/>
            <w:tcBorders>
              <w:top w:val="single" w:sz="1" w:space="0" w:color="D0D5DD"/>
              <w:left w:val="single" w:sz="1" w:space="0" w:color="D0D5DD"/>
              <w:bottom w:val="single" w:sz="1" w:space="0" w:color="D0D5DD"/>
              <w:right w:val="single" w:sz="1" w:space="0" w:color="D0D5DD"/>
            </w:tcBorders>
            <w:vAlign w:val="center"/>
          </w:tcPr>
          <w:p w14:paraId="20DB3FCD"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Cultural Distance</w:t>
            </w:r>
          </w:p>
        </w:tc>
        <w:tc>
          <w:tcPr>
            <w:tcW w:w="889" w:type="pct"/>
            <w:tcBorders>
              <w:top w:val="single" w:sz="1" w:space="0" w:color="D0D5DD"/>
              <w:left w:val="single" w:sz="1" w:space="0" w:color="D0D5DD"/>
              <w:bottom w:val="single" w:sz="1" w:space="0" w:color="D0D5DD"/>
              <w:right w:val="single" w:sz="1" w:space="0" w:color="D0D5DD"/>
            </w:tcBorders>
            <w:vAlign w:val="center"/>
          </w:tcPr>
          <w:p w14:paraId="162B56D2"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b/>
                <w:bCs/>
                <w:color w:val="C0392B"/>
                <w:sz w:val="19"/>
                <w:szCs w:val="19"/>
              </w:rPr>
              <w:t>Weak</w:t>
            </w:r>
          </w:p>
        </w:tc>
        <w:tc>
          <w:tcPr>
            <w:tcW w:w="2111" w:type="pct"/>
            <w:tcBorders>
              <w:top w:val="single" w:sz="1" w:space="0" w:color="D0D5DD"/>
              <w:left w:val="single" w:sz="1" w:space="0" w:color="D0D5DD"/>
              <w:bottom w:val="single" w:sz="1" w:space="0" w:color="D0D5DD"/>
              <w:right w:val="single" w:sz="1" w:space="0" w:color="D0D5DD"/>
            </w:tcBorders>
            <w:vAlign w:val="center"/>
          </w:tcPr>
          <w:p w14:paraId="17AE645F"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Hofstede gaps: IDV 71, UAI 50</w:t>
            </w:r>
          </w:p>
        </w:tc>
      </w:tr>
      <w:tr w:rsidR="00612205" w:rsidRPr="00CB2A4A" w14:paraId="36CB7123" w14:textId="77777777" w:rsidTr="009550AB">
        <w:tc>
          <w:tcPr>
            <w:tcW w:w="889"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6B4983A2"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I – Internalisation</w:t>
            </w:r>
          </w:p>
        </w:tc>
        <w:tc>
          <w:tcPr>
            <w:tcW w:w="1111"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7E4BDDD3"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Local Knowledge Need</w:t>
            </w:r>
          </w:p>
        </w:tc>
        <w:tc>
          <w:tcPr>
            <w:tcW w:w="889"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3F89F125"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Favours Franchise</w:t>
            </w:r>
          </w:p>
        </w:tc>
        <w:tc>
          <w:tcPr>
            <w:tcW w:w="2111"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29F4FE45"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Zero Korean networks</w:t>
            </w:r>
          </w:p>
        </w:tc>
      </w:tr>
      <w:tr w:rsidR="00612205" w:rsidRPr="00CB2A4A" w14:paraId="75F949FD" w14:textId="77777777" w:rsidTr="009550AB">
        <w:tc>
          <w:tcPr>
            <w:tcW w:w="889" w:type="pct"/>
            <w:tcBorders>
              <w:top w:val="single" w:sz="1" w:space="0" w:color="D0D5DD"/>
              <w:left w:val="single" w:sz="1" w:space="0" w:color="D0D5DD"/>
              <w:bottom w:val="single" w:sz="1" w:space="0" w:color="D0D5DD"/>
              <w:right w:val="single" w:sz="1" w:space="0" w:color="D0D5DD"/>
            </w:tcBorders>
            <w:vAlign w:val="center"/>
          </w:tcPr>
          <w:p w14:paraId="35C01DEA"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I – Internalisation</w:t>
            </w:r>
          </w:p>
        </w:tc>
        <w:tc>
          <w:tcPr>
            <w:tcW w:w="1111" w:type="pct"/>
            <w:tcBorders>
              <w:top w:val="single" w:sz="1" w:space="0" w:color="D0D5DD"/>
              <w:left w:val="single" w:sz="1" w:space="0" w:color="D0D5DD"/>
              <w:bottom w:val="single" w:sz="1" w:space="0" w:color="D0D5DD"/>
              <w:right w:val="single" w:sz="1" w:space="0" w:color="D0D5DD"/>
            </w:tcBorders>
            <w:vAlign w:val="center"/>
          </w:tcPr>
          <w:p w14:paraId="26485773"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Precedent</w:t>
            </w:r>
          </w:p>
        </w:tc>
        <w:tc>
          <w:tcPr>
            <w:tcW w:w="889" w:type="pct"/>
            <w:tcBorders>
              <w:top w:val="single" w:sz="1" w:space="0" w:color="D0D5DD"/>
              <w:left w:val="single" w:sz="1" w:space="0" w:color="D0D5DD"/>
              <w:bottom w:val="single" w:sz="1" w:space="0" w:color="D0D5DD"/>
              <w:right w:val="single" w:sz="1" w:space="0" w:color="D0D5DD"/>
            </w:tcBorders>
            <w:vAlign w:val="center"/>
          </w:tcPr>
          <w:p w14:paraId="404FAE85"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Favours Franchise</w:t>
            </w:r>
          </w:p>
        </w:tc>
        <w:tc>
          <w:tcPr>
            <w:tcW w:w="2111" w:type="pct"/>
            <w:tcBorders>
              <w:top w:val="single" w:sz="1" w:space="0" w:color="D0D5DD"/>
              <w:left w:val="single" w:sz="1" w:space="0" w:color="D0D5DD"/>
              <w:bottom w:val="single" w:sz="1" w:space="0" w:color="D0D5DD"/>
              <w:right w:val="single" w:sz="1" w:space="0" w:color="D0D5DD"/>
            </w:tcBorders>
            <w:vAlign w:val="center"/>
          </w:tcPr>
          <w:p w14:paraId="4BE6F2B1"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Kuwait/Alshaya model (2025)</w:t>
            </w:r>
          </w:p>
        </w:tc>
      </w:tr>
      <w:tr w:rsidR="00612205" w:rsidRPr="00CB2A4A" w14:paraId="0D89EC6A" w14:textId="77777777" w:rsidTr="009550AB">
        <w:tc>
          <w:tcPr>
            <w:tcW w:w="889"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77985901"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I – Internalisation</w:t>
            </w:r>
          </w:p>
        </w:tc>
        <w:tc>
          <w:tcPr>
            <w:tcW w:w="1111"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2A9B835C"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Quality Control</w:t>
            </w:r>
          </w:p>
        </w:tc>
        <w:tc>
          <w:tcPr>
            <w:tcW w:w="889"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2B0B2DF9"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Favours WOS</w:t>
            </w:r>
          </w:p>
        </w:tc>
        <w:tc>
          <w:tcPr>
            <w:tcW w:w="2111" w:type="pct"/>
            <w:tcBorders>
              <w:top w:val="single" w:sz="1" w:space="0" w:color="D0D5DD"/>
              <w:left w:val="single" w:sz="1" w:space="0" w:color="D0D5DD"/>
              <w:bottom w:val="single" w:sz="1" w:space="0" w:color="D0D5DD"/>
              <w:right w:val="single" w:sz="1" w:space="0" w:color="D0D5DD"/>
            </w:tcBorders>
            <w:shd w:val="clear" w:color="auto" w:fill="F0F4FA"/>
            <w:vAlign w:val="center"/>
          </w:tcPr>
          <w:p w14:paraId="66EF8338"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Brand experience is core asset</w:t>
            </w:r>
          </w:p>
        </w:tc>
      </w:tr>
    </w:tbl>
    <w:p w14:paraId="7F3F55A7" w14:textId="1958F15B" w:rsidR="00612205" w:rsidRPr="00CB2A4A" w:rsidRDefault="0023584E" w:rsidP="00376D75">
      <w:pPr>
        <w:spacing w:before="40" w:after="240" w:line="360" w:lineRule="auto"/>
        <w:jc w:val="center"/>
        <w:rPr>
          <w:rFonts w:ascii="Arial" w:hAnsi="Arial" w:cs="Arial"/>
          <w:sz w:val="28"/>
          <w:szCs w:val="28"/>
        </w:rPr>
      </w:pPr>
      <w:r w:rsidRPr="00CB2A4A">
        <w:rPr>
          <w:rFonts w:ascii="Arial" w:hAnsi="Arial" w:cs="Arial"/>
          <w:color w:val="555555"/>
          <w:sz w:val="20"/>
          <w:szCs w:val="20"/>
        </w:rPr>
        <w:t>Source: Assessment applying Dunning's OLI Paradigm (2000; 2001). Evidence sources: OECD (2024); GlobalData (2025b, 2026a); MOTIE (2024); Hofstede Insights (2026).</w:t>
      </w:r>
      <w:r w:rsidR="00376D75" w:rsidRPr="00CB2A4A">
        <w:rPr>
          <w:rFonts w:ascii="Arial" w:hAnsi="Arial" w:cs="Arial"/>
          <w:color w:val="555555"/>
          <w:sz w:val="20"/>
          <w:szCs w:val="20"/>
        </w:rPr>
        <w:t xml:space="preserve"> Created in </w:t>
      </w:r>
      <w:r w:rsidR="007C2204">
        <w:rPr>
          <w:rFonts w:ascii="Arial" w:hAnsi="Arial" w:cs="Arial"/>
          <w:color w:val="555555"/>
          <w:sz w:val="20"/>
          <w:szCs w:val="20"/>
        </w:rPr>
        <w:t>Excel</w:t>
      </w:r>
      <w:r w:rsidR="00376D75" w:rsidRPr="00CB2A4A">
        <w:rPr>
          <w:rFonts w:ascii="Arial" w:hAnsi="Arial" w:cs="Arial"/>
          <w:color w:val="555555"/>
          <w:sz w:val="20"/>
          <w:szCs w:val="20"/>
        </w:rPr>
        <w:t>.</w:t>
      </w:r>
    </w:p>
    <w:p w14:paraId="1F6CB95F" w14:textId="77777777" w:rsidR="009550AB" w:rsidRPr="00CB2A4A" w:rsidRDefault="009550AB" w:rsidP="00747BFD">
      <w:pPr>
        <w:spacing w:before="160" w:after="80" w:line="360" w:lineRule="auto"/>
        <w:jc w:val="both"/>
        <w:rPr>
          <w:rFonts w:ascii="Arial" w:hAnsi="Arial" w:cs="Arial"/>
          <w:noProof/>
        </w:rPr>
      </w:pPr>
    </w:p>
    <w:p w14:paraId="3BC5DBE2" w14:textId="60E72B15" w:rsidR="00612205" w:rsidRPr="00CB2A4A" w:rsidRDefault="0023584E" w:rsidP="00747BFD">
      <w:pPr>
        <w:spacing w:before="160" w:after="80" w:line="360" w:lineRule="auto"/>
        <w:jc w:val="both"/>
        <w:rPr>
          <w:rFonts w:ascii="Arial" w:hAnsi="Arial" w:cs="Arial"/>
        </w:rPr>
      </w:pPr>
      <w:r w:rsidRPr="00CB2A4A">
        <w:rPr>
          <w:rFonts w:ascii="Arial" w:hAnsi="Arial" w:cs="Arial"/>
          <w:noProof/>
        </w:rPr>
        <w:drawing>
          <wp:inline distT="0" distB="0" distL="0" distR="0" wp14:anchorId="3036F4CB" wp14:editId="1C3CBB39">
            <wp:extent cx="5334000" cy="2964180"/>
            <wp:effectExtent l="0" t="0" r="0" b="7620"/>
            <wp:docPr id="783419632" name="Picture 783419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2"/>
                    <a:srcRect t="8470"/>
                    <a:stretch>
                      <a:fillRect/>
                    </a:stretch>
                  </pic:blipFill>
                  <pic:spPr bwMode="auto">
                    <a:xfrm>
                      <a:off x="0" y="0"/>
                      <a:ext cx="5334000" cy="2964180"/>
                    </a:xfrm>
                    <a:prstGeom prst="rect">
                      <a:avLst/>
                    </a:prstGeom>
                    <a:ln>
                      <a:noFill/>
                    </a:ln>
                    <a:extLst>
                      <a:ext uri="{53640926-AAD7-44D8-BBD7-CCE9431645EC}">
                        <a14:shadowObscured xmlns:a14="http://schemas.microsoft.com/office/drawing/2010/main"/>
                      </a:ext>
                    </a:extLst>
                  </pic:spPr>
                </pic:pic>
              </a:graphicData>
            </a:graphic>
          </wp:inline>
        </w:drawing>
      </w:r>
    </w:p>
    <w:p w14:paraId="1487CE7C" w14:textId="5BE2FA6F" w:rsidR="009550AB" w:rsidRPr="00CB2A4A" w:rsidRDefault="009550AB" w:rsidP="00747BFD">
      <w:pPr>
        <w:spacing w:before="160" w:after="80" w:line="360" w:lineRule="auto"/>
        <w:jc w:val="both"/>
        <w:rPr>
          <w:rFonts w:ascii="Arial" w:hAnsi="Arial" w:cs="Arial"/>
          <w:sz w:val="20"/>
          <w:szCs w:val="20"/>
        </w:rPr>
      </w:pPr>
      <w:r w:rsidRPr="00CB2A4A">
        <w:rPr>
          <w:rFonts w:ascii="Arial" w:hAnsi="Arial" w:cs="Arial"/>
          <w:sz w:val="20"/>
          <w:szCs w:val="20"/>
        </w:rPr>
        <w:t>Figure 4: OLI Assessment Summary - Primark in South Korea</w:t>
      </w:r>
      <w:r w:rsidR="00376D75" w:rsidRPr="00CB2A4A">
        <w:rPr>
          <w:rFonts w:ascii="Arial" w:hAnsi="Arial" w:cs="Arial"/>
          <w:sz w:val="20"/>
          <w:szCs w:val="20"/>
        </w:rPr>
        <w:t>.</w:t>
      </w:r>
      <w:r w:rsidR="00376D75" w:rsidRPr="00CB2A4A">
        <w:rPr>
          <w:rFonts w:ascii="Arial" w:hAnsi="Arial" w:cs="Arial"/>
          <w:color w:val="555555"/>
          <w:sz w:val="20"/>
          <w:szCs w:val="20"/>
        </w:rPr>
        <w:t xml:space="preserve"> Created in </w:t>
      </w:r>
      <w:r w:rsidR="007C2204">
        <w:rPr>
          <w:rFonts w:ascii="Arial" w:hAnsi="Arial" w:cs="Arial"/>
          <w:color w:val="555555"/>
          <w:sz w:val="20"/>
          <w:szCs w:val="20"/>
        </w:rPr>
        <w:t>Excel</w:t>
      </w:r>
      <w:r w:rsidR="00376D75" w:rsidRPr="00CB2A4A">
        <w:rPr>
          <w:rFonts w:ascii="Arial" w:hAnsi="Arial" w:cs="Arial"/>
          <w:color w:val="555555"/>
          <w:sz w:val="20"/>
          <w:szCs w:val="20"/>
        </w:rPr>
        <w:t>.</w:t>
      </w:r>
    </w:p>
    <w:p w14:paraId="4EC8EF54" w14:textId="08C63C7A" w:rsidR="00612205" w:rsidRPr="00CB2A4A" w:rsidRDefault="0023584E" w:rsidP="00CB2A4A">
      <w:pPr>
        <w:spacing w:before="200" w:after="200" w:line="360" w:lineRule="auto"/>
        <w:jc w:val="both"/>
        <w:rPr>
          <w:rFonts w:ascii="Arial" w:hAnsi="Arial" w:cs="Arial"/>
        </w:rPr>
      </w:pPr>
      <w:r w:rsidRPr="00CB2A4A">
        <w:rPr>
          <w:rFonts w:ascii="Arial" w:hAnsi="Arial" w:cs="Arial"/>
          <w:color w:val="555555"/>
        </w:rPr>
        <w:lastRenderedPageBreak/>
        <w:t>The PESTLE and OLI analyses collectively indicate that South Korea offers strong fundamentals but presents significant challenges in cultural distance, digital maturity</w:t>
      </w:r>
      <w:r w:rsidR="007C2204">
        <w:rPr>
          <w:rFonts w:ascii="Arial" w:hAnsi="Arial" w:cs="Arial"/>
          <w:color w:val="555555"/>
        </w:rPr>
        <w:t>,</w:t>
      </w:r>
      <w:r w:rsidRPr="00CB2A4A">
        <w:rPr>
          <w:rFonts w:ascii="Arial" w:hAnsi="Arial" w:cs="Arial"/>
          <w:color w:val="555555"/>
        </w:rPr>
        <w:t xml:space="preserve"> and brand recognition. These conditions directly inform the entry mode recommendation that follows.</w:t>
      </w:r>
      <w:r w:rsidRPr="00CB2A4A">
        <w:rPr>
          <w:rFonts w:ascii="Arial" w:hAnsi="Arial" w:cs="Arial"/>
        </w:rPr>
        <w:br w:type="page"/>
      </w:r>
    </w:p>
    <w:p w14:paraId="0D924468" w14:textId="058654D0" w:rsidR="00612205" w:rsidRPr="00CB2A4A" w:rsidRDefault="0023584E" w:rsidP="00747BFD">
      <w:pPr>
        <w:pStyle w:val="Heading1"/>
        <w:pBdr>
          <w:bottom w:val="single" w:sz="6" w:space="0" w:color="2E5090"/>
        </w:pBdr>
        <w:spacing w:line="360" w:lineRule="auto"/>
        <w:jc w:val="both"/>
      </w:pPr>
      <w:bookmarkStart w:id="14" w:name="_Toc236295279"/>
      <w:bookmarkStart w:id="15" w:name="_Toc236296281"/>
      <w:r w:rsidRPr="00CB2A4A">
        <w:lastRenderedPageBreak/>
        <w:t>Section 3: Entry Mode Strategy and Strategic Synthesis</w:t>
      </w:r>
      <w:bookmarkEnd w:id="14"/>
      <w:bookmarkEnd w:id="15"/>
    </w:p>
    <w:p w14:paraId="3F5709EC" w14:textId="77777777" w:rsidR="00612205" w:rsidRPr="00CB2A4A" w:rsidRDefault="0023584E" w:rsidP="00747BFD">
      <w:pPr>
        <w:spacing w:after="140" w:line="360" w:lineRule="auto"/>
        <w:jc w:val="both"/>
        <w:rPr>
          <w:rFonts w:ascii="Arial" w:hAnsi="Arial" w:cs="Arial"/>
        </w:rPr>
      </w:pPr>
      <w:r w:rsidRPr="00CB2A4A">
        <w:rPr>
          <w:rFonts w:ascii="Arial" w:hAnsi="Arial" w:cs="Arial"/>
        </w:rPr>
        <w:t>Building on the preceding environmental and firm-level analysis, this section examines Primark's historical internationalisation pattern and synthesises evidence toward an entry mode recommendation.</w:t>
      </w:r>
    </w:p>
    <w:p w14:paraId="092468CC" w14:textId="77777777" w:rsidR="00612205" w:rsidRPr="00CB2A4A" w:rsidRDefault="0023584E" w:rsidP="00747BFD">
      <w:pPr>
        <w:pStyle w:val="Heading2"/>
        <w:spacing w:line="360" w:lineRule="auto"/>
        <w:jc w:val="both"/>
      </w:pPr>
      <w:bookmarkStart w:id="16" w:name="_Toc236295280"/>
      <w:bookmarkStart w:id="17" w:name="_Toc236296282"/>
      <w:r w:rsidRPr="00CB2A4A">
        <w:t>3.1 Historical Pattern Recognition</w:t>
      </w:r>
      <w:bookmarkEnd w:id="16"/>
      <w:bookmarkEnd w:id="17"/>
    </w:p>
    <w:p w14:paraId="54D50737" w14:textId="77777777" w:rsidR="00612205" w:rsidRPr="00CB2A4A" w:rsidRDefault="0023584E" w:rsidP="00747BFD">
      <w:pPr>
        <w:spacing w:before="280" w:after="100" w:line="360" w:lineRule="auto"/>
        <w:jc w:val="both"/>
        <w:rPr>
          <w:rFonts w:ascii="Arial" w:hAnsi="Arial" w:cs="Arial"/>
        </w:rPr>
      </w:pPr>
      <w:r w:rsidRPr="00CB2A4A">
        <w:rPr>
          <w:rFonts w:ascii="Arial" w:eastAsia="Arial" w:hAnsi="Arial" w:cs="Arial"/>
          <w:b/>
          <w:bCs/>
          <w:color w:val="1B2A4A"/>
          <w:sz w:val="22"/>
          <w:szCs w:val="22"/>
        </w:rPr>
        <w:t>Table 5: Primark Global Store Presence, Entry Modes and Performance</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400"/>
        <w:gridCol w:w="1000"/>
        <w:gridCol w:w="1400"/>
        <w:gridCol w:w="900"/>
        <w:gridCol w:w="1200"/>
        <w:gridCol w:w="3100"/>
      </w:tblGrid>
      <w:tr w:rsidR="00612205" w:rsidRPr="00CB2A4A" w14:paraId="736A0A1D" w14:textId="77777777">
        <w:trPr>
          <w:tblHeader/>
        </w:trPr>
        <w:tc>
          <w:tcPr>
            <w:tcW w:w="1400" w:type="dxa"/>
            <w:tcBorders>
              <w:top w:val="single" w:sz="1" w:space="0" w:color="1B2A4A"/>
              <w:left w:val="single" w:sz="1" w:space="0" w:color="1B2A4A"/>
              <w:bottom w:val="single" w:sz="1" w:space="0" w:color="1B2A4A"/>
              <w:right w:val="single" w:sz="1" w:space="0" w:color="1B2A4A"/>
            </w:tcBorders>
            <w:shd w:val="clear" w:color="auto" w:fill="1B2A4A"/>
            <w:vAlign w:val="center"/>
          </w:tcPr>
          <w:p w14:paraId="0B82B029" w14:textId="77777777" w:rsidR="00612205" w:rsidRPr="00CB2A4A" w:rsidRDefault="0023584E" w:rsidP="00376D75">
            <w:pPr>
              <w:spacing w:before="50" w:after="50" w:line="360" w:lineRule="auto"/>
              <w:jc w:val="center"/>
              <w:rPr>
                <w:rFonts w:ascii="Arial" w:hAnsi="Arial" w:cs="Arial"/>
              </w:rPr>
            </w:pPr>
            <w:r w:rsidRPr="00CB2A4A">
              <w:rPr>
                <w:rFonts w:ascii="Arial" w:eastAsia="Arial" w:hAnsi="Arial" w:cs="Arial"/>
                <w:b/>
                <w:bCs/>
                <w:color w:val="FFFFFF"/>
                <w:sz w:val="19"/>
                <w:szCs w:val="19"/>
              </w:rPr>
              <w:t>Market</w:t>
            </w:r>
          </w:p>
        </w:tc>
        <w:tc>
          <w:tcPr>
            <w:tcW w:w="1000" w:type="dxa"/>
            <w:tcBorders>
              <w:top w:val="single" w:sz="1" w:space="0" w:color="1B2A4A"/>
              <w:left w:val="single" w:sz="1" w:space="0" w:color="1B2A4A"/>
              <w:bottom w:val="single" w:sz="1" w:space="0" w:color="1B2A4A"/>
              <w:right w:val="single" w:sz="1" w:space="0" w:color="1B2A4A"/>
            </w:tcBorders>
            <w:shd w:val="clear" w:color="auto" w:fill="1B2A4A"/>
            <w:vAlign w:val="center"/>
          </w:tcPr>
          <w:p w14:paraId="2FACCCF1" w14:textId="77777777" w:rsidR="00612205" w:rsidRPr="00CB2A4A" w:rsidRDefault="0023584E" w:rsidP="00376D75">
            <w:pPr>
              <w:spacing w:before="50" w:after="50" w:line="360" w:lineRule="auto"/>
              <w:jc w:val="center"/>
              <w:rPr>
                <w:rFonts w:ascii="Arial" w:hAnsi="Arial" w:cs="Arial"/>
              </w:rPr>
            </w:pPr>
            <w:r w:rsidRPr="00CB2A4A">
              <w:rPr>
                <w:rFonts w:ascii="Arial" w:eastAsia="Arial" w:hAnsi="Arial" w:cs="Arial"/>
                <w:b/>
                <w:bCs/>
                <w:color w:val="FFFFFF"/>
                <w:sz w:val="19"/>
                <w:szCs w:val="19"/>
              </w:rPr>
              <w:t>Entry Year</w:t>
            </w:r>
          </w:p>
        </w:tc>
        <w:tc>
          <w:tcPr>
            <w:tcW w:w="1400" w:type="dxa"/>
            <w:tcBorders>
              <w:top w:val="single" w:sz="1" w:space="0" w:color="1B2A4A"/>
              <w:left w:val="single" w:sz="1" w:space="0" w:color="1B2A4A"/>
              <w:bottom w:val="single" w:sz="1" w:space="0" w:color="1B2A4A"/>
              <w:right w:val="single" w:sz="1" w:space="0" w:color="1B2A4A"/>
            </w:tcBorders>
            <w:shd w:val="clear" w:color="auto" w:fill="1B2A4A"/>
            <w:vAlign w:val="center"/>
          </w:tcPr>
          <w:p w14:paraId="133F0E4C" w14:textId="77777777" w:rsidR="00612205" w:rsidRPr="00CB2A4A" w:rsidRDefault="0023584E" w:rsidP="00376D75">
            <w:pPr>
              <w:spacing w:before="50" w:after="50" w:line="360" w:lineRule="auto"/>
              <w:jc w:val="center"/>
              <w:rPr>
                <w:rFonts w:ascii="Arial" w:hAnsi="Arial" w:cs="Arial"/>
              </w:rPr>
            </w:pPr>
            <w:r w:rsidRPr="00CB2A4A">
              <w:rPr>
                <w:rFonts w:ascii="Arial" w:eastAsia="Arial" w:hAnsi="Arial" w:cs="Arial"/>
                <w:b/>
                <w:bCs/>
                <w:color w:val="FFFFFF"/>
                <w:sz w:val="19"/>
                <w:szCs w:val="19"/>
              </w:rPr>
              <w:t>Entry Mode</w:t>
            </w:r>
          </w:p>
        </w:tc>
        <w:tc>
          <w:tcPr>
            <w:tcW w:w="900" w:type="dxa"/>
            <w:tcBorders>
              <w:top w:val="single" w:sz="1" w:space="0" w:color="1B2A4A"/>
              <w:left w:val="single" w:sz="1" w:space="0" w:color="1B2A4A"/>
              <w:bottom w:val="single" w:sz="1" w:space="0" w:color="1B2A4A"/>
              <w:right w:val="single" w:sz="1" w:space="0" w:color="1B2A4A"/>
            </w:tcBorders>
            <w:shd w:val="clear" w:color="auto" w:fill="1B2A4A"/>
            <w:vAlign w:val="center"/>
          </w:tcPr>
          <w:p w14:paraId="75143DCB" w14:textId="77777777" w:rsidR="00612205" w:rsidRPr="00CB2A4A" w:rsidRDefault="0023584E" w:rsidP="00376D75">
            <w:pPr>
              <w:spacing w:before="50" w:after="50" w:line="360" w:lineRule="auto"/>
              <w:jc w:val="center"/>
              <w:rPr>
                <w:rFonts w:ascii="Arial" w:hAnsi="Arial" w:cs="Arial"/>
              </w:rPr>
            </w:pPr>
            <w:r w:rsidRPr="00CB2A4A">
              <w:rPr>
                <w:rFonts w:ascii="Arial" w:eastAsia="Arial" w:hAnsi="Arial" w:cs="Arial"/>
                <w:b/>
                <w:bCs/>
                <w:color w:val="FFFFFF"/>
                <w:sz w:val="19"/>
                <w:szCs w:val="19"/>
              </w:rPr>
              <w:t>Rev. Share</w:t>
            </w:r>
          </w:p>
        </w:tc>
        <w:tc>
          <w:tcPr>
            <w:tcW w:w="1200" w:type="dxa"/>
            <w:tcBorders>
              <w:top w:val="single" w:sz="1" w:space="0" w:color="1B2A4A"/>
              <w:left w:val="single" w:sz="1" w:space="0" w:color="1B2A4A"/>
              <w:bottom w:val="single" w:sz="1" w:space="0" w:color="1B2A4A"/>
              <w:right w:val="single" w:sz="1" w:space="0" w:color="1B2A4A"/>
            </w:tcBorders>
            <w:shd w:val="clear" w:color="auto" w:fill="1B2A4A"/>
            <w:vAlign w:val="center"/>
          </w:tcPr>
          <w:p w14:paraId="249379D4" w14:textId="77777777" w:rsidR="00612205" w:rsidRPr="00CB2A4A" w:rsidRDefault="0023584E" w:rsidP="00376D75">
            <w:pPr>
              <w:spacing w:before="50" w:after="50" w:line="360" w:lineRule="auto"/>
              <w:jc w:val="center"/>
              <w:rPr>
                <w:rFonts w:ascii="Arial" w:hAnsi="Arial" w:cs="Arial"/>
              </w:rPr>
            </w:pPr>
            <w:r w:rsidRPr="00CB2A4A">
              <w:rPr>
                <w:rFonts w:ascii="Arial" w:eastAsia="Arial" w:hAnsi="Arial" w:cs="Arial"/>
                <w:b/>
                <w:bCs/>
                <w:color w:val="FFFFFF"/>
                <w:sz w:val="19"/>
                <w:szCs w:val="19"/>
              </w:rPr>
              <w:t>LfL FY24/25</w:t>
            </w:r>
          </w:p>
        </w:tc>
        <w:tc>
          <w:tcPr>
            <w:tcW w:w="3100" w:type="dxa"/>
            <w:tcBorders>
              <w:top w:val="single" w:sz="1" w:space="0" w:color="1B2A4A"/>
              <w:left w:val="single" w:sz="1" w:space="0" w:color="1B2A4A"/>
              <w:bottom w:val="single" w:sz="1" w:space="0" w:color="1B2A4A"/>
              <w:right w:val="single" w:sz="1" w:space="0" w:color="1B2A4A"/>
            </w:tcBorders>
            <w:shd w:val="clear" w:color="auto" w:fill="1B2A4A"/>
            <w:vAlign w:val="center"/>
          </w:tcPr>
          <w:p w14:paraId="48B56ED7" w14:textId="77777777" w:rsidR="00612205" w:rsidRPr="00CB2A4A" w:rsidRDefault="0023584E" w:rsidP="00376D75">
            <w:pPr>
              <w:spacing w:before="50" w:after="50" w:line="360" w:lineRule="auto"/>
              <w:jc w:val="center"/>
              <w:rPr>
                <w:rFonts w:ascii="Arial" w:hAnsi="Arial" w:cs="Arial"/>
              </w:rPr>
            </w:pPr>
            <w:r w:rsidRPr="00CB2A4A">
              <w:rPr>
                <w:rFonts w:ascii="Arial" w:eastAsia="Arial" w:hAnsi="Arial" w:cs="Arial"/>
                <w:b/>
                <w:bCs/>
                <w:color w:val="FFFFFF"/>
                <w:sz w:val="19"/>
                <w:szCs w:val="19"/>
              </w:rPr>
              <w:t>Key Notes</w:t>
            </w:r>
          </w:p>
        </w:tc>
      </w:tr>
      <w:tr w:rsidR="00612205" w:rsidRPr="00CB2A4A" w14:paraId="0E435BF0" w14:textId="77777777">
        <w:tc>
          <w:tcPr>
            <w:tcW w:w="1400" w:type="dxa"/>
            <w:tcBorders>
              <w:top w:val="single" w:sz="1" w:space="0" w:color="D0D5DD"/>
              <w:left w:val="single" w:sz="1" w:space="0" w:color="D0D5DD"/>
              <w:bottom w:val="single" w:sz="1" w:space="0" w:color="D0D5DD"/>
              <w:right w:val="single" w:sz="1" w:space="0" w:color="D0D5DD"/>
            </w:tcBorders>
            <w:vAlign w:val="center"/>
          </w:tcPr>
          <w:p w14:paraId="4612FCD6"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Ireland</w:t>
            </w:r>
          </w:p>
        </w:tc>
        <w:tc>
          <w:tcPr>
            <w:tcW w:w="1000" w:type="dxa"/>
            <w:tcBorders>
              <w:top w:val="single" w:sz="1" w:space="0" w:color="D0D5DD"/>
              <w:left w:val="single" w:sz="1" w:space="0" w:color="D0D5DD"/>
              <w:bottom w:val="single" w:sz="1" w:space="0" w:color="D0D5DD"/>
              <w:right w:val="single" w:sz="1" w:space="0" w:color="D0D5DD"/>
            </w:tcBorders>
            <w:vAlign w:val="center"/>
          </w:tcPr>
          <w:p w14:paraId="617A72C9"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1969</w:t>
            </w:r>
          </w:p>
        </w:tc>
        <w:tc>
          <w:tcPr>
            <w:tcW w:w="1400" w:type="dxa"/>
            <w:tcBorders>
              <w:top w:val="single" w:sz="1" w:space="0" w:color="D0D5DD"/>
              <w:left w:val="single" w:sz="1" w:space="0" w:color="D0D5DD"/>
              <w:bottom w:val="single" w:sz="1" w:space="0" w:color="D0D5DD"/>
              <w:right w:val="single" w:sz="1" w:space="0" w:color="D0D5DD"/>
            </w:tcBorders>
            <w:vAlign w:val="center"/>
          </w:tcPr>
          <w:p w14:paraId="31926914"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Organic WOS</w:t>
            </w:r>
          </w:p>
        </w:tc>
        <w:tc>
          <w:tcPr>
            <w:tcW w:w="900" w:type="dxa"/>
            <w:tcBorders>
              <w:top w:val="single" w:sz="1" w:space="0" w:color="D0D5DD"/>
              <w:left w:val="single" w:sz="1" w:space="0" w:color="D0D5DD"/>
              <w:bottom w:val="single" w:sz="1" w:space="0" w:color="D0D5DD"/>
              <w:right w:val="single" w:sz="1" w:space="0" w:color="D0D5DD"/>
            </w:tcBorders>
            <w:vAlign w:val="center"/>
          </w:tcPr>
          <w:p w14:paraId="58D5F8DC"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~5%</w:t>
            </w:r>
          </w:p>
        </w:tc>
        <w:tc>
          <w:tcPr>
            <w:tcW w:w="1200" w:type="dxa"/>
            <w:tcBorders>
              <w:top w:val="single" w:sz="1" w:space="0" w:color="D0D5DD"/>
              <w:left w:val="single" w:sz="1" w:space="0" w:color="D0D5DD"/>
              <w:bottom w:val="single" w:sz="1" w:space="0" w:color="D0D5DD"/>
              <w:right w:val="single" w:sz="1" w:space="0" w:color="D0D5DD"/>
            </w:tcBorders>
            <w:vAlign w:val="center"/>
          </w:tcPr>
          <w:p w14:paraId="23B8EC89"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Negative</w:t>
            </w:r>
          </w:p>
        </w:tc>
        <w:tc>
          <w:tcPr>
            <w:tcW w:w="3100" w:type="dxa"/>
            <w:tcBorders>
              <w:top w:val="single" w:sz="1" w:space="0" w:color="D0D5DD"/>
              <w:left w:val="single" w:sz="1" w:space="0" w:color="D0D5DD"/>
              <w:bottom w:val="single" w:sz="1" w:space="0" w:color="D0D5DD"/>
              <w:right w:val="single" w:sz="1" w:space="0" w:color="D0D5DD"/>
            </w:tcBorders>
            <w:vAlign w:val="center"/>
          </w:tcPr>
          <w:p w14:paraId="08570ABB"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Original market (</w:t>
            </w:r>
            <w:proofErr w:type="gramStart"/>
            <w:r w:rsidRPr="00CB2A4A">
              <w:rPr>
                <w:rFonts w:ascii="Arial" w:hAnsi="Arial" w:cs="Arial"/>
                <w:sz w:val="19"/>
                <w:szCs w:val="19"/>
              </w:rPr>
              <w:t>as</w:t>
            </w:r>
            <w:proofErr w:type="gramEnd"/>
            <w:r w:rsidRPr="00CB2A4A">
              <w:rPr>
                <w:rFonts w:ascii="Arial" w:hAnsi="Arial" w:cs="Arial"/>
                <w:sz w:val="19"/>
                <w:szCs w:val="19"/>
              </w:rPr>
              <w:t xml:space="preserve"> Penneys)</w:t>
            </w:r>
          </w:p>
        </w:tc>
      </w:tr>
      <w:tr w:rsidR="00612205" w:rsidRPr="00CB2A4A" w14:paraId="6199CE7B" w14:textId="77777777">
        <w:tc>
          <w:tcPr>
            <w:tcW w:w="14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492ABBE9"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United Kingdom</w:t>
            </w:r>
          </w:p>
        </w:tc>
        <w:tc>
          <w:tcPr>
            <w:tcW w:w="10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0777BC8E"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1973</w:t>
            </w:r>
          </w:p>
        </w:tc>
        <w:tc>
          <w:tcPr>
            <w:tcW w:w="14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17893E13"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Organic WOS</w:t>
            </w:r>
          </w:p>
        </w:tc>
        <w:tc>
          <w:tcPr>
            <w:tcW w:w="9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071F1202"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~40%</w:t>
            </w:r>
          </w:p>
        </w:tc>
        <w:tc>
          <w:tcPr>
            <w:tcW w:w="12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4E02858E"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-3.1%</w:t>
            </w:r>
          </w:p>
        </w:tc>
        <w:tc>
          <w:tcPr>
            <w:tcW w:w="31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51CA8694"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187 stores; largest market</w:t>
            </w:r>
          </w:p>
        </w:tc>
      </w:tr>
      <w:tr w:rsidR="00612205" w:rsidRPr="00CB2A4A" w14:paraId="436B2A97" w14:textId="77777777">
        <w:tc>
          <w:tcPr>
            <w:tcW w:w="1400" w:type="dxa"/>
            <w:tcBorders>
              <w:top w:val="single" w:sz="1" w:space="0" w:color="D0D5DD"/>
              <w:left w:val="single" w:sz="1" w:space="0" w:color="D0D5DD"/>
              <w:bottom w:val="single" w:sz="1" w:space="0" w:color="D0D5DD"/>
              <w:right w:val="single" w:sz="1" w:space="0" w:color="D0D5DD"/>
            </w:tcBorders>
            <w:vAlign w:val="center"/>
          </w:tcPr>
          <w:p w14:paraId="6493220B"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Spain</w:t>
            </w:r>
          </w:p>
        </w:tc>
        <w:tc>
          <w:tcPr>
            <w:tcW w:w="1000" w:type="dxa"/>
            <w:tcBorders>
              <w:top w:val="single" w:sz="1" w:space="0" w:color="D0D5DD"/>
              <w:left w:val="single" w:sz="1" w:space="0" w:color="D0D5DD"/>
              <w:bottom w:val="single" w:sz="1" w:space="0" w:color="D0D5DD"/>
              <w:right w:val="single" w:sz="1" w:space="0" w:color="D0D5DD"/>
            </w:tcBorders>
            <w:vAlign w:val="center"/>
          </w:tcPr>
          <w:p w14:paraId="7B8DE645"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2006</w:t>
            </w:r>
          </w:p>
        </w:tc>
        <w:tc>
          <w:tcPr>
            <w:tcW w:w="1400" w:type="dxa"/>
            <w:tcBorders>
              <w:top w:val="single" w:sz="1" w:space="0" w:color="D0D5DD"/>
              <w:left w:val="single" w:sz="1" w:space="0" w:color="D0D5DD"/>
              <w:bottom w:val="single" w:sz="1" w:space="0" w:color="D0D5DD"/>
              <w:right w:val="single" w:sz="1" w:space="0" w:color="D0D5DD"/>
            </w:tcBorders>
            <w:vAlign w:val="center"/>
          </w:tcPr>
          <w:p w14:paraId="0DC7E2F3"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Organic WOS</w:t>
            </w:r>
          </w:p>
        </w:tc>
        <w:tc>
          <w:tcPr>
            <w:tcW w:w="900" w:type="dxa"/>
            <w:tcBorders>
              <w:top w:val="single" w:sz="1" w:space="0" w:color="D0D5DD"/>
              <w:left w:val="single" w:sz="1" w:space="0" w:color="D0D5DD"/>
              <w:bottom w:val="single" w:sz="1" w:space="0" w:color="D0D5DD"/>
              <w:right w:val="single" w:sz="1" w:space="0" w:color="D0D5DD"/>
            </w:tcBorders>
            <w:vAlign w:val="center"/>
          </w:tcPr>
          <w:p w14:paraId="485A3DBF"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~8%</w:t>
            </w:r>
          </w:p>
        </w:tc>
        <w:tc>
          <w:tcPr>
            <w:tcW w:w="1200" w:type="dxa"/>
            <w:tcBorders>
              <w:top w:val="single" w:sz="1" w:space="0" w:color="D0D5DD"/>
              <w:left w:val="single" w:sz="1" w:space="0" w:color="D0D5DD"/>
              <w:bottom w:val="single" w:sz="1" w:space="0" w:color="D0D5DD"/>
              <w:right w:val="single" w:sz="1" w:space="0" w:color="D0D5DD"/>
            </w:tcBorders>
            <w:vAlign w:val="center"/>
          </w:tcPr>
          <w:p w14:paraId="48FFAE70"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+2%</w:t>
            </w:r>
          </w:p>
        </w:tc>
        <w:tc>
          <w:tcPr>
            <w:tcW w:w="3100" w:type="dxa"/>
            <w:tcBorders>
              <w:top w:val="single" w:sz="1" w:space="0" w:color="D0D5DD"/>
              <w:left w:val="single" w:sz="1" w:space="0" w:color="D0D5DD"/>
              <w:bottom w:val="single" w:sz="1" w:space="0" w:color="D0D5DD"/>
              <w:right w:val="single" w:sz="1" w:space="0" w:color="D0D5DD"/>
            </w:tcBorders>
            <w:vAlign w:val="center"/>
          </w:tcPr>
          <w:p w14:paraId="13D3E7AA"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Strong brand awareness</w:t>
            </w:r>
          </w:p>
        </w:tc>
      </w:tr>
      <w:tr w:rsidR="00612205" w:rsidRPr="00CB2A4A" w14:paraId="01530EBF" w14:textId="77777777">
        <w:tc>
          <w:tcPr>
            <w:tcW w:w="14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014DC7CA"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Portugal</w:t>
            </w:r>
          </w:p>
        </w:tc>
        <w:tc>
          <w:tcPr>
            <w:tcW w:w="10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1FF63733"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2009</w:t>
            </w:r>
          </w:p>
        </w:tc>
        <w:tc>
          <w:tcPr>
            <w:tcW w:w="14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43B05673"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Organic WOS</w:t>
            </w:r>
          </w:p>
        </w:tc>
        <w:tc>
          <w:tcPr>
            <w:tcW w:w="9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5EF16496"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~2%</w:t>
            </w:r>
          </w:p>
        </w:tc>
        <w:tc>
          <w:tcPr>
            <w:tcW w:w="12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6DACB8BD"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+2%</w:t>
            </w:r>
          </w:p>
        </w:tc>
        <w:tc>
          <w:tcPr>
            <w:tcW w:w="31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16381A3B"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Combined with Spain</w:t>
            </w:r>
          </w:p>
        </w:tc>
      </w:tr>
      <w:tr w:rsidR="00612205" w:rsidRPr="00CB2A4A" w14:paraId="15FE4EAD" w14:textId="77777777">
        <w:tc>
          <w:tcPr>
            <w:tcW w:w="1400" w:type="dxa"/>
            <w:tcBorders>
              <w:top w:val="single" w:sz="1" w:space="0" w:color="D0D5DD"/>
              <w:left w:val="single" w:sz="1" w:space="0" w:color="D0D5DD"/>
              <w:bottom w:val="single" w:sz="1" w:space="0" w:color="D0D5DD"/>
              <w:right w:val="single" w:sz="1" w:space="0" w:color="D0D5DD"/>
            </w:tcBorders>
            <w:vAlign w:val="center"/>
          </w:tcPr>
          <w:p w14:paraId="6A696989"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Netherlands</w:t>
            </w:r>
          </w:p>
        </w:tc>
        <w:tc>
          <w:tcPr>
            <w:tcW w:w="1000" w:type="dxa"/>
            <w:tcBorders>
              <w:top w:val="single" w:sz="1" w:space="0" w:color="D0D5DD"/>
              <w:left w:val="single" w:sz="1" w:space="0" w:color="D0D5DD"/>
              <w:bottom w:val="single" w:sz="1" w:space="0" w:color="D0D5DD"/>
              <w:right w:val="single" w:sz="1" w:space="0" w:color="D0D5DD"/>
            </w:tcBorders>
            <w:vAlign w:val="center"/>
          </w:tcPr>
          <w:p w14:paraId="690296CB"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2008</w:t>
            </w:r>
          </w:p>
        </w:tc>
        <w:tc>
          <w:tcPr>
            <w:tcW w:w="1400" w:type="dxa"/>
            <w:tcBorders>
              <w:top w:val="single" w:sz="1" w:space="0" w:color="D0D5DD"/>
              <w:left w:val="single" w:sz="1" w:space="0" w:color="D0D5DD"/>
              <w:bottom w:val="single" w:sz="1" w:space="0" w:color="D0D5DD"/>
              <w:right w:val="single" w:sz="1" w:space="0" w:color="D0D5DD"/>
            </w:tcBorders>
            <w:vAlign w:val="center"/>
          </w:tcPr>
          <w:p w14:paraId="235FCFE0"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Organic WOS</w:t>
            </w:r>
          </w:p>
        </w:tc>
        <w:tc>
          <w:tcPr>
            <w:tcW w:w="900" w:type="dxa"/>
            <w:tcBorders>
              <w:top w:val="single" w:sz="1" w:space="0" w:color="D0D5DD"/>
              <w:left w:val="single" w:sz="1" w:space="0" w:color="D0D5DD"/>
              <w:bottom w:val="single" w:sz="1" w:space="0" w:color="D0D5DD"/>
              <w:right w:val="single" w:sz="1" w:space="0" w:color="D0D5DD"/>
            </w:tcBorders>
            <w:vAlign w:val="center"/>
          </w:tcPr>
          <w:p w14:paraId="2DB68DF5"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~3%</w:t>
            </w:r>
          </w:p>
        </w:tc>
        <w:tc>
          <w:tcPr>
            <w:tcW w:w="1200" w:type="dxa"/>
            <w:tcBorders>
              <w:top w:val="single" w:sz="1" w:space="0" w:color="D0D5DD"/>
              <w:left w:val="single" w:sz="1" w:space="0" w:color="D0D5DD"/>
              <w:bottom w:val="single" w:sz="1" w:space="0" w:color="D0D5DD"/>
              <w:right w:val="single" w:sz="1" w:space="0" w:color="D0D5DD"/>
            </w:tcBorders>
            <w:vAlign w:val="center"/>
          </w:tcPr>
          <w:p w14:paraId="4F70B1B7"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Negative</w:t>
            </w:r>
          </w:p>
        </w:tc>
        <w:tc>
          <w:tcPr>
            <w:tcW w:w="3100" w:type="dxa"/>
            <w:tcBorders>
              <w:top w:val="single" w:sz="1" w:space="0" w:color="D0D5DD"/>
              <w:left w:val="single" w:sz="1" w:space="0" w:color="D0D5DD"/>
              <w:bottom w:val="single" w:sz="1" w:space="0" w:color="D0D5DD"/>
              <w:right w:val="single" w:sz="1" w:space="0" w:color="D0D5DD"/>
            </w:tcBorders>
            <w:vAlign w:val="center"/>
          </w:tcPr>
          <w:p w14:paraId="315E9EC9"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Closing underperforming stores</w:t>
            </w:r>
          </w:p>
        </w:tc>
      </w:tr>
      <w:tr w:rsidR="00612205" w:rsidRPr="00CB2A4A" w14:paraId="7BD9F20F" w14:textId="77777777">
        <w:tc>
          <w:tcPr>
            <w:tcW w:w="14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581D0B87"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Germany</w:t>
            </w:r>
          </w:p>
        </w:tc>
        <w:tc>
          <w:tcPr>
            <w:tcW w:w="10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6D501B39"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2009</w:t>
            </w:r>
          </w:p>
        </w:tc>
        <w:tc>
          <w:tcPr>
            <w:tcW w:w="14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35314A1A"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Organic WOS</w:t>
            </w:r>
          </w:p>
        </w:tc>
        <w:tc>
          <w:tcPr>
            <w:tcW w:w="9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3EF48C9B"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~5%</w:t>
            </w:r>
          </w:p>
        </w:tc>
        <w:tc>
          <w:tcPr>
            <w:tcW w:w="12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46C2E2E3"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Negative</w:t>
            </w:r>
          </w:p>
        </w:tc>
        <w:tc>
          <w:tcPr>
            <w:tcW w:w="31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3D86EA5E"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Rationalising portfolio</w:t>
            </w:r>
          </w:p>
        </w:tc>
      </w:tr>
      <w:tr w:rsidR="00612205" w:rsidRPr="00CB2A4A" w14:paraId="6214E15B" w14:textId="77777777">
        <w:tc>
          <w:tcPr>
            <w:tcW w:w="1400" w:type="dxa"/>
            <w:tcBorders>
              <w:top w:val="single" w:sz="1" w:space="0" w:color="D0D5DD"/>
              <w:left w:val="single" w:sz="1" w:space="0" w:color="D0D5DD"/>
              <w:bottom w:val="single" w:sz="1" w:space="0" w:color="D0D5DD"/>
              <w:right w:val="single" w:sz="1" w:space="0" w:color="D0D5DD"/>
            </w:tcBorders>
            <w:vAlign w:val="center"/>
          </w:tcPr>
          <w:p w14:paraId="73282873"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France</w:t>
            </w:r>
          </w:p>
        </w:tc>
        <w:tc>
          <w:tcPr>
            <w:tcW w:w="1000" w:type="dxa"/>
            <w:tcBorders>
              <w:top w:val="single" w:sz="1" w:space="0" w:color="D0D5DD"/>
              <w:left w:val="single" w:sz="1" w:space="0" w:color="D0D5DD"/>
              <w:bottom w:val="single" w:sz="1" w:space="0" w:color="D0D5DD"/>
              <w:right w:val="single" w:sz="1" w:space="0" w:color="D0D5DD"/>
            </w:tcBorders>
            <w:vAlign w:val="center"/>
          </w:tcPr>
          <w:p w14:paraId="66A4BF7B"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2014</w:t>
            </w:r>
          </w:p>
        </w:tc>
        <w:tc>
          <w:tcPr>
            <w:tcW w:w="1400" w:type="dxa"/>
            <w:tcBorders>
              <w:top w:val="single" w:sz="1" w:space="0" w:color="D0D5DD"/>
              <w:left w:val="single" w:sz="1" w:space="0" w:color="D0D5DD"/>
              <w:bottom w:val="single" w:sz="1" w:space="0" w:color="D0D5DD"/>
              <w:right w:val="single" w:sz="1" w:space="0" w:color="D0D5DD"/>
            </w:tcBorders>
            <w:vAlign w:val="center"/>
          </w:tcPr>
          <w:p w14:paraId="5952CDB0"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Organic WOS</w:t>
            </w:r>
          </w:p>
        </w:tc>
        <w:tc>
          <w:tcPr>
            <w:tcW w:w="900" w:type="dxa"/>
            <w:tcBorders>
              <w:top w:val="single" w:sz="1" w:space="0" w:color="D0D5DD"/>
              <w:left w:val="single" w:sz="1" w:space="0" w:color="D0D5DD"/>
              <w:bottom w:val="single" w:sz="1" w:space="0" w:color="D0D5DD"/>
              <w:right w:val="single" w:sz="1" w:space="0" w:color="D0D5DD"/>
            </w:tcBorders>
            <w:vAlign w:val="center"/>
          </w:tcPr>
          <w:p w14:paraId="58A9CA61"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~4%</w:t>
            </w:r>
          </w:p>
        </w:tc>
        <w:tc>
          <w:tcPr>
            <w:tcW w:w="1200" w:type="dxa"/>
            <w:tcBorders>
              <w:top w:val="single" w:sz="1" w:space="0" w:color="D0D5DD"/>
              <w:left w:val="single" w:sz="1" w:space="0" w:color="D0D5DD"/>
              <w:bottom w:val="single" w:sz="1" w:space="0" w:color="D0D5DD"/>
              <w:right w:val="single" w:sz="1" w:space="0" w:color="D0D5DD"/>
            </w:tcBorders>
            <w:vAlign w:val="center"/>
          </w:tcPr>
          <w:p w14:paraId="04C5C53B"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-4%</w:t>
            </w:r>
          </w:p>
        </w:tc>
        <w:tc>
          <w:tcPr>
            <w:tcW w:w="3100" w:type="dxa"/>
            <w:tcBorders>
              <w:top w:val="single" w:sz="1" w:space="0" w:color="D0D5DD"/>
              <w:left w:val="single" w:sz="1" w:space="0" w:color="D0D5DD"/>
              <w:bottom w:val="single" w:sz="1" w:space="0" w:color="D0D5DD"/>
              <w:right w:val="single" w:sz="1" w:space="0" w:color="D0D5DD"/>
            </w:tcBorders>
            <w:vAlign w:val="center"/>
          </w:tcPr>
          <w:p w14:paraId="322C21AE"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Mature market</w:t>
            </w:r>
          </w:p>
        </w:tc>
      </w:tr>
      <w:tr w:rsidR="00612205" w:rsidRPr="00CB2A4A" w14:paraId="72470864" w14:textId="77777777">
        <w:tc>
          <w:tcPr>
            <w:tcW w:w="14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56165565"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Italy</w:t>
            </w:r>
          </w:p>
        </w:tc>
        <w:tc>
          <w:tcPr>
            <w:tcW w:w="10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31D6EEC4"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2016</w:t>
            </w:r>
          </w:p>
        </w:tc>
        <w:tc>
          <w:tcPr>
            <w:tcW w:w="14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1D929E56"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Organic WOS</w:t>
            </w:r>
          </w:p>
        </w:tc>
        <w:tc>
          <w:tcPr>
            <w:tcW w:w="9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1CD10783"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~3%</w:t>
            </w:r>
          </w:p>
        </w:tc>
        <w:tc>
          <w:tcPr>
            <w:tcW w:w="12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1A19DDE5"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-4%</w:t>
            </w:r>
          </w:p>
        </w:tc>
        <w:tc>
          <w:tcPr>
            <w:tcW w:w="31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6D626198"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App launch</w:t>
            </w:r>
          </w:p>
        </w:tc>
      </w:tr>
      <w:tr w:rsidR="00612205" w:rsidRPr="00CB2A4A" w14:paraId="670C57FC" w14:textId="77777777">
        <w:tc>
          <w:tcPr>
            <w:tcW w:w="1400" w:type="dxa"/>
            <w:tcBorders>
              <w:top w:val="single" w:sz="1" w:space="0" w:color="D0D5DD"/>
              <w:left w:val="single" w:sz="1" w:space="0" w:color="D0D5DD"/>
              <w:bottom w:val="single" w:sz="1" w:space="0" w:color="D0D5DD"/>
              <w:right w:val="single" w:sz="1" w:space="0" w:color="D0D5DD"/>
            </w:tcBorders>
            <w:vAlign w:val="center"/>
          </w:tcPr>
          <w:p w14:paraId="2A19CE0E"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United States</w:t>
            </w:r>
          </w:p>
        </w:tc>
        <w:tc>
          <w:tcPr>
            <w:tcW w:w="1000" w:type="dxa"/>
            <w:tcBorders>
              <w:top w:val="single" w:sz="1" w:space="0" w:color="D0D5DD"/>
              <w:left w:val="single" w:sz="1" w:space="0" w:color="D0D5DD"/>
              <w:bottom w:val="single" w:sz="1" w:space="0" w:color="D0D5DD"/>
              <w:right w:val="single" w:sz="1" w:space="0" w:color="D0D5DD"/>
            </w:tcBorders>
            <w:vAlign w:val="center"/>
          </w:tcPr>
          <w:p w14:paraId="3B02ADF4"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2015</w:t>
            </w:r>
          </w:p>
        </w:tc>
        <w:tc>
          <w:tcPr>
            <w:tcW w:w="1400" w:type="dxa"/>
            <w:tcBorders>
              <w:top w:val="single" w:sz="1" w:space="0" w:color="D0D5DD"/>
              <w:left w:val="single" w:sz="1" w:space="0" w:color="D0D5DD"/>
              <w:bottom w:val="single" w:sz="1" w:space="0" w:color="D0D5DD"/>
              <w:right w:val="single" w:sz="1" w:space="0" w:color="D0D5DD"/>
            </w:tcBorders>
            <w:vAlign w:val="center"/>
          </w:tcPr>
          <w:p w14:paraId="70D82C53"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Organic WOS</w:t>
            </w:r>
          </w:p>
        </w:tc>
        <w:tc>
          <w:tcPr>
            <w:tcW w:w="900" w:type="dxa"/>
            <w:tcBorders>
              <w:top w:val="single" w:sz="1" w:space="0" w:color="D0D5DD"/>
              <w:left w:val="single" w:sz="1" w:space="0" w:color="D0D5DD"/>
              <w:bottom w:val="single" w:sz="1" w:space="0" w:color="D0D5DD"/>
              <w:right w:val="single" w:sz="1" w:space="0" w:color="D0D5DD"/>
            </w:tcBorders>
            <w:vAlign w:val="center"/>
          </w:tcPr>
          <w:p w14:paraId="30295F52"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~8-10%</w:t>
            </w:r>
          </w:p>
        </w:tc>
        <w:tc>
          <w:tcPr>
            <w:tcW w:w="1200" w:type="dxa"/>
            <w:tcBorders>
              <w:top w:val="single" w:sz="1" w:space="0" w:color="D0D5DD"/>
              <w:left w:val="single" w:sz="1" w:space="0" w:color="D0D5DD"/>
              <w:bottom w:val="single" w:sz="1" w:space="0" w:color="D0D5DD"/>
              <w:right w:val="single" w:sz="1" w:space="0" w:color="D0D5DD"/>
            </w:tcBorders>
            <w:vAlign w:val="center"/>
          </w:tcPr>
          <w:p w14:paraId="3E3A874F"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N/A (expanding)</w:t>
            </w:r>
          </w:p>
        </w:tc>
        <w:tc>
          <w:tcPr>
            <w:tcW w:w="3100" w:type="dxa"/>
            <w:tcBorders>
              <w:top w:val="single" w:sz="1" w:space="0" w:color="D0D5DD"/>
              <w:left w:val="single" w:sz="1" w:space="0" w:color="D0D5DD"/>
              <w:bottom w:val="single" w:sz="1" w:space="0" w:color="D0D5DD"/>
              <w:right w:val="single" w:sz="1" w:space="0" w:color="D0D5DD"/>
            </w:tcBorders>
            <w:vAlign w:val="center"/>
          </w:tcPr>
          <w:p w14:paraId="6665B637"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33+ stores; +16% Q3 growth</w:t>
            </w:r>
          </w:p>
        </w:tc>
      </w:tr>
      <w:tr w:rsidR="00612205" w:rsidRPr="00CB2A4A" w14:paraId="3FBED475" w14:textId="77777777">
        <w:tc>
          <w:tcPr>
            <w:tcW w:w="14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5F984FFD"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C&amp;E Europe</w:t>
            </w:r>
          </w:p>
        </w:tc>
        <w:tc>
          <w:tcPr>
            <w:tcW w:w="10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714176E5"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Various</w:t>
            </w:r>
          </w:p>
        </w:tc>
        <w:tc>
          <w:tcPr>
            <w:tcW w:w="14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777B3529"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Organic WOS</w:t>
            </w:r>
          </w:p>
        </w:tc>
        <w:tc>
          <w:tcPr>
            <w:tcW w:w="9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4CB35D68"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~5-7%</w:t>
            </w:r>
          </w:p>
        </w:tc>
        <w:tc>
          <w:tcPr>
            <w:tcW w:w="12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18132DD5"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+14%</w:t>
            </w:r>
          </w:p>
        </w:tc>
        <w:tc>
          <w:tcPr>
            <w:tcW w:w="31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32D2100F"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Fastest growing region</w:t>
            </w:r>
          </w:p>
        </w:tc>
      </w:tr>
      <w:tr w:rsidR="00612205" w:rsidRPr="00CB2A4A" w14:paraId="7A915DDA" w14:textId="77777777">
        <w:tc>
          <w:tcPr>
            <w:tcW w:w="1400" w:type="dxa"/>
            <w:tcBorders>
              <w:top w:val="single" w:sz="1" w:space="0" w:color="D0D5DD"/>
              <w:left w:val="single" w:sz="1" w:space="0" w:color="D0D5DD"/>
              <w:bottom w:val="single" w:sz="1" w:space="0" w:color="D0D5DD"/>
              <w:right w:val="single" w:sz="1" w:space="0" w:color="D0D5DD"/>
            </w:tcBorders>
            <w:vAlign w:val="center"/>
          </w:tcPr>
          <w:p w14:paraId="16E97183"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Kuwait</w:t>
            </w:r>
          </w:p>
        </w:tc>
        <w:tc>
          <w:tcPr>
            <w:tcW w:w="1000" w:type="dxa"/>
            <w:tcBorders>
              <w:top w:val="single" w:sz="1" w:space="0" w:color="D0D5DD"/>
              <w:left w:val="single" w:sz="1" w:space="0" w:color="D0D5DD"/>
              <w:bottom w:val="single" w:sz="1" w:space="0" w:color="D0D5DD"/>
              <w:right w:val="single" w:sz="1" w:space="0" w:color="D0D5DD"/>
            </w:tcBorders>
            <w:vAlign w:val="center"/>
          </w:tcPr>
          <w:p w14:paraId="14B45C60"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Oct 2025</w:t>
            </w:r>
          </w:p>
        </w:tc>
        <w:tc>
          <w:tcPr>
            <w:tcW w:w="1400" w:type="dxa"/>
            <w:tcBorders>
              <w:top w:val="single" w:sz="1" w:space="0" w:color="D0D5DD"/>
              <w:left w:val="single" w:sz="1" w:space="0" w:color="D0D5DD"/>
              <w:bottom w:val="single" w:sz="1" w:space="0" w:color="D0D5DD"/>
              <w:right w:val="single" w:sz="1" w:space="0" w:color="D0D5DD"/>
            </w:tcBorders>
            <w:vAlign w:val="center"/>
          </w:tcPr>
          <w:p w14:paraId="664881AD"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FRANCHISE</w:t>
            </w:r>
          </w:p>
        </w:tc>
        <w:tc>
          <w:tcPr>
            <w:tcW w:w="900" w:type="dxa"/>
            <w:tcBorders>
              <w:top w:val="single" w:sz="1" w:space="0" w:color="D0D5DD"/>
              <w:left w:val="single" w:sz="1" w:space="0" w:color="D0D5DD"/>
              <w:bottom w:val="single" w:sz="1" w:space="0" w:color="D0D5DD"/>
              <w:right w:val="single" w:sz="1" w:space="0" w:color="D0D5DD"/>
            </w:tcBorders>
            <w:vAlign w:val="center"/>
          </w:tcPr>
          <w:p w14:paraId="06A3A989"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&lt;1%</w:t>
            </w:r>
          </w:p>
        </w:tc>
        <w:tc>
          <w:tcPr>
            <w:tcW w:w="1200" w:type="dxa"/>
            <w:tcBorders>
              <w:top w:val="single" w:sz="1" w:space="0" w:color="D0D5DD"/>
              <w:left w:val="single" w:sz="1" w:space="0" w:color="D0D5DD"/>
              <w:bottom w:val="single" w:sz="1" w:space="0" w:color="D0D5DD"/>
              <w:right w:val="single" w:sz="1" w:space="0" w:color="D0D5DD"/>
            </w:tcBorders>
            <w:vAlign w:val="center"/>
          </w:tcPr>
          <w:p w14:paraId="4FAB9E85"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N/A (new)</w:t>
            </w:r>
          </w:p>
        </w:tc>
        <w:tc>
          <w:tcPr>
            <w:tcW w:w="3100" w:type="dxa"/>
            <w:tcBorders>
              <w:top w:val="single" w:sz="1" w:space="0" w:color="D0D5DD"/>
              <w:left w:val="single" w:sz="1" w:space="0" w:color="D0D5DD"/>
              <w:bottom w:val="single" w:sz="1" w:space="0" w:color="D0D5DD"/>
              <w:right w:val="single" w:sz="1" w:space="0" w:color="D0D5DD"/>
            </w:tcBorders>
            <w:vAlign w:val="center"/>
          </w:tcPr>
          <w:p w14:paraId="05ED4589"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Alshaya Group; first external mode</w:t>
            </w:r>
          </w:p>
        </w:tc>
      </w:tr>
      <w:tr w:rsidR="00612205" w:rsidRPr="00CB2A4A" w14:paraId="24ACDF69" w14:textId="77777777">
        <w:tc>
          <w:tcPr>
            <w:tcW w:w="14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35CA602B"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South Korea</w:t>
            </w:r>
          </w:p>
        </w:tc>
        <w:tc>
          <w:tcPr>
            <w:tcW w:w="10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2FD821B9"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N/A</w:t>
            </w:r>
          </w:p>
        </w:tc>
        <w:tc>
          <w:tcPr>
            <w:tcW w:w="14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1192705B"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N/A</w:t>
            </w:r>
          </w:p>
        </w:tc>
        <w:tc>
          <w:tcPr>
            <w:tcW w:w="9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39ED04BD"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N/A</w:t>
            </w:r>
          </w:p>
        </w:tc>
        <w:tc>
          <w:tcPr>
            <w:tcW w:w="12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54DB8A8B"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N/A</w:t>
            </w:r>
          </w:p>
        </w:tc>
        <w:tc>
          <w:tcPr>
            <w:tcW w:w="31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055EE611"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NO PRESENCE – proposed target</w:t>
            </w:r>
          </w:p>
        </w:tc>
      </w:tr>
    </w:tbl>
    <w:p w14:paraId="170392B1" w14:textId="16B965F4" w:rsidR="00612205" w:rsidRPr="00CB2A4A" w:rsidRDefault="0023584E" w:rsidP="00376D75">
      <w:pPr>
        <w:spacing w:before="40" w:after="240" w:line="360" w:lineRule="auto"/>
        <w:jc w:val="center"/>
        <w:rPr>
          <w:rFonts w:ascii="Arial" w:hAnsi="Arial" w:cs="Arial"/>
          <w:sz w:val="28"/>
          <w:szCs w:val="28"/>
        </w:rPr>
      </w:pPr>
      <w:r w:rsidRPr="00CB2A4A">
        <w:rPr>
          <w:rFonts w:ascii="Arial" w:hAnsi="Arial" w:cs="Arial"/>
          <w:color w:val="555555"/>
          <w:sz w:val="20"/>
          <w:szCs w:val="20"/>
        </w:rPr>
        <w:t>Source: Compiled from GlobalData Retail Viewpoints (2025a, 2025b, 2026a, 2026b). Revenue shares are author estimates from reported regional splits.</w:t>
      </w:r>
      <w:r w:rsidR="00376D75" w:rsidRPr="00CB2A4A">
        <w:rPr>
          <w:rFonts w:ascii="Arial" w:hAnsi="Arial" w:cs="Arial"/>
          <w:color w:val="555555"/>
          <w:sz w:val="20"/>
          <w:szCs w:val="20"/>
        </w:rPr>
        <w:t xml:space="preserve"> Created in </w:t>
      </w:r>
      <w:r w:rsidR="00221F15">
        <w:rPr>
          <w:rFonts w:ascii="Arial" w:hAnsi="Arial" w:cs="Arial"/>
          <w:color w:val="555555"/>
          <w:sz w:val="20"/>
          <w:szCs w:val="20"/>
        </w:rPr>
        <w:t>Excel</w:t>
      </w:r>
      <w:r w:rsidR="00376D75" w:rsidRPr="00CB2A4A">
        <w:rPr>
          <w:rFonts w:ascii="Arial" w:hAnsi="Arial" w:cs="Arial"/>
          <w:color w:val="555555"/>
          <w:sz w:val="20"/>
          <w:szCs w:val="20"/>
        </w:rPr>
        <w:t>.</w:t>
      </w:r>
    </w:p>
    <w:p w14:paraId="7B80D2B4" w14:textId="47AEE151" w:rsidR="00747BFD" w:rsidRPr="00CB2A4A" w:rsidRDefault="00747BFD" w:rsidP="00747BFD">
      <w:pPr>
        <w:pStyle w:val="Heading2"/>
        <w:spacing w:line="360" w:lineRule="auto"/>
        <w:jc w:val="both"/>
        <w:rPr>
          <w:rFonts w:eastAsia="Times New Roman"/>
          <w:b w:val="0"/>
          <w:bCs w:val="0"/>
          <w:color w:val="333333"/>
          <w:sz w:val="24"/>
          <w:szCs w:val="24"/>
        </w:rPr>
      </w:pPr>
      <w:bookmarkStart w:id="18" w:name="_Toc236295281"/>
      <w:bookmarkStart w:id="19" w:name="_Toc236296283"/>
      <w:r w:rsidRPr="00CB2A4A">
        <w:rPr>
          <w:rFonts w:eastAsia="Times New Roman"/>
          <w:b w:val="0"/>
          <w:bCs w:val="0"/>
          <w:color w:val="333333"/>
          <w:sz w:val="24"/>
          <w:szCs w:val="24"/>
        </w:rPr>
        <w:t>Primark's internationalisation path, as illustrated in Table 5, shows a steady pattern of organic, green field, wholly owned subsidiary (WOS) entry from Ireland in 1969 to the United States in 2015. A tendency toward incremental commitment is generally in line with the original Uppsala model (Johanson and Vahlne, 1977)</w:t>
      </w:r>
      <w:r w:rsidR="00221F15">
        <w:rPr>
          <w:rFonts w:eastAsia="Times New Roman"/>
          <w:b w:val="0"/>
          <w:bCs w:val="0"/>
          <w:color w:val="333333"/>
          <w:sz w:val="24"/>
          <w:szCs w:val="24"/>
        </w:rPr>
        <w:t>,</w:t>
      </w:r>
      <w:r w:rsidRPr="00CB2A4A">
        <w:rPr>
          <w:rFonts w:eastAsia="Times New Roman"/>
          <w:b w:val="0"/>
          <w:bCs w:val="0"/>
          <w:color w:val="333333"/>
          <w:sz w:val="24"/>
          <w:szCs w:val="24"/>
        </w:rPr>
        <w:t xml:space="preserve"> which predicts that commitment starts with culturally close markets, and then moves on to culturally more distant ones. This trend decisively changed in October 2025 when Primark's first franchise store was opened in Kuwait via Alshaya Group (GlobalData, 2025b), highlighting how the organisation learned that internal hierarchy does not function in </w:t>
      </w:r>
      <w:r w:rsidRPr="00CB2A4A">
        <w:rPr>
          <w:rFonts w:eastAsia="Times New Roman"/>
          <w:b w:val="0"/>
          <w:bCs w:val="0"/>
          <w:color w:val="333333"/>
          <w:sz w:val="24"/>
          <w:szCs w:val="24"/>
        </w:rPr>
        <w:lastRenderedPageBreak/>
        <w:t>all markets. The performance context backs up this evolution; LfL sales fell by 2.3% in FY2024/25 and 2.7% in H1 FY2025/26, and Primark closed stores in Germany and the Netherlands (GlobalData, 2025b; 2026a). In contrast, the Kuwait franchise has done well during its first few months (GlobalData, 2026a). It may be too early to say for sure about any one retailer, but initial signs show that franchise relationships can provide access to markets more efficiently and with less risk.</w:t>
      </w:r>
    </w:p>
    <w:p w14:paraId="6B6DC790" w14:textId="600D5B9F" w:rsidR="00612205" w:rsidRPr="00CB2A4A" w:rsidRDefault="0023584E" w:rsidP="00747BFD">
      <w:pPr>
        <w:pStyle w:val="Heading2"/>
        <w:spacing w:line="360" w:lineRule="auto"/>
        <w:jc w:val="both"/>
      </w:pPr>
      <w:r w:rsidRPr="00CB2A4A">
        <w:t>3.2 Strategic Fit and Entry Mode Recommendation</w:t>
      </w:r>
      <w:bookmarkEnd w:id="18"/>
      <w:bookmarkEnd w:id="19"/>
    </w:p>
    <w:p w14:paraId="6D8DCD61" w14:textId="77777777" w:rsidR="00612205" w:rsidRPr="00CB2A4A" w:rsidRDefault="0023584E" w:rsidP="00747BFD">
      <w:pPr>
        <w:spacing w:before="280" w:after="100" w:line="360" w:lineRule="auto"/>
        <w:jc w:val="both"/>
        <w:rPr>
          <w:rFonts w:ascii="Arial" w:hAnsi="Arial" w:cs="Arial"/>
        </w:rPr>
      </w:pPr>
      <w:r w:rsidRPr="00CB2A4A">
        <w:rPr>
          <w:rFonts w:ascii="Arial" w:eastAsia="Arial" w:hAnsi="Arial" w:cs="Arial"/>
          <w:b/>
          <w:bCs/>
          <w:color w:val="1B2A4A"/>
          <w:sz w:val="22"/>
          <w:szCs w:val="22"/>
        </w:rPr>
        <w:t>Table 6: Entry Mode Options for South Korea – Comparative Assessment</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300"/>
        <w:gridCol w:w="1100"/>
        <w:gridCol w:w="1100"/>
        <w:gridCol w:w="1200"/>
        <w:gridCol w:w="1300"/>
        <w:gridCol w:w="3000"/>
      </w:tblGrid>
      <w:tr w:rsidR="00612205" w:rsidRPr="00CB2A4A" w14:paraId="59D7A26C" w14:textId="77777777">
        <w:trPr>
          <w:tblHeader/>
        </w:trPr>
        <w:tc>
          <w:tcPr>
            <w:tcW w:w="1300" w:type="dxa"/>
            <w:tcBorders>
              <w:top w:val="single" w:sz="1" w:space="0" w:color="1B2A4A"/>
              <w:left w:val="single" w:sz="1" w:space="0" w:color="1B2A4A"/>
              <w:bottom w:val="single" w:sz="1" w:space="0" w:color="1B2A4A"/>
              <w:right w:val="single" w:sz="1" w:space="0" w:color="1B2A4A"/>
            </w:tcBorders>
            <w:shd w:val="clear" w:color="auto" w:fill="1B2A4A"/>
            <w:vAlign w:val="center"/>
          </w:tcPr>
          <w:p w14:paraId="740CFBFE" w14:textId="77777777" w:rsidR="00612205" w:rsidRPr="00CB2A4A" w:rsidRDefault="0023584E" w:rsidP="00376D75">
            <w:pPr>
              <w:spacing w:before="50" w:after="50" w:line="360" w:lineRule="auto"/>
              <w:jc w:val="center"/>
              <w:rPr>
                <w:rFonts w:ascii="Arial" w:hAnsi="Arial" w:cs="Arial"/>
              </w:rPr>
            </w:pPr>
            <w:r w:rsidRPr="00CB2A4A">
              <w:rPr>
                <w:rFonts w:ascii="Arial" w:eastAsia="Arial" w:hAnsi="Arial" w:cs="Arial"/>
                <w:b/>
                <w:bCs/>
                <w:color w:val="FFFFFF"/>
                <w:sz w:val="19"/>
                <w:szCs w:val="19"/>
              </w:rPr>
              <w:t>Entry Mode</w:t>
            </w:r>
          </w:p>
        </w:tc>
        <w:tc>
          <w:tcPr>
            <w:tcW w:w="1100" w:type="dxa"/>
            <w:tcBorders>
              <w:top w:val="single" w:sz="1" w:space="0" w:color="1B2A4A"/>
              <w:left w:val="single" w:sz="1" w:space="0" w:color="1B2A4A"/>
              <w:bottom w:val="single" w:sz="1" w:space="0" w:color="1B2A4A"/>
              <w:right w:val="single" w:sz="1" w:space="0" w:color="1B2A4A"/>
            </w:tcBorders>
            <w:shd w:val="clear" w:color="auto" w:fill="1B2A4A"/>
            <w:vAlign w:val="center"/>
          </w:tcPr>
          <w:p w14:paraId="312C45EC" w14:textId="77777777" w:rsidR="00612205" w:rsidRPr="00CB2A4A" w:rsidRDefault="0023584E" w:rsidP="00376D75">
            <w:pPr>
              <w:spacing w:before="50" w:after="50" w:line="360" w:lineRule="auto"/>
              <w:jc w:val="center"/>
              <w:rPr>
                <w:rFonts w:ascii="Arial" w:hAnsi="Arial" w:cs="Arial"/>
              </w:rPr>
            </w:pPr>
            <w:r w:rsidRPr="00CB2A4A">
              <w:rPr>
                <w:rFonts w:ascii="Arial" w:eastAsia="Arial" w:hAnsi="Arial" w:cs="Arial"/>
                <w:b/>
                <w:bCs/>
                <w:color w:val="FFFFFF"/>
                <w:sz w:val="19"/>
                <w:szCs w:val="19"/>
              </w:rPr>
              <w:t>Control</w:t>
            </w:r>
          </w:p>
        </w:tc>
        <w:tc>
          <w:tcPr>
            <w:tcW w:w="1100" w:type="dxa"/>
            <w:tcBorders>
              <w:top w:val="single" w:sz="1" w:space="0" w:color="1B2A4A"/>
              <w:left w:val="single" w:sz="1" w:space="0" w:color="1B2A4A"/>
              <w:bottom w:val="single" w:sz="1" w:space="0" w:color="1B2A4A"/>
              <w:right w:val="single" w:sz="1" w:space="0" w:color="1B2A4A"/>
            </w:tcBorders>
            <w:shd w:val="clear" w:color="auto" w:fill="1B2A4A"/>
            <w:vAlign w:val="center"/>
          </w:tcPr>
          <w:p w14:paraId="0A8331F3" w14:textId="77777777" w:rsidR="00612205" w:rsidRPr="00CB2A4A" w:rsidRDefault="0023584E" w:rsidP="00376D75">
            <w:pPr>
              <w:spacing w:before="50" w:after="50" w:line="360" w:lineRule="auto"/>
              <w:jc w:val="center"/>
              <w:rPr>
                <w:rFonts w:ascii="Arial" w:hAnsi="Arial" w:cs="Arial"/>
              </w:rPr>
            </w:pPr>
            <w:r w:rsidRPr="00CB2A4A">
              <w:rPr>
                <w:rFonts w:ascii="Arial" w:eastAsia="Arial" w:hAnsi="Arial" w:cs="Arial"/>
                <w:b/>
                <w:bCs/>
                <w:color w:val="FFFFFF"/>
                <w:sz w:val="19"/>
                <w:szCs w:val="19"/>
              </w:rPr>
              <w:t>Risk</w:t>
            </w:r>
          </w:p>
        </w:tc>
        <w:tc>
          <w:tcPr>
            <w:tcW w:w="1200" w:type="dxa"/>
            <w:tcBorders>
              <w:top w:val="single" w:sz="1" w:space="0" w:color="1B2A4A"/>
              <w:left w:val="single" w:sz="1" w:space="0" w:color="1B2A4A"/>
              <w:bottom w:val="single" w:sz="1" w:space="0" w:color="1B2A4A"/>
              <w:right w:val="single" w:sz="1" w:space="0" w:color="1B2A4A"/>
            </w:tcBorders>
            <w:shd w:val="clear" w:color="auto" w:fill="1B2A4A"/>
            <w:vAlign w:val="center"/>
          </w:tcPr>
          <w:p w14:paraId="661FE821" w14:textId="77777777" w:rsidR="00612205" w:rsidRPr="00CB2A4A" w:rsidRDefault="0023584E" w:rsidP="00376D75">
            <w:pPr>
              <w:spacing w:before="50" w:after="50" w:line="360" w:lineRule="auto"/>
              <w:jc w:val="center"/>
              <w:rPr>
                <w:rFonts w:ascii="Arial" w:hAnsi="Arial" w:cs="Arial"/>
              </w:rPr>
            </w:pPr>
            <w:r w:rsidRPr="00CB2A4A">
              <w:rPr>
                <w:rFonts w:ascii="Arial" w:eastAsia="Arial" w:hAnsi="Arial" w:cs="Arial"/>
                <w:b/>
                <w:bCs/>
                <w:color w:val="FFFFFF"/>
                <w:sz w:val="19"/>
                <w:szCs w:val="19"/>
              </w:rPr>
              <w:t>Resources</w:t>
            </w:r>
          </w:p>
        </w:tc>
        <w:tc>
          <w:tcPr>
            <w:tcW w:w="1300" w:type="dxa"/>
            <w:tcBorders>
              <w:top w:val="single" w:sz="1" w:space="0" w:color="1B2A4A"/>
              <w:left w:val="single" w:sz="1" w:space="0" w:color="1B2A4A"/>
              <w:bottom w:val="single" w:sz="1" w:space="0" w:color="1B2A4A"/>
              <w:right w:val="single" w:sz="1" w:space="0" w:color="1B2A4A"/>
            </w:tcBorders>
            <w:shd w:val="clear" w:color="auto" w:fill="1B2A4A"/>
            <w:vAlign w:val="center"/>
          </w:tcPr>
          <w:p w14:paraId="7119244F" w14:textId="77777777" w:rsidR="00612205" w:rsidRPr="00CB2A4A" w:rsidRDefault="0023584E" w:rsidP="00376D75">
            <w:pPr>
              <w:spacing w:before="50" w:after="50" w:line="360" w:lineRule="auto"/>
              <w:jc w:val="center"/>
              <w:rPr>
                <w:rFonts w:ascii="Arial" w:hAnsi="Arial" w:cs="Arial"/>
              </w:rPr>
            </w:pPr>
            <w:r w:rsidRPr="00CB2A4A">
              <w:rPr>
                <w:rFonts w:ascii="Arial" w:eastAsia="Arial" w:hAnsi="Arial" w:cs="Arial"/>
                <w:b/>
                <w:bCs/>
                <w:color w:val="FFFFFF"/>
                <w:sz w:val="19"/>
                <w:szCs w:val="19"/>
              </w:rPr>
              <w:t>Local Knowledge</w:t>
            </w:r>
          </w:p>
        </w:tc>
        <w:tc>
          <w:tcPr>
            <w:tcW w:w="3000" w:type="dxa"/>
            <w:tcBorders>
              <w:top w:val="single" w:sz="1" w:space="0" w:color="1B2A4A"/>
              <w:left w:val="single" w:sz="1" w:space="0" w:color="1B2A4A"/>
              <w:bottom w:val="single" w:sz="1" w:space="0" w:color="1B2A4A"/>
              <w:right w:val="single" w:sz="1" w:space="0" w:color="1B2A4A"/>
            </w:tcBorders>
            <w:shd w:val="clear" w:color="auto" w:fill="1B2A4A"/>
            <w:vAlign w:val="center"/>
          </w:tcPr>
          <w:p w14:paraId="6C92E13C" w14:textId="77777777" w:rsidR="00612205" w:rsidRPr="00CB2A4A" w:rsidRDefault="0023584E" w:rsidP="00376D75">
            <w:pPr>
              <w:spacing w:before="50" w:after="50" w:line="360" w:lineRule="auto"/>
              <w:jc w:val="center"/>
              <w:rPr>
                <w:rFonts w:ascii="Arial" w:hAnsi="Arial" w:cs="Arial"/>
              </w:rPr>
            </w:pPr>
            <w:r w:rsidRPr="00CB2A4A">
              <w:rPr>
                <w:rFonts w:ascii="Arial" w:eastAsia="Arial" w:hAnsi="Arial" w:cs="Arial"/>
                <w:b/>
                <w:bCs/>
                <w:color w:val="FFFFFF"/>
                <w:sz w:val="19"/>
                <w:szCs w:val="19"/>
              </w:rPr>
              <w:t>Suitability</w:t>
            </w:r>
          </w:p>
        </w:tc>
      </w:tr>
      <w:tr w:rsidR="00612205" w:rsidRPr="00CB2A4A" w14:paraId="1A56B5C9" w14:textId="77777777">
        <w:tc>
          <w:tcPr>
            <w:tcW w:w="1300" w:type="dxa"/>
            <w:tcBorders>
              <w:top w:val="single" w:sz="1" w:space="0" w:color="D0D5DD"/>
              <w:left w:val="single" w:sz="1" w:space="0" w:color="D0D5DD"/>
              <w:bottom w:val="single" w:sz="1" w:space="0" w:color="D0D5DD"/>
              <w:right w:val="single" w:sz="1" w:space="0" w:color="D0D5DD"/>
            </w:tcBorders>
            <w:vAlign w:val="center"/>
          </w:tcPr>
          <w:p w14:paraId="407EEB2A"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Exporting</w:t>
            </w:r>
          </w:p>
        </w:tc>
        <w:tc>
          <w:tcPr>
            <w:tcW w:w="1100" w:type="dxa"/>
            <w:tcBorders>
              <w:top w:val="single" w:sz="1" w:space="0" w:color="D0D5DD"/>
              <w:left w:val="single" w:sz="1" w:space="0" w:color="D0D5DD"/>
              <w:bottom w:val="single" w:sz="1" w:space="0" w:color="D0D5DD"/>
              <w:right w:val="single" w:sz="1" w:space="0" w:color="D0D5DD"/>
            </w:tcBorders>
            <w:vAlign w:val="center"/>
          </w:tcPr>
          <w:p w14:paraId="6010939B"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Low</w:t>
            </w:r>
          </w:p>
        </w:tc>
        <w:tc>
          <w:tcPr>
            <w:tcW w:w="1100" w:type="dxa"/>
            <w:tcBorders>
              <w:top w:val="single" w:sz="1" w:space="0" w:color="D0D5DD"/>
              <w:left w:val="single" w:sz="1" w:space="0" w:color="D0D5DD"/>
              <w:bottom w:val="single" w:sz="1" w:space="0" w:color="D0D5DD"/>
              <w:right w:val="single" w:sz="1" w:space="0" w:color="D0D5DD"/>
            </w:tcBorders>
            <w:vAlign w:val="center"/>
          </w:tcPr>
          <w:p w14:paraId="76FB89FB"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Low</w:t>
            </w:r>
          </w:p>
        </w:tc>
        <w:tc>
          <w:tcPr>
            <w:tcW w:w="1200" w:type="dxa"/>
            <w:tcBorders>
              <w:top w:val="single" w:sz="1" w:space="0" w:color="D0D5DD"/>
              <w:left w:val="single" w:sz="1" w:space="0" w:color="D0D5DD"/>
              <w:bottom w:val="single" w:sz="1" w:space="0" w:color="D0D5DD"/>
              <w:right w:val="single" w:sz="1" w:space="0" w:color="D0D5DD"/>
            </w:tcBorders>
            <w:vAlign w:val="center"/>
          </w:tcPr>
          <w:p w14:paraId="2AE958DF"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Low</w:t>
            </w:r>
          </w:p>
        </w:tc>
        <w:tc>
          <w:tcPr>
            <w:tcW w:w="1300" w:type="dxa"/>
            <w:tcBorders>
              <w:top w:val="single" w:sz="1" w:space="0" w:color="D0D5DD"/>
              <w:left w:val="single" w:sz="1" w:space="0" w:color="D0D5DD"/>
              <w:bottom w:val="single" w:sz="1" w:space="0" w:color="D0D5DD"/>
              <w:right w:val="single" w:sz="1" w:space="0" w:color="D0D5DD"/>
            </w:tcBorders>
            <w:vAlign w:val="center"/>
          </w:tcPr>
          <w:p w14:paraId="5503320F"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None</w:t>
            </w:r>
          </w:p>
        </w:tc>
        <w:tc>
          <w:tcPr>
            <w:tcW w:w="3000" w:type="dxa"/>
            <w:tcBorders>
              <w:top w:val="single" w:sz="1" w:space="0" w:color="D0D5DD"/>
              <w:left w:val="single" w:sz="1" w:space="0" w:color="D0D5DD"/>
              <w:bottom w:val="single" w:sz="1" w:space="0" w:color="D0D5DD"/>
              <w:right w:val="single" w:sz="1" w:space="0" w:color="D0D5DD"/>
            </w:tcBorders>
            <w:vAlign w:val="center"/>
          </w:tcPr>
          <w:p w14:paraId="76A45B7D"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NOT APPLICABLE – retailer model</w:t>
            </w:r>
          </w:p>
        </w:tc>
      </w:tr>
      <w:tr w:rsidR="00612205" w:rsidRPr="00CB2A4A" w14:paraId="372436D1" w14:textId="77777777">
        <w:tc>
          <w:tcPr>
            <w:tcW w:w="13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0B889EBD"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Licensing</w:t>
            </w:r>
          </w:p>
        </w:tc>
        <w:tc>
          <w:tcPr>
            <w:tcW w:w="11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133E6D6A"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Low</w:t>
            </w:r>
          </w:p>
        </w:tc>
        <w:tc>
          <w:tcPr>
            <w:tcW w:w="11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5CF82A30"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Low</w:t>
            </w:r>
          </w:p>
        </w:tc>
        <w:tc>
          <w:tcPr>
            <w:tcW w:w="12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3777537F"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Low</w:t>
            </w:r>
          </w:p>
        </w:tc>
        <w:tc>
          <w:tcPr>
            <w:tcW w:w="13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77CB03BA"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Via licensee</w:t>
            </w:r>
          </w:p>
        </w:tc>
        <w:tc>
          <w:tcPr>
            <w:tcW w:w="30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425AF98C"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Weak – insufficient brand control</w:t>
            </w:r>
          </w:p>
        </w:tc>
      </w:tr>
      <w:tr w:rsidR="00612205" w:rsidRPr="00CB2A4A" w14:paraId="33BA3D78" w14:textId="77777777">
        <w:tc>
          <w:tcPr>
            <w:tcW w:w="1300" w:type="dxa"/>
            <w:tcBorders>
              <w:top w:val="single" w:sz="1" w:space="0" w:color="D0D5DD"/>
              <w:left w:val="single" w:sz="1" w:space="0" w:color="D0D5DD"/>
              <w:bottom w:val="single" w:sz="1" w:space="0" w:color="D0D5DD"/>
              <w:right w:val="single" w:sz="1" w:space="0" w:color="D0D5DD"/>
            </w:tcBorders>
            <w:vAlign w:val="center"/>
          </w:tcPr>
          <w:p w14:paraId="0357CA4B"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Franchising</w:t>
            </w:r>
          </w:p>
        </w:tc>
        <w:tc>
          <w:tcPr>
            <w:tcW w:w="1100" w:type="dxa"/>
            <w:tcBorders>
              <w:top w:val="single" w:sz="1" w:space="0" w:color="D0D5DD"/>
              <w:left w:val="single" w:sz="1" w:space="0" w:color="D0D5DD"/>
              <w:bottom w:val="single" w:sz="1" w:space="0" w:color="D0D5DD"/>
              <w:right w:val="single" w:sz="1" w:space="0" w:color="D0D5DD"/>
            </w:tcBorders>
            <w:vAlign w:val="center"/>
          </w:tcPr>
          <w:p w14:paraId="59F854F8"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Moderate</w:t>
            </w:r>
          </w:p>
        </w:tc>
        <w:tc>
          <w:tcPr>
            <w:tcW w:w="1100" w:type="dxa"/>
            <w:tcBorders>
              <w:top w:val="single" w:sz="1" w:space="0" w:color="D0D5DD"/>
              <w:left w:val="single" w:sz="1" w:space="0" w:color="D0D5DD"/>
              <w:bottom w:val="single" w:sz="1" w:space="0" w:color="D0D5DD"/>
              <w:right w:val="single" w:sz="1" w:space="0" w:color="D0D5DD"/>
            </w:tcBorders>
            <w:vAlign w:val="center"/>
          </w:tcPr>
          <w:p w14:paraId="26E09100"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Low-Mod</w:t>
            </w:r>
          </w:p>
        </w:tc>
        <w:tc>
          <w:tcPr>
            <w:tcW w:w="1200" w:type="dxa"/>
            <w:tcBorders>
              <w:top w:val="single" w:sz="1" w:space="0" w:color="D0D5DD"/>
              <w:left w:val="single" w:sz="1" w:space="0" w:color="D0D5DD"/>
              <w:bottom w:val="single" w:sz="1" w:space="0" w:color="D0D5DD"/>
              <w:right w:val="single" w:sz="1" w:space="0" w:color="D0D5DD"/>
            </w:tcBorders>
            <w:vAlign w:val="center"/>
          </w:tcPr>
          <w:p w14:paraId="10277DDA"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Low-Mod</w:t>
            </w:r>
          </w:p>
        </w:tc>
        <w:tc>
          <w:tcPr>
            <w:tcW w:w="1300" w:type="dxa"/>
            <w:tcBorders>
              <w:top w:val="single" w:sz="1" w:space="0" w:color="D0D5DD"/>
              <w:left w:val="single" w:sz="1" w:space="0" w:color="D0D5DD"/>
              <w:bottom w:val="single" w:sz="1" w:space="0" w:color="D0D5DD"/>
              <w:right w:val="single" w:sz="1" w:space="0" w:color="D0D5DD"/>
            </w:tcBorders>
            <w:vAlign w:val="center"/>
          </w:tcPr>
          <w:p w14:paraId="5613C74C"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Via franchisee</w:t>
            </w:r>
          </w:p>
        </w:tc>
        <w:tc>
          <w:tcPr>
            <w:tcW w:w="3000" w:type="dxa"/>
            <w:tcBorders>
              <w:top w:val="single" w:sz="1" w:space="0" w:color="D0D5DD"/>
              <w:left w:val="single" w:sz="1" w:space="0" w:color="D0D5DD"/>
              <w:bottom w:val="single" w:sz="1" w:space="0" w:color="D0D5DD"/>
              <w:right w:val="single" w:sz="1" w:space="0" w:color="D0D5DD"/>
            </w:tcBorders>
            <w:vAlign w:val="center"/>
          </w:tcPr>
          <w:p w14:paraId="4FD183CD"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b/>
                <w:bCs/>
                <w:color w:val="1A7A4C"/>
                <w:sz w:val="19"/>
                <w:szCs w:val="19"/>
              </w:rPr>
              <w:t>RECOMMENDED – Alshaya model</w:t>
            </w:r>
          </w:p>
        </w:tc>
      </w:tr>
      <w:tr w:rsidR="00612205" w:rsidRPr="00CB2A4A" w14:paraId="626DF56E" w14:textId="77777777">
        <w:tc>
          <w:tcPr>
            <w:tcW w:w="13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0AD4F0F3"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Joint Venture</w:t>
            </w:r>
          </w:p>
        </w:tc>
        <w:tc>
          <w:tcPr>
            <w:tcW w:w="11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262C5147"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Shared</w:t>
            </w:r>
          </w:p>
        </w:tc>
        <w:tc>
          <w:tcPr>
            <w:tcW w:w="11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0D36D0B6"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Moderate</w:t>
            </w:r>
          </w:p>
        </w:tc>
        <w:tc>
          <w:tcPr>
            <w:tcW w:w="12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0AF18746"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Mod-High</w:t>
            </w:r>
          </w:p>
        </w:tc>
        <w:tc>
          <w:tcPr>
            <w:tcW w:w="13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6EDF41E6"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Via JV partner</w:t>
            </w:r>
          </w:p>
        </w:tc>
        <w:tc>
          <w:tcPr>
            <w:tcW w:w="30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05EFFA9C"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Viable alternative</w:t>
            </w:r>
          </w:p>
        </w:tc>
      </w:tr>
      <w:tr w:rsidR="00612205" w:rsidRPr="00CB2A4A" w14:paraId="507794E9" w14:textId="77777777">
        <w:tc>
          <w:tcPr>
            <w:tcW w:w="1300" w:type="dxa"/>
            <w:tcBorders>
              <w:top w:val="single" w:sz="1" w:space="0" w:color="D0D5DD"/>
              <w:left w:val="single" w:sz="1" w:space="0" w:color="D0D5DD"/>
              <w:bottom w:val="single" w:sz="1" w:space="0" w:color="D0D5DD"/>
              <w:right w:val="single" w:sz="1" w:space="0" w:color="D0D5DD"/>
            </w:tcBorders>
            <w:vAlign w:val="center"/>
          </w:tcPr>
          <w:p w14:paraId="2F6D7718"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WOS</w:t>
            </w:r>
          </w:p>
        </w:tc>
        <w:tc>
          <w:tcPr>
            <w:tcW w:w="1100" w:type="dxa"/>
            <w:tcBorders>
              <w:top w:val="single" w:sz="1" w:space="0" w:color="D0D5DD"/>
              <w:left w:val="single" w:sz="1" w:space="0" w:color="D0D5DD"/>
              <w:bottom w:val="single" w:sz="1" w:space="0" w:color="D0D5DD"/>
              <w:right w:val="single" w:sz="1" w:space="0" w:color="D0D5DD"/>
            </w:tcBorders>
            <w:vAlign w:val="center"/>
          </w:tcPr>
          <w:p w14:paraId="157EB068"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High</w:t>
            </w:r>
          </w:p>
        </w:tc>
        <w:tc>
          <w:tcPr>
            <w:tcW w:w="1100" w:type="dxa"/>
            <w:tcBorders>
              <w:top w:val="single" w:sz="1" w:space="0" w:color="D0D5DD"/>
              <w:left w:val="single" w:sz="1" w:space="0" w:color="D0D5DD"/>
              <w:bottom w:val="single" w:sz="1" w:space="0" w:color="D0D5DD"/>
              <w:right w:val="single" w:sz="1" w:space="0" w:color="D0D5DD"/>
            </w:tcBorders>
            <w:vAlign w:val="center"/>
          </w:tcPr>
          <w:p w14:paraId="384253B5"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High</w:t>
            </w:r>
          </w:p>
        </w:tc>
        <w:tc>
          <w:tcPr>
            <w:tcW w:w="1200" w:type="dxa"/>
            <w:tcBorders>
              <w:top w:val="single" w:sz="1" w:space="0" w:color="D0D5DD"/>
              <w:left w:val="single" w:sz="1" w:space="0" w:color="D0D5DD"/>
              <w:bottom w:val="single" w:sz="1" w:space="0" w:color="D0D5DD"/>
              <w:right w:val="single" w:sz="1" w:space="0" w:color="D0D5DD"/>
            </w:tcBorders>
            <w:vAlign w:val="center"/>
          </w:tcPr>
          <w:p w14:paraId="63921CFF"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Very High</w:t>
            </w:r>
          </w:p>
        </w:tc>
        <w:tc>
          <w:tcPr>
            <w:tcW w:w="1300" w:type="dxa"/>
            <w:tcBorders>
              <w:top w:val="single" w:sz="1" w:space="0" w:color="D0D5DD"/>
              <w:left w:val="single" w:sz="1" w:space="0" w:color="D0D5DD"/>
              <w:bottom w:val="single" w:sz="1" w:space="0" w:color="D0D5DD"/>
              <w:right w:val="single" w:sz="1" w:space="0" w:color="D0D5DD"/>
            </w:tcBorders>
            <w:vAlign w:val="center"/>
          </w:tcPr>
          <w:p w14:paraId="776F3F18"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Must build</w:t>
            </w:r>
          </w:p>
        </w:tc>
        <w:tc>
          <w:tcPr>
            <w:tcW w:w="3000" w:type="dxa"/>
            <w:tcBorders>
              <w:top w:val="single" w:sz="1" w:space="0" w:color="D0D5DD"/>
              <w:left w:val="single" w:sz="1" w:space="0" w:color="D0D5DD"/>
              <w:bottom w:val="single" w:sz="1" w:space="0" w:color="D0D5DD"/>
              <w:right w:val="single" w:sz="1" w:space="0" w:color="D0D5DD"/>
            </w:tcBorders>
            <w:vAlign w:val="center"/>
          </w:tcPr>
          <w:p w14:paraId="01D48178"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color w:val="C0392B"/>
                <w:sz w:val="19"/>
                <w:szCs w:val="19"/>
              </w:rPr>
              <w:t>HIGH RISK – no Asian experience</w:t>
            </w:r>
          </w:p>
        </w:tc>
      </w:tr>
      <w:tr w:rsidR="00612205" w:rsidRPr="00CB2A4A" w14:paraId="32207A4A" w14:textId="77777777">
        <w:tc>
          <w:tcPr>
            <w:tcW w:w="13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169890F5"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Acquisition</w:t>
            </w:r>
          </w:p>
        </w:tc>
        <w:tc>
          <w:tcPr>
            <w:tcW w:w="11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75FDB71B"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High</w:t>
            </w:r>
          </w:p>
        </w:tc>
        <w:tc>
          <w:tcPr>
            <w:tcW w:w="11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2166782D"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Very High</w:t>
            </w:r>
          </w:p>
        </w:tc>
        <w:tc>
          <w:tcPr>
            <w:tcW w:w="12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731D2971"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Very High</w:t>
            </w:r>
          </w:p>
        </w:tc>
        <w:tc>
          <w:tcPr>
            <w:tcW w:w="13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40CBBEC0"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Inherited</w:t>
            </w:r>
          </w:p>
        </w:tc>
        <w:tc>
          <w:tcPr>
            <w:tcW w:w="3000" w:type="dxa"/>
            <w:tcBorders>
              <w:top w:val="single" w:sz="1" w:space="0" w:color="D0D5DD"/>
              <w:left w:val="single" w:sz="1" w:space="0" w:color="D0D5DD"/>
              <w:bottom w:val="single" w:sz="1" w:space="0" w:color="D0D5DD"/>
              <w:right w:val="single" w:sz="1" w:space="0" w:color="D0D5DD"/>
            </w:tcBorders>
            <w:shd w:val="clear" w:color="auto" w:fill="F0F4FA"/>
            <w:vAlign w:val="center"/>
          </w:tcPr>
          <w:p w14:paraId="63619866" w14:textId="77777777" w:rsidR="00612205" w:rsidRPr="00CB2A4A" w:rsidRDefault="0023584E" w:rsidP="00376D75">
            <w:pPr>
              <w:spacing w:before="35" w:after="35" w:line="360" w:lineRule="auto"/>
              <w:jc w:val="center"/>
              <w:rPr>
                <w:rFonts w:ascii="Arial" w:hAnsi="Arial" w:cs="Arial"/>
              </w:rPr>
            </w:pPr>
            <w:r w:rsidRPr="00CB2A4A">
              <w:rPr>
                <w:rFonts w:ascii="Arial" w:hAnsi="Arial" w:cs="Arial"/>
                <w:sz w:val="19"/>
                <w:szCs w:val="19"/>
              </w:rPr>
              <w:t>Unlikely – no suitable target</w:t>
            </w:r>
          </w:p>
        </w:tc>
      </w:tr>
    </w:tbl>
    <w:p w14:paraId="23003EAE" w14:textId="4E25E2F6" w:rsidR="00612205" w:rsidRPr="00CB2A4A" w:rsidRDefault="0023584E" w:rsidP="00376D75">
      <w:pPr>
        <w:spacing w:before="40" w:after="240" w:line="360" w:lineRule="auto"/>
        <w:jc w:val="center"/>
        <w:rPr>
          <w:rFonts w:ascii="Arial" w:hAnsi="Arial" w:cs="Arial"/>
          <w:sz w:val="28"/>
          <w:szCs w:val="28"/>
        </w:rPr>
      </w:pPr>
      <w:r w:rsidRPr="00CB2A4A">
        <w:rPr>
          <w:rFonts w:ascii="Arial" w:hAnsi="Arial" w:cs="Arial"/>
          <w:color w:val="555555"/>
          <w:sz w:val="20"/>
          <w:szCs w:val="20"/>
        </w:rPr>
        <w:t>Source: Hollensen (2020); Anderson and Gatignon (1986); Hill (2024). Suitability ratings reflect Primark's specific circumstances.</w:t>
      </w:r>
      <w:r w:rsidR="00DE0307" w:rsidRPr="00CB2A4A">
        <w:rPr>
          <w:rFonts w:ascii="Arial" w:hAnsi="Arial" w:cs="Arial"/>
          <w:color w:val="555555"/>
          <w:sz w:val="20"/>
          <w:szCs w:val="20"/>
        </w:rPr>
        <w:t xml:space="preserve"> Created in </w:t>
      </w:r>
      <w:r w:rsidR="00221F15">
        <w:rPr>
          <w:rFonts w:ascii="Arial" w:hAnsi="Arial" w:cs="Arial"/>
          <w:color w:val="555555"/>
          <w:sz w:val="20"/>
          <w:szCs w:val="20"/>
        </w:rPr>
        <w:t>Excel</w:t>
      </w:r>
      <w:r w:rsidR="00DE0307" w:rsidRPr="00CB2A4A">
        <w:rPr>
          <w:rFonts w:ascii="Arial" w:hAnsi="Arial" w:cs="Arial"/>
          <w:color w:val="555555"/>
          <w:sz w:val="20"/>
          <w:szCs w:val="20"/>
        </w:rPr>
        <w:t>.</w:t>
      </w:r>
    </w:p>
    <w:p w14:paraId="5B714BDC" w14:textId="77777777" w:rsidR="00612205" w:rsidRPr="00CB2A4A" w:rsidRDefault="0023584E" w:rsidP="00747BFD">
      <w:pPr>
        <w:spacing w:before="160" w:after="80" w:line="360" w:lineRule="auto"/>
        <w:jc w:val="both"/>
        <w:rPr>
          <w:rFonts w:ascii="Arial" w:hAnsi="Arial" w:cs="Arial"/>
        </w:rPr>
      </w:pPr>
      <w:r w:rsidRPr="00CB2A4A">
        <w:rPr>
          <w:rFonts w:ascii="Arial" w:hAnsi="Arial" w:cs="Arial"/>
          <w:noProof/>
        </w:rPr>
        <w:drawing>
          <wp:inline distT="0" distB="0" distL="0" distR="0" wp14:anchorId="5DC7E3A8" wp14:editId="58758B48">
            <wp:extent cx="5334000" cy="3238500"/>
            <wp:effectExtent l="0" t="0" r="0" b="0"/>
            <wp:docPr id="11120938" name="Picture 111209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334000" cy="3238500"/>
                    </a:xfrm>
                    <a:prstGeom prst="rect">
                      <a:avLst/>
                    </a:prstGeom>
                  </pic:spPr>
                </pic:pic>
              </a:graphicData>
            </a:graphic>
          </wp:inline>
        </w:drawing>
      </w:r>
    </w:p>
    <w:p w14:paraId="314810DC" w14:textId="30C7734C" w:rsidR="00747BFD" w:rsidRPr="00CB2A4A" w:rsidRDefault="00747BFD" w:rsidP="00747BFD">
      <w:pPr>
        <w:pStyle w:val="Heading2"/>
        <w:spacing w:line="360" w:lineRule="auto"/>
        <w:jc w:val="both"/>
        <w:rPr>
          <w:rFonts w:eastAsia="Times New Roman"/>
          <w:b w:val="0"/>
          <w:bCs w:val="0"/>
          <w:color w:val="333333"/>
          <w:sz w:val="24"/>
          <w:szCs w:val="24"/>
        </w:rPr>
      </w:pPr>
      <w:bookmarkStart w:id="20" w:name="_Toc236295282"/>
      <w:bookmarkStart w:id="21" w:name="_Toc236296284"/>
      <w:r w:rsidRPr="00CB2A4A">
        <w:rPr>
          <w:rFonts w:eastAsia="Times New Roman"/>
          <w:b w:val="0"/>
          <w:bCs w:val="0"/>
          <w:color w:val="333333"/>
          <w:sz w:val="24"/>
          <w:szCs w:val="24"/>
        </w:rPr>
        <w:lastRenderedPageBreak/>
        <w:t>Based on the findings from Sections 1 and 2, a franchise entry mode for South Korea is recommended (Table 6; Figure 5). A Hofstede analysis indicated that the cultural difference was significant, and the difference in individualism is 71 points, the difference in uncertainty avoidance is 50 points, and not to mention the lack of brand awareness of Primark in East Asia, this risk profile would not be worth a 100% investment from the perspective of capital allocation. A Korean franchise partner, from retail giants like Lotte, Shinsegae or E-Land, would at the same time provide what Johanson and Vahlne (2009) label as the important element for achieving the credibility of outsidership: an existing network of relationships in terms of retail real estate, supplier relationships, regulatory knowledge and consumer insights. The Kuwait franchise with Alshaya Group offers an operational precedent that shows how Primark can uphold its brand in an external partnership (GlobalData, 2025b; 2026a). Capital efficiency further validates this suggestion: ABF has announced that Primark will be a stand-alone entity by the end of 2027 (GlobalData, 2026b) while the company is also looking to expand in the USA and digital capabilities. Entry mode decisions hinge on the balance between control, risk and flexibility – in this sense, Anderson and Gatignon (1986) argue that they can experiment with 2-3 pilot stores in areas like Myeongdong, Gangnam or Hongdae without making a stronger commitment in this specific country before going with a WOS. In line with the Uppsala model</w:t>
      </w:r>
      <w:r w:rsidR="003F66E3">
        <w:rPr>
          <w:rFonts w:eastAsia="Times New Roman"/>
          <w:b w:val="0"/>
          <w:bCs w:val="0"/>
          <w:color w:val="333333"/>
          <w:sz w:val="24"/>
          <w:szCs w:val="24"/>
        </w:rPr>
        <w:t xml:space="preserve"> and the</w:t>
      </w:r>
      <w:r w:rsidRPr="00CB2A4A">
        <w:rPr>
          <w:rFonts w:eastAsia="Times New Roman"/>
          <w:b w:val="0"/>
          <w:bCs w:val="0"/>
          <w:color w:val="333333"/>
          <w:sz w:val="24"/>
          <w:szCs w:val="24"/>
        </w:rPr>
        <w:t xml:space="preserve"> logic of incremental commitment, a successful pilot could then progress to a joint venture or WOS form. The risks of the franchise model need to be recognised. Indirect operation can lead to inconsistencies within Primark's in-store experience. In culturally distant markets</w:t>
      </w:r>
      <w:r w:rsidR="003F66E3">
        <w:rPr>
          <w:rFonts w:eastAsia="Times New Roman"/>
          <w:b w:val="0"/>
          <w:bCs w:val="0"/>
          <w:color w:val="333333"/>
          <w:sz w:val="24"/>
          <w:szCs w:val="24"/>
        </w:rPr>
        <w:t>,</w:t>
      </w:r>
      <w:r w:rsidRPr="00CB2A4A">
        <w:rPr>
          <w:rFonts w:eastAsia="Times New Roman"/>
          <w:b w:val="0"/>
          <w:bCs w:val="0"/>
          <w:color w:val="333333"/>
          <w:sz w:val="24"/>
          <w:szCs w:val="24"/>
        </w:rPr>
        <w:t xml:space="preserve"> the transaction costs of quality monitoring are high (Anderson and Gatignon, 1986), and the search costs for finding a match are high (Hollensen, 2020). To reduce these risks, full-fledged franchise agendas would include </w:t>
      </w:r>
      <w:r w:rsidR="003F66E3">
        <w:rPr>
          <w:rFonts w:eastAsia="Times New Roman"/>
          <w:b w:val="0"/>
          <w:bCs w:val="0"/>
          <w:color w:val="333333"/>
          <w:sz w:val="24"/>
          <w:szCs w:val="24"/>
        </w:rPr>
        <w:t xml:space="preserve">a </w:t>
      </w:r>
      <w:r w:rsidRPr="00CB2A4A">
        <w:rPr>
          <w:rFonts w:eastAsia="Times New Roman"/>
          <w:b w:val="0"/>
          <w:bCs w:val="0"/>
          <w:color w:val="333333"/>
          <w:sz w:val="24"/>
          <w:szCs w:val="24"/>
        </w:rPr>
        <w:t>shop model, merchandising norms, pricing range, proper quality checks</w:t>
      </w:r>
      <w:r w:rsidR="003F66E3">
        <w:rPr>
          <w:rFonts w:eastAsia="Times New Roman"/>
          <w:b w:val="0"/>
          <w:bCs w:val="0"/>
          <w:color w:val="333333"/>
          <w:sz w:val="24"/>
          <w:szCs w:val="24"/>
        </w:rPr>
        <w:t>,</w:t>
      </w:r>
      <w:r w:rsidRPr="00CB2A4A">
        <w:rPr>
          <w:rFonts w:eastAsia="Times New Roman"/>
          <w:b w:val="0"/>
          <w:bCs w:val="0"/>
          <w:color w:val="333333"/>
          <w:sz w:val="24"/>
          <w:szCs w:val="24"/>
        </w:rPr>
        <w:t xml:space="preserve"> </w:t>
      </w:r>
      <w:proofErr w:type="spellStart"/>
      <w:r w:rsidRPr="00CB2A4A">
        <w:rPr>
          <w:rFonts w:eastAsia="Times New Roman"/>
          <w:b w:val="0"/>
          <w:bCs w:val="0"/>
          <w:color w:val="333333"/>
          <w:sz w:val="24"/>
          <w:szCs w:val="24"/>
        </w:rPr>
        <w:t>etc</w:t>
      </w:r>
      <w:proofErr w:type="spellEnd"/>
      <w:r w:rsidR="00004404">
        <w:rPr>
          <w:rFonts w:eastAsia="Times New Roman"/>
          <w:b w:val="0"/>
          <w:bCs w:val="0"/>
          <w:color w:val="333333"/>
          <w:sz w:val="24"/>
          <w:szCs w:val="24"/>
        </w:rPr>
        <w:t xml:space="preserve">, </w:t>
      </w:r>
      <w:r w:rsidRPr="00CB2A4A">
        <w:rPr>
          <w:rFonts w:eastAsia="Times New Roman"/>
          <w:b w:val="0"/>
          <w:bCs w:val="0"/>
          <w:color w:val="333333"/>
          <w:sz w:val="24"/>
          <w:szCs w:val="24"/>
        </w:rPr>
        <w:t xml:space="preserve">along with </w:t>
      </w:r>
      <w:r w:rsidR="003F66E3">
        <w:rPr>
          <w:rFonts w:eastAsia="Times New Roman"/>
          <w:b w:val="0"/>
          <w:bCs w:val="0"/>
          <w:color w:val="333333"/>
          <w:sz w:val="24"/>
          <w:szCs w:val="24"/>
        </w:rPr>
        <w:t xml:space="preserve">a </w:t>
      </w:r>
      <w:r w:rsidRPr="00CB2A4A">
        <w:rPr>
          <w:rFonts w:eastAsia="Times New Roman"/>
          <w:b w:val="0"/>
          <w:bCs w:val="0"/>
          <w:color w:val="333333"/>
          <w:sz w:val="24"/>
          <w:szCs w:val="24"/>
        </w:rPr>
        <w:t xml:space="preserve">dedicated team of Primark regional oversight. </w:t>
      </w:r>
    </w:p>
    <w:p w14:paraId="02C57955" w14:textId="6AC561DB" w:rsidR="00612205" w:rsidRPr="00CB2A4A" w:rsidRDefault="0023584E" w:rsidP="00747BFD">
      <w:pPr>
        <w:pStyle w:val="Heading2"/>
        <w:spacing w:line="360" w:lineRule="auto"/>
        <w:jc w:val="both"/>
      </w:pPr>
      <w:r w:rsidRPr="00CB2A4A">
        <w:t>3.3 Conclusion and Recommendations</w:t>
      </w:r>
      <w:bookmarkEnd w:id="20"/>
      <w:bookmarkEnd w:id="21"/>
    </w:p>
    <w:p w14:paraId="79A7F793" w14:textId="0F75FA8B" w:rsidR="00612205" w:rsidRPr="00CB2A4A" w:rsidRDefault="00747BFD" w:rsidP="00747BFD">
      <w:pPr>
        <w:spacing w:line="360" w:lineRule="auto"/>
        <w:jc w:val="both"/>
        <w:rPr>
          <w:rFonts w:ascii="Arial" w:hAnsi="Arial" w:cs="Arial"/>
        </w:rPr>
      </w:pPr>
      <w:r w:rsidRPr="00CB2A4A">
        <w:rPr>
          <w:rFonts w:ascii="Arial" w:hAnsi="Arial" w:cs="Arial"/>
        </w:rPr>
        <w:t xml:space="preserve">Primark's current strategy is to pursue a global strategy with a centralised value chain, with cost-leadership through standardisation and scale (Bartlett and Ghoshal, 1989), and is slowly turning into a more locally responsive strategy with the Kuwait franchise and the use of digital capabilities. South Korea is a high opportunity, high complexity </w:t>
      </w:r>
      <w:r w:rsidRPr="00CB2A4A">
        <w:rPr>
          <w:rFonts w:ascii="Arial" w:hAnsi="Arial" w:cs="Arial"/>
        </w:rPr>
        <w:lastRenderedPageBreak/>
        <w:t xml:space="preserve">market with the economic fundamentals and political environment favourable, and the socio-cultural difference and technological environment as the greatest challenge. From the OLI analysis, transferable but incomplete O-advantages, mixed L-advantages and I-advantages with a preference for external governance are identified. The strategic recommendation is that Primark should do so via a franchise agreement with an already established retail organization in South Korea </w:t>
      </w:r>
      <w:proofErr w:type="gramStart"/>
      <w:r w:rsidRPr="00CB2A4A">
        <w:rPr>
          <w:rFonts w:ascii="Arial" w:hAnsi="Arial" w:cs="Arial"/>
        </w:rPr>
        <w:t>similar to</w:t>
      </w:r>
      <w:proofErr w:type="gramEnd"/>
      <w:r w:rsidRPr="00CB2A4A">
        <w:rPr>
          <w:rFonts w:ascii="Arial" w:hAnsi="Arial" w:cs="Arial"/>
        </w:rPr>
        <w:t xml:space="preserve"> the Alshaya group. The initial stores should be 2 to 3 pilot stores in Seoul and position the brand from value to ‘accessible European style’. Timing should not come before 2028, which will allow for consolidation of the spin-off of ABF and for the US expansion. The analysis is based on secondary data and in the event of investment, primary consumer research would be imperative in South Korea. The strategic analysis that follows is the formal product of this report. In the next section, a reflection on the process of learning that has been experienced is presented. </w:t>
      </w:r>
      <w:r w:rsidRPr="00CB2A4A">
        <w:rPr>
          <w:rFonts w:ascii="Arial" w:hAnsi="Arial" w:cs="Arial"/>
        </w:rPr>
        <w:br w:type="page"/>
      </w:r>
    </w:p>
    <w:p w14:paraId="3BD1C394" w14:textId="77777777" w:rsidR="00612205" w:rsidRPr="00CB2A4A" w:rsidRDefault="0023584E" w:rsidP="00747BFD">
      <w:pPr>
        <w:pStyle w:val="Heading1"/>
        <w:pBdr>
          <w:bottom w:val="single" w:sz="6" w:space="0" w:color="2E5090"/>
        </w:pBdr>
        <w:spacing w:line="360" w:lineRule="auto"/>
        <w:jc w:val="both"/>
      </w:pPr>
      <w:bookmarkStart w:id="22" w:name="_Toc236295283"/>
      <w:bookmarkStart w:id="23" w:name="_Toc236296285"/>
      <w:r w:rsidRPr="00CB2A4A">
        <w:lastRenderedPageBreak/>
        <w:t>Section 4: Reflective Account – Gibbs Reflective Cycle</w:t>
      </w:r>
      <w:bookmarkEnd w:id="22"/>
      <w:bookmarkEnd w:id="23"/>
    </w:p>
    <w:p w14:paraId="5558A5D9" w14:textId="77777777" w:rsidR="00B83BBA" w:rsidRDefault="00747BFD" w:rsidP="00747BFD">
      <w:pPr>
        <w:pStyle w:val="Heading2"/>
        <w:spacing w:line="360" w:lineRule="auto"/>
        <w:jc w:val="both"/>
        <w:rPr>
          <w:rFonts w:eastAsia="Times New Roman"/>
          <w:b w:val="0"/>
          <w:bCs w:val="0"/>
          <w:color w:val="333333"/>
          <w:sz w:val="24"/>
          <w:szCs w:val="24"/>
        </w:rPr>
      </w:pPr>
      <w:bookmarkStart w:id="24" w:name="_Toc236295284"/>
      <w:bookmarkStart w:id="25" w:name="_Toc236296286"/>
      <w:r w:rsidRPr="00CB2A4A">
        <w:rPr>
          <w:rFonts w:eastAsia="Times New Roman"/>
          <w:b w:val="0"/>
          <w:bCs w:val="0"/>
          <w:color w:val="333333"/>
          <w:sz w:val="24"/>
          <w:szCs w:val="24"/>
        </w:rPr>
        <w:t>This section uses Gibbs' (1988) Reflective Cycle to reflect on the learning experience of undertaking this assignment. The cycle consists of six stages: description, feelings, evaluation, analysis, conclusion and action plan.</w:t>
      </w:r>
    </w:p>
    <w:p w14:paraId="7C6B2826" w14:textId="40C15EA5" w:rsidR="00612205" w:rsidRPr="00B83BBA" w:rsidRDefault="00747BFD" w:rsidP="00747BFD">
      <w:pPr>
        <w:pStyle w:val="Heading2"/>
        <w:spacing w:line="360" w:lineRule="auto"/>
        <w:jc w:val="both"/>
        <w:rPr>
          <w:rFonts w:eastAsia="Times New Roman"/>
          <w:b w:val="0"/>
          <w:bCs w:val="0"/>
          <w:color w:val="333333"/>
          <w:sz w:val="24"/>
          <w:szCs w:val="24"/>
        </w:rPr>
      </w:pPr>
      <w:r w:rsidRPr="00CB2A4A">
        <w:rPr>
          <w:rFonts w:eastAsia="Times New Roman"/>
          <w:b w:val="0"/>
          <w:bCs w:val="0"/>
          <w:color w:val="333333"/>
          <w:sz w:val="24"/>
          <w:szCs w:val="24"/>
        </w:rPr>
        <w:br/>
      </w:r>
      <w:r w:rsidRPr="00CB2A4A">
        <w:rPr>
          <w:rFonts w:eastAsia="Times New Roman"/>
          <w:b w:val="0"/>
          <w:bCs w:val="0"/>
          <w:color w:val="333333"/>
          <w:sz w:val="24"/>
          <w:szCs w:val="24"/>
        </w:rPr>
        <w:br/>
      </w:r>
      <w:r w:rsidRPr="00CB2A4A">
        <w:t>4.1 Description</w:t>
      </w:r>
      <w:bookmarkEnd w:id="24"/>
      <w:bookmarkEnd w:id="25"/>
    </w:p>
    <w:p w14:paraId="161D0F00" w14:textId="70FE2A85" w:rsidR="00747BFD" w:rsidRPr="00CB2A4A" w:rsidRDefault="00747BFD" w:rsidP="00747BFD">
      <w:pPr>
        <w:pStyle w:val="Heading2"/>
        <w:spacing w:line="360" w:lineRule="auto"/>
        <w:jc w:val="both"/>
        <w:rPr>
          <w:rFonts w:eastAsia="Times New Roman"/>
          <w:b w:val="0"/>
          <w:bCs w:val="0"/>
          <w:color w:val="333333"/>
          <w:sz w:val="24"/>
          <w:szCs w:val="24"/>
        </w:rPr>
      </w:pPr>
      <w:bookmarkStart w:id="26" w:name="_Toc236295285"/>
      <w:bookmarkStart w:id="27" w:name="_Toc236296287"/>
      <w:r w:rsidRPr="00CB2A4A">
        <w:rPr>
          <w:rFonts w:eastAsia="Times New Roman"/>
          <w:b w:val="0"/>
          <w:bCs w:val="0"/>
          <w:color w:val="333333"/>
          <w:sz w:val="24"/>
          <w:szCs w:val="24"/>
        </w:rPr>
        <w:t xml:space="preserve">The task was to pick an overseas firm that did not have any operations in a specific target country and to write a strategic analysis for entry into the target country. I have chosen South Korea as a target market </w:t>
      </w:r>
      <w:proofErr w:type="gramStart"/>
      <w:r w:rsidRPr="00CB2A4A">
        <w:rPr>
          <w:rFonts w:eastAsia="Times New Roman"/>
          <w:b w:val="0"/>
          <w:bCs w:val="0"/>
          <w:color w:val="333333"/>
          <w:sz w:val="24"/>
          <w:szCs w:val="24"/>
        </w:rPr>
        <w:t>and also</w:t>
      </w:r>
      <w:proofErr w:type="gramEnd"/>
      <w:r w:rsidRPr="00CB2A4A">
        <w:rPr>
          <w:rFonts w:eastAsia="Times New Roman"/>
          <w:b w:val="0"/>
          <w:bCs w:val="0"/>
          <w:color w:val="333333"/>
          <w:sz w:val="24"/>
          <w:szCs w:val="24"/>
        </w:rPr>
        <w:t xml:space="preserve"> Primark. The integration-responsiveness framework of Bartlett and Ghoshal (1989), the OLI Paradigm of Dunning (2000; 2001), the Uppsala model (Johanson and Vahlne, 1977; 2009) and the PESTLE analysis are the models that were used in the analysis. The data </w:t>
      </w:r>
      <w:r w:rsidR="00004404">
        <w:rPr>
          <w:rFonts w:eastAsia="Times New Roman"/>
          <w:b w:val="0"/>
          <w:bCs w:val="0"/>
          <w:color w:val="333333"/>
          <w:sz w:val="24"/>
          <w:szCs w:val="24"/>
        </w:rPr>
        <w:t>were</w:t>
      </w:r>
      <w:r w:rsidRPr="00CB2A4A">
        <w:rPr>
          <w:rFonts w:eastAsia="Times New Roman"/>
          <w:b w:val="0"/>
          <w:bCs w:val="0"/>
          <w:color w:val="333333"/>
          <w:sz w:val="24"/>
          <w:szCs w:val="24"/>
        </w:rPr>
        <w:t xml:space="preserve"> collected from OECD economic surveys, WIPO statistics, GlobalData retail viewpoints, Hofstede cultural dimensions data</w:t>
      </w:r>
      <w:r w:rsidR="00004404">
        <w:rPr>
          <w:rFonts w:eastAsia="Times New Roman"/>
          <w:b w:val="0"/>
          <w:bCs w:val="0"/>
          <w:color w:val="333333"/>
          <w:sz w:val="24"/>
          <w:szCs w:val="24"/>
        </w:rPr>
        <w:t>,</w:t>
      </w:r>
      <w:r w:rsidRPr="00CB2A4A">
        <w:rPr>
          <w:rFonts w:eastAsia="Times New Roman"/>
          <w:b w:val="0"/>
          <w:bCs w:val="0"/>
          <w:color w:val="333333"/>
          <w:sz w:val="24"/>
          <w:szCs w:val="24"/>
        </w:rPr>
        <w:t xml:space="preserve"> and peer-reviewed journal articles. The research process lasted several weeks and was an iterative process. </w:t>
      </w:r>
    </w:p>
    <w:p w14:paraId="5AF13BDA" w14:textId="7B841B6D" w:rsidR="00612205" w:rsidRPr="00CB2A4A" w:rsidRDefault="0023584E" w:rsidP="00747BFD">
      <w:pPr>
        <w:pStyle w:val="Heading2"/>
        <w:spacing w:line="360" w:lineRule="auto"/>
        <w:jc w:val="both"/>
      </w:pPr>
      <w:r w:rsidRPr="00CB2A4A">
        <w:t>4.2 Feelings</w:t>
      </w:r>
      <w:bookmarkEnd w:id="26"/>
      <w:bookmarkEnd w:id="27"/>
    </w:p>
    <w:p w14:paraId="4E5B2538" w14:textId="548FA34E" w:rsidR="00747BFD" w:rsidRPr="00CB2A4A" w:rsidRDefault="00747BFD" w:rsidP="00747BFD">
      <w:pPr>
        <w:pStyle w:val="Heading2"/>
        <w:spacing w:line="360" w:lineRule="auto"/>
        <w:jc w:val="both"/>
        <w:rPr>
          <w:rFonts w:eastAsia="Times New Roman"/>
          <w:b w:val="0"/>
          <w:bCs w:val="0"/>
          <w:color w:val="333333"/>
          <w:sz w:val="24"/>
          <w:szCs w:val="24"/>
        </w:rPr>
      </w:pPr>
      <w:bookmarkStart w:id="28" w:name="_Toc236295286"/>
      <w:bookmarkStart w:id="29" w:name="_Toc236296288"/>
      <w:r w:rsidRPr="00CB2A4A">
        <w:rPr>
          <w:rFonts w:eastAsia="Times New Roman"/>
          <w:b w:val="0"/>
          <w:bCs w:val="0"/>
          <w:color w:val="333333"/>
          <w:sz w:val="24"/>
          <w:szCs w:val="24"/>
        </w:rPr>
        <w:t xml:space="preserve">I approached this assignment intellectually curious and apprehensive. Primark is a familiar brand but needed to research the framework and data in the context of a unique South Korean economy and culture. The Hofstede data was especially interesting — the 71-point individualism gap brought into question my original belief that a strong European brand could simply be exported to any developed market with a certain degree of ease. It was during Week 7 in the cost leadership session when I heard Primark, EasyJet and Poundland were all described as examples of cost leadership that it gave me a fresh look and has since informed my analysis, especially when I found out about the Kuwait franchise and the company's move away from the traditional model. The OLI paradigm also posed problems of application for me: Dunning himself </w:t>
      </w:r>
      <w:proofErr w:type="spellStart"/>
      <w:r w:rsidRPr="00CB2A4A">
        <w:rPr>
          <w:rFonts w:eastAsia="Times New Roman"/>
          <w:b w:val="0"/>
          <w:bCs w:val="0"/>
          <w:color w:val="333333"/>
          <w:sz w:val="24"/>
          <w:szCs w:val="24"/>
        </w:rPr>
        <w:t>recogni</w:t>
      </w:r>
      <w:r w:rsidR="00C3002E">
        <w:rPr>
          <w:rFonts w:eastAsia="Times New Roman"/>
          <w:b w:val="0"/>
          <w:bCs w:val="0"/>
          <w:color w:val="333333"/>
          <w:sz w:val="24"/>
          <w:szCs w:val="24"/>
        </w:rPr>
        <w:t>s</w:t>
      </w:r>
      <w:r w:rsidRPr="00CB2A4A">
        <w:rPr>
          <w:rFonts w:eastAsia="Times New Roman"/>
          <w:b w:val="0"/>
          <w:bCs w:val="0"/>
          <w:color w:val="333333"/>
          <w:sz w:val="24"/>
          <w:szCs w:val="24"/>
        </w:rPr>
        <w:t>ed</w:t>
      </w:r>
      <w:proofErr w:type="spellEnd"/>
      <w:r w:rsidRPr="00CB2A4A">
        <w:rPr>
          <w:rFonts w:eastAsia="Times New Roman"/>
          <w:b w:val="0"/>
          <w:bCs w:val="0"/>
          <w:color w:val="333333"/>
          <w:sz w:val="24"/>
          <w:szCs w:val="24"/>
        </w:rPr>
        <w:t xml:space="preserve"> the interdependence of the three categories of advantages, and it proved harder to dissect them analytically than texts make it seem. </w:t>
      </w:r>
      <w:r w:rsidRPr="00CB2A4A">
        <w:rPr>
          <w:rFonts w:eastAsia="Times New Roman"/>
          <w:b w:val="0"/>
          <w:bCs w:val="0"/>
          <w:color w:val="333333"/>
          <w:sz w:val="24"/>
          <w:szCs w:val="24"/>
        </w:rPr>
        <w:lastRenderedPageBreak/>
        <w:t>The best part was when the PESTLE, OLI and Uppsala analyses all independently pointed to the franchise entry mode, thus providing coherence to the entire argument.</w:t>
      </w:r>
    </w:p>
    <w:p w14:paraId="44E0C5B0" w14:textId="7370EDAE" w:rsidR="00612205" w:rsidRPr="00CB2A4A" w:rsidRDefault="0023584E" w:rsidP="00747BFD">
      <w:pPr>
        <w:pStyle w:val="Heading2"/>
        <w:spacing w:line="360" w:lineRule="auto"/>
        <w:jc w:val="both"/>
      </w:pPr>
      <w:r w:rsidRPr="00CB2A4A">
        <w:t>4.3 Evaluation</w:t>
      </w:r>
      <w:bookmarkEnd w:id="28"/>
      <w:bookmarkEnd w:id="29"/>
    </w:p>
    <w:p w14:paraId="576F5F26" w14:textId="77777777" w:rsidR="00747BFD" w:rsidRPr="00CB2A4A" w:rsidRDefault="00747BFD" w:rsidP="00747BFD">
      <w:pPr>
        <w:pStyle w:val="Heading2"/>
        <w:spacing w:line="360" w:lineRule="auto"/>
        <w:jc w:val="both"/>
        <w:rPr>
          <w:rFonts w:eastAsia="Times New Roman"/>
          <w:b w:val="0"/>
          <w:bCs w:val="0"/>
          <w:color w:val="333333"/>
          <w:sz w:val="24"/>
          <w:szCs w:val="24"/>
        </w:rPr>
      </w:pPr>
      <w:bookmarkStart w:id="30" w:name="_Toc236295287"/>
      <w:bookmarkStart w:id="31" w:name="_Toc236296289"/>
      <w:r w:rsidRPr="00CB2A4A">
        <w:rPr>
          <w:rFonts w:eastAsia="Times New Roman"/>
          <w:b w:val="0"/>
          <w:bCs w:val="0"/>
          <w:color w:val="333333"/>
          <w:sz w:val="24"/>
          <w:szCs w:val="24"/>
        </w:rPr>
        <w:t xml:space="preserve">There are </w:t>
      </w:r>
      <w:proofErr w:type="gramStart"/>
      <w:r w:rsidRPr="00CB2A4A">
        <w:rPr>
          <w:rFonts w:eastAsia="Times New Roman"/>
          <w:b w:val="0"/>
          <w:bCs w:val="0"/>
          <w:color w:val="333333"/>
          <w:sz w:val="24"/>
          <w:szCs w:val="24"/>
        </w:rPr>
        <w:t>a number of</w:t>
      </w:r>
      <w:proofErr w:type="gramEnd"/>
      <w:r w:rsidRPr="00CB2A4A">
        <w:rPr>
          <w:rFonts w:eastAsia="Times New Roman"/>
          <w:b w:val="0"/>
          <w:bCs w:val="0"/>
          <w:color w:val="333333"/>
          <w:sz w:val="24"/>
          <w:szCs w:val="24"/>
        </w:rPr>
        <w:t xml:space="preserve"> elements of the process that went well. As a subsidiary, Primark is not a listed </w:t>
      </w:r>
      <w:proofErr w:type="gramStart"/>
      <w:r w:rsidRPr="00CB2A4A">
        <w:rPr>
          <w:rFonts w:eastAsia="Times New Roman"/>
          <w:b w:val="0"/>
          <w:bCs w:val="0"/>
          <w:color w:val="333333"/>
          <w:sz w:val="24"/>
          <w:szCs w:val="24"/>
        </w:rPr>
        <w:t>company, and</w:t>
      </w:r>
      <w:proofErr w:type="gramEnd"/>
      <w:r w:rsidRPr="00CB2A4A">
        <w:rPr>
          <w:rFonts w:eastAsia="Times New Roman"/>
          <w:b w:val="0"/>
          <w:bCs w:val="0"/>
          <w:color w:val="333333"/>
          <w:sz w:val="24"/>
          <w:szCs w:val="24"/>
        </w:rPr>
        <w:t xml:space="preserve"> therefore does not publish its own annual report or investor presentations, which has created a gap in the availability of current, professionally compiled data on its financial performance and strategic direction, met by GlobalData's retail viewpoints. The OECD Economic Survey of Korea (2024) was an unusually rich source, as it provides internationally comparable indicators in economic, social and labour market dimensions, with which it was possible to benchmark directly against OECD averages. The theoretical background I used was the module lecture materials, especially the Week 7 discussion about cost leadership and the Week 2 lecture about entry mode trade-offs, which gave a theoretical direction to my analysis focusing on the theories given by the module. There were also some challenges. It was hard to collect company-specific primary data as Primark is a subsidiary of ABF. The use of a western developed model like Hofstede's cultural dimensions model in an East Asian context raised methodological concerns; McSweeney (2002) questions the assumption of Hofstede's model that the culture of a nation can be usefully summarised through a few quantitative scores based on a sample of organisations; it is undeniable that to summarise the culture of 51.6 million Koreans in six numerical scores would be reductive. The analysis was limited by a lack of primary consumer research data from South Korea, and claims of consumer preference had to be based on secondary interpretation, which in turn would require further research prior to a real investment decision.</w:t>
      </w:r>
    </w:p>
    <w:p w14:paraId="41FEF1A5" w14:textId="4027F1AD" w:rsidR="00612205" w:rsidRPr="00CB2A4A" w:rsidRDefault="0023584E" w:rsidP="00747BFD">
      <w:pPr>
        <w:pStyle w:val="Heading2"/>
        <w:spacing w:line="360" w:lineRule="auto"/>
        <w:jc w:val="both"/>
      </w:pPr>
      <w:r w:rsidRPr="00CB2A4A">
        <w:t>4.4 Analysis</w:t>
      </w:r>
      <w:bookmarkEnd w:id="30"/>
      <w:bookmarkEnd w:id="31"/>
    </w:p>
    <w:p w14:paraId="3A7A0F06" w14:textId="7D0DDB1F" w:rsidR="00747BFD" w:rsidRPr="00CB2A4A" w:rsidRDefault="00747BFD" w:rsidP="00747BFD">
      <w:pPr>
        <w:pStyle w:val="Heading2"/>
        <w:spacing w:line="360" w:lineRule="auto"/>
        <w:jc w:val="both"/>
        <w:rPr>
          <w:rFonts w:eastAsia="Times New Roman"/>
          <w:b w:val="0"/>
          <w:bCs w:val="0"/>
          <w:color w:val="333333"/>
          <w:sz w:val="24"/>
          <w:szCs w:val="24"/>
        </w:rPr>
      </w:pPr>
      <w:bookmarkStart w:id="32" w:name="_Toc236295288"/>
      <w:bookmarkStart w:id="33" w:name="_Toc236296290"/>
      <w:r w:rsidRPr="00CB2A4A">
        <w:rPr>
          <w:rFonts w:eastAsia="Times New Roman"/>
          <w:b w:val="0"/>
          <w:bCs w:val="0"/>
          <w:color w:val="333333"/>
          <w:sz w:val="24"/>
          <w:szCs w:val="24"/>
        </w:rPr>
        <w:br/>
        <w:t xml:space="preserve">Given the factors responsible for successes and failures, </w:t>
      </w:r>
      <w:proofErr w:type="gramStart"/>
      <w:r w:rsidRPr="00CB2A4A">
        <w:rPr>
          <w:rFonts w:eastAsia="Times New Roman"/>
          <w:b w:val="0"/>
          <w:bCs w:val="0"/>
          <w:color w:val="333333"/>
          <w:sz w:val="24"/>
          <w:szCs w:val="24"/>
        </w:rPr>
        <w:t>it is clear that the</w:t>
      </w:r>
      <w:proofErr w:type="gramEnd"/>
      <w:r w:rsidRPr="00CB2A4A">
        <w:rPr>
          <w:rFonts w:eastAsia="Times New Roman"/>
          <w:b w:val="0"/>
          <w:bCs w:val="0"/>
          <w:color w:val="333333"/>
          <w:sz w:val="24"/>
          <w:szCs w:val="24"/>
        </w:rPr>
        <w:t xml:space="preserve"> complexity of international business strategy is the interplay between the environmental, theoretical and firm-specific variables. The three learning outcomes of the module required different analytics skills: critically </w:t>
      </w:r>
      <w:r w:rsidR="000D6A19" w:rsidRPr="00CB2A4A">
        <w:rPr>
          <w:rFonts w:eastAsia="Times New Roman"/>
          <w:b w:val="0"/>
          <w:bCs w:val="0"/>
          <w:color w:val="333333"/>
          <w:sz w:val="24"/>
          <w:szCs w:val="24"/>
        </w:rPr>
        <w:t>evaluating</w:t>
      </w:r>
      <w:r w:rsidRPr="00CB2A4A">
        <w:rPr>
          <w:rFonts w:eastAsia="Times New Roman"/>
          <w:b w:val="0"/>
          <w:bCs w:val="0"/>
          <w:color w:val="333333"/>
          <w:sz w:val="24"/>
          <w:szCs w:val="24"/>
        </w:rPr>
        <w:t xml:space="preserve"> the international business </w:t>
      </w:r>
      <w:r w:rsidRPr="00CB2A4A">
        <w:rPr>
          <w:rFonts w:eastAsia="Times New Roman"/>
          <w:b w:val="0"/>
          <w:bCs w:val="0"/>
          <w:color w:val="333333"/>
          <w:sz w:val="24"/>
          <w:szCs w:val="24"/>
        </w:rPr>
        <w:lastRenderedPageBreak/>
        <w:t xml:space="preserve">environment, </w:t>
      </w:r>
      <w:r w:rsidR="000D6A19" w:rsidRPr="00CB2A4A">
        <w:rPr>
          <w:rFonts w:eastAsia="Times New Roman"/>
          <w:b w:val="0"/>
          <w:bCs w:val="0"/>
          <w:color w:val="333333"/>
          <w:sz w:val="24"/>
          <w:szCs w:val="24"/>
        </w:rPr>
        <w:t>evaluating</w:t>
      </w:r>
      <w:r w:rsidRPr="00CB2A4A">
        <w:rPr>
          <w:rFonts w:eastAsia="Times New Roman"/>
          <w:b w:val="0"/>
          <w:bCs w:val="0"/>
          <w:color w:val="333333"/>
          <w:sz w:val="24"/>
          <w:szCs w:val="24"/>
        </w:rPr>
        <w:t xml:space="preserve"> modes of engagement and </w:t>
      </w:r>
      <w:r w:rsidR="000D6A19" w:rsidRPr="00CB2A4A">
        <w:rPr>
          <w:rFonts w:eastAsia="Times New Roman"/>
          <w:b w:val="0"/>
          <w:bCs w:val="0"/>
          <w:color w:val="333333"/>
          <w:sz w:val="24"/>
          <w:szCs w:val="24"/>
        </w:rPr>
        <w:t>conducting</w:t>
      </w:r>
      <w:r w:rsidRPr="00CB2A4A">
        <w:rPr>
          <w:rFonts w:eastAsia="Times New Roman"/>
          <w:b w:val="0"/>
          <w:bCs w:val="0"/>
          <w:color w:val="333333"/>
          <w:sz w:val="24"/>
          <w:szCs w:val="24"/>
        </w:rPr>
        <w:t xml:space="preserve"> informed research. The first involved macro-level scanning of the environment in the political, economic, socio-cultural, technological, legal and environmental areas. The second was to comprehend the strategic decisions made by a firm, and the compromises associated with them. The third one was evaluative and information </w:t>
      </w:r>
      <w:r w:rsidR="000D6A19" w:rsidRPr="00CB2A4A">
        <w:rPr>
          <w:rFonts w:eastAsia="Times New Roman"/>
          <w:b w:val="0"/>
          <w:bCs w:val="0"/>
          <w:color w:val="333333"/>
          <w:sz w:val="24"/>
          <w:szCs w:val="24"/>
        </w:rPr>
        <w:t>literacy</w:t>
      </w:r>
      <w:r w:rsidRPr="00CB2A4A">
        <w:rPr>
          <w:rFonts w:eastAsia="Times New Roman"/>
          <w:b w:val="0"/>
          <w:bCs w:val="0"/>
          <w:color w:val="333333"/>
          <w:sz w:val="24"/>
          <w:szCs w:val="24"/>
        </w:rPr>
        <w:t xml:space="preserve">, which I grew </w:t>
      </w:r>
      <w:proofErr w:type="gramStart"/>
      <w:r w:rsidRPr="00CB2A4A">
        <w:rPr>
          <w:rFonts w:eastAsia="Times New Roman"/>
          <w:b w:val="0"/>
          <w:bCs w:val="0"/>
          <w:color w:val="333333"/>
          <w:sz w:val="24"/>
          <w:szCs w:val="24"/>
        </w:rPr>
        <w:t>more and more</w:t>
      </w:r>
      <w:proofErr w:type="gramEnd"/>
      <w:r w:rsidRPr="00CB2A4A">
        <w:rPr>
          <w:rFonts w:eastAsia="Times New Roman"/>
          <w:b w:val="0"/>
          <w:bCs w:val="0"/>
          <w:color w:val="333333"/>
          <w:sz w:val="24"/>
          <w:szCs w:val="24"/>
        </w:rPr>
        <w:t xml:space="preserve"> during the research. The most important theoretical contribution was the understanding of the complementarity of the OLI paradigm and the revised Uppsala model. According to Dunning's theory, a firm needs to have a set of advantages to exploit</w:t>
      </w:r>
      <w:r w:rsidR="00C640EA">
        <w:rPr>
          <w:rFonts w:eastAsia="Times New Roman"/>
          <w:b w:val="0"/>
          <w:bCs w:val="0"/>
          <w:color w:val="333333"/>
          <w:sz w:val="24"/>
          <w:szCs w:val="24"/>
        </w:rPr>
        <w:t>,</w:t>
      </w:r>
      <w:r w:rsidRPr="00CB2A4A">
        <w:rPr>
          <w:rFonts w:eastAsia="Times New Roman"/>
          <w:b w:val="0"/>
          <w:bCs w:val="0"/>
          <w:color w:val="333333"/>
          <w:sz w:val="24"/>
          <w:szCs w:val="24"/>
        </w:rPr>
        <w:t xml:space="preserve"> and it needs to have the location to help it exploit those advantages; Johanson and Vahlne's (2009) liability of outsidership concept helps explain why a firm might not be able to exploit these advantages even if it had the location without the network relationship. Neither the frameworks, by themselves, gave a full answer</w:t>
      </w:r>
      <w:r w:rsidR="00C640EA">
        <w:rPr>
          <w:rFonts w:eastAsia="Times New Roman"/>
          <w:b w:val="0"/>
          <w:bCs w:val="0"/>
          <w:color w:val="333333"/>
          <w:sz w:val="24"/>
          <w:szCs w:val="24"/>
        </w:rPr>
        <w:t>,</w:t>
      </w:r>
      <w:r w:rsidRPr="00CB2A4A">
        <w:rPr>
          <w:rFonts w:eastAsia="Times New Roman"/>
          <w:b w:val="0"/>
          <w:bCs w:val="0"/>
          <w:color w:val="333333"/>
          <w:sz w:val="24"/>
          <w:szCs w:val="24"/>
        </w:rPr>
        <w:t xml:space="preserve"> and the use of both frameworks allowed a more nuanced entry mode recommendation than either framework alone. The positioning in Week 7 that Primark was a cost leader alongside EasyJet and Poundland provided a different analytical lens when I later learnt about the shift to a Kuwait franchise – it had changed</w:t>
      </w:r>
      <w:r w:rsidR="00C640EA">
        <w:rPr>
          <w:rFonts w:eastAsia="Times New Roman"/>
          <w:b w:val="0"/>
          <w:bCs w:val="0"/>
          <w:color w:val="333333"/>
          <w:sz w:val="24"/>
          <w:szCs w:val="24"/>
        </w:rPr>
        <w:t>,</w:t>
      </w:r>
      <w:r w:rsidRPr="00CB2A4A">
        <w:rPr>
          <w:rFonts w:eastAsia="Times New Roman"/>
          <w:b w:val="0"/>
          <w:bCs w:val="0"/>
          <w:color w:val="333333"/>
          <w:sz w:val="24"/>
          <w:szCs w:val="24"/>
        </w:rPr>
        <w:t xml:space="preserve"> and it could change. My perspective of cultural frameworks also changed a lot as part of this: at first I saw Hofstede as a real measurement tool, but later I became aware of its limitations (McSweeney, 2002; Beugelsdijk, Maseland and van Hoorn, 2015) and still regard it as a comparative tool for mapping out differences in direction. This aligns with Gibbs' (1988) focus on analysis as the phase in which ideas from the outside come to make sense of experiences.</w:t>
      </w:r>
    </w:p>
    <w:p w14:paraId="25A6B699" w14:textId="52C0689C" w:rsidR="00612205" w:rsidRPr="00CB2A4A" w:rsidRDefault="0023584E" w:rsidP="00747BFD">
      <w:pPr>
        <w:pStyle w:val="Heading2"/>
        <w:spacing w:line="360" w:lineRule="auto"/>
        <w:jc w:val="both"/>
      </w:pPr>
      <w:r w:rsidRPr="00CB2A4A">
        <w:t>4.5 Conclusion</w:t>
      </w:r>
      <w:bookmarkEnd w:id="32"/>
      <w:bookmarkEnd w:id="33"/>
    </w:p>
    <w:p w14:paraId="79410F14" w14:textId="60DFAEAA" w:rsidR="00DE0307" w:rsidRPr="00CB2A4A" w:rsidRDefault="00747BFD" w:rsidP="00747BFD">
      <w:pPr>
        <w:pStyle w:val="Heading2"/>
        <w:spacing w:line="360" w:lineRule="auto"/>
        <w:jc w:val="both"/>
        <w:rPr>
          <w:rFonts w:eastAsia="Times New Roman"/>
          <w:b w:val="0"/>
          <w:bCs w:val="0"/>
          <w:color w:val="333333"/>
          <w:sz w:val="24"/>
          <w:szCs w:val="24"/>
        </w:rPr>
      </w:pPr>
      <w:bookmarkStart w:id="34" w:name="_Toc236295289"/>
      <w:bookmarkStart w:id="35" w:name="_Toc236296291"/>
      <w:r w:rsidRPr="00CB2A4A">
        <w:rPr>
          <w:rFonts w:eastAsia="Times New Roman"/>
          <w:b w:val="0"/>
          <w:bCs w:val="0"/>
          <w:color w:val="333333"/>
          <w:sz w:val="24"/>
          <w:szCs w:val="24"/>
        </w:rPr>
        <w:t>I come to general and specific conclusions based on this experience. Broadly speaking, I have gained a greater understanding that the use of theory in real companies requires a good level of critical thinking; theory helps organise analysis, but it does not make decisions</w:t>
      </w:r>
      <w:r w:rsidR="00C640EA">
        <w:rPr>
          <w:rFonts w:eastAsia="Times New Roman"/>
          <w:b w:val="0"/>
          <w:bCs w:val="0"/>
          <w:color w:val="333333"/>
          <w:sz w:val="24"/>
          <w:szCs w:val="24"/>
        </w:rPr>
        <w:t>. Frameworks</w:t>
      </w:r>
      <w:r w:rsidRPr="00CB2A4A">
        <w:rPr>
          <w:rFonts w:eastAsia="Times New Roman"/>
          <w:b w:val="0"/>
          <w:bCs w:val="0"/>
          <w:color w:val="333333"/>
          <w:sz w:val="24"/>
          <w:szCs w:val="24"/>
        </w:rPr>
        <w:t xml:space="preserve"> like PESTLE and OLI are useful in this regard. The evidence these tools generate needs to be interpreted, weighed and contextualised by the managers. There was a strong emphasis on </w:t>
      </w:r>
      <w:r w:rsidR="00C640EA">
        <w:rPr>
          <w:rFonts w:eastAsia="Times New Roman"/>
          <w:b w:val="0"/>
          <w:bCs w:val="0"/>
          <w:color w:val="333333"/>
          <w:sz w:val="24"/>
          <w:szCs w:val="24"/>
        </w:rPr>
        <w:t>pros and cons</w:t>
      </w:r>
      <w:r w:rsidRPr="00CB2A4A">
        <w:rPr>
          <w:rFonts w:eastAsia="Times New Roman"/>
          <w:b w:val="0"/>
          <w:bCs w:val="0"/>
          <w:color w:val="333333"/>
          <w:sz w:val="24"/>
          <w:szCs w:val="24"/>
        </w:rPr>
        <w:t>, risks and benefits of each topic in the module</w:t>
      </w:r>
      <w:r w:rsidR="00C640EA">
        <w:rPr>
          <w:rFonts w:eastAsia="Times New Roman"/>
          <w:b w:val="0"/>
          <w:bCs w:val="0"/>
          <w:color w:val="333333"/>
          <w:sz w:val="24"/>
          <w:szCs w:val="24"/>
        </w:rPr>
        <w:t>,</w:t>
      </w:r>
      <w:r w:rsidRPr="00CB2A4A">
        <w:rPr>
          <w:rFonts w:eastAsia="Times New Roman"/>
          <w:b w:val="0"/>
          <w:bCs w:val="0"/>
          <w:color w:val="333333"/>
          <w:sz w:val="24"/>
          <w:szCs w:val="24"/>
        </w:rPr>
        <w:t xml:space="preserve"> which was exactly what was required for this type of strategic analysis. Particularly, I have found that cultural distance is not a theoretical practice. The Hofstede data and supporting literature indicated there were </w:t>
      </w:r>
      <w:r w:rsidRPr="00CB2A4A">
        <w:rPr>
          <w:rFonts w:eastAsia="Times New Roman"/>
          <w:b w:val="0"/>
          <w:bCs w:val="0"/>
          <w:color w:val="333333"/>
          <w:sz w:val="24"/>
          <w:szCs w:val="24"/>
        </w:rPr>
        <w:lastRenderedPageBreak/>
        <w:t xml:space="preserve">differences between UK and Korean consumer cultures with direct tangible implications for pricing strategy, brand positioning, marketing communication and even store design. I think if I didn't have those detailed dimensional comparisons, I wouldn't have fully understood the level of repositioning that Primark would be looking at. I have also identified that the internationalisation mode of a company can change: Primark's transition from wholly-owned subsidiaries to </w:t>
      </w:r>
      <w:r w:rsidR="00C640EA">
        <w:rPr>
          <w:rFonts w:eastAsia="Times New Roman"/>
          <w:b w:val="0"/>
          <w:bCs w:val="0"/>
          <w:color w:val="333333"/>
          <w:sz w:val="24"/>
          <w:szCs w:val="24"/>
        </w:rPr>
        <w:t>franchising</w:t>
      </w:r>
      <w:r w:rsidRPr="00CB2A4A">
        <w:rPr>
          <w:rFonts w:eastAsia="Times New Roman"/>
          <w:b w:val="0"/>
          <w:bCs w:val="0"/>
          <w:color w:val="333333"/>
          <w:sz w:val="24"/>
          <w:szCs w:val="24"/>
        </w:rPr>
        <w:t xml:space="preserve"> in Kuwait is an example of how the Uppsala model can change, unlike the saying "Past is prologue" in international business strategies. </w:t>
      </w:r>
    </w:p>
    <w:p w14:paraId="17220C7E" w14:textId="0EFBE2AB" w:rsidR="00612205" w:rsidRPr="00CB2A4A" w:rsidRDefault="0023584E" w:rsidP="00747BFD">
      <w:pPr>
        <w:pStyle w:val="Heading2"/>
        <w:spacing w:line="360" w:lineRule="auto"/>
        <w:jc w:val="both"/>
      </w:pPr>
      <w:r w:rsidRPr="00CB2A4A">
        <w:t>4.6 Action Plan</w:t>
      </w:r>
      <w:bookmarkEnd w:id="34"/>
      <w:bookmarkEnd w:id="35"/>
    </w:p>
    <w:p w14:paraId="6241298B" w14:textId="69F4528B" w:rsidR="00747BFD" w:rsidRPr="00CB2A4A" w:rsidRDefault="00747BFD" w:rsidP="00747BFD">
      <w:pPr>
        <w:pStyle w:val="Heading1"/>
        <w:pBdr>
          <w:bottom w:val="single" w:sz="6" w:space="0" w:color="2E5090"/>
        </w:pBdr>
        <w:spacing w:line="360" w:lineRule="auto"/>
        <w:jc w:val="both"/>
        <w:rPr>
          <w:rFonts w:eastAsia="Times New Roman"/>
          <w:b w:val="0"/>
          <w:bCs w:val="0"/>
          <w:color w:val="333333"/>
          <w:sz w:val="24"/>
          <w:szCs w:val="24"/>
        </w:rPr>
      </w:pPr>
      <w:bookmarkStart w:id="36" w:name="_Toc236295290"/>
      <w:bookmarkStart w:id="37" w:name="_Toc236296292"/>
      <w:r w:rsidRPr="00CB2A4A">
        <w:rPr>
          <w:rFonts w:eastAsia="Times New Roman"/>
          <w:b w:val="0"/>
          <w:bCs w:val="0"/>
          <w:color w:val="333333"/>
          <w:sz w:val="24"/>
          <w:szCs w:val="24"/>
        </w:rPr>
        <w:t>From this reflection, I will take as much secondary data collection at an earlier stage in the research process. For the triangulation</w:t>
      </w:r>
      <w:r w:rsidR="00C640EA">
        <w:rPr>
          <w:rFonts w:eastAsia="Times New Roman"/>
          <w:b w:val="0"/>
          <w:bCs w:val="0"/>
          <w:color w:val="333333"/>
          <w:sz w:val="24"/>
          <w:szCs w:val="24"/>
        </w:rPr>
        <w:t>,</w:t>
      </w:r>
      <w:r w:rsidRPr="00CB2A4A">
        <w:rPr>
          <w:rFonts w:eastAsia="Times New Roman"/>
          <w:b w:val="0"/>
          <w:bCs w:val="0"/>
          <w:color w:val="333333"/>
          <w:sz w:val="24"/>
          <w:szCs w:val="24"/>
        </w:rPr>
        <w:t xml:space="preserve"> I will use Trompenaars' dimensions and the GLOBE study (House et al., 2004) as multiple cultural frameworks. If possible, I will back up secondary data with data obtained through primary data collection, namely by conducting expert interviews. I will build financial modelling skills to analyse store economics. First and foremost, I will continue to think critically about the theoretical frameworks, viewing them not as tools to use but as lenses to analy</w:t>
      </w:r>
      <w:r w:rsidR="0015751B">
        <w:rPr>
          <w:rFonts w:eastAsia="Times New Roman"/>
          <w:b w:val="0"/>
          <w:bCs w:val="0"/>
          <w:color w:val="333333"/>
          <w:sz w:val="24"/>
          <w:szCs w:val="24"/>
        </w:rPr>
        <w:t>s</w:t>
      </w:r>
      <w:r w:rsidRPr="00CB2A4A">
        <w:rPr>
          <w:rFonts w:eastAsia="Times New Roman"/>
          <w:b w:val="0"/>
          <w:bCs w:val="0"/>
          <w:color w:val="333333"/>
          <w:sz w:val="24"/>
          <w:szCs w:val="24"/>
        </w:rPr>
        <w:t>e.</w:t>
      </w:r>
    </w:p>
    <w:p w14:paraId="3AB43101" w14:textId="77777777" w:rsidR="00DE0307" w:rsidRPr="00CB2A4A" w:rsidRDefault="00DE0307" w:rsidP="00747BFD">
      <w:pPr>
        <w:pStyle w:val="Heading1"/>
        <w:pBdr>
          <w:bottom w:val="single" w:sz="6" w:space="0" w:color="2E5090"/>
        </w:pBdr>
        <w:spacing w:line="360" w:lineRule="auto"/>
        <w:jc w:val="both"/>
        <w:rPr>
          <w:rFonts w:eastAsia="Times New Roman"/>
          <w:b w:val="0"/>
          <w:bCs w:val="0"/>
          <w:color w:val="333333"/>
          <w:sz w:val="24"/>
          <w:szCs w:val="24"/>
        </w:rPr>
      </w:pPr>
    </w:p>
    <w:p w14:paraId="07CEDF99" w14:textId="77777777" w:rsidR="00DE0307" w:rsidRPr="00CB2A4A" w:rsidRDefault="00DE0307" w:rsidP="00747BFD">
      <w:pPr>
        <w:pStyle w:val="Heading1"/>
        <w:pBdr>
          <w:bottom w:val="single" w:sz="6" w:space="0" w:color="2E5090"/>
        </w:pBdr>
        <w:spacing w:line="360" w:lineRule="auto"/>
        <w:jc w:val="both"/>
        <w:rPr>
          <w:rFonts w:eastAsia="Times New Roman"/>
          <w:b w:val="0"/>
          <w:bCs w:val="0"/>
          <w:color w:val="333333"/>
          <w:sz w:val="24"/>
          <w:szCs w:val="24"/>
        </w:rPr>
      </w:pPr>
    </w:p>
    <w:p w14:paraId="7D640BB7" w14:textId="77777777" w:rsidR="00DE0307" w:rsidRPr="00CB2A4A" w:rsidRDefault="00DE0307" w:rsidP="00747BFD">
      <w:pPr>
        <w:pStyle w:val="Heading1"/>
        <w:pBdr>
          <w:bottom w:val="single" w:sz="6" w:space="0" w:color="2E5090"/>
        </w:pBdr>
        <w:spacing w:line="360" w:lineRule="auto"/>
        <w:jc w:val="both"/>
        <w:rPr>
          <w:rFonts w:eastAsia="Times New Roman"/>
          <w:b w:val="0"/>
          <w:bCs w:val="0"/>
          <w:color w:val="333333"/>
          <w:sz w:val="24"/>
          <w:szCs w:val="24"/>
        </w:rPr>
      </w:pPr>
    </w:p>
    <w:p w14:paraId="7A792DB3" w14:textId="77777777" w:rsidR="00DE0307" w:rsidRPr="00CB2A4A" w:rsidRDefault="00DE0307" w:rsidP="00747BFD">
      <w:pPr>
        <w:pStyle w:val="Heading1"/>
        <w:pBdr>
          <w:bottom w:val="single" w:sz="6" w:space="0" w:color="2E5090"/>
        </w:pBdr>
        <w:spacing w:line="360" w:lineRule="auto"/>
        <w:jc w:val="both"/>
        <w:rPr>
          <w:rFonts w:eastAsia="Times New Roman"/>
          <w:b w:val="0"/>
          <w:bCs w:val="0"/>
          <w:color w:val="333333"/>
          <w:sz w:val="24"/>
          <w:szCs w:val="24"/>
        </w:rPr>
      </w:pPr>
    </w:p>
    <w:p w14:paraId="1402660E" w14:textId="77777777" w:rsidR="00DE0307" w:rsidRDefault="00DE0307" w:rsidP="00747BFD">
      <w:pPr>
        <w:pStyle w:val="Heading1"/>
        <w:pBdr>
          <w:bottom w:val="single" w:sz="6" w:space="0" w:color="2E5090"/>
        </w:pBdr>
        <w:spacing w:line="360" w:lineRule="auto"/>
        <w:jc w:val="both"/>
        <w:rPr>
          <w:rFonts w:eastAsia="Times New Roman"/>
          <w:b w:val="0"/>
          <w:bCs w:val="0"/>
          <w:color w:val="333333"/>
          <w:sz w:val="24"/>
          <w:szCs w:val="24"/>
        </w:rPr>
      </w:pPr>
    </w:p>
    <w:p w14:paraId="12205CB9" w14:textId="77777777" w:rsidR="00572529" w:rsidRPr="00CB2A4A" w:rsidRDefault="00572529" w:rsidP="00747BFD">
      <w:pPr>
        <w:pStyle w:val="Heading1"/>
        <w:pBdr>
          <w:bottom w:val="single" w:sz="6" w:space="0" w:color="2E5090"/>
        </w:pBdr>
        <w:spacing w:line="360" w:lineRule="auto"/>
        <w:jc w:val="both"/>
        <w:rPr>
          <w:rFonts w:eastAsia="Times New Roman"/>
          <w:b w:val="0"/>
          <w:bCs w:val="0"/>
          <w:color w:val="333333"/>
          <w:sz w:val="24"/>
          <w:szCs w:val="24"/>
        </w:rPr>
      </w:pPr>
    </w:p>
    <w:p w14:paraId="5060FBD7" w14:textId="77777777" w:rsidR="00747BFD" w:rsidRDefault="00747BFD" w:rsidP="00747BFD">
      <w:pPr>
        <w:pStyle w:val="Heading1"/>
        <w:pBdr>
          <w:bottom w:val="single" w:sz="6" w:space="0" w:color="2E5090"/>
        </w:pBdr>
        <w:spacing w:line="360" w:lineRule="auto"/>
        <w:jc w:val="both"/>
        <w:rPr>
          <w:rFonts w:eastAsia="Times New Roman"/>
          <w:b w:val="0"/>
          <w:bCs w:val="0"/>
          <w:color w:val="333333"/>
          <w:sz w:val="24"/>
          <w:szCs w:val="24"/>
        </w:rPr>
      </w:pPr>
    </w:p>
    <w:p w14:paraId="5634C63A" w14:textId="77777777" w:rsidR="00EF1DFD" w:rsidRPr="00CB2A4A" w:rsidRDefault="00EF1DFD" w:rsidP="00747BFD">
      <w:pPr>
        <w:pStyle w:val="Heading1"/>
        <w:pBdr>
          <w:bottom w:val="single" w:sz="6" w:space="0" w:color="2E5090"/>
        </w:pBdr>
        <w:spacing w:line="360" w:lineRule="auto"/>
        <w:jc w:val="both"/>
        <w:rPr>
          <w:rFonts w:eastAsia="Times New Roman"/>
          <w:b w:val="0"/>
          <w:bCs w:val="0"/>
          <w:color w:val="333333"/>
          <w:sz w:val="24"/>
          <w:szCs w:val="24"/>
        </w:rPr>
      </w:pPr>
    </w:p>
    <w:p w14:paraId="1E409C38" w14:textId="78E3A5EA" w:rsidR="00612205" w:rsidRPr="00CB2A4A" w:rsidRDefault="0023584E" w:rsidP="00747BFD">
      <w:pPr>
        <w:pStyle w:val="Heading1"/>
        <w:pBdr>
          <w:bottom w:val="single" w:sz="6" w:space="0" w:color="2E5090"/>
        </w:pBdr>
        <w:spacing w:line="360" w:lineRule="auto"/>
        <w:jc w:val="both"/>
      </w:pPr>
      <w:r w:rsidRPr="00CB2A4A">
        <w:lastRenderedPageBreak/>
        <w:t>Reference List</w:t>
      </w:r>
      <w:bookmarkEnd w:id="36"/>
      <w:bookmarkEnd w:id="37"/>
    </w:p>
    <w:p w14:paraId="2FB5C2D9" w14:textId="77777777" w:rsidR="00612205" w:rsidRPr="00CB2A4A" w:rsidRDefault="0023584E" w:rsidP="00747BFD">
      <w:pPr>
        <w:spacing w:after="100" w:line="360" w:lineRule="auto"/>
        <w:ind w:left="720" w:hanging="720"/>
        <w:jc w:val="both"/>
        <w:rPr>
          <w:rFonts w:ascii="Arial" w:hAnsi="Arial" w:cs="Arial"/>
        </w:rPr>
      </w:pPr>
      <w:r w:rsidRPr="00CB2A4A">
        <w:rPr>
          <w:rFonts w:ascii="Arial" w:hAnsi="Arial" w:cs="Arial"/>
          <w:sz w:val="21"/>
          <w:szCs w:val="21"/>
        </w:rPr>
        <w:t>Anderson, E. and Gatignon, H. (1986) 'Modes of foreign entry: a transaction cost analysis and propositions', Journal of International Business Studies, 17(3), pp. 1-26.</w:t>
      </w:r>
    </w:p>
    <w:p w14:paraId="6B00C2A4" w14:textId="77777777" w:rsidR="00612205" w:rsidRPr="00CB2A4A" w:rsidRDefault="0023584E" w:rsidP="00747BFD">
      <w:pPr>
        <w:spacing w:after="100" w:line="360" w:lineRule="auto"/>
        <w:ind w:left="720" w:hanging="720"/>
        <w:jc w:val="both"/>
        <w:rPr>
          <w:rFonts w:ascii="Arial" w:hAnsi="Arial" w:cs="Arial"/>
        </w:rPr>
      </w:pPr>
      <w:r w:rsidRPr="00CB2A4A">
        <w:rPr>
          <w:rFonts w:ascii="Arial" w:hAnsi="Arial" w:cs="Arial"/>
          <w:sz w:val="21"/>
          <w:szCs w:val="21"/>
        </w:rPr>
        <w:t>Bartlett, C.A. and Ghoshal, S. (1989) Managing Across Borders: The Transnational Solution. Boston, MA: Harvard Business School Press.</w:t>
      </w:r>
    </w:p>
    <w:p w14:paraId="1737F62E" w14:textId="77777777" w:rsidR="00612205" w:rsidRPr="00CB2A4A" w:rsidRDefault="0023584E" w:rsidP="00747BFD">
      <w:pPr>
        <w:spacing w:after="100" w:line="360" w:lineRule="auto"/>
        <w:ind w:left="720" w:hanging="720"/>
        <w:jc w:val="both"/>
        <w:rPr>
          <w:rFonts w:ascii="Arial" w:hAnsi="Arial" w:cs="Arial"/>
        </w:rPr>
      </w:pPr>
      <w:r w:rsidRPr="00CB2A4A">
        <w:rPr>
          <w:rFonts w:ascii="Arial" w:hAnsi="Arial" w:cs="Arial"/>
          <w:sz w:val="21"/>
          <w:szCs w:val="21"/>
        </w:rPr>
        <w:t>Beugelsdijk, S., Maseland, R. and van Hoorn, A. (2015) 'Are Scores on Hofstede's Dimensions of National Culture Stable over Time? A Cohort Analysis', Global Strategy Journal, 5(3), pp. 223-240.</w:t>
      </w:r>
    </w:p>
    <w:p w14:paraId="58EC0C11" w14:textId="77777777" w:rsidR="00612205" w:rsidRPr="00CB2A4A" w:rsidRDefault="0023584E" w:rsidP="00747BFD">
      <w:pPr>
        <w:spacing w:after="100" w:line="360" w:lineRule="auto"/>
        <w:ind w:left="720" w:hanging="720"/>
        <w:jc w:val="both"/>
        <w:rPr>
          <w:rFonts w:ascii="Arial" w:hAnsi="Arial" w:cs="Arial"/>
        </w:rPr>
      </w:pPr>
      <w:r w:rsidRPr="00CB2A4A">
        <w:rPr>
          <w:rFonts w:ascii="Arial" w:hAnsi="Arial" w:cs="Arial"/>
          <w:sz w:val="21"/>
          <w:szCs w:val="21"/>
        </w:rPr>
        <w:t>Dunning, J.H. (2000) 'The eclectic paradigm as an envelope for economic and business theories of MNE activity', International Business Review, 9(2), pp. 163-190.</w:t>
      </w:r>
    </w:p>
    <w:p w14:paraId="7297BB58" w14:textId="77777777" w:rsidR="00612205" w:rsidRPr="00CB2A4A" w:rsidRDefault="0023584E" w:rsidP="00747BFD">
      <w:pPr>
        <w:spacing w:after="100" w:line="360" w:lineRule="auto"/>
        <w:ind w:left="720" w:hanging="720"/>
        <w:jc w:val="both"/>
        <w:rPr>
          <w:rFonts w:ascii="Arial" w:hAnsi="Arial" w:cs="Arial"/>
        </w:rPr>
      </w:pPr>
      <w:r w:rsidRPr="00CB2A4A">
        <w:rPr>
          <w:rFonts w:ascii="Arial" w:hAnsi="Arial" w:cs="Arial"/>
          <w:sz w:val="21"/>
          <w:szCs w:val="21"/>
        </w:rPr>
        <w:t xml:space="preserve">Dunning, J.H. (2001) 'The Eclectic (OLI) Paradigm of International Production: Past, Present and Future', International Journal of the Economics of Business, 8(2), pp. 173-190. </w:t>
      </w:r>
      <w:proofErr w:type="spellStart"/>
      <w:r w:rsidRPr="00CB2A4A">
        <w:rPr>
          <w:rFonts w:ascii="Arial" w:hAnsi="Arial" w:cs="Arial"/>
          <w:sz w:val="21"/>
          <w:szCs w:val="21"/>
        </w:rPr>
        <w:t>doi</w:t>
      </w:r>
      <w:proofErr w:type="spellEnd"/>
      <w:r w:rsidRPr="00CB2A4A">
        <w:rPr>
          <w:rFonts w:ascii="Arial" w:hAnsi="Arial" w:cs="Arial"/>
          <w:sz w:val="21"/>
          <w:szCs w:val="21"/>
        </w:rPr>
        <w:t>: 10.1080/13571510110051441.</w:t>
      </w:r>
    </w:p>
    <w:p w14:paraId="41FB10A3" w14:textId="77777777" w:rsidR="00612205" w:rsidRPr="00CB2A4A" w:rsidRDefault="0023584E" w:rsidP="00747BFD">
      <w:pPr>
        <w:spacing w:after="100" w:line="360" w:lineRule="auto"/>
        <w:ind w:left="720" w:hanging="720"/>
        <w:jc w:val="both"/>
        <w:rPr>
          <w:rFonts w:ascii="Arial" w:hAnsi="Arial" w:cs="Arial"/>
        </w:rPr>
      </w:pPr>
      <w:r w:rsidRPr="00CB2A4A">
        <w:rPr>
          <w:rFonts w:ascii="Arial" w:hAnsi="Arial" w:cs="Arial"/>
          <w:sz w:val="21"/>
          <w:szCs w:val="21"/>
        </w:rPr>
        <w:t>Expert Market Research (2025) South Korea Clothes Market Report 2026-2035. Available at: https://www.expertmarketresearch.com/reports/south-korea-clothes-market (Accessed: 20 July 2026).</w:t>
      </w:r>
    </w:p>
    <w:p w14:paraId="57BA05D2" w14:textId="77777777" w:rsidR="00612205" w:rsidRPr="00CB2A4A" w:rsidRDefault="0023584E" w:rsidP="00747BFD">
      <w:pPr>
        <w:spacing w:after="100" w:line="360" w:lineRule="auto"/>
        <w:ind w:left="720" w:hanging="720"/>
        <w:jc w:val="both"/>
        <w:rPr>
          <w:rFonts w:ascii="Arial" w:hAnsi="Arial" w:cs="Arial"/>
        </w:rPr>
      </w:pPr>
      <w:r w:rsidRPr="00CB2A4A">
        <w:rPr>
          <w:rFonts w:ascii="Arial" w:hAnsi="Arial" w:cs="Arial"/>
          <w:sz w:val="21"/>
          <w:szCs w:val="21"/>
        </w:rPr>
        <w:t>Freedom House (2025) Freedom in the World 2025: South Korea Country Report. Washington, DC: Freedom House. Available at: https://freedomhouse.org/country/south-korea/freedom-world/2025 (Accessed: 20 July 2026).</w:t>
      </w:r>
    </w:p>
    <w:p w14:paraId="167E2381" w14:textId="77777777" w:rsidR="00612205" w:rsidRPr="00CB2A4A" w:rsidRDefault="0023584E" w:rsidP="00747BFD">
      <w:pPr>
        <w:spacing w:after="100" w:line="360" w:lineRule="auto"/>
        <w:ind w:left="720" w:hanging="720"/>
        <w:jc w:val="both"/>
        <w:rPr>
          <w:rFonts w:ascii="Arial" w:hAnsi="Arial" w:cs="Arial"/>
        </w:rPr>
      </w:pPr>
      <w:r w:rsidRPr="00CB2A4A">
        <w:rPr>
          <w:rFonts w:ascii="Arial" w:hAnsi="Arial" w:cs="Arial"/>
          <w:sz w:val="21"/>
          <w:szCs w:val="21"/>
        </w:rPr>
        <w:t>Gibbs, G. (1988) Learning by Doing: A Guide to Teaching and Learning Methods. Oxford: Further Education Unit, Oxford Polytechnic.</w:t>
      </w:r>
    </w:p>
    <w:p w14:paraId="0024DA05" w14:textId="77777777" w:rsidR="00612205" w:rsidRPr="00CB2A4A" w:rsidRDefault="0023584E" w:rsidP="00747BFD">
      <w:pPr>
        <w:spacing w:after="100" w:line="360" w:lineRule="auto"/>
        <w:ind w:left="720" w:hanging="720"/>
        <w:jc w:val="both"/>
        <w:rPr>
          <w:rFonts w:ascii="Arial" w:hAnsi="Arial" w:cs="Arial"/>
        </w:rPr>
      </w:pPr>
      <w:r w:rsidRPr="00CB2A4A">
        <w:rPr>
          <w:rFonts w:ascii="Arial" w:hAnsi="Arial" w:cs="Arial"/>
          <w:sz w:val="21"/>
          <w:szCs w:val="21"/>
        </w:rPr>
        <w:t>GlobalData (2025a) Retail Viewpoint: Primark H2 FY2024/25 for the Six Months Ending 13 September 2025. London: GlobalData Plc.</w:t>
      </w:r>
    </w:p>
    <w:p w14:paraId="20CC903D" w14:textId="77777777" w:rsidR="00612205" w:rsidRPr="00CB2A4A" w:rsidRDefault="0023584E" w:rsidP="00747BFD">
      <w:pPr>
        <w:spacing w:after="100" w:line="360" w:lineRule="auto"/>
        <w:ind w:left="720" w:hanging="720"/>
        <w:jc w:val="both"/>
        <w:rPr>
          <w:rFonts w:ascii="Arial" w:hAnsi="Arial" w:cs="Arial"/>
        </w:rPr>
      </w:pPr>
      <w:r w:rsidRPr="00CB2A4A">
        <w:rPr>
          <w:rFonts w:ascii="Arial" w:hAnsi="Arial" w:cs="Arial"/>
          <w:sz w:val="21"/>
          <w:szCs w:val="21"/>
        </w:rPr>
        <w:t>GlobalData (2025b) Retail Viewpoint: Primark FY2024/25 for the 52 Weeks Ending 13 September 2025. London: GlobalData Plc.</w:t>
      </w:r>
    </w:p>
    <w:p w14:paraId="62C64442" w14:textId="77777777" w:rsidR="00612205" w:rsidRPr="00CB2A4A" w:rsidRDefault="0023584E" w:rsidP="00747BFD">
      <w:pPr>
        <w:spacing w:after="100" w:line="360" w:lineRule="auto"/>
        <w:ind w:left="720" w:hanging="720"/>
        <w:jc w:val="both"/>
        <w:rPr>
          <w:rFonts w:ascii="Arial" w:hAnsi="Arial" w:cs="Arial"/>
        </w:rPr>
      </w:pPr>
      <w:r w:rsidRPr="00CB2A4A">
        <w:rPr>
          <w:rFonts w:ascii="Arial" w:hAnsi="Arial" w:cs="Arial"/>
          <w:sz w:val="21"/>
          <w:szCs w:val="21"/>
        </w:rPr>
        <w:t>GlobalData (2026a) Retail Viewpoint: Primark H1 FY2025/26 for the 24 Weeks Ending 28 February 2026. London: GlobalData Plc.</w:t>
      </w:r>
    </w:p>
    <w:p w14:paraId="6B3586DE" w14:textId="77777777" w:rsidR="00612205" w:rsidRPr="00CB2A4A" w:rsidRDefault="0023584E" w:rsidP="00747BFD">
      <w:pPr>
        <w:spacing w:after="100" w:line="360" w:lineRule="auto"/>
        <w:ind w:left="720" w:hanging="720"/>
        <w:jc w:val="both"/>
        <w:rPr>
          <w:rFonts w:ascii="Arial" w:hAnsi="Arial" w:cs="Arial"/>
        </w:rPr>
      </w:pPr>
      <w:r w:rsidRPr="00CB2A4A">
        <w:rPr>
          <w:rFonts w:ascii="Arial" w:hAnsi="Arial" w:cs="Arial"/>
          <w:sz w:val="21"/>
          <w:szCs w:val="21"/>
        </w:rPr>
        <w:t>GlobalData (2026b) Retail Viewpoint: Primark Q3 FY2025/26 for the 16 Weeks (Q3) and YTD Ending 20 June 2026. London: GlobalData Plc.</w:t>
      </w:r>
    </w:p>
    <w:p w14:paraId="7F83EC41" w14:textId="77777777" w:rsidR="00612205" w:rsidRPr="00CB2A4A" w:rsidRDefault="0023584E" w:rsidP="00747BFD">
      <w:pPr>
        <w:spacing w:after="100" w:line="360" w:lineRule="auto"/>
        <w:ind w:left="720" w:hanging="720"/>
        <w:jc w:val="both"/>
        <w:rPr>
          <w:rFonts w:ascii="Arial" w:hAnsi="Arial" w:cs="Arial"/>
        </w:rPr>
      </w:pPr>
      <w:r w:rsidRPr="00CB2A4A">
        <w:rPr>
          <w:rFonts w:ascii="Arial" w:hAnsi="Arial" w:cs="Arial"/>
          <w:sz w:val="21"/>
          <w:szCs w:val="21"/>
        </w:rPr>
        <w:t>Harzing, A.-W. (2000) 'An empirical analysis and extension of the Bartlett and Ghoshal typology of multinational companies', Journal of International Business Studies, 31(1), pp. 101-120.</w:t>
      </w:r>
    </w:p>
    <w:p w14:paraId="030B7254" w14:textId="77777777" w:rsidR="00612205" w:rsidRPr="00CB2A4A" w:rsidRDefault="0023584E" w:rsidP="00747BFD">
      <w:pPr>
        <w:spacing w:after="100" w:line="360" w:lineRule="auto"/>
        <w:ind w:left="720" w:hanging="720"/>
        <w:jc w:val="both"/>
        <w:rPr>
          <w:rFonts w:ascii="Arial" w:hAnsi="Arial" w:cs="Arial"/>
        </w:rPr>
      </w:pPr>
      <w:r w:rsidRPr="00CB2A4A">
        <w:rPr>
          <w:rFonts w:ascii="Arial" w:hAnsi="Arial" w:cs="Arial"/>
          <w:sz w:val="21"/>
          <w:szCs w:val="21"/>
        </w:rPr>
        <w:t xml:space="preserve">Hill, C.W.L. (2024) International Business: Competing in the Global Marketplace. 14th </w:t>
      </w:r>
      <w:proofErr w:type="spellStart"/>
      <w:r w:rsidRPr="00CB2A4A">
        <w:rPr>
          <w:rFonts w:ascii="Arial" w:hAnsi="Arial" w:cs="Arial"/>
          <w:sz w:val="21"/>
          <w:szCs w:val="21"/>
        </w:rPr>
        <w:t>edn</w:t>
      </w:r>
      <w:proofErr w:type="spellEnd"/>
      <w:r w:rsidRPr="00CB2A4A">
        <w:rPr>
          <w:rFonts w:ascii="Arial" w:hAnsi="Arial" w:cs="Arial"/>
          <w:sz w:val="21"/>
          <w:szCs w:val="21"/>
        </w:rPr>
        <w:t>. New York: McGraw-Hill.</w:t>
      </w:r>
    </w:p>
    <w:p w14:paraId="692DA59A" w14:textId="77777777" w:rsidR="00612205" w:rsidRPr="00CB2A4A" w:rsidRDefault="0023584E" w:rsidP="00747BFD">
      <w:pPr>
        <w:spacing w:after="100" w:line="360" w:lineRule="auto"/>
        <w:ind w:left="720" w:hanging="720"/>
        <w:jc w:val="both"/>
        <w:rPr>
          <w:rFonts w:ascii="Arial" w:hAnsi="Arial" w:cs="Arial"/>
        </w:rPr>
      </w:pPr>
      <w:r w:rsidRPr="00CB2A4A">
        <w:rPr>
          <w:rFonts w:ascii="Arial" w:hAnsi="Arial" w:cs="Arial"/>
          <w:sz w:val="21"/>
          <w:szCs w:val="21"/>
        </w:rPr>
        <w:lastRenderedPageBreak/>
        <w:t>Hofstede, G. (1980) Culture's Consequences: International Differences in Work-Related Values. Beverly Hills, CA: Sage.</w:t>
      </w:r>
    </w:p>
    <w:p w14:paraId="173701C8" w14:textId="77777777" w:rsidR="00612205" w:rsidRPr="00CB2A4A" w:rsidRDefault="0023584E" w:rsidP="00747BFD">
      <w:pPr>
        <w:spacing w:after="100" w:line="360" w:lineRule="auto"/>
        <w:ind w:left="720" w:hanging="720"/>
        <w:jc w:val="both"/>
        <w:rPr>
          <w:rFonts w:ascii="Arial" w:hAnsi="Arial" w:cs="Arial"/>
        </w:rPr>
      </w:pPr>
      <w:r w:rsidRPr="00CB2A4A">
        <w:rPr>
          <w:rFonts w:ascii="Arial" w:hAnsi="Arial" w:cs="Arial"/>
          <w:sz w:val="21"/>
          <w:szCs w:val="21"/>
        </w:rPr>
        <w:t>Hofstede Insights (2026) Country Comparison Tool: United Kingdom vs South Korea. Available at: https://www.hofstede-insights.com/country-comparison/ (Accessed: 15 July 2026).</w:t>
      </w:r>
    </w:p>
    <w:p w14:paraId="344C114D" w14:textId="77777777" w:rsidR="00612205" w:rsidRPr="00CB2A4A" w:rsidRDefault="0023584E" w:rsidP="00747BFD">
      <w:pPr>
        <w:spacing w:after="100" w:line="360" w:lineRule="auto"/>
        <w:ind w:left="720" w:hanging="720"/>
        <w:jc w:val="both"/>
        <w:rPr>
          <w:rFonts w:ascii="Arial" w:hAnsi="Arial" w:cs="Arial"/>
        </w:rPr>
      </w:pPr>
      <w:r w:rsidRPr="00CB2A4A">
        <w:rPr>
          <w:rFonts w:ascii="Arial" w:hAnsi="Arial" w:cs="Arial"/>
          <w:sz w:val="21"/>
          <w:szCs w:val="21"/>
        </w:rPr>
        <w:t xml:space="preserve">Hollensen, S. (2020) Global Marketing. 8th </w:t>
      </w:r>
      <w:proofErr w:type="spellStart"/>
      <w:r w:rsidRPr="00CB2A4A">
        <w:rPr>
          <w:rFonts w:ascii="Arial" w:hAnsi="Arial" w:cs="Arial"/>
          <w:sz w:val="21"/>
          <w:szCs w:val="21"/>
        </w:rPr>
        <w:t>edn</w:t>
      </w:r>
      <w:proofErr w:type="spellEnd"/>
      <w:r w:rsidRPr="00CB2A4A">
        <w:rPr>
          <w:rFonts w:ascii="Arial" w:hAnsi="Arial" w:cs="Arial"/>
          <w:sz w:val="21"/>
          <w:szCs w:val="21"/>
        </w:rPr>
        <w:t>. Harlow: Pearson.</w:t>
      </w:r>
    </w:p>
    <w:p w14:paraId="654080ED" w14:textId="77777777" w:rsidR="00612205" w:rsidRPr="00CB2A4A" w:rsidRDefault="0023584E" w:rsidP="00747BFD">
      <w:pPr>
        <w:spacing w:after="100" w:line="360" w:lineRule="auto"/>
        <w:ind w:left="720" w:hanging="720"/>
        <w:jc w:val="both"/>
        <w:rPr>
          <w:rFonts w:ascii="Arial" w:hAnsi="Arial" w:cs="Arial"/>
        </w:rPr>
      </w:pPr>
      <w:r w:rsidRPr="00CB2A4A">
        <w:rPr>
          <w:rFonts w:ascii="Arial" w:hAnsi="Arial" w:cs="Arial"/>
          <w:sz w:val="21"/>
          <w:szCs w:val="21"/>
        </w:rPr>
        <w:t>House, R.J. et al. (2004) Culture, Leadership, and Organizations: The GLOBE Study of 62 Societies. Thousand Oaks, CA: Sage.</w:t>
      </w:r>
    </w:p>
    <w:p w14:paraId="769EE8A6" w14:textId="77777777" w:rsidR="00612205" w:rsidRDefault="0023584E" w:rsidP="00747BFD">
      <w:pPr>
        <w:spacing w:after="100" w:line="360" w:lineRule="auto"/>
        <w:ind w:left="720" w:hanging="720"/>
        <w:jc w:val="both"/>
        <w:rPr>
          <w:rFonts w:ascii="Arial" w:hAnsi="Arial" w:cs="Arial"/>
          <w:sz w:val="21"/>
          <w:szCs w:val="21"/>
        </w:rPr>
      </w:pPr>
      <w:r w:rsidRPr="00CB2A4A">
        <w:rPr>
          <w:rFonts w:ascii="Arial" w:hAnsi="Arial" w:cs="Arial"/>
          <w:sz w:val="21"/>
          <w:szCs w:val="21"/>
        </w:rPr>
        <w:t>Johanson, J. and Vahlne, J.E. (1977) 'The internationalization process of the firm: A model of knowledge development and increasing foreign market commitments', Journal of International Business Studies, 8(1), pp. 23-32.</w:t>
      </w:r>
    </w:p>
    <w:p w14:paraId="3ECAFF38" w14:textId="10831752" w:rsidR="001C10D8" w:rsidRPr="001C10D8" w:rsidRDefault="001C10D8" w:rsidP="001C10D8">
      <w:pPr>
        <w:spacing w:after="100" w:line="360" w:lineRule="auto"/>
        <w:ind w:left="720" w:hanging="720"/>
        <w:jc w:val="both"/>
        <w:rPr>
          <w:rFonts w:ascii="Arial" w:hAnsi="Arial" w:cs="Arial"/>
          <w:sz w:val="21"/>
          <w:szCs w:val="21"/>
          <w:lang w:val="en-GB"/>
        </w:rPr>
      </w:pPr>
      <w:r w:rsidRPr="001C10D8">
        <w:rPr>
          <w:rFonts w:ascii="Arial" w:hAnsi="Arial" w:cs="Arial"/>
          <w:sz w:val="21"/>
          <w:szCs w:val="21"/>
          <w:lang w:val="en-GB"/>
        </w:rPr>
        <w:t xml:space="preserve">Johanson, J. and Vahlne, J.-E. (2009) “The Uppsala internationalization process model revisited: From liability of Foreignness to Liability of </w:t>
      </w:r>
      <w:proofErr w:type="spellStart"/>
      <w:r w:rsidRPr="001C10D8">
        <w:rPr>
          <w:rFonts w:ascii="Arial" w:hAnsi="Arial" w:cs="Arial"/>
          <w:sz w:val="21"/>
          <w:szCs w:val="21"/>
          <w:lang w:val="en-GB"/>
        </w:rPr>
        <w:t>Outsidership</w:t>
      </w:r>
      <w:proofErr w:type="spellEnd"/>
      <w:r w:rsidRPr="001C10D8">
        <w:rPr>
          <w:rFonts w:ascii="Arial" w:hAnsi="Arial" w:cs="Arial"/>
          <w:sz w:val="21"/>
          <w:szCs w:val="21"/>
          <w:lang w:val="en-GB"/>
        </w:rPr>
        <w:t xml:space="preserve">,” </w:t>
      </w:r>
      <w:r w:rsidRPr="001C10D8">
        <w:rPr>
          <w:rFonts w:ascii="Arial" w:hAnsi="Arial" w:cs="Arial"/>
          <w:i/>
          <w:iCs/>
          <w:sz w:val="21"/>
          <w:szCs w:val="21"/>
          <w:lang w:val="en-GB"/>
        </w:rPr>
        <w:t xml:space="preserve">Journal of </w:t>
      </w:r>
      <w:r w:rsidR="00CF19DF">
        <w:rPr>
          <w:rFonts w:ascii="Arial" w:hAnsi="Arial" w:cs="Arial"/>
          <w:i/>
          <w:iCs/>
          <w:sz w:val="21"/>
          <w:szCs w:val="21"/>
          <w:lang w:val="en-GB"/>
        </w:rPr>
        <w:t>International Business Studies</w:t>
      </w:r>
      <w:r w:rsidRPr="001C10D8">
        <w:rPr>
          <w:rFonts w:ascii="Arial" w:hAnsi="Arial" w:cs="Arial"/>
          <w:sz w:val="21"/>
          <w:szCs w:val="21"/>
          <w:lang w:val="en-GB"/>
        </w:rPr>
        <w:t>, 40(9), pp. 1411–1431. Available at: https://doi.org/10.1057/jibs.2009.24.</w:t>
      </w:r>
    </w:p>
    <w:p w14:paraId="21D024C1" w14:textId="77777777" w:rsidR="00612205" w:rsidRPr="00CB2A4A" w:rsidRDefault="0023584E" w:rsidP="00747BFD">
      <w:pPr>
        <w:spacing w:after="100" w:line="360" w:lineRule="auto"/>
        <w:ind w:left="720" w:hanging="720"/>
        <w:jc w:val="both"/>
        <w:rPr>
          <w:rFonts w:ascii="Arial" w:hAnsi="Arial" w:cs="Arial"/>
        </w:rPr>
      </w:pPr>
      <w:r w:rsidRPr="00CB2A4A">
        <w:rPr>
          <w:rFonts w:ascii="Arial" w:hAnsi="Arial" w:cs="Arial"/>
          <w:sz w:val="21"/>
          <w:szCs w:val="21"/>
        </w:rPr>
        <w:t>Korea Fashion Association (2026) via Statista. 'Market size of fashion industry in South Korea from 2014 to 2026'. Available at: https://www.statista.com/statistics/973358/south-korea-fashion-industry-market-size/ (Accessed: 20 July 2026).</w:t>
      </w:r>
    </w:p>
    <w:p w14:paraId="491EBE27" w14:textId="77777777" w:rsidR="00612205" w:rsidRPr="00CB2A4A" w:rsidRDefault="0023584E" w:rsidP="00747BFD">
      <w:pPr>
        <w:spacing w:after="100" w:line="360" w:lineRule="auto"/>
        <w:ind w:left="720" w:hanging="720"/>
        <w:jc w:val="both"/>
        <w:rPr>
          <w:rFonts w:ascii="Arial" w:hAnsi="Arial" w:cs="Arial"/>
        </w:rPr>
      </w:pPr>
      <w:r w:rsidRPr="00CB2A4A">
        <w:rPr>
          <w:rFonts w:ascii="Arial" w:hAnsi="Arial" w:cs="Arial"/>
          <w:sz w:val="21"/>
          <w:szCs w:val="21"/>
        </w:rPr>
        <w:t>McSweeney, B. (2002) 'Hofstede's model of national cultural differences and their consequences: A triumph of faith – a failure of analysis', Human Relations, 55(1), pp. 89-118.</w:t>
      </w:r>
    </w:p>
    <w:p w14:paraId="3B71C74B" w14:textId="77777777" w:rsidR="00612205" w:rsidRPr="00CB2A4A" w:rsidRDefault="0023584E" w:rsidP="00747BFD">
      <w:pPr>
        <w:spacing w:after="100" w:line="360" w:lineRule="auto"/>
        <w:ind w:left="720" w:hanging="720"/>
        <w:jc w:val="both"/>
        <w:rPr>
          <w:rFonts w:ascii="Arial" w:hAnsi="Arial" w:cs="Arial"/>
        </w:rPr>
      </w:pPr>
      <w:r w:rsidRPr="00CB2A4A">
        <w:rPr>
          <w:rFonts w:ascii="Arial" w:hAnsi="Arial" w:cs="Arial"/>
          <w:sz w:val="21"/>
          <w:szCs w:val="21"/>
        </w:rPr>
        <w:t>MOTIE (2024) 'FDI pledges to Korea in 2023 reach an all-time high of $32.7 billion'. Seoul: Ministry of Trade, Industry and Energy. Available at: https://english.motie.go.kr (Accessed: 18 July 2026).</w:t>
      </w:r>
    </w:p>
    <w:p w14:paraId="16F75C05" w14:textId="77777777" w:rsidR="00612205" w:rsidRPr="00CB2A4A" w:rsidRDefault="0023584E" w:rsidP="00747BFD">
      <w:pPr>
        <w:spacing w:after="100" w:line="360" w:lineRule="auto"/>
        <w:ind w:left="720" w:hanging="720"/>
        <w:jc w:val="both"/>
        <w:rPr>
          <w:rFonts w:ascii="Arial" w:hAnsi="Arial" w:cs="Arial"/>
        </w:rPr>
      </w:pPr>
      <w:r w:rsidRPr="00CB2A4A">
        <w:rPr>
          <w:rFonts w:ascii="Arial" w:hAnsi="Arial" w:cs="Arial"/>
          <w:sz w:val="21"/>
          <w:szCs w:val="21"/>
        </w:rPr>
        <w:t xml:space="preserve">OECD (2024) OECD Economic Surveys: Korea 2024. Paris: OECD Publishing. </w:t>
      </w:r>
      <w:proofErr w:type="spellStart"/>
      <w:r w:rsidRPr="00CB2A4A">
        <w:rPr>
          <w:rFonts w:ascii="Arial" w:hAnsi="Arial" w:cs="Arial"/>
          <w:sz w:val="21"/>
          <w:szCs w:val="21"/>
        </w:rPr>
        <w:t>doi</w:t>
      </w:r>
      <w:proofErr w:type="spellEnd"/>
      <w:r w:rsidRPr="00CB2A4A">
        <w:rPr>
          <w:rFonts w:ascii="Arial" w:hAnsi="Arial" w:cs="Arial"/>
          <w:sz w:val="21"/>
          <w:szCs w:val="21"/>
        </w:rPr>
        <w:t>: 10.1787/c243e16a-en.</w:t>
      </w:r>
    </w:p>
    <w:p w14:paraId="2A91E224" w14:textId="77777777" w:rsidR="00612205" w:rsidRPr="00CB2A4A" w:rsidRDefault="0023584E" w:rsidP="00747BFD">
      <w:pPr>
        <w:spacing w:after="100" w:line="360" w:lineRule="auto"/>
        <w:ind w:left="720" w:hanging="720"/>
        <w:jc w:val="both"/>
        <w:rPr>
          <w:rFonts w:ascii="Arial" w:hAnsi="Arial" w:cs="Arial"/>
        </w:rPr>
      </w:pPr>
      <w:r w:rsidRPr="00CB2A4A">
        <w:rPr>
          <w:rFonts w:ascii="Arial" w:hAnsi="Arial" w:cs="Arial"/>
          <w:sz w:val="21"/>
          <w:szCs w:val="21"/>
        </w:rPr>
        <w:t>Porter, M.E. (1985) Competitive Advantage: Creating and Sustaining Superior Performance. New York: Free Press.</w:t>
      </w:r>
    </w:p>
    <w:p w14:paraId="399D4D01" w14:textId="04C3FD4F" w:rsidR="00612205" w:rsidRPr="00CB2A4A" w:rsidRDefault="0023584E" w:rsidP="00747BFD">
      <w:pPr>
        <w:spacing w:after="100" w:line="360" w:lineRule="auto"/>
        <w:ind w:left="720" w:hanging="720"/>
        <w:jc w:val="both"/>
        <w:rPr>
          <w:rFonts w:ascii="Arial" w:hAnsi="Arial" w:cs="Arial"/>
        </w:rPr>
      </w:pPr>
      <w:r w:rsidRPr="00CB2A4A">
        <w:rPr>
          <w:rFonts w:ascii="Arial" w:hAnsi="Arial" w:cs="Arial"/>
          <w:sz w:val="21"/>
          <w:szCs w:val="21"/>
        </w:rPr>
        <w:t xml:space="preserve">Porter, M.E. (1986) 'Competition in </w:t>
      </w:r>
      <w:r w:rsidR="000D6A19" w:rsidRPr="00CB2A4A">
        <w:rPr>
          <w:rFonts w:ascii="Arial" w:hAnsi="Arial" w:cs="Arial"/>
          <w:sz w:val="21"/>
          <w:szCs w:val="21"/>
        </w:rPr>
        <w:t>Global Industries</w:t>
      </w:r>
      <w:r w:rsidRPr="00CB2A4A">
        <w:rPr>
          <w:rFonts w:ascii="Arial" w:hAnsi="Arial" w:cs="Arial"/>
          <w:sz w:val="21"/>
          <w:szCs w:val="21"/>
        </w:rPr>
        <w:t xml:space="preserve">: A </w:t>
      </w:r>
      <w:r w:rsidR="000D6A19" w:rsidRPr="00CB2A4A">
        <w:rPr>
          <w:rFonts w:ascii="Arial" w:hAnsi="Arial" w:cs="Arial"/>
          <w:sz w:val="21"/>
          <w:szCs w:val="21"/>
        </w:rPr>
        <w:t>Conceptual Framework</w:t>
      </w:r>
      <w:r w:rsidRPr="00CB2A4A">
        <w:rPr>
          <w:rFonts w:ascii="Arial" w:hAnsi="Arial" w:cs="Arial"/>
          <w:sz w:val="21"/>
          <w:szCs w:val="21"/>
        </w:rPr>
        <w:t>', in Porter, M.E. (ed.) Competition in Global Industries. Boston, MA: Harvard Business School Press, pp. 15-60.</w:t>
      </w:r>
    </w:p>
    <w:p w14:paraId="629FF59B" w14:textId="77777777" w:rsidR="00612205" w:rsidRPr="00CB2A4A" w:rsidRDefault="0023584E" w:rsidP="00747BFD">
      <w:pPr>
        <w:spacing w:after="100" w:line="360" w:lineRule="auto"/>
        <w:ind w:left="720" w:hanging="720"/>
        <w:jc w:val="both"/>
        <w:rPr>
          <w:rFonts w:ascii="Arial" w:hAnsi="Arial" w:cs="Arial"/>
        </w:rPr>
      </w:pPr>
      <w:r w:rsidRPr="00CB2A4A">
        <w:rPr>
          <w:rFonts w:ascii="Arial" w:hAnsi="Arial" w:cs="Arial"/>
          <w:sz w:val="21"/>
          <w:szCs w:val="21"/>
        </w:rPr>
        <w:t xml:space="preserve">Raskovic, M., Makovec Brencic, M. and Jaklic, M. (2013) 'Antecedents and evolution of the Bartlett and Ghoshal transnational typology', Multinational Business Review, 21(2), pp. 148-173. </w:t>
      </w:r>
      <w:proofErr w:type="spellStart"/>
      <w:r w:rsidRPr="00CB2A4A">
        <w:rPr>
          <w:rFonts w:ascii="Arial" w:hAnsi="Arial" w:cs="Arial"/>
          <w:sz w:val="21"/>
          <w:szCs w:val="21"/>
        </w:rPr>
        <w:t>doi</w:t>
      </w:r>
      <w:proofErr w:type="spellEnd"/>
      <w:r w:rsidRPr="00CB2A4A">
        <w:rPr>
          <w:rFonts w:ascii="Arial" w:hAnsi="Arial" w:cs="Arial"/>
          <w:sz w:val="21"/>
          <w:szCs w:val="21"/>
        </w:rPr>
        <w:t>: 10.1108/MBR-01-2013-0004.</w:t>
      </w:r>
    </w:p>
    <w:p w14:paraId="2D9E17C6" w14:textId="77777777" w:rsidR="00612205" w:rsidRPr="00CB2A4A" w:rsidRDefault="0023584E" w:rsidP="00747BFD">
      <w:pPr>
        <w:spacing w:after="100" w:line="360" w:lineRule="auto"/>
        <w:ind w:left="720" w:hanging="720"/>
        <w:jc w:val="both"/>
        <w:rPr>
          <w:rFonts w:ascii="Arial" w:hAnsi="Arial" w:cs="Arial"/>
        </w:rPr>
      </w:pPr>
      <w:r w:rsidRPr="00CB2A4A">
        <w:rPr>
          <w:rFonts w:ascii="Arial" w:hAnsi="Arial" w:cs="Arial"/>
          <w:sz w:val="21"/>
          <w:szCs w:val="21"/>
        </w:rPr>
        <w:t>Rugman, A.M. and Verbeke, A. (1992) 'A note on the transnational solution and the transaction cost theory of multinational strategic management', Journal of International Business Studies, 23(4), pp. 761-771.</w:t>
      </w:r>
    </w:p>
    <w:p w14:paraId="2502BFF4" w14:textId="77777777" w:rsidR="00612205" w:rsidRPr="00CB2A4A" w:rsidRDefault="0023584E" w:rsidP="00747BFD">
      <w:pPr>
        <w:spacing w:after="100" w:line="360" w:lineRule="auto"/>
        <w:ind w:left="720" w:hanging="720"/>
        <w:jc w:val="both"/>
        <w:rPr>
          <w:rFonts w:ascii="Arial" w:hAnsi="Arial" w:cs="Arial"/>
        </w:rPr>
      </w:pPr>
      <w:r w:rsidRPr="00CB2A4A">
        <w:rPr>
          <w:rFonts w:ascii="Arial" w:hAnsi="Arial" w:cs="Arial"/>
          <w:sz w:val="21"/>
          <w:szCs w:val="21"/>
        </w:rPr>
        <w:lastRenderedPageBreak/>
        <w:t>Statista Market Forecast (2025) Apparel – South Korea. Available at: https://www.statista.com/outlook/cmo/apparel/south-korea (Accessed: 20 July 2026).</w:t>
      </w:r>
    </w:p>
    <w:p w14:paraId="758AAFE1" w14:textId="77777777" w:rsidR="00612205" w:rsidRPr="00CB2A4A" w:rsidRDefault="0023584E" w:rsidP="00747BFD">
      <w:pPr>
        <w:spacing w:after="100" w:line="360" w:lineRule="auto"/>
        <w:ind w:left="720" w:hanging="720"/>
        <w:jc w:val="both"/>
        <w:rPr>
          <w:rFonts w:ascii="Arial" w:hAnsi="Arial" w:cs="Arial"/>
        </w:rPr>
      </w:pPr>
      <w:r w:rsidRPr="00CB2A4A">
        <w:rPr>
          <w:rFonts w:ascii="Arial" w:hAnsi="Arial" w:cs="Arial"/>
          <w:sz w:val="21"/>
          <w:szCs w:val="21"/>
        </w:rPr>
        <w:t>WIPO (2024) IP Facts and Figures 2024. Geneva: World Intellectual Property Organization. Available at: https://www.wipo.int/publications/en/details.jsp?id=4718 (Accessed: 18 July 2026).</w:t>
      </w:r>
    </w:p>
    <w:p w14:paraId="648A4C70" w14:textId="77777777" w:rsidR="00612205" w:rsidRPr="00CB2A4A" w:rsidRDefault="0023584E" w:rsidP="00747BFD">
      <w:pPr>
        <w:spacing w:after="100" w:line="360" w:lineRule="auto"/>
        <w:ind w:left="720" w:hanging="720"/>
        <w:jc w:val="both"/>
        <w:rPr>
          <w:rFonts w:ascii="Arial" w:hAnsi="Arial" w:cs="Arial"/>
        </w:rPr>
      </w:pPr>
      <w:r w:rsidRPr="00CB2A4A">
        <w:rPr>
          <w:rFonts w:ascii="Arial" w:hAnsi="Arial" w:cs="Arial"/>
          <w:sz w:val="21"/>
          <w:szCs w:val="21"/>
        </w:rPr>
        <w:t>Yoo, B. and Donthu, N. (2002) 'The Effects of Marketing Education and Individual Cultural Values on Marketing Ethics of Students', Journal of Marketing Education, 24(August), pp. 92-103.</w:t>
      </w:r>
    </w:p>
    <w:sectPr w:rsidR="00612205" w:rsidRPr="00CB2A4A">
      <w:headerReference w:type="default" r:id="rId14"/>
      <w:footerReference w:type="default" r:id="rId15"/>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6ED10C" w14:textId="77777777" w:rsidR="00890EA2" w:rsidRDefault="00890EA2">
      <w:r>
        <w:separator/>
      </w:r>
    </w:p>
  </w:endnote>
  <w:endnote w:type="continuationSeparator" w:id="0">
    <w:p w14:paraId="066DA547" w14:textId="77777777" w:rsidR="00890EA2" w:rsidRDefault="00890E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74DB88" w14:textId="77777777" w:rsidR="00612205" w:rsidRDefault="0023584E">
    <w:pPr>
      <w:jc w:val="center"/>
    </w:pPr>
    <w:r>
      <w:rPr>
        <w:rFonts w:ascii="Arial" w:eastAsia="Arial" w:hAnsi="Arial" w:cs="Arial"/>
        <w:color w:val="555555"/>
        <w:sz w:val="18"/>
        <w:szCs w:val="18"/>
      </w:rPr>
      <w:t xml:space="preserve">Page </w:t>
    </w:r>
    <w:r>
      <w:rPr>
        <w:rFonts w:ascii="Arial" w:eastAsia="Arial" w:hAnsi="Arial" w:cs="Arial"/>
        <w:color w:val="555555"/>
        <w:sz w:val="18"/>
        <w:szCs w:val="18"/>
      </w:rPr>
      <w:fldChar w:fldCharType="begin"/>
    </w:r>
    <w:r>
      <w:rPr>
        <w:rFonts w:ascii="Arial" w:eastAsia="Arial" w:hAnsi="Arial" w:cs="Arial"/>
        <w:color w:val="555555"/>
        <w:sz w:val="18"/>
        <w:szCs w:val="18"/>
      </w:rPr>
      <w:instrText>PAGE</w:instrText>
    </w:r>
    <w:r>
      <w:rPr>
        <w:rFonts w:ascii="Arial" w:eastAsia="Arial" w:hAnsi="Arial" w:cs="Arial"/>
        <w:color w:val="555555"/>
        <w:sz w:val="18"/>
        <w:szCs w:val="18"/>
      </w:rPr>
      <w:fldChar w:fldCharType="separate"/>
    </w:r>
    <w:r w:rsidR="0094245B">
      <w:rPr>
        <w:rFonts w:ascii="Arial" w:eastAsia="Arial" w:hAnsi="Arial" w:cs="Arial"/>
        <w:noProof/>
        <w:color w:val="555555"/>
        <w:sz w:val="18"/>
        <w:szCs w:val="18"/>
      </w:rPr>
      <w:t>1</w:t>
    </w:r>
    <w:r>
      <w:rPr>
        <w:rFonts w:ascii="Arial" w:eastAsia="Arial" w:hAnsi="Arial" w:cs="Arial"/>
        <w:color w:val="555555"/>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1781B6" w14:textId="77777777" w:rsidR="00890EA2" w:rsidRDefault="00890EA2">
      <w:r>
        <w:separator/>
      </w:r>
    </w:p>
  </w:footnote>
  <w:footnote w:type="continuationSeparator" w:id="0">
    <w:p w14:paraId="1072A9D5" w14:textId="77777777" w:rsidR="00890EA2" w:rsidRDefault="00890E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E71E3D" w14:textId="77777777" w:rsidR="00612205" w:rsidRDefault="0023584E">
    <w:pPr>
      <w:jc w:val="right"/>
    </w:pPr>
    <w:r>
      <w:rPr>
        <w:rFonts w:ascii="Arial" w:eastAsia="Arial" w:hAnsi="Arial" w:cs="Arial"/>
        <w:color w:val="555555"/>
        <w:sz w:val="18"/>
        <w:szCs w:val="18"/>
      </w:rPr>
      <w:t>LCMB7034 – Primark: South Korea Market Entry Analysis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BF584C"/>
    <w:multiLevelType w:val="hybridMultilevel"/>
    <w:tmpl w:val="2CE4B530"/>
    <w:lvl w:ilvl="0" w:tplc="A1A238D6">
      <w:start w:val="1"/>
      <w:numFmt w:val="bullet"/>
      <w:lvlText w:val="●"/>
      <w:lvlJc w:val="left"/>
      <w:pPr>
        <w:ind w:left="720" w:hanging="360"/>
      </w:pPr>
    </w:lvl>
    <w:lvl w:ilvl="1" w:tplc="BE348512">
      <w:start w:val="1"/>
      <w:numFmt w:val="bullet"/>
      <w:lvlText w:val="○"/>
      <w:lvlJc w:val="left"/>
      <w:pPr>
        <w:ind w:left="1440" w:hanging="360"/>
      </w:pPr>
    </w:lvl>
    <w:lvl w:ilvl="2" w:tplc="A7A276AA">
      <w:start w:val="1"/>
      <w:numFmt w:val="bullet"/>
      <w:lvlText w:val="■"/>
      <w:lvlJc w:val="left"/>
      <w:pPr>
        <w:ind w:left="2160" w:hanging="360"/>
      </w:pPr>
    </w:lvl>
    <w:lvl w:ilvl="3" w:tplc="E850C224">
      <w:start w:val="1"/>
      <w:numFmt w:val="bullet"/>
      <w:lvlText w:val="●"/>
      <w:lvlJc w:val="left"/>
      <w:pPr>
        <w:ind w:left="2880" w:hanging="360"/>
      </w:pPr>
    </w:lvl>
    <w:lvl w:ilvl="4" w:tplc="53E28A9C">
      <w:start w:val="1"/>
      <w:numFmt w:val="bullet"/>
      <w:lvlText w:val="○"/>
      <w:lvlJc w:val="left"/>
      <w:pPr>
        <w:ind w:left="3600" w:hanging="360"/>
      </w:pPr>
    </w:lvl>
    <w:lvl w:ilvl="5" w:tplc="0494FF76">
      <w:start w:val="1"/>
      <w:numFmt w:val="bullet"/>
      <w:lvlText w:val="■"/>
      <w:lvlJc w:val="left"/>
      <w:pPr>
        <w:ind w:left="4320" w:hanging="360"/>
      </w:pPr>
    </w:lvl>
    <w:lvl w:ilvl="6" w:tplc="DF62695C">
      <w:start w:val="1"/>
      <w:numFmt w:val="bullet"/>
      <w:lvlText w:val="●"/>
      <w:lvlJc w:val="left"/>
      <w:pPr>
        <w:ind w:left="5040" w:hanging="360"/>
      </w:pPr>
    </w:lvl>
    <w:lvl w:ilvl="7" w:tplc="7C82F27C">
      <w:start w:val="1"/>
      <w:numFmt w:val="bullet"/>
      <w:lvlText w:val="●"/>
      <w:lvlJc w:val="left"/>
      <w:pPr>
        <w:ind w:left="5760" w:hanging="360"/>
      </w:pPr>
    </w:lvl>
    <w:lvl w:ilvl="8" w:tplc="28D246C6">
      <w:start w:val="1"/>
      <w:numFmt w:val="bullet"/>
      <w:lvlText w:val="●"/>
      <w:lvlJc w:val="left"/>
      <w:pPr>
        <w:ind w:left="6480" w:hanging="360"/>
      </w:pPr>
    </w:lvl>
  </w:abstractNum>
  <w:num w:numId="1" w16cid:durableId="29314689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2205"/>
    <w:rsid w:val="00004404"/>
    <w:rsid w:val="000B668F"/>
    <w:rsid w:val="000D6A19"/>
    <w:rsid w:val="000E1C11"/>
    <w:rsid w:val="00147427"/>
    <w:rsid w:val="0015751B"/>
    <w:rsid w:val="00163622"/>
    <w:rsid w:val="001C10D8"/>
    <w:rsid w:val="00221F15"/>
    <w:rsid w:val="0023584E"/>
    <w:rsid w:val="00244974"/>
    <w:rsid w:val="0024705B"/>
    <w:rsid w:val="002763C7"/>
    <w:rsid w:val="00341A7F"/>
    <w:rsid w:val="00376D75"/>
    <w:rsid w:val="003F66E3"/>
    <w:rsid w:val="0043541F"/>
    <w:rsid w:val="00436E21"/>
    <w:rsid w:val="004554C3"/>
    <w:rsid w:val="00572529"/>
    <w:rsid w:val="00594BA3"/>
    <w:rsid w:val="005D60E4"/>
    <w:rsid w:val="00612205"/>
    <w:rsid w:val="00654DBA"/>
    <w:rsid w:val="006D5E1D"/>
    <w:rsid w:val="00745222"/>
    <w:rsid w:val="00747BFD"/>
    <w:rsid w:val="00780198"/>
    <w:rsid w:val="007C2204"/>
    <w:rsid w:val="00825EA0"/>
    <w:rsid w:val="00867BBC"/>
    <w:rsid w:val="008902F9"/>
    <w:rsid w:val="00890EA2"/>
    <w:rsid w:val="008A3A05"/>
    <w:rsid w:val="008F0395"/>
    <w:rsid w:val="0094245B"/>
    <w:rsid w:val="009550AB"/>
    <w:rsid w:val="00A84D68"/>
    <w:rsid w:val="00AA6BA5"/>
    <w:rsid w:val="00B2068D"/>
    <w:rsid w:val="00B251B8"/>
    <w:rsid w:val="00B25E44"/>
    <w:rsid w:val="00B83BBA"/>
    <w:rsid w:val="00B86641"/>
    <w:rsid w:val="00C3002E"/>
    <w:rsid w:val="00C640EA"/>
    <w:rsid w:val="00CA30C2"/>
    <w:rsid w:val="00CA63D9"/>
    <w:rsid w:val="00CB07CA"/>
    <w:rsid w:val="00CB1E44"/>
    <w:rsid w:val="00CB2A4A"/>
    <w:rsid w:val="00CC6A6E"/>
    <w:rsid w:val="00CD7C77"/>
    <w:rsid w:val="00CF19DF"/>
    <w:rsid w:val="00D02E08"/>
    <w:rsid w:val="00D632BB"/>
    <w:rsid w:val="00D766A7"/>
    <w:rsid w:val="00D92980"/>
    <w:rsid w:val="00DD33FE"/>
    <w:rsid w:val="00DE0307"/>
    <w:rsid w:val="00EF1DFD"/>
    <w:rsid w:val="00F740D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FDDD1"/>
  <w15:docId w15:val="{F6BA84FF-6A47-46C7-B0B0-B934E3CAC3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color w:val="333333"/>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400" w:after="200"/>
      <w:outlineLvl w:val="0"/>
    </w:pPr>
    <w:rPr>
      <w:rFonts w:ascii="Arial" w:eastAsia="Arial" w:hAnsi="Arial" w:cs="Arial"/>
      <w:b/>
      <w:bCs/>
      <w:color w:val="1B2A4A"/>
      <w:sz w:val="32"/>
      <w:szCs w:val="32"/>
    </w:rPr>
  </w:style>
  <w:style w:type="paragraph" w:styleId="Heading2">
    <w:name w:val="heading 2"/>
    <w:uiPriority w:val="9"/>
    <w:unhideWhenUsed/>
    <w:qFormat/>
    <w:pPr>
      <w:spacing w:before="300" w:after="160"/>
      <w:outlineLvl w:val="1"/>
    </w:pPr>
    <w:rPr>
      <w:rFonts w:ascii="Arial" w:eastAsia="Arial" w:hAnsi="Arial" w:cs="Arial"/>
      <w:b/>
      <w:bCs/>
      <w:color w:val="2E5090"/>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94245B"/>
    <w:pPr>
      <w:spacing w:after="100"/>
    </w:pPr>
  </w:style>
  <w:style w:type="paragraph" w:styleId="TOC2">
    <w:name w:val="toc 2"/>
    <w:basedOn w:val="Normal"/>
    <w:next w:val="Normal"/>
    <w:autoRedefine/>
    <w:uiPriority w:val="39"/>
    <w:unhideWhenUsed/>
    <w:rsid w:val="0094245B"/>
    <w:pPr>
      <w:spacing w:after="100"/>
      <w:ind w:left="240"/>
    </w:pPr>
  </w:style>
  <w:style w:type="paragraph" w:styleId="TOCHeading">
    <w:name w:val="TOC Heading"/>
    <w:basedOn w:val="Heading1"/>
    <w:next w:val="Normal"/>
    <w:uiPriority w:val="39"/>
    <w:unhideWhenUsed/>
    <w:qFormat/>
    <w:rsid w:val="0094245B"/>
    <w:pPr>
      <w:keepNext/>
      <w:keepLines/>
      <w:spacing w:before="240" w:after="0" w:line="259" w:lineRule="auto"/>
      <w:outlineLvl w:val="9"/>
    </w:pPr>
    <w:rPr>
      <w:rFonts w:asciiTheme="majorHAnsi" w:eastAsiaTheme="majorEastAsia" w:hAnsiTheme="majorHAnsi" w:cstheme="majorBidi"/>
      <w:b w:val="0"/>
      <w:bCs w:val="0"/>
      <w:color w:val="0F476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0AA64B7-744C-41BA-B2C2-816943223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877</TotalTime>
  <Pages>26</Pages>
  <Words>6655</Words>
  <Characters>37935</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2434280@student.uwtsd.ac.uk</dc:creator>
  <cp:lastModifiedBy>Md Alamin (2434280)</cp:lastModifiedBy>
  <cp:revision>43</cp:revision>
  <dcterms:created xsi:type="dcterms:W3CDTF">2026-07-30T08:10:00Z</dcterms:created>
  <dcterms:modified xsi:type="dcterms:W3CDTF">2026-08-10T08:56:00Z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f823e155-eefa-47ad-9236-bd7952e4e98c</vt:lpwstr>
  </property>
</Properties>
</file>