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DDCF1" w14:textId="77777777" w:rsidR="00F91E7A" w:rsidRPr="00F91E7A" w:rsidRDefault="00F91E7A" w:rsidP="00F91E7A">
      <w:pPr>
        <w:jc w:val="center"/>
        <w:rPr>
          <w:b/>
          <w:bCs/>
          <w:lang w:val="en-US"/>
        </w:rPr>
      </w:pPr>
    </w:p>
    <w:p w14:paraId="63A1D800" w14:textId="1E7582F7" w:rsidR="00F91E7A" w:rsidRPr="00F91E7A" w:rsidRDefault="00F91E7A" w:rsidP="00F91E7A">
      <w:pPr>
        <w:jc w:val="center"/>
        <w:rPr>
          <w:lang w:val="en-GB"/>
        </w:rPr>
      </w:pPr>
      <w:r w:rsidRPr="00F91E7A">
        <w:rPr>
          <w:lang w:val="en-US"/>
        </w:rPr>
        <w:drawing>
          <wp:inline distT="0" distB="0" distL="0" distR="0" wp14:anchorId="3833F1BE" wp14:editId="2F4FAB90">
            <wp:extent cx="2619375" cy="1162050"/>
            <wp:effectExtent l="0" t="0" r="9525" b="0"/>
            <wp:docPr id="785261800" name="Imagine 2" descr="O imagine care conține text, Font, siglă, simbol&#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2" descr="O imagine care conține text, Font, siglă, simbol&#10;&#10;Conținutul generat de inteligența artificială poate fi inco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162050"/>
                    </a:xfrm>
                    <a:prstGeom prst="rect">
                      <a:avLst/>
                    </a:prstGeom>
                    <a:noFill/>
                    <a:ln>
                      <a:noFill/>
                    </a:ln>
                  </pic:spPr>
                </pic:pic>
              </a:graphicData>
            </a:graphic>
          </wp:inline>
        </w:drawing>
      </w:r>
    </w:p>
    <w:p w14:paraId="52E858A8" w14:textId="77777777" w:rsidR="00F91E7A" w:rsidRPr="00F91E7A" w:rsidRDefault="00F91E7A" w:rsidP="00F91E7A">
      <w:pPr>
        <w:jc w:val="center"/>
        <w:rPr>
          <w:lang w:val="en-GB"/>
        </w:rPr>
      </w:pPr>
    </w:p>
    <w:p w14:paraId="369E0B02" w14:textId="77777777" w:rsidR="00F91E7A" w:rsidRPr="00F91E7A" w:rsidRDefault="00F91E7A" w:rsidP="00F91E7A">
      <w:pPr>
        <w:jc w:val="center"/>
        <w:rPr>
          <w:lang w:val="en-GB"/>
        </w:rPr>
      </w:pPr>
    </w:p>
    <w:p w14:paraId="68192DBB" w14:textId="77777777" w:rsidR="00F91E7A" w:rsidRPr="00F91E7A" w:rsidRDefault="00F91E7A" w:rsidP="00F91E7A">
      <w:pPr>
        <w:jc w:val="center"/>
        <w:rPr>
          <w:lang w:val="en-GB"/>
        </w:rPr>
      </w:pPr>
    </w:p>
    <w:p w14:paraId="28FC4F41" w14:textId="77777777" w:rsidR="00F91E7A" w:rsidRPr="00F91E7A" w:rsidRDefault="00F91E7A" w:rsidP="00F91E7A">
      <w:pPr>
        <w:jc w:val="center"/>
        <w:rPr>
          <w:lang w:val="en-GB"/>
        </w:rPr>
      </w:pPr>
    </w:p>
    <w:p w14:paraId="72792ECD" w14:textId="77777777" w:rsidR="00F91E7A" w:rsidRPr="00F91E7A" w:rsidRDefault="00F91E7A" w:rsidP="00F91E7A">
      <w:pPr>
        <w:jc w:val="center"/>
        <w:rPr>
          <w:b/>
          <w:bCs/>
          <w:lang w:val="en-GB"/>
        </w:rPr>
      </w:pPr>
    </w:p>
    <w:p w14:paraId="2E056589" w14:textId="77777777" w:rsidR="00F91E7A" w:rsidRPr="00F91E7A" w:rsidRDefault="00F91E7A" w:rsidP="00F91E7A">
      <w:pPr>
        <w:jc w:val="center"/>
        <w:rPr>
          <w:b/>
          <w:bCs/>
          <w:lang w:val="en-GB"/>
        </w:rPr>
      </w:pPr>
      <w:proofErr w:type="spellStart"/>
      <w:proofErr w:type="gramStart"/>
      <w:r w:rsidRPr="00F91E7A">
        <w:rPr>
          <w:b/>
          <w:bCs/>
          <w:lang w:val="en-GB"/>
        </w:rPr>
        <w:t>Name:Ioana</w:t>
      </w:r>
      <w:proofErr w:type="spellEnd"/>
      <w:proofErr w:type="gramEnd"/>
      <w:r w:rsidRPr="00F91E7A">
        <w:rPr>
          <w:b/>
          <w:bCs/>
          <w:lang w:val="en-GB"/>
        </w:rPr>
        <w:t xml:space="preserve"> Madalina Priboi </w:t>
      </w:r>
    </w:p>
    <w:p w14:paraId="20150460" w14:textId="77777777" w:rsidR="00F91E7A" w:rsidRPr="00F91E7A" w:rsidRDefault="00F91E7A" w:rsidP="00F91E7A">
      <w:pPr>
        <w:jc w:val="center"/>
        <w:rPr>
          <w:b/>
          <w:bCs/>
          <w:lang w:val="en-GB"/>
        </w:rPr>
      </w:pPr>
      <w:r w:rsidRPr="00F91E7A">
        <w:rPr>
          <w:b/>
          <w:bCs/>
          <w:lang w:val="en-GB"/>
        </w:rPr>
        <w:t>Student ID:2511525</w:t>
      </w:r>
    </w:p>
    <w:p w14:paraId="615594EA" w14:textId="77777777" w:rsidR="00F91E7A" w:rsidRPr="00F91E7A" w:rsidRDefault="00F91E7A" w:rsidP="00F91E7A">
      <w:pPr>
        <w:jc w:val="center"/>
        <w:rPr>
          <w:b/>
          <w:bCs/>
          <w:lang w:val="en-GB"/>
        </w:rPr>
      </w:pPr>
      <w:r w:rsidRPr="00F91E7A">
        <w:rPr>
          <w:b/>
          <w:bCs/>
          <w:lang w:val="en-GB"/>
        </w:rPr>
        <w:t>Module Code: LCHS4008_BIRM</w:t>
      </w:r>
    </w:p>
    <w:p w14:paraId="2B3EBE22" w14:textId="77777777" w:rsidR="00F91E7A" w:rsidRPr="00F91E7A" w:rsidRDefault="00F91E7A" w:rsidP="00F91E7A">
      <w:pPr>
        <w:jc w:val="center"/>
        <w:rPr>
          <w:b/>
          <w:bCs/>
          <w:lang w:val="en-GB"/>
        </w:rPr>
      </w:pPr>
      <w:r w:rsidRPr="00F91E7A">
        <w:rPr>
          <w:b/>
          <w:bCs/>
          <w:lang w:val="en-GB"/>
        </w:rPr>
        <w:t>Module: Introduction to Public Health</w:t>
      </w:r>
    </w:p>
    <w:p w14:paraId="2110F220" w14:textId="77777777" w:rsidR="00F91E7A" w:rsidRPr="00F91E7A" w:rsidRDefault="00F91E7A" w:rsidP="00F91E7A">
      <w:pPr>
        <w:jc w:val="center"/>
        <w:rPr>
          <w:lang w:val="en-GB"/>
        </w:rPr>
      </w:pPr>
      <w:r w:rsidRPr="00F91E7A">
        <w:rPr>
          <w:b/>
          <w:bCs/>
          <w:lang w:val="en-GB"/>
        </w:rPr>
        <w:t xml:space="preserve">Lecturer: Vivian </w:t>
      </w:r>
      <w:proofErr w:type="spellStart"/>
      <w:r w:rsidRPr="00F91E7A">
        <w:rPr>
          <w:b/>
          <w:bCs/>
          <w:lang w:val="en-GB"/>
        </w:rPr>
        <w:t>Osuchukwu</w:t>
      </w:r>
      <w:proofErr w:type="spellEnd"/>
    </w:p>
    <w:p w14:paraId="22256BF3" w14:textId="77777777" w:rsidR="00F91E7A" w:rsidRPr="00F91E7A" w:rsidRDefault="00F91E7A" w:rsidP="00F91E7A">
      <w:pPr>
        <w:jc w:val="center"/>
        <w:rPr>
          <w:lang w:val="en-GB"/>
        </w:rPr>
      </w:pPr>
    </w:p>
    <w:p w14:paraId="10AB1735" w14:textId="77777777" w:rsidR="00F91E7A" w:rsidRPr="00F91E7A" w:rsidRDefault="00F91E7A" w:rsidP="00F91E7A">
      <w:pPr>
        <w:jc w:val="center"/>
        <w:rPr>
          <w:lang w:val="en-GB"/>
        </w:rPr>
      </w:pPr>
    </w:p>
    <w:p w14:paraId="0EA5FC23" w14:textId="77777777" w:rsidR="00F91E7A" w:rsidRPr="00F91E7A" w:rsidRDefault="00F91E7A" w:rsidP="00F91E7A">
      <w:pPr>
        <w:jc w:val="center"/>
        <w:rPr>
          <w:lang w:val="en-GB"/>
        </w:rPr>
      </w:pPr>
    </w:p>
    <w:p w14:paraId="10C680D1" w14:textId="77777777" w:rsidR="00F91E7A" w:rsidRPr="00F91E7A" w:rsidRDefault="00F91E7A" w:rsidP="00F91E7A">
      <w:pPr>
        <w:jc w:val="center"/>
        <w:rPr>
          <w:lang w:val="en-GB"/>
        </w:rPr>
      </w:pPr>
    </w:p>
    <w:p w14:paraId="2A488AF3" w14:textId="77777777" w:rsidR="00F91E7A" w:rsidRPr="00F91E7A" w:rsidRDefault="00F91E7A" w:rsidP="00F91E7A">
      <w:pPr>
        <w:jc w:val="center"/>
        <w:rPr>
          <w:lang w:val="en-GB"/>
        </w:rPr>
      </w:pPr>
    </w:p>
    <w:p w14:paraId="3C074885" w14:textId="77777777" w:rsidR="00F91E7A" w:rsidRPr="00F91E7A" w:rsidRDefault="00F91E7A" w:rsidP="00F91E7A">
      <w:pPr>
        <w:jc w:val="center"/>
        <w:rPr>
          <w:lang w:val="en-GB"/>
        </w:rPr>
      </w:pPr>
    </w:p>
    <w:p w14:paraId="7E75F1A7" w14:textId="77777777" w:rsidR="00F91E7A" w:rsidRPr="00F91E7A" w:rsidRDefault="00F91E7A" w:rsidP="00F91E7A">
      <w:pPr>
        <w:jc w:val="center"/>
        <w:rPr>
          <w:lang w:val="en-GB"/>
        </w:rPr>
      </w:pPr>
    </w:p>
    <w:p w14:paraId="0DC47D9F" w14:textId="77777777" w:rsidR="00F91E7A" w:rsidRPr="00F91E7A" w:rsidRDefault="00F91E7A" w:rsidP="00F91E7A">
      <w:pPr>
        <w:jc w:val="center"/>
        <w:rPr>
          <w:lang w:val="en-GB"/>
        </w:rPr>
      </w:pPr>
      <w:r w:rsidRPr="00F91E7A">
        <w:rPr>
          <w:lang w:val="en-GB"/>
        </w:rPr>
        <w:tab/>
      </w:r>
      <w:r w:rsidRPr="00F91E7A">
        <w:rPr>
          <w:lang w:val="en-GB"/>
        </w:rPr>
        <w:tab/>
      </w:r>
      <w:r w:rsidRPr="00F91E7A">
        <w:rPr>
          <w:lang w:val="en-GB"/>
        </w:rPr>
        <w:tab/>
      </w:r>
      <w:r w:rsidRPr="00F91E7A">
        <w:rPr>
          <w:lang w:val="en-GB"/>
        </w:rPr>
        <w:tab/>
      </w:r>
    </w:p>
    <w:p w14:paraId="138D1D34" w14:textId="77777777" w:rsidR="000D5AEF" w:rsidRPr="00F4200D" w:rsidRDefault="00000000">
      <w:pPr>
        <w:jc w:val="center"/>
        <w:rPr>
          <w:b/>
          <w:bCs/>
        </w:rPr>
      </w:pPr>
      <w:r w:rsidRPr="00F4200D">
        <w:br w:type="page"/>
      </w:r>
    </w:p>
    <w:sdt>
      <w:sdtPr>
        <w:rPr>
          <w:rFonts w:ascii="Arial" w:eastAsia="Arial" w:hAnsi="Arial" w:cs="Arial"/>
          <w:color w:val="auto"/>
          <w:sz w:val="22"/>
          <w:szCs w:val="22"/>
          <w:lang w:val="en" w:eastAsia="en-IN"/>
        </w:rPr>
        <w:id w:val="1542333042"/>
        <w:docPartObj>
          <w:docPartGallery w:val="Table of Contents"/>
          <w:docPartUnique/>
        </w:docPartObj>
      </w:sdtPr>
      <w:sdtEndPr>
        <w:rPr>
          <w:b/>
          <w:bCs/>
          <w:noProof/>
        </w:rPr>
      </w:sdtEndPr>
      <w:sdtContent>
        <w:p w14:paraId="27A60DAA" w14:textId="77777777" w:rsidR="00F52211" w:rsidRPr="00F4200D" w:rsidRDefault="00000000" w:rsidP="00F52211">
          <w:pPr>
            <w:pStyle w:val="Titlucuprins"/>
            <w:spacing w:line="360" w:lineRule="auto"/>
            <w:jc w:val="center"/>
            <w:rPr>
              <w:rFonts w:ascii="Arial" w:hAnsi="Arial" w:cs="Arial"/>
              <w:b/>
              <w:bCs/>
              <w:color w:val="auto"/>
              <w:sz w:val="22"/>
              <w:szCs w:val="22"/>
            </w:rPr>
          </w:pPr>
          <w:r w:rsidRPr="00F4200D">
            <w:rPr>
              <w:rFonts w:ascii="Arial" w:hAnsi="Arial" w:cs="Arial"/>
              <w:b/>
              <w:bCs/>
              <w:color w:val="auto"/>
              <w:sz w:val="22"/>
              <w:szCs w:val="22"/>
            </w:rPr>
            <w:t>Table of Contents</w:t>
          </w:r>
        </w:p>
        <w:p w14:paraId="2866E7F5" w14:textId="77777777" w:rsidR="00F52211" w:rsidRPr="00F4200D" w:rsidRDefault="00000000" w:rsidP="00F52211">
          <w:pPr>
            <w:pStyle w:val="Cuprins1"/>
            <w:tabs>
              <w:tab w:val="right" w:leader="dot" w:pos="9350"/>
            </w:tabs>
            <w:rPr>
              <w:rFonts w:asciiTheme="minorHAnsi" w:eastAsiaTheme="minorEastAsia" w:hAnsiTheme="minorHAnsi" w:cstheme="minorBidi"/>
              <w:noProof/>
              <w:kern w:val="2"/>
              <w:lang w:val="en-IN"/>
              <w14:ligatures w14:val="standardContextual"/>
            </w:rPr>
          </w:pPr>
          <w:r w:rsidRPr="00F4200D">
            <w:fldChar w:fldCharType="begin"/>
          </w:r>
          <w:r w:rsidRPr="00F4200D">
            <w:instrText xml:space="preserve"> TOC \o "1-3" \h \z \u </w:instrText>
          </w:r>
          <w:r w:rsidRPr="00F4200D">
            <w:fldChar w:fldCharType="separate"/>
          </w:r>
          <w:hyperlink w:anchor="_Toc222605882" w:history="1">
            <w:r w:rsidR="00F52211" w:rsidRPr="00F4200D">
              <w:rPr>
                <w:rStyle w:val="Hyperlink"/>
                <w:noProof/>
              </w:rPr>
              <w:t>1. Introduction</w:t>
            </w:r>
            <w:r w:rsidR="00F52211" w:rsidRPr="00F4200D">
              <w:rPr>
                <w:noProof/>
                <w:webHidden/>
              </w:rPr>
              <w:tab/>
            </w:r>
            <w:r w:rsidR="00F52211" w:rsidRPr="00F4200D">
              <w:rPr>
                <w:noProof/>
                <w:webHidden/>
              </w:rPr>
              <w:fldChar w:fldCharType="begin"/>
            </w:r>
            <w:r w:rsidR="00F52211" w:rsidRPr="00F4200D">
              <w:rPr>
                <w:noProof/>
                <w:webHidden/>
              </w:rPr>
              <w:instrText xml:space="preserve"> PAGEREF _Toc222605882 \h </w:instrText>
            </w:r>
            <w:r w:rsidR="00F52211" w:rsidRPr="00F4200D">
              <w:rPr>
                <w:noProof/>
                <w:webHidden/>
              </w:rPr>
            </w:r>
            <w:r w:rsidR="00F52211" w:rsidRPr="00F4200D">
              <w:rPr>
                <w:noProof/>
                <w:webHidden/>
              </w:rPr>
              <w:fldChar w:fldCharType="separate"/>
            </w:r>
            <w:r w:rsidR="00F52211" w:rsidRPr="00F4200D">
              <w:rPr>
                <w:noProof/>
                <w:webHidden/>
              </w:rPr>
              <w:t>4</w:t>
            </w:r>
            <w:r w:rsidR="00F52211" w:rsidRPr="00F4200D">
              <w:rPr>
                <w:noProof/>
                <w:webHidden/>
              </w:rPr>
              <w:fldChar w:fldCharType="end"/>
            </w:r>
          </w:hyperlink>
        </w:p>
        <w:p w14:paraId="0EDD7A7F" w14:textId="77777777" w:rsidR="00F52211" w:rsidRPr="00F4200D" w:rsidRDefault="00F52211" w:rsidP="00F52211">
          <w:pPr>
            <w:pStyle w:val="Cuprins1"/>
            <w:tabs>
              <w:tab w:val="right" w:leader="dot" w:pos="9350"/>
            </w:tabs>
            <w:rPr>
              <w:rFonts w:asciiTheme="minorHAnsi" w:eastAsiaTheme="minorEastAsia" w:hAnsiTheme="minorHAnsi" w:cstheme="minorBidi"/>
              <w:noProof/>
              <w:kern w:val="2"/>
              <w:lang w:val="en-IN"/>
              <w14:ligatures w14:val="standardContextual"/>
            </w:rPr>
          </w:pPr>
          <w:hyperlink w:anchor="_Toc222605883" w:history="1">
            <w:r w:rsidRPr="00F4200D">
              <w:rPr>
                <w:rStyle w:val="Hyperlink"/>
                <w:noProof/>
              </w:rPr>
              <w:t>2. Main Body</w:t>
            </w:r>
            <w:r w:rsidRPr="00F4200D">
              <w:rPr>
                <w:noProof/>
                <w:webHidden/>
              </w:rPr>
              <w:tab/>
            </w:r>
            <w:r w:rsidRPr="00F4200D">
              <w:rPr>
                <w:noProof/>
                <w:webHidden/>
              </w:rPr>
              <w:fldChar w:fldCharType="begin"/>
            </w:r>
            <w:r w:rsidRPr="00F4200D">
              <w:rPr>
                <w:noProof/>
                <w:webHidden/>
              </w:rPr>
              <w:instrText xml:space="preserve"> PAGEREF _Toc222605883 \h </w:instrText>
            </w:r>
            <w:r w:rsidRPr="00F4200D">
              <w:rPr>
                <w:noProof/>
                <w:webHidden/>
              </w:rPr>
            </w:r>
            <w:r w:rsidRPr="00F4200D">
              <w:rPr>
                <w:noProof/>
                <w:webHidden/>
              </w:rPr>
              <w:fldChar w:fldCharType="separate"/>
            </w:r>
            <w:r w:rsidRPr="00F4200D">
              <w:rPr>
                <w:noProof/>
                <w:webHidden/>
              </w:rPr>
              <w:t>5</w:t>
            </w:r>
            <w:r w:rsidRPr="00F4200D">
              <w:rPr>
                <w:noProof/>
                <w:webHidden/>
              </w:rPr>
              <w:fldChar w:fldCharType="end"/>
            </w:r>
          </w:hyperlink>
        </w:p>
        <w:p w14:paraId="61B12177" w14:textId="77777777" w:rsidR="00F52211" w:rsidRPr="00F4200D" w:rsidRDefault="00F52211" w:rsidP="00F52211">
          <w:pPr>
            <w:pStyle w:val="Cuprins2"/>
            <w:tabs>
              <w:tab w:val="right" w:leader="dot" w:pos="9350"/>
            </w:tabs>
            <w:rPr>
              <w:rFonts w:asciiTheme="minorHAnsi" w:eastAsiaTheme="minorEastAsia" w:hAnsiTheme="minorHAnsi" w:cstheme="minorBidi"/>
              <w:noProof/>
              <w:kern w:val="2"/>
              <w:lang w:val="en-IN"/>
              <w14:ligatures w14:val="standardContextual"/>
            </w:rPr>
          </w:pPr>
          <w:hyperlink w:anchor="_Toc222605884" w:history="1">
            <w:r w:rsidRPr="00F4200D">
              <w:rPr>
                <w:rStyle w:val="Hyperlink"/>
                <w:noProof/>
              </w:rPr>
              <w:t>2.1 Approaches to Measuring and Monitoring Dementia</w:t>
            </w:r>
            <w:r w:rsidRPr="00F4200D">
              <w:rPr>
                <w:noProof/>
                <w:webHidden/>
              </w:rPr>
              <w:tab/>
            </w:r>
            <w:r w:rsidRPr="00F4200D">
              <w:rPr>
                <w:noProof/>
                <w:webHidden/>
              </w:rPr>
              <w:fldChar w:fldCharType="begin"/>
            </w:r>
            <w:r w:rsidRPr="00F4200D">
              <w:rPr>
                <w:noProof/>
                <w:webHidden/>
              </w:rPr>
              <w:instrText xml:space="preserve"> PAGEREF _Toc222605884 \h </w:instrText>
            </w:r>
            <w:r w:rsidRPr="00F4200D">
              <w:rPr>
                <w:noProof/>
                <w:webHidden/>
              </w:rPr>
            </w:r>
            <w:r w:rsidRPr="00F4200D">
              <w:rPr>
                <w:noProof/>
                <w:webHidden/>
              </w:rPr>
              <w:fldChar w:fldCharType="separate"/>
            </w:r>
            <w:r w:rsidRPr="00F4200D">
              <w:rPr>
                <w:noProof/>
                <w:webHidden/>
              </w:rPr>
              <w:t>5</w:t>
            </w:r>
            <w:r w:rsidRPr="00F4200D">
              <w:rPr>
                <w:noProof/>
                <w:webHidden/>
              </w:rPr>
              <w:fldChar w:fldCharType="end"/>
            </w:r>
          </w:hyperlink>
        </w:p>
        <w:p w14:paraId="635DCF6F" w14:textId="77777777" w:rsidR="00F52211" w:rsidRPr="00F4200D" w:rsidRDefault="00F52211" w:rsidP="00F52211">
          <w:pPr>
            <w:pStyle w:val="Cuprins2"/>
            <w:tabs>
              <w:tab w:val="right" w:leader="dot" w:pos="9350"/>
            </w:tabs>
            <w:rPr>
              <w:rFonts w:asciiTheme="minorHAnsi" w:eastAsiaTheme="minorEastAsia" w:hAnsiTheme="minorHAnsi" w:cstheme="minorBidi"/>
              <w:noProof/>
              <w:kern w:val="2"/>
              <w:lang w:val="en-IN"/>
              <w14:ligatures w14:val="standardContextual"/>
            </w:rPr>
          </w:pPr>
          <w:hyperlink w:anchor="_Toc222605885" w:history="1">
            <w:r w:rsidRPr="00F4200D">
              <w:rPr>
                <w:rStyle w:val="Hyperlink"/>
                <w:noProof/>
              </w:rPr>
              <w:t>2.2 Control and Prevention Strategies</w:t>
            </w:r>
            <w:r w:rsidRPr="00F4200D">
              <w:rPr>
                <w:noProof/>
                <w:webHidden/>
              </w:rPr>
              <w:tab/>
            </w:r>
            <w:r w:rsidRPr="00F4200D">
              <w:rPr>
                <w:noProof/>
                <w:webHidden/>
              </w:rPr>
              <w:fldChar w:fldCharType="begin"/>
            </w:r>
            <w:r w:rsidRPr="00F4200D">
              <w:rPr>
                <w:noProof/>
                <w:webHidden/>
              </w:rPr>
              <w:instrText xml:space="preserve"> PAGEREF _Toc222605885 \h </w:instrText>
            </w:r>
            <w:r w:rsidRPr="00F4200D">
              <w:rPr>
                <w:noProof/>
                <w:webHidden/>
              </w:rPr>
            </w:r>
            <w:r w:rsidRPr="00F4200D">
              <w:rPr>
                <w:noProof/>
                <w:webHidden/>
              </w:rPr>
              <w:fldChar w:fldCharType="separate"/>
            </w:r>
            <w:r w:rsidRPr="00F4200D">
              <w:rPr>
                <w:noProof/>
                <w:webHidden/>
              </w:rPr>
              <w:t>6</w:t>
            </w:r>
            <w:r w:rsidRPr="00F4200D">
              <w:rPr>
                <w:noProof/>
                <w:webHidden/>
              </w:rPr>
              <w:fldChar w:fldCharType="end"/>
            </w:r>
          </w:hyperlink>
        </w:p>
        <w:p w14:paraId="20EBC32C" w14:textId="77777777" w:rsidR="00F52211" w:rsidRPr="00F4200D" w:rsidRDefault="00F52211" w:rsidP="00F52211">
          <w:pPr>
            <w:pStyle w:val="Cuprins2"/>
            <w:tabs>
              <w:tab w:val="right" w:leader="dot" w:pos="9350"/>
            </w:tabs>
            <w:rPr>
              <w:rFonts w:asciiTheme="minorHAnsi" w:eastAsiaTheme="minorEastAsia" w:hAnsiTheme="minorHAnsi" w:cstheme="minorBidi"/>
              <w:noProof/>
              <w:kern w:val="2"/>
              <w:lang w:val="en-IN"/>
              <w14:ligatures w14:val="standardContextual"/>
            </w:rPr>
          </w:pPr>
          <w:hyperlink w:anchor="_Toc222605886" w:history="1">
            <w:r w:rsidRPr="00F4200D">
              <w:rPr>
                <w:rStyle w:val="Hyperlink"/>
                <w:noProof/>
              </w:rPr>
              <w:t>2.3 Consequences for Individuals and Communities</w:t>
            </w:r>
            <w:r w:rsidRPr="00F4200D">
              <w:rPr>
                <w:noProof/>
                <w:webHidden/>
              </w:rPr>
              <w:tab/>
            </w:r>
            <w:r w:rsidRPr="00F4200D">
              <w:rPr>
                <w:noProof/>
                <w:webHidden/>
              </w:rPr>
              <w:fldChar w:fldCharType="begin"/>
            </w:r>
            <w:r w:rsidRPr="00F4200D">
              <w:rPr>
                <w:noProof/>
                <w:webHidden/>
              </w:rPr>
              <w:instrText xml:space="preserve"> PAGEREF _Toc222605886 \h </w:instrText>
            </w:r>
            <w:r w:rsidRPr="00F4200D">
              <w:rPr>
                <w:noProof/>
                <w:webHidden/>
              </w:rPr>
            </w:r>
            <w:r w:rsidRPr="00F4200D">
              <w:rPr>
                <w:noProof/>
                <w:webHidden/>
              </w:rPr>
              <w:fldChar w:fldCharType="separate"/>
            </w:r>
            <w:r w:rsidRPr="00F4200D">
              <w:rPr>
                <w:noProof/>
                <w:webHidden/>
              </w:rPr>
              <w:t>7</w:t>
            </w:r>
            <w:r w:rsidRPr="00F4200D">
              <w:rPr>
                <w:noProof/>
                <w:webHidden/>
              </w:rPr>
              <w:fldChar w:fldCharType="end"/>
            </w:r>
          </w:hyperlink>
        </w:p>
        <w:p w14:paraId="0FAB2D67" w14:textId="77777777" w:rsidR="00F52211" w:rsidRPr="00F4200D" w:rsidRDefault="00F52211" w:rsidP="00F52211">
          <w:pPr>
            <w:pStyle w:val="Cuprins2"/>
            <w:tabs>
              <w:tab w:val="right" w:leader="dot" w:pos="9350"/>
            </w:tabs>
            <w:rPr>
              <w:rFonts w:asciiTheme="minorHAnsi" w:eastAsiaTheme="minorEastAsia" w:hAnsiTheme="minorHAnsi" w:cstheme="minorBidi"/>
              <w:noProof/>
              <w:kern w:val="2"/>
              <w:lang w:val="en-IN"/>
              <w14:ligatures w14:val="standardContextual"/>
            </w:rPr>
          </w:pPr>
          <w:hyperlink w:anchor="_Toc222605887" w:history="1">
            <w:r w:rsidRPr="00F4200D">
              <w:rPr>
                <w:rStyle w:val="Hyperlink"/>
                <w:noProof/>
              </w:rPr>
              <w:t>2.4 Health and Social Care Support Services</w:t>
            </w:r>
            <w:r w:rsidRPr="00F4200D">
              <w:rPr>
                <w:noProof/>
                <w:webHidden/>
              </w:rPr>
              <w:tab/>
            </w:r>
            <w:r w:rsidRPr="00F4200D">
              <w:rPr>
                <w:noProof/>
                <w:webHidden/>
              </w:rPr>
              <w:fldChar w:fldCharType="begin"/>
            </w:r>
            <w:r w:rsidRPr="00F4200D">
              <w:rPr>
                <w:noProof/>
                <w:webHidden/>
              </w:rPr>
              <w:instrText xml:space="preserve"> PAGEREF _Toc222605887 \h </w:instrText>
            </w:r>
            <w:r w:rsidRPr="00F4200D">
              <w:rPr>
                <w:noProof/>
                <w:webHidden/>
              </w:rPr>
            </w:r>
            <w:r w:rsidRPr="00F4200D">
              <w:rPr>
                <w:noProof/>
                <w:webHidden/>
              </w:rPr>
              <w:fldChar w:fldCharType="separate"/>
            </w:r>
            <w:r w:rsidRPr="00F4200D">
              <w:rPr>
                <w:noProof/>
                <w:webHidden/>
              </w:rPr>
              <w:t>8</w:t>
            </w:r>
            <w:r w:rsidRPr="00F4200D">
              <w:rPr>
                <w:noProof/>
                <w:webHidden/>
              </w:rPr>
              <w:fldChar w:fldCharType="end"/>
            </w:r>
          </w:hyperlink>
        </w:p>
        <w:p w14:paraId="34F987A9" w14:textId="77777777" w:rsidR="00F52211" w:rsidRPr="00F4200D" w:rsidRDefault="00F52211" w:rsidP="00F52211">
          <w:pPr>
            <w:pStyle w:val="Cuprins1"/>
            <w:tabs>
              <w:tab w:val="right" w:leader="dot" w:pos="9350"/>
            </w:tabs>
            <w:rPr>
              <w:rFonts w:asciiTheme="minorHAnsi" w:eastAsiaTheme="minorEastAsia" w:hAnsiTheme="minorHAnsi" w:cstheme="minorBidi"/>
              <w:noProof/>
              <w:kern w:val="2"/>
              <w:lang w:val="en-IN"/>
              <w14:ligatures w14:val="standardContextual"/>
            </w:rPr>
          </w:pPr>
          <w:hyperlink w:anchor="_Toc222605888" w:history="1">
            <w:r w:rsidRPr="00F4200D">
              <w:rPr>
                <w:rStyle w:val="Hyperlink"/>
                <w:noProof/>
              </w:rPr>
              <w:t>3. Conclusion</w:t>
            </w:r>
            <w:r w:rsidRPr="00F4200D">
              <w:rPr>
                <w:noProof/>
                <w:webHidden/>
              </w:rPr>
              <w:tab/>
            </w:r>
            <w:r w:rsidRPr="00F4200D">
              <w:rPr>
                <w:noProof/>
                <w:webHidden/>
              </w:rPr>
              <w:fldChar w:fldCharType="begin"/>
            </w:r>
            <w:r w:rsidRPr="00F4200D">
              <w:rPr>
                <w:noProof/>
                <w:webHidden/>
              </w:rPr>
              <w:instrText xml:space="preserve"> PAGEREF _Toc222605888 \h </w:instrText>
            </w:r>
            <w:r w:rsidRPr="00F4200D">
              <w:rPr>
                <w:noProof/>
                <w:webHidden/>
              </w:rPr>
            </w:r>
            <w:r w:rsidRPr="00F4200D">
              <w:rPr>
                <w:noProof/>
                <w:webHidden/>
              </w:rPr>
              <w:fldChar w:fldCharType="separate"/>
            </w:r>
            <w:r w:rsidRPr="00F4200D">
              <w:rPr>
                <w:noProof/>
                <w:webHidden/>
              </w:rPr>
              <w:t>9</w:t>
            </w:r>
            <w:r w:rsidRPr="00F4200D">
              <w:rPr>
                <w:noProof/>
                <w:webHidden/>
              </w:rPr>
              <w:fldChar w:fldCharType="end"/>
            </w:r>
          </w:hyperlink>
        </w:p>
        <w:p w14:paraId="63D61D8F" w14:textId="77777777" w:rsidR="00F52211" w:rsidRPr="00F4200D" w:rsidRDefault="00F52211" w:rsidP="00F52211">
          <w:pPr>
            <w:pStyle w:val="Cuprins1"/>
            <w:tabs>
              <w:tab w:val="right" w:leader="dot" w:pos="9350"/>
            </w:tabs>
            <w:rPr>
              <w:rFonts w:asciiTheme="minorHAnsi" w:eastAsiaTheme="minorEastAsia" w:hAnsiTheme="minorHAnsi" w:cstheme="minorBidi"/>
              <w:noProof/>
              <w:kern w:val="2"/>
              <w:lang w:val="en-IN"/>
              <w14:ligatures w14:val="standardContextual"/>
            </w:rPr>
          </w:pPr>
          <w:hyperlink w:anchor="_Toc222605889" w:history="1">
            <w:r w:rsidRPr="00F4200D">
              <w:rPr>
                <w:rStyle w:val="Hyperlink"/>
                <w:noProof/>
              </w:rPr>
              <w:t>References</w:t>
            </w:r>
            <w:r w:rsidRPr="00F4200D">
              <w:rPr>
                <w:noProof/>
                <w:webHidden/>
              </w:rPr>
              <w:tab/>
            </w:r>
            <w:r w:rsidRPr="00F4200D">
              <w:rPr>
                <w:noProof/>
                <w:webHidden/>
              </w:rPr>
              <w:fldChar w:fldCharType="begin"/>
            </w:r>
            <w:r w:rsidRPr="00F4200D">
              <w:rPr>
                <w:noProof/>
                <w:webHidden/>
              </w:rPr>
              <w:instrText xml:space="preserve"> PAGEREF _Toc222605889 \h </w:instrText>
            </w:r>
            <w:r w:rsidRPr="00F4200D">
              <w:rPr>
                <w:noProof/>
                <w:webHidden/>
              </w:rPr>
            </w:r>
            <w:r w:rsidRPr="00F4200D">
              <w:rPr>
                <w:noProof/>
                <w:webHidden/>
              </w:rPr>
              <w:fldChar w:fldCharType="separate"/>
            </w:r>
            <w:r w:rsidRPr="00F4200D">
              <w:rPr>
                <w:noProof/>
                <w:webHidden/>
              </w:rPr>
              <w:t>10</w:t>
            </w:r>
            <w:r w:rsidRPr="00F4200D">
              <w:rPr>
                <w:noProof/>
                <w:webHidden/>
              </w:rPr>
              <w:fldChar w:fldCharType="end"/>
            </w:r>
          </w:hyperlink>
        </w:p>
        <w:p w14:paraId="2838D583" w14:textId="77777777" w:rsidR="00F52211" w:rsidRPr="00F4200D" w:rsidRDefault="00000000" w:rsidP="00F52211">
          <w:r w:rsidRPr="00F4200D">
            <w:rPr>
              <w:b/>
              <w:bCs/>
              <w:noProof/>
            </w:rPr>
            <w:fldChar w:fldCharType="end"/>
          </w:r>
        </w:p>
      </w:sdtContent>
    </w:sdt>
    <w:p w14:paraId="2763BEE9" w14:textId="77777777" w:rsidR="000D5AEF" w:rsidRPr="00F4200D" w:rsidRDefault="00000000">
      <w:pPr>
        <w:jc w:val="center"/>
        <w:rPr>
          <w:b/>
          <w:bCs/>
        </w:rPr>
      </w:pPr>
      <w:r w:rsidRPr="00F4200D">
        <w:br w:type="page"/>
      </w:r>
    </w:p>
    <w:p w14:paraId="389FAC97" w14:textId="77777777" w:rsidR="000D5AEF" w:rsidRPr="00F4200D" w:rsidRDefault="00000000">
      <w:pPr>
        <w:jc w:val="center"/>
        <w:rPr>
          <w:b/>
          <w:bCs/>
        </w:rPr>
      </w:pPr>
      <w:r w:rsidRPr="00F4200D">
        <w:rPr>
          <w:b/>
          <w:bCs/>
        </w:rPr>
        <w:lastRenderedPageBreak/>
        <w:t xml:space="preserve">Executive summary </w:t>
      </w:r>
    </w:p>
    <w:p w14:paraId="60ACDC51" w14:textId="77777777" w:rsidR="000D5AEF" w:rsidRPr="00F4200D" w:rsidRDefault="00000000">
      <w:pPr>
        <w:spacing w:before="240" w:after="240"/>
      </w:pPr>
      <w:r w:rsidRPr="00F4200D">
        <w:t xml:space="preserve">This study explores the characteristics and consequences related to Dementia. This is a progressive neurological condition that affects memory, cognition, and behaviour globally. The World Health Organisation defines dementia in terms of cognitive decline over normal ageing processes. Internationally, millions of people living with dementia are suffering, including significant numbers within the United Kingdom. Moreover, reliable measurement relies on epidemiological studies along with national databases, as well as several clinical records. Organisations like the Office for National Statistics deliver essential mortality data along with prevalence data. Technological monitoring tools for detecting dementia </w:t>
      </w:r>
      <w:r w:rsidR="00F4200D" w:rsidRPr="00F4200D">
        <w:t>includes</w:t>
      </w:r>
      <w:r w:rsidRPr="00F4200D">
        <w:t xml:space="preserve"> wearable devices. These contribute to enhancing accuracy in continuous behavioural assessment. Effective control strategies prefer prevention along with early diagnosis, as well as integrated community interventions. Diagnosing several modifiable risk factors, such as hypertension and smoking, can reduce incidence rates of dementia. In addition, multidisciplinary memory clinics contribute to supporting accurate diagnosis as well as custom-made care planning. Furthermore, dementia creates substantial monetary, emotional, and social pressures on families. Health disparities, along with cultural barriers, can delay diagnosis and service access. </w:t>
      </w:r>
      <w:r w:rsidR="00F4200D" w:rsidRPr="00F4200D">
        <w:t>Moreover, integrated</w:t>
      </w:r>
      <w:r w:rsidRPr="00F4200D">
        <w:t xml:space="preserve"> health and social care systems remain crucial for viable provision. Person-centred and culturally sensitive services considerably improve the </w:t>
      </w:r>
      <w:r w:rsidR="00F4200D" w:rsidRPr="00F4200D">
        <w:t>quality-of-life</w:t>
      </w:r>
      <w:r w:rsidRPr="00F4200D">
        <w:t xml:space="preserve"> consequences.</w:t>
      </w:r>
    </w:p>
    <w:p w14:paraId="628D09DB" w14:textId="77777777" w:rsidR="000D5AEF" w:rsidRPr="00F4200D" w:rsidRDefault="000D5AEF"/>
    <w:p w14:paraId="57C00F1E" w14:textId="77777777" w:rsidR="000D5AEF" w:rsidRPr="00F4200D" w:rsidRDefault="000D5AEF">
      <w:pPr>
        <w:rPr>
          <w:b/>
          <w:bCs/>
        </w:rPr>
      </w:pPr>
    </w:p>
    <w:p w14:paraId="7E10D5B3" w14:textId="77777777" w:rsidR="000D5AEF" w:rsidRPr="00F4200D" w:rsidRDefault="00000000">
      <w:pPr>
        <w:rPr>
          <w:b/>
          <w:bCs/>
        </w:rPr>
      </w:pPr>
      <w:r w:rsidRPr="00F4200D">
        <w:br w:type="page"/>
      </w:r>
    </w:p>
    <w:p w14:paraId="66E33221" w14:textId="77777777" w:rsidR="000D5AEF" w:rsidRPr="00F4200D" w:rsidRDefault="00000000">
      <w:pPr>
        <w:pStyle w:val="Titlu1"/>
        <w:rPr>
          <w:sz w:val="22"/>
          <w:szCs w:val="22"/>
          <w:highlight w:val="yellow"/>
        </w:rPr>
      </w:pPr>
      <w:bookmarkStart w:id="0" w:name="_4yizg4eah5vp" w:colFirst="0" w:colLast="0"/>
      <w:bookmarkStart w:id="1" w:name="_Toc222605882"/>
      <w:bookmarkEnd w:id="0"/>
      <w:r w:rsidRPr="00F4200D">
        <w:rPr>
          <w:sz w:val="22"/>
          <w:szCs w:val="22"/>
        </w:rPr>
        <w:lastRenderedPageBreak/>
        <w:t>1. Introduction</w:t>
      </w:r>
      <w:bookmarkEnd w:id="1"/>
    </w:p>
    <w:p w14:paraId="350710CD" w14:textId="77777777" w:rsidR="000D5AEF" w:rsidRPr="00F4200D" w:rsidRDefault="00000000">
      <w:r w:rsidRPr="00F4200D">
        <w:t xml:space="preserve">Dementia is recognised as a progressive neurological condition that affects human memory, thinking ability, and behaviour. This represents a significant image of public health challenges across the world. The World Health Organisation (WHO) defines dementia as a crucial syndrome. This syndrome causes weakening of cognitive abilities and memory efficiency beyond normal ageing (WHO, 2025). Thus, dementia interferes considerably with the independence and daily functioning of individuals. </w:t>
      </w:r>
    </w:p>
    <w:p w14:paraId="6B1C6921" w14:textId="77777777" w:rsidR="000D5AEF" w:rsidRPr="00F4200D" w:rsidRDefault="00000000">
      <w:r w:rsidRPr="00F4200D">
        <w:t xml:space="preserve">Common signs and symptoms of dementia include memory loss, changes in personality, confusion, impaired judgment, slower thinking speed, and a lowering of mental sharpness and quickness. Additional issues related to this disease are language issues, including the use of incorrect words by an individual or facing trouble while speaking (NHS, 2023). Moreover, mood swings, difficulties in movement, and performing daily activities are common symptoms of this disease. </w:t>
      </w:r>
    </w:p>
    <w:p w14:paraId="3BF9FCF7" w14:textId="77777777" w:rsidR="000D5AEF" w:rsidRPr="00F4200D" w:rsidRDefault="00000000">
      <w:pPr>
        <w:jc w:val="center"/>
      </w:pPr>
      <w:r w:rsidRPr="00F4200D">
        <w:rPr>
          <w:noProof/>
        </w:rPr>
        <w:drawing>
          <wp:inline distT="114300" distB="114300" distL="114300" distR="114300" wp14:anchorId="09933314" wp14:editId="6F1B3C23">
            <wp:extent cx="5943600" cy="2311400"/>
            <wp:effectExtent l="25400" t="25400" r="25400" b="25400"/>
            <wp:docPr id="3" name="image10.png"/>
            <wp:cNvGraphicFramePr/>
            <a:graphic xmlns:a="http://schemas.openxmlformats.org/drawingml/2006/main">
              <a:graphicData uri="http://schemas.openxmlformats.org/drawingml/2006/picture">
                <pic:pic xmlns:pic="http://schemas.openxmlformats.org/drawingml/2006/picture">
                  <pic:nvPicPr>
                    <pic:cNvPr id="3" name="image10.png"/>
                    <pic:cNvPicPr/>
                  </pic:nvPicPr>
                  <pic:blipFill>
                    <a:blip r:embed="rId8"/>
                    <a:stretch>
                      <a:fillRect/>
                    </a:stretch>
                  </pic:blipFill>
                  <pic:spPr>
                    <a:xfrm>
                      <a:off x="0" y="0"/>
                      <a:ext cx="5943600" cy="2311400"/>
                    </a:xfrm>
                    <a:prstGeom prst="rect">
                      <a:avLst/>
                    </a:prstGeom>
                    <a:ln w="25400">
                      <a:solidFill>
                        <a:srgbClr val="000000"/>
                      </a:solidFill>
                      <a:prstDash val="solid"/>
                    </a:ln>
                  </pic:spPr>
                </pic:pic>
              </a:graphicData>
            </a:graphic>
          </wp:inline>
        </w:drawing>
      </w:r>
    </w:p>
    <w:p w14:paraId="006A71D1" w14:textId="77777777" w:rsidR="000D5AEF" w:rsidRPr="00F4200D" w:rsidRDefault="00000000">
      <w:pPr>
        <w:jc w:val="center"/>
        <w:rPr>
          <w:b/>
          <w:bCs/>
        </w:rPr>
      </w:pPr>
      <w:r w:rsidRPr="00F4200D">
        <w:rPr>
          <w:b/>
          <w:bCs/>
        </w:rPr>
        <w:t>Figure 1: UK Statistics for Dementia causing death in England and Wales</w:t>
      </w:r>
    </w:p>
    <w:p w14:paraId="0E9D097D" w14:textId="77777777" w:rsidR="000D5AEF" w:rsidRPr="00F4200D" w:rsidRDefault="00000000">
      <w:pPr>
        <w:jc w:val="center"/>
      </w:pPr>
      <w:r w:rsidRPr="00F4200D">
        <w:t>(Source: Goodier &amp; Boyd, 2024)</w:t>
      </w:r>
    </w:p>
    <w:p w14:paraId="3981BA7B" w14:textId="77777777" w:rsidR="000D5AEF" w:rsidRPr="00F4200D" w:rsidRDefault="00000000">
      <w:r w:rsidRPr="00F4200D">
        <w:t xml:space="preserve">Almost 55 million people are currently suffering from dementia across the world (Alzheimer's, 2020). Furthermore, approximately 10 million new cases of dementia are reported per year across the world. According to the WHO report, there are nearly 10 million new reported cases per year. The Alzheimer's Disease International projects that cases may reach up to 139 million by 2050. This contributes to demonstrating escalating worldwide severity. In the UK context, almost 9,00,000 people are suffering from dementia (Goodier &amp; Boyd, 2024). Moreover, their prevalence increases significantly among people of more than sixty-five years of age. As a consequence of this, dementia causes significant societal, emotional, and financial burdens. Therefore, it is </w:t>
      </w:r>
      <w:r w:rsidRPr="00F4200D">
        <w:lastRenderedPageBreak/>
        <w:t xml:space="preserve">essential to understand the measurement and control strategies for dementia along with service provision.           </w:t>
      </w:r>
    </w:p>
    <w:p w14:paraId="40DBDD42" w14:textId="77777777" w:rsidR="000D5AEF" w:rsidRPr="00F4200D" w:rsidRDefault="00000000">
      <w:pPr>
        <w:pStyle w:val="Titlu1"/>
        <w:rPr>
          <w:sz w:val="22"/>
          <w:szCs w:val="22"/>
        </w:rPr>
      </w:pPr>
      <w:bookmarkStart w:id="2" w:name="_s3z7fc25vpu1" w:colFirst="0" w:colLast="0"/>
      <w:bookmarkStart w:id="3" w:name="_Toc222605883"/>
      <w:bookmarkEnd w:id="2"/>
      <w:r w:rsidRPr="00F4200D">
        <w:rPr>
          <w:sz w:val="22"/>
          <w:szCs w:val="22"/>
        </w:rPr>
        <w:t>2. Main Body</w:t>
      </w:r>
      <w:bookmarkEnd w:id="3"/>
      <w:r w:rsidRPr="00F4200D">
        <w:rPr>
          <w:sz w:val="22"/>
          <w:szCs w:val="22"/>
        </w:rPr>
        <w:t xml:space="preserve"> </w:t>
      </w:r>
    </w:p>
    <w:p w14:paraId="4DC40398" w14:textId="77777777" w:rsidR="000D5AEF" w:rsidRPr="00F4200D" w:rsidRDefault="00000000">
      <w:pPr>
        <w:pStyle w:val="Titlu2"/>
        <w:rPr>
          <w:highlight w:val="green"/>
        </w:rPr>
      </w:pPr>
      <w:bookmarkStart w:id="4" w:name="_bpt6yukkhkzp" w:colFirst="0" w:colLast="0"/>
      <w:bookmarkStart w:id="5" w:name="_Toc222605884"/>
      <w:bookmarkEnd w:id="4"/>
      <w:r w:rsidRPr="00F4200D">
        <w:t>2.1 Approaches to Measuring and Monitoring Dementia</w:t>
      </w:r>
      <w:bookmarkEnd w:id="5"/>
    </w:p>
    <w:p w14:paraId="73CAB728" w14:textId="77777777" w:rsidR="000D5AEF" w:rsidRPr="00F4200D" w:rsidRDefault="00000000">
      <w:r w:rsidRPr="00F4200D">
        <w:t xml:space="preserve">Measuring dementia prevalence needs several systematic data collections across populations. Thus, epidemiological studies play a crucial role in delivering valuable quantitative prevalence along with estimates of incidence. Moreover, nationwide surveys explore cognitive impairment, followed by the utilisation of validated instruments for screening. For instance, the Office for National Statistics gathers information related to mortality as well as prevalence regarding dementia (Garland et al., 2025). Consequently, the policymakers gain trustworthy evidence for resource allocation decisions. Primary care records further contribute necessary diagnostic data. In addition, several reliable and credible data regarding the global and UK-based statistics are gathered from authentic websites such as the official websites of the WHO, NHS, and news portals like The Guardian. Technological approaches to monitoring dementia highlight continuous data collection and objectives. For example, wearable activity trackers can capture real-time inflation about sleep, movement, and psychological patterns of the patients. Additionally, Cognitive Stimulation Therapy (CST) contains group sessions led by a facilitator (Favela et al. 2020). This aims to enhance memory in addition to communication, as well as overall cognitive functioning in individuals with dementia. A therapeutic session of CST is composed of a set of cognitive activities as well as reminiscence. These include several multi-sensory simulations, and social contact with an aim to actively stimulate PwD mentally,     </w:t>
      </w:r>
    </w:p>
    <w:p w14:paraId="42E16AAC" w14:textId="77777777" w:rsidR="000D5AEF" w:rsidRPr="00F4200D" w:rsidRDefault="00000000">
      <w:pPr>
        <w:jc w:val="center"/>
      </w:pPr>
      <w:r w:rsidRPr="00F4200D">
        <w:rPr>
          <w:noProof/>
          <w:color w:val="1F1F1F"/>
        </w:rPr>
        <w:drawing>
          <wp:inline distT="114300" distB="114300" distL="114300" distR="114300" wp14:anchorId="02DF0710" wp14:editId="411EA1BE">
            <wp:extent cx="5772150" cy="1790700"/>
            <wp:effectExtent l="25400" t="25400" r="25400" b="25400"/>
            <wp:docPr id="11" name="image11.jpg"/>
            <wp:cNvGraphicFramePr/>
            <a:graphic xmlns:a="http://schemas.openxmlformats.org/drawingml/2006/main">
              <a:graphicData uri="http://schemas.openxmlformats.org/drawingml/2006/picture">
                <pic:pic xmlns:pic="http://schemas.openxmlformats.org/drawingml/2006/picture">
                  <pic:nvPicPr>
                    <pic:cNvPr id="11" name="image11.jpg"/>
                    <pic:cNvPicPr/>
                  </pic:nvPicPr>
                  <pic:blipFill>
                    <a:blip r:embed="rId9"/>
                    <a:stretch>
                      <a:fillRect/>
                    </a:stretch>
                  </pic:blipFill>
                  <pic:spPr>
                    <a:xfrm>
                      <a:off x="0" y="0"/>
                      <a:ext cx="5772150" cy="1790700"/>
                    </a:xfrm>
                    <a:prstGeom prst="rect">
                      <a:avLst/>
                    </a:prstGeom>
                    <a:ln w="25400">
                      <a:solidFill>
                        <a:srgbClr val="000000"/>
                      </a:solidFill>
                      <a:prstDash val="solid"/>
                    </a:ln>
                  </pic:spPr>
                </pic:pic>
              </a:graphicData>
            </a:graphic>
          </wp:inline>
        </w:drawing>
      </w:r>
      <w:r w:rsidRPr="00F4200D">
        <w:t xml:space="preserve"> </w:t>
      </w:r>
    </w:p>
    <w:p w14:paraId="5CC62D1D" w14:textId="77777777" w:rsidR="000D5AEF" w:rsidRPr="00F4200D" w:rsidRDefault="00000000">
      <w:pPr>
        <w:jc w:val="center"/>
        <w:rPr>
          <w:b/>
          <w:bCs/>
        </w:rPr>
      </w:pPr>
      <w:r w:rsidRPr="00F4200D">
        <w:rPr>
          <w:b/>
          <w:bCs/>
        </w:rPr>
        <w:t>Figure 2: Monitoring and data Gathering during the Interventions</w:t>
      </w:r>
    </w:p>
    <w:p w14:paraId="39BD8934" w14:textId="77777777" w:rsidR="000D5AEF" w:rsidRPr="00F4200D" w:rsidRDefault="00000000">
      <w:pPr>
        <w:jc w:val="center"/>
      </w:pPr>
      <w:r w:rsidRPr="00F4200D">
        <w:t>(Source: Favela et al. 2020)</w:t>
      </w:r>
    </w:p>
    <w:p w14:paraId="3745574C" w14:textId="77777777" w:rsidR="000D5AEF" w:rsidRPr="00F4200D" w:rsidRDefault="00000000">
      <w:r w:rsidRPr="00F4200D">
        <w:t xml:space="preserve">Additionally, devices such as the Fitbit Charge 2, along with the Fitbit Alta, record and play a crucial role in measuring steps and heart rate continuously. These are wrist-worn devices that contribute to collecting activity as well as sleep duration matrices per minute. Moreover, heart rate </w:t>
      </w:r>
      <w:r w:rsidRPr="00F4200D">
        <w:lastRenderedPageBreak/>
        <w:t xml:space="preserve">monitoring delivers insights into several physiological arousal levels along with stress responses. Data is further retrieved using the Fitbit Web API for detailed analysis. Nonstop thinking enables comparison between intervention and non-intervention periods in an effective way. Furthermore, wearable sensors decrease resilience on subjective caregiver reporting approaches (Palmese </w:t>
      </w:r>
      <w:r w:rsidRPr="00F4200D">
        <w:rPr>
          <w:i/>
          <w:iCs/>
        </w:rPr>
        <w:t xml:space="preserve">et al., </w:t>
      </w:r>
      <w:r w:rsidRPr="00F4200D">
        <w:t xml:space="preserve">2025). Threshold criteria ensure the incorporation of days with adequate recorded minutes. Short-term analysis compared baseline activity patterns of the patients. On the other hand, long-term analysis examines several behavioural trends across early and later intervention phases in a systematic way. Subsequently, the UK Health Security Agency contributes to monitoring support (Worsley-Tonks </w:t>
      </w:r>
      <w:r w:rsidRPr="00F4200D">
        <w:rPr>
          <w:i/>
          <w:iCs/>
        </w:rPr>
        <w:t xml:space="preserve">et al., </w:t>
      </w:r>
      <w:r w:rsidRPr="00F4200D">
        <w:t xml:space="preserve">2022). Eventually, a combination of quantitative and qualitative approaches ensures comprehensive monitoring. Qualitative interviews also contribute to exploring the lived experiences of affected people. Hence, integrating statistical data with several expert real-world evidence reinforces public health planning. </w:t>
      </w:r>
    </w:p>
    <w:p w14:paraId="7A32DC6B" w14:textId="77777777" w:rsidR="000D5AEF" w:rsidRPr="00F4200D" w:rsidRDefault="00000000">
      <w:pPr>
        <w:pStyle w:val="Titlu2"/>
        <w:rPr>
          <w:highlight w:val="green"/>
        </w:rPr>
      </w:pPr>
      <w:bookmarkStart w:id="6" w:name="_rkkeecmqbo4r" w:colFirst="0" w:colLast="0"/>
      <w:bookmarkStart w:id="7" w:name="_Toc222605885"/>
      <w:bookmarkEnd w:id="6"/>
      <w:r w:rsidRPr="00F4200D">
        <w:t>2.2 Control and Prevention Strategies</w:t>
      </w:r>
      <w:bookmarkEnd w:id="7"/>
      <w:r w:rsidRPr="00F4200D">
        <w:t xml:space="preserve"> </w:t>
      </w:r>
    </w:p>
    <w:p w14:paraId="0C3EDE99" w14:textId="77777777" w:rsidR="000D5AEF" w:rsidRPr="00F4200D" w:rsidRDefault="00000000">
      <w:r w:rsidRPr="00F4200D">
        <w:t xml:space="preserve">Controlling dementia within communities requires an inclusive public health approach. This integrates prevention in addition to early intervention as well as supportive care. The Lancet Commission recognises diverse modifiable risk factors regarding dementia across the globe. These factors include smoking, hypertension, and obesity. In addition, the factors include diabetes, hearing loss, depression, and social isolation. Detecting these factors through several community screening programs as well as lifestyle interventions can considerably undermine incidence rates (Alhuwayfi </w:t>
      </w:r>
      <w:r w:rsidRPr="00F4200D">
        <w:rPr>
          <w:i/>
          <w:iCs/>
        </w:rPr>
        <w:t xml:space="preserve">et al., </w:t>
      </w:r>
      <w:r w:rsidRPr="00F4200D">
        <w:t xml:space="preserve">2024). For instance, enhancing physical activity along with balanced nutrition helps to support the cardiovascular health of individuals. This is closely aligned with the cognitive functioning of individuals. Apart from these, public health campaigns provided through initial care and regional authorities inspire behavioural change, along with improving health literacy. Early detection initiatives like routine cognitive assessments in high-risk populations reinforce timely diagnosis as well as intervention. Memory clinics, along with multidisciplinary evaluation teams, allow accurate diagnosis as well as custom-made care planning (Romero et al., 2024). </w:t>
      </w:r>
    </w:p>
    <w:p w14:paraId="62EE5272" w14:textId="77777777" w:rsidR="000D5AEF" w:rsidRPr="00F4200D" w:rsidRDefault="00000000">
      <w:r w:rsidRPr="00F4200D">
        <w:t xml:space="preserve">Additionally, vaccination programmes as well as chronic disease management indirectly contribute to dementia prevention. This is conducted by decreasing overall neurological risk pressures. Comprehending diverse approaches to disease control also involves recognising social determinants of health. Poverty, educational achievement, housing standards, and access to healthcare services impact dementia consequences. Integrated Care Systems endorse coordinated responses to access diverse sectors (Allana </w:t>
      </w:r>
      <w:r w:rsidRPr="00F4200D">
        <w:rPr>
          <w:i/>
          <w:iCs/>
        </w:rPr>
        <w:t xml:space="preserve">et al., </w:t>
      </w:r>
      <w:r w:rsidRPr="00F4200D">
        <w:t xml:space="preserve">2022). This ensures partnerships between health, social care, housing, and voluntary organisations. In addition, community </w:t>
      </w:r>
      <w:r w:rsidRPr="00F4200D">
        <w:lastRenderedPageBreak/>
        <w:t xml:space="preserve">involvement initiatives include dementia-friendly environments that reduce stigma by enhancing social participation. Moreover, worker education enhances the capability of other professionals to recognise early symptoms and deliver culturally sensitive support. In addition, preventive strategies should therefore combine medical, ecological, behavioural, and several policy-driven approaches. Thus, public health systems can more efficiently control disease incidence while enhancing overall well-being. This is conducted by reinforcing community flexibility along with decreasing disparities.  </w:t>
      </w:r>
    </w:p>
    <w:p w14:paraId="6BDDC876" w14:textId="77777777" w:rsidR="000D5AEF" w:rsidRPr="00F4200D" w:rsidRDefault="00000000">
      <w:pPr>
        <w:pStyle w:val="Titlu2"/>
        <w:rPr>
          <w:highlight w:val="green"/>
        </w:rPr>
      </w:pPr>
      <w:bookmarkStart w:id="8" w:name="_jlk1mn9sifs" w:colFirst="0" w:colLast="0"/>
      <w:bookmarkStart w:id="9" w:name="_Toc222605886"/>
      <w:bookmarkEnd w:id="8"/>
      <w:r w:rsidRPr="00F4200D">
        <w:t>2.3 Consequences for Individuals and Communities</w:t>
      </w:r>
      <w:bookmarkEnd w:id="9"/>
      <w:r w:rsidRPr="00F4200D">
        <w:t xml:space="preserve"> </w:t>
      </w:r>
    </w:p>
    <w:p w14:paraId="36604A08" w14:textId="77777777" w:rsidR="000D5AEF" w:rsidRPr="00F4200D" w:rsidRDefault="00000000">
      <w:r w:rsidRPr="00F4200D">
        <w:t xml:space="preserve">Dementia is responsible for creating deeper implications in favour of individuals and families, along with wider communities. This syndrome significantly impacts the provision of health as well as social health care services. Increasing cognitive decline diminishes independence, along with enhancing trust in formal care systems. As symptoms weaken, individuals may necessitate intensive home support in addition to residential placements or specialist nursing care. Thus, these factors contribute to increasing service requirements. Apart from these, healthcare providers should essentially expand community-based resources that help to avert avoidable admissions in the hospitals (Khudhra </w:t>
      </w:r>
      <w:r w:rsidRPr="00F4200D">
        <w:rPr>
          <w:i/>
          <w:iCs/>
        </w:rPr>
        <w:t xml:space="preserve">et al., </w:t>
      </w:r>
      <w:r w:rsidRPr="00F4200D">
        <w:t xml:space="preserve">2024). Moreover, the societal impact is substantial in terms of healthcare costs, in addition to caregiver burden, and reduced workforce productivity. Moreover, this incorporates long-term care demand along with emotional and social strain on families as well as communities. In connection with this, Alzheimer's Research UK emphasises the increasing prevalence of dementia along with the economic costs associated with its treatment and required healthcare. Rise in case numbers positions financial burdens on commissioners (Alzheimer's, 2024). They are responsible for allocating inadequate budgets. Furthermore, informal caregiving is frequently provided by family members. This contributes to hidden economic stresses through lost productivity as well as emotional strain. Apart from </w:t>
      </w:r>
      <w:r w:rsidR="00F4200D" w:rsidRPr="00F4200D">
        <w:t>this, as</w:t>
      </w:r>
      <w:r w:rsidRPr="00F4200D">
        <w:t xml:space="preserve"> a consequence, several support services for carers, as well as psychological counselling, are considered as necessary components of sustainable provision. </w:t>
      </w:r>
    </w:p>
    <w:p w14:paraId="2704F5CA" w14:textId="77777777" w:rsidR="000D5AEF" w:rsidRPr="00F4200D" w:rsidRDefault="00000000">
      <w:r w:rsidRPr="00F4200D">
        <w:t xml:space="preserve">Health inequalities further impact service accessibility as well as outcomes. Individuals from socioeconomically disadvantaged or culturally diverse communities can face delayed diagnosis. This can be perceived because of stigma or inadequate awareness related to cultural misconceptions, along with lower health literacy, in addition to an inadequate understanding of dementia symptoms. Consequently, these factors contribute to delayed diagnosis, along with diminished access to care, in addition to widening health inequalities among vulnerable communities. Apart from these, language restrictions and mistrust of services can limit involvement with healthcare professionals (Smith </w:t>
      </w:r>
      <w:r w:rsidRPr="00F4200D">
        <w:rPr>
          <w:i/>
          <w:iCs/>
        </w:rPr>
        <w:t xml:space="preserve">et al., </w:t>
      </w:r>
      <w:r w:rsidRPr="00F4200D">
        <w:t xml:space="preserve">2025). Thus, culturally efficient and </w:t>
      </w:r>
      <w:r w:rsidRPr="00F4200D">
        <w:lastRenderedPageBreak/>
        <w:t xml:space="preserve">community-based outreach programs are considered vital to safeguard equitable access. Additionally, enhancing life expectancy refers to the fact that multimorbidity frequently coexists with dementia. This causes complications in treatment approaches. Integrated service models must determine physical as well as cognitive health requirements simultaneously. Additionally, dementia redesigns community health preferences (Agbana, 2025). This requires strategic workforce planning, sustainable funding frameworks, and coordinated policy responses. These are crucial to meet escalating demands in an effective way.       </w:t>
      </w:r>
    </w:p>
    <w:p w14:paraId="04561AE8" w14:textId="77777777" w:rsidR="000D5AEF" w:rsidRPr="00F4200D" w:rsidRDefault="00000000">
      <w:pPr>
        <w:pStyle w:val="Titlu2"/>
        <w:rPr>
          <w:highlight w:val="green"/>
        </w:rPr>
      </w:pPr>
      <w:bookmarkStart w:id="10" w:name="_abdpg1aiegxc" w:colFirst="0" w:colLast="0"/>
      <w:bookmarkStart w:id="11" w:name="_Toc222605887"/>
      <w:bookmarkEnd w:id="10"/>
      <w:r w:rsidRPr="00F4200D">
        <w:t>2.4 Health and Social Care Support Services</w:t>
      </w:r>
      <w:bookmarkEnd w:id="11"/>
      <w:r w:rsidRPr="00F4200D">
        <w:t xml:space="preserve"> </w:t>
      </w:r>
    </w:p>
    <w:p w14:paraId="7652E58F" w14:textId="77777777" w:rsidR="000D5AEF" w:rsidRPr="00F4200D" w:rsidRDefault="00000000">
      <w:r w:rsidRPr="00F4200D">
        <w:t xml:space="preserve">The growing rate of dementia considerably shapes the structure and delivery of health as well as social care services. Effective provision is based on integrated and person-centric models. These models contribute to addressing multifaceted physiological and psychological problems along with social necessities. Primary care practitioners, in addition to specialist memory clinics, as well as community mental health teams, collaborate to provide uninterrupted assessment as well as observation (Angelopoulou </w:t>
      </w:r>
      <w:r w:rsidRPr="00F4200D">
        <w:rPr>
          <w:i/>
          <w:iCs/>
        </w:rPr>
        <w:t xml:space="preserve">et al., </w:t>
      </w:r>
      <w:r w:rsidRPr="00F4200D">
        <w:t>2022). Guidance from the National Institute for Health and Care Excellence contributes to supporting several evidence-based as well as practice standards focused on dignity. Illness within affected communities enhances the claim for long-term care, along with housing adaptations. Additionally, there is a demand for assistive technologies. Eventually, telecare systems, in addition to mobility aids, as well as ecological modifications, allow individuals to stay secure at home. This practice contributes to reducing different institutional admissions. However, adequate funding as well as workforce capacity are essential to uphold service excellence. Training programs increase staff competencies in communication as well as protection and culturally responsive care practices (Agbana, 2025).</w:t>
      </w:r>
    </w:p>
    <w:p w14:paraId="653D9064" w14:textId="77777777" w:rsidR="000D5AEF" w:rsidRPr="00F4200D" w:rsidRDefault="00000000">
      <w:pPr>
        <w:rPr>
          <w:b/>
          <w:bCs/>
          <w:highlight w:val="green"/>
        </w:rPr>
      </w:pPr>
      <w:r w:rsidRPr="00F4200D">
        <w:t xml:space="preserve">Several factors influence health as well as well-being in social settings. These include social support networks, along with economic stability, as well as environmental safety. This gives access towards nutritious food as well as healthcare. Isolation, along with stigma, negatively impacts mental health. Conversely, comprehensive community initiatives endorse participation as well as resilience (Dushkova and Ivlieva, 2024). In addition, career wellbeing further directly impacts patient outcomes. This contributes to highlighting the significance of respite services along with peer support groups. Furthermore, advanced care planning along with palliative services ensures that the priorities of individuals are respected during progression of the disease. Apart from these, partnerships between several statutory agencies along with voluntary organisations reinforce continuity of care (Österholm </w:t>
      </w:r>
      <w:r w:rsidRPr="00F4200D">
        <w:rPr>
          <w:i/>
          <w:iCs/>
        </w:rPr>
        <w:t xml:space="preserve">et al., </w:t>
      </w:r>
      <w:r w:rsidRPr="00F4200D">
        <w:t xml:space="preserve">2023). Finally, responsive and well-organised healthcare systems are necessary to handle the impact of dementia while ensuring individuality, dignity, and community incorporation.  </w:t>
      </w:r>
    </w:p>
    <w:p w14:paraId="05D92679" w14:textId="77777777" w:rsidR="000D5AEF" w:rsidRPr="00F4200D" w:rsidRDefault="00000000">
      <w:pPr>
        <w:pStyle w:val="Titlu1"/>
        <w:rPr>
          <w:sz w:val="22"/>
          <w:szCs w:val="22"/>
          <w:highlight w:val="yellow"/>
        </w:rPr>
      </w:pPr>
      <w:bookmarkStart w:id="12" w:name="_gvvn9vzmfp7" w:colFirst="0" w:colLast="0"/>
      <w:bookmarkStart w:id="13" w:name="_Toc222605888"/>
      <w:bookmarkEnd w:id="12"/>
      <w:r w:rsidRPr="00F4200D">
        <w:rPr>
          <w:sz w:val="22"/>
          <w:szCs w:val="22"/>
        </w:rPr>
        <w:lastRenderedPageBreak/>
        <w:t>3. Conclusion</w:t>
      </w:r>
      <w:bookmarkEnd w:id="13"/>
      <w:r w:rsidRPr="00F4200D">
        <w:rPr>
          <w:sz w:val="22"/>
          <w:szCs w:val="22"/>
        </w:rPr>
        <w:t xml:space="preserve"> </w:t>
      </w:r>
    </w:p>
    <w:p w14:paraId="76A590C6" w14:textId="77777777" w:rsidR="000D5AEF" w:rsidRPr="00F4200D" w:rsidRDefault="00000000">
      <w:r w:rsidRPr="00F4200D">
        <w:t>This study explores that Dementia remains a complicated as well as escalating public health concern across the globe. The progressive cognitive decline of this syndrome deeply impacts individuals as well as social communities. Global as well as UK-based statistics demonstrate substantial prevalence along with incidence rates. Thus, systematic measurement as well as monitoring are necessary for planning. Epidemiological research, along with national databases and community evaluations, delivers critical evidence. However, effective control is largely based on prevention along with advanced diagnosis. Addressing modifiable risk factors can decrease the risk of upcoming disease stress. Furthermore, coordinated policy frameworks reinforce nationwide responses in a significant way. The consequences of dementia expand beyond health alone. Families, along with services, as well as economies, face considerable long-term influences. Thus, integrated health as well as social care provision remains primary. Eventually, person-centred and culturally sensitive, along with evidence-based services, enhance outcomes. Eventually, sustained investment along with research and collaboration are necessary in the UK as well as across the globe.</w:t>
      </w:r>
    </w:p>
    <w:p w14:paraId="48AFEB33" w14:textId="77777777" w:rsidR="000D5AEF" w:rsidRPr="00F4200D" w:rsidRDefault="00000000">
      <w:pPr>
        <w:rPr>
          <w:b/>
          <w:bCs/>
        </w:rPr>
      </w:pPr>
      <w:r w:rsidRPr="00F4200D">
        <w:br w:type="page"/>
      </w:r>
    </w:p>
    <w:p w14:paraId="1FDED354" w14:textId="77777777" w:rsidR="000D5AEF" w:rsidRPr="00F4200D" w:rsidRDefault="00000000">
      <w:pPr>
        <w:pStyle w:val="Titlu1"/>
        <w:rPr>
          <w:sz w:val="22"/>
          <w:szCs w:val="22"/>
        </w:rPr>
      </w:pPr>
      <w:bookmarkStart w:id="14" w:name="_1pvoy7wfhpgc" w:colFirst="0" w:colLast="0"/>
      <w:bookmarkStart w:id="15" w:name="_Toc222605889"/>
      <w:bookmarkEnd w:id="14"/>
      <w:r w:rsidRPr="00F4200D">
        <w:rPr>
          <w:sz w:val="22"/>
          <w:szCs w:val="22"/>
        </w:rPr>
        <w:lastRenderedPageBreak/>
        <w:t>References</w:t>
      </w:r>
      <w:bookmarkEnd w:id="15"/>
    </w:p>
    <w:p w14:paraId="425E0226" w14:textId="77777777" w:rsidR="00F52211" w:rsidRPr="00F4200D" w:rsidRDefault="00000000">
      <w:pPr>
        <w:spacing w:before="240" w:after="240"/>
      </w:pPr>
      <w:r w:rsidRPr="00F4200D">
        <w:t>Agbana, T.M., 2025. Challenges and Opportunities in Culturally-Sensitive Dementia Care Among Minority Ethnic Elderly Populations in Urban Settings. Available at:</w:t>
      </w:r>
      <w:hyperlink r:id="rId10">
        <w:r w:rsidR="00F52211" w:rsidRPr="00F4200D">
          <w:t xml:space="preserve"> </w:t>
        </w:r>
      </w:hyperlink>
      <w:hyperlink r:id="rId11">
        <w:r w:rsidR="00F52211" w:rsidRPr="00F4200D">
          <w:rPr>
            <w:color w:val="1155CC"/>
            <w:u w:val="single"/>
          </w:rPr>
          <w:t>https://www.researchgate.net/profile/Tonbara-Agbana/publication/394493844_Corresponding_author_Tonbara_Mike_Agbana_Challenges_and_Opportunities_in_Culturally-Sensitive_Dementia_Care_Among_Minority_Ethnic_Elderly_Populations_in_Urban_Settings/links/689f07b8fc368579b82ff468/Corresponding-author-Tonbara-Mike-Agbana-Challenges-and-Opportunities-in-Culturally-Sensitive-Dementia-Care-Among-Minority-Ethnic-Elderly-Populations-in-Urban-Settings.pdf</w:t>
        </w:r>
      </w:hyperlink>
      <w:r w:rsidRPr="00F4200D">
        <w:t xml:space="preserve"> (Accessed: 21 February 2026).</w:t>
      </w:r>
    </w:p>
    <w:p w14:paraId="2B855455" w14:textId="77777777" w:rsidR="00F52211" w:rsidRPr="00F4200D" w:rsidRDefault="00000000">
      <w:pPr>
        <w:spacing w:before="240" w:after="240"/>
      </w:pPr>
      <w:r w:rsidRPr="00F4200D">
        <w:t xml:space="preserve">Alhuwayfi, S., Alwakeel, A., Alhuwayfi, A.S. and Alhuwayfi, A., 2024. Systemic review of community-based interventions for preventing chronic diseases in preventive medicine practice. </w:t>
      </w:r>
      <w:r w:rsidRPr="00F4200D">
        <w:rPr>
          <w:i/>
          <w:iCs/>
        </w:rPr>
        <w:t>Egyptian Journal of Hospital Medicine</w:t>
      </w:r>
      <w:r w:rsidRPr="00F4200D">
        <w:t xml:space="preserve">, </w:t>
      </w:r>
      <w:r w:rsidRPr="00F4200D">
        <w:rPr>
          <w:i/>
          <w:iCs/>
        </w:rPr>
        <w:t>94</w:t>
      </w:r>
      <w:r w:rsidRPr="00F4200D">
        <w:t>(1). Available at:</w:t>
      </w:r>
      <w:hyperlink r:id="rId12">
        <w:r w:rsidR="00F52211" w:rsidRPr="00F4200D">
          <w:t xml:space="preserve"> </w:t>
        </w:r>
      </w:hyperlink>
      <w:hyperlink r:id="rId13">
        <w:r w:rsidR="00F52211" w:rsidRPr="00F4200D">
          <w:rPr>
            <w:color w:val="1155CC"/>
            <w:u w:val="single"/>
          </w:rPr>
          <w:t>https://ejhm.journals.ekb.eg/article_11499_42cf55fa991df8022428fba6298bf70e.pdf,https://ejhm.journals.ekb.eg/article_11499.html,http://ejhm.journals.ekb.eg/article_336533_66be8a0d10116943dc023ec9adba1008.pdf</w:t>
        </w:r>
      </w:hyperlink>
      <w:r w:rsidRPr="00F4200D">
        <w:t xml:space="preserve"> (Accessed: 19 February 2026).</w:t>
      </w:r>
    </w:p>
    <w:p w14:paraId="35010344" w14:textId="77777777" w:rsidR="00F52211" w:rsidRPr="00F4200D" w:rsidRDefault="00000000">
      <w:pPr>
        <w:spacing w:before="240" w:after="240"/>
      </w:pPr>
      <w:r w:rsidRPr="00F4200D">
        <w:t xml:space="preserve">Allana, A., Tavares, W., Pinto, A.D. and Kuluski, K., 2022. Designing and governing responsive local care systems–insights from a scoping review of paramedics in integrated models of care. </w:t>
      </w:r>
      <w:r w:rsidRPr="00F4200D">
        <w:rPr>
          <w:i/>
          <w:iCs/>
        </w:rPr>
        <w:t>International journal of integrated care</w:t>
      </w:r>
      <w:r w:rsidRPr="00F4200D">
        <w:t xml:space="preserve">, </w:t>
      </w:r>
      <w:r w:rsidRPr="00F4200D">
        <w:rPr>
          <w:i/>
          <w:iCs/>
        </w:rPr>
        <w:t>22</w:t>
      </w:r>
      <w:r w:rsidRPr="00F4200D">
        <w:t>(2), p.5. Available at:</w:t>
      </w:r>
      <w:hyperlink r:id="rId14">
        <w:r w:rsidR="00F52211" w:rsidRPr="00F4200D">
          <w:t xml:space="preserve"> </w:t>
        </w:r>
      </w:hyperlink>
      <w:hyperlink r:id="rId15">
        <w:r w:rsidR="00F52211" w:rsidRPr="00F4200D">
          <w:rPr>
            <w:color w:val="1155CC"/>
            <w:u w:val="single"/>
          </w:rPr>
          <w:t>https://pmc.ncbi.nlm.nih.gov/articles/PMC9009364/pdf/ijic-22-2-6418.pdf</w:t>
        </w:r>
      </w:hyperlink>
      <w:r w:rsidRPr="00F4200D">
        <w:t xml:space="preserve"> (Accessed: 19 February 2026).</w:t>
      </w:r>
    </w:p>
    <w:p w14:paraId="02E71F00" w14:textId="77777777" w:rsidR="00F52211" w:rsidRPr="00F4200D" w:rsidRDefault="00000000">
      <w:pPr>
        <w:spacing w:before="240" w:after="240"/>
      </w:pPr>
      <w:r w:rsidRPr="00F4200D">
        <w:t xml:space="preserve">Alzheimers (2024). </w:t>
      </w:r>
      <w:r w:rsidRPr="00F4200D">
        <w:rPr>
          <w:i/>
          <w:iCs/>
        </w:rPr>
        <w:t>What are the costs of dementia diagnosis and care in the UK?</w:t>
      </w:r>
      <w:r w:rsidRPr="00F4200D">
        <w:t xml:space="preserve">   Alzheimer’s Society. Available at:</w:t>
      </w:r>
      <w:hyperlink r:id="rId16">
        <w:r w:rsidR="00F52211" w:rsidRPr="00F4200D">
          <w:t xml:space="preserve"> </w:t>
        </w:r>
      </w:hyperlink>
      <w:hyperlink r:id="rId17">
        <w:r w:rsidR="00F52211" w:rsidRPr="00F4200D">
          <w:rPr>
            <w:color w:val="1155CC"/>
            <w:u w:val="single"/>
          </w:rPr>
          <w:t>https://www.alzheimers.org.uk/what-we-do/policy-and-influencing/dementia-scale-impact-numbers</w:t>
        </w:r>
      </w:hyperlink>
      <w:r w:rsidRPr="00F4200D">
        <w:t xml:space="preserve"> (Accessed: 20 February 2026).</w:t>
      </w:r>
    </w:p>
    <w:p w14:paraId="779CE790" w14:textId="77777777" w:rsidR="00F52211" w:rsidRPr="00F4200D" w:rsidRDefault="00000000">
      <w:pPr>
        <w:spacing w:before="240" w:after="240"/>
      </w:pPr>
      <w:r w:rsidRPr="00F4200D">
        <w:t>Alzint (2020). Dementia statistics. Alzheimer’s Disease International. Available at:</w:t>
      </w:r>
      <w:hyperlink r:id="rId18">
        <w:r w:rsidR="00F52211" w:rsidRPr="00F4200D">
          <w:t xml:space="preserve"> </w:t>
        </w:r>
      </w:hyperlink>
      <w:hyperlink r:id="rId19">
        <w:r w:rsidR="00F52211" w:rsidRPr="00F4200D">
          <w:rPr>
            <w:color w:val="1155CC"/>
            <w:u w:val="single"/>
          </w:rPr>
          <w:t>https://www.alzint.org/about/dementia-facts-figures/dementia-statistics/</w:t>
        </w:r>
      </w:hyperlink>
      <w:r w:rsidRPr="00F4200D">
        <w:t xml:space="preserve"> (Accessed: 18 February 2026).</w:t>
      </w:r>
    </w:p>
    <w:p w14:paraId="596C71BB" w14:textId="77777777" w:rsidR="00F52211" w:rsidRPr="00F4200D" w:rsidRDefault="00000000">
      <w:pPr>
        <w:spacing w:before="240" w:after="240"/>
      </w:pPr>
      <w:r w:rsidRPr="00F4200D">
        <w:t xml:space="preserve">Angelopoulou, E., Papachristou, N., Bougea, A., Stanitsa, E., Kontaxopoulou, D., Fragkiadaki, S., Pavlou, D., Koros, C., Değirmenci, Y., Papatriantafyllou, J., Thireos, E., Politis, A., Tsouros, A., Bamidis, P., Stefanis, L. and Papageorgiou, S. (2022). How Telemedicine Can Improve the </w:t>
      </w:r>
      <w:r w:rsidRPr="00F4200D">
        <w:lastRenderedPageBreak/>
        <w:t xml:space="preserve">Quality of Care for Patients with Alzheimer’s Disease and Related Dementias? A Narrative Review. </w:t>
      </w:r>
      <w:r w:rsidRPr="00F4200D">
        <w:rPr>
          <w:i/>
          <w:iCs/>
        </w:rPr>
        <w:t>Medicina</w:t>
      </w:r>
      <w:r w:rsidRPr="00F4200D">
        <w:t>, 58(12), p.1705. Available at:</w:t>
      </w:r>
      <w:hyperlink r:id="rId20">
        <w:r w:rsidR="00F52211" w:rsidRPr="00F4200D">
          <w:t xml:space="preserve"> </w:t>
        </w:r>
      </w:hyperlink>
      <w:hyperlink r:id="rId21">
        <w:r w:rsidR="00F52211" w:rsidRPr="00F4200D">
          <w:rPr>
            <w:color w:val="1155CC"/>
            <w:u w:val="single"/>
          </w:rPr>
          <w:t>https://www.mdpi.com/1648-9144/58/12/1705</w:t>
        </w:r>
      </w:hyperlink>
      <w:r w:rsidRPr="00F4200D">
        <w:t xml:space="preserve"> (Accessed: 21 February 2026).</w:t>
      </w:r>
    </w:p>
    <w:p w14:paraId="3053EB6D" w14:textId="77777777" w:rsidR="00F52211" w:rsidRPr="00F4200D" w:rsidRDefault="00000000">
      <w:pPr>
        <w:spacing w:before="240" w:after="240"/>
      </w:pPr>
      <w:r w:rsidRPr="00F4200D">
        <w:t xml:space="preserve">Dushkova, D. and Ivlieva, O., 2024. Empowering communities to act for a change: A review of the community empowerment programs towards sustainability and resilience. </w:t>
      </w:r>
      <w:r w:rsidRPr="00F4200D">
        <w:rPr>
          <w:i/>
          <w:iCs/>
        </w:rPr>
        <w:t>Sustainability</w:t>
      </w:r>
      <w:r w:rsidRPr="00F4200D">
        <w:t xml:space="preserve">, </w:t>
      </w:r>
      <w:r w:rsidRPr="00F4200D">
        <w:rPr>
          <w:i/>
          <w:iCs/>
        </w:rPr>
        <w:t>16</w:t>
      </w:r>
      <w:r w:rsidRPr="00F4200D">
        <w:t>(19), p.8700. Available at:</w:t>
      </w:r>
      <w:hyperlink r:id="rId22">
        <w:r w:rsidR="00F52211" w:rsidRPr="00F4200D">
          <w:t xml:space="preserve"> </w:t>
        </w:r>
      </w:hyperlink>
      <w:hyperlink r:id="rId23">
        <w:r w:rsidR="00F52211" w:rsidRPr="00F4200D">
          <w:rPr>
            <w:color w:val="1155CC"/>
            <w:u w:val="single"/>
          </w:rPr>
          <w:t>https://www.mdpi.com/2071-1050/16/19/8700</w:t>
        </w:r>
      </w:hyperlink>
      <w:r w:rsidRPr="00F4200D">
        <w:t xml:space="preserve"> (Accessed: 21 February 2026).</w:t>
      </w:r>
    </w:p>
    <w:p w14:paraId="1E7B7BEF" w14:textId="77777777" w:rsidR="00F52211" w:rsidRPr="00F4200D" w:rsidRDefault="00000000">
      <w:pPr>
        <w:spacing w:before="240" w:after="240"/>
      </w:pPr>
      <w:r w:rsidRPr="00F4200D">
        <w:t>Favela, J., Cruz-</w:t>
      </w:r>
      <w:proofErr w:type="gramStart"/>
      <w:r w:rsidRPr="00F4200D">
        <w:t>Sandoval ,</w:t>
      </w:r>
      <w:proofErr w:type="gramEnd"/>
      <w:r w:rsidRPr="00F4200D">
        <w:t xml:space="preserve"> D., Morales-</w:t>
      </w:r>
      <w:proofErr w:type="gramStart"/>
      <w:r w:rsidRPr="00F4200D">
        <w:t>Tellez ,</w:t>
      </w:r>
      <w:proofErr w:type="gramEnd"/>
      <w:r w:rsidRPr="00F4200D">
        <w:t xml:space="preserve"> A. and Lopez-</w:t>
      </w:r>
      <w:proofErr w:type="gramStart"/>
      <w:r w:rsidRPr="00F4200D">
        <w:t>Nava ,</w:t>
      </w:r>
      <w:proofErr w:type="gramEnd"/>
      <w:r w:rsidRPr="00F4200D">
        <w:t xml:space="preserve"> I.H. (2020). Monitoring behavioral symptoms of dementia using activity trackers. Journal of Biomedical </w:t>
      </w:r>
      <w:proofErr w:type="gramStart"/>
      <w:r w:rsidRPr="00F4200D">
        <w:t xml:space="preserve">Informatics,   </w:t>
      </w:r>
      <w:proofErr w:type="gramEnd"/>
      <w:r w:rsidRPr="00F4200D">
        <w:t>109, p.103520. Available at:</w:t>
      </w:r>
      <w:hyperlink r:id="rId24">
        <w:r w:rsidR="00F52211" w:rsidRPr="00F4200D">
          <w:t xml:space="preserve"> </w:t>
        </w:r>
      </w:hyperlink>
      <w:hyperlink r:id="rId25">
        <w:r w:rsidR="00F52211" w:rsidRPr="00F4200D">
          <w:rPr>
            <w:color w:val="1155CC"/>
            <w:u w:val="single"/>
          </w:rPr>
          <w:t>https://www.sciencedirect.com/science/article/pii/S1532046420301489</w:t>
        </w:r>
      </w:hyperlink>
      <w:r w:rsidRPr="00F4200D">
        <w:t xml:space="preserve"> (Accessed: 18 February 2026).</w:t>
      </w:r>
    </w:p>
    <w:p w14:paraId="024E304F" w14:textId="77777777" w:rsidR="00F52211" w:rsidRPr="00F4200D" w:rsidRDefault="00000000">
      <w:pPr>
        <w:spacing w:before="240" w:after="240"/>
      </w:pPr>
      <w:r w:rsidRPr="00F4200D">
        <w:t xml:space="preserve">Garland, H., Jacobson, M., Xu, S. and Zissimopoulos, J., 2025. A scoping review of population‐based dementia registries: advancing research, care, and policy. </w:t>
      </w:r>
      <w:r w:rsidRPr="00F4200D">
        <w:rPr>
          <w:i/>
          <w:iCs/>
        </w:rPr>
        <w:t>Alzheimer's &amp; Dementia</w:t>
      </w:r>
      <w:r w:rsidRPr="00F4200D">
        <w:t xml:space="preserve">, </w:t>
      </w:r>
      <w:r w:rsidRPr="00F4200D">
        <w:rPr>
          <w:i/>
          <w:iCs/>
        </w:rPr>
        <w:t>21</w:t>
      </w:r>
      <w:r w:rsidRPr="00F4200D">
        <w:t>(11), p.e70938. Available at:</w:t>
      </w:r>
      <w:hyperlink r:id="rId26">
        <w:r w:rsidR="00F52211" w:rsidRPr="00F4200D">
          <w:t xml:space="preserve"> </w:t>
        </w:r>
      </w:hyperlink>
      <w:hyperlink r:id="rId27">
        <w:r w:rsidR="00F52211" w:rsidRPr="00F4200D">
          <w:rPr>
            <w:color w:val="1155CC"/>
            <w:u w:val="single"/>
          </w:rPr>
          <w:t>https://alz-journals.onlinelibrary.wiley.com/doi/pdf/10.1002/alz.70938</w:t>
        </w:r>
      </w:hyperlink>
      <w:r w:rsidRPr="00F4200D">
        <w:t xml:space="preserve"> (Accessed: 19 February 2026).</w:t>
      </w:r>
    </w:p>
    <w:p w14:paraId="0C9FE7D2" w14:textId="77777777" w:rsidR="00F52211" w:rsidRPr="00F4200D" w:rsidRDefault="00000000">
      <w:pPr>
        <w:spacing w:before="240" w:after="240"/>
      </w:pPr>
      <w:r w:rsidRPr="00F4200D">
        <w:t>Goodier, M. and Boyd, R. (2024). Dementia: five charts that help explain Britain’s biggest killer.   the Guardian. Available at:</w:t>
      </w:r>
      <w:hyperlink r:id="rId28">
        <w:r w:rsidR="00F52211" w:rsidRPr="00F4200D">
          <w:t xml:space="preserve"> </w:t>
        </w:r>
      </w:hyperlink>
      <w:hyperlink r:id="rId29">
        <w:r w:rsidR="00F52211" w:rsidRPr="00F4200D">
          <w:rPr>
            <w:color w:val="1155CC"/>
            <w:u w:val="single"/>
          </w:rPr>
          <w:t>https://www.theguardian.com/society/article/2024/aug/14/dementia-five-charts-that-help-explain-britain-biggest-killer</w:t>
        </w:r>
      </w:hyperlink>
      <w:r w:rsidRPr="00F4200D">
        <w:t xml:space="preserve"> (Accessed: 18 February 2026).</w:t>
      </w:r>
    </w:p>
    <w:p w14:paraId="6D8D21B4" w14:textId="77777777" w:rsidR="00F52211" w:rsidRPr="00F4200D" w:rsidRDefault="00000000">
      <w:pPr>
        <w:spacing w:before="240" w:after="240"/>
      </w:pPr>
      <w:r w:rsidRPr="00F4200D">
        <w:t xml:space="preserve">Khudhra, W.F., Rawas, N.M., Alsubhi, M.M., Mashat, H.K.A., Alobaidi, S.B., Alsowihri, A.B., ALMutairi, S.M., Geteni, M.M., Almarwani, D.A., Aljaezi, K.A.A. and Alahmadi, O.H., 2024. Community-Based Screening Programs </w:t>
      </w:r>
      <w:proofErr w:type="gramStart"/>
      <w:r w:rsidRPr="00F4200D">
        <w:t>In</w:t>
      </w:r>
      <w:proofErr w:type="gramEnd"/>
      <w:r w:rsidRPr="00F4200D">
        <w:t xml:space="preserve"> Public Healthcare: A Multidisciplinary Model Integrating Nursing, Radiology, Laboratory Services, Healthcare Security, Social Workers, And Emergency Medical Services (EMS). </w:t>
      </w:r>
      <w:r w:rsidRPr="00F4200D">
        <w:rPr>
          <w:i/>
          <w:iCs/>
        </w:rPr>
        <w:t>The Review of Diabetic Studies</w:t>
      </w:r>
      <w:r w:rsidRPr="00F4200D">
        <w:t>, pp.328-346. Available at:</w:t>
      </w:r>
      <w:hyperlink r:id="rId30">
        <w:r w:rsidR="00F52211" w:rsidRPr="00F4200D">
          <w:t xml:space="preserve"> </w:t>
        </w:r>
      </w:hyperlink>
      <w:hyperlink r:id="rId31">
        <w:r w:rsidR="00F52211" w:rsidRPr="00F4200D">
          <w:rPr>
            <w:color w:val="1155CC"/>
            <w:u w:val="single"/>
          </w:rPr>
          <w:t>https://diabeticstudies.org/index.php/RDS/article/download/1403/1240</w:t>
        </w:r>
      </w:hyperlink>
      <w:r w:rsidRPr="00F4200D">
        <w:t xml:space="preserve"> (Accessed: 20 February 2026).</w:t>
      </w:r>
    </w:p>
    <w:p w14:paraId="5A52F2FC" w14:textId="77777777" w:rsidR="00F52211" w:rsidRPr="00F4200D" w:rsidRDefault="00000000">
      <w:pPr>
        <w:spacing w:before="240" w:after="240"/>
      </w:pPr>
      <w:r w:rsidRPr="00F4200D">
        <w:t>NHS (2023). What is dementia.   nhs.uk. Available at:</w:t>
      </w:r>
      <w:hyperlink r:id="rId32">
        <w:r w:rsidR="00F52211" w:rsidRPr="00F4200D">
          <w:t xml:space="preserve"> </w:t>
        </w:r>
      </w:hyperlink>
      <w:hyperlink r:id="rId33">
        <w:r w:rsidR="00F52211" w:rsidRPr="00F4200D">
          <w:rPr>
            <w:color w:val="1155CC"/>
            <w:u w:val="single"/>
          </w:rPr>
          <w:t>https://www.nhs.uk/conditions/dementia/about-dementia/what-is-dementia/</w:t>
        </w:r>
      </w:hyperlink>
      <w:r w:rsidRPr="00F4200D">
        <w:t xml:space="preserve"> (Accessed: 18 February 2026).</w:t>
      </w:r>
    </w:p>
    <w:p w14:paraId="3B40A129" w14:textId="77777777" w:rsidR="00F52211" w:rsidRPr="00F4200D" w:rsidRDefault="00000000">
      <w:pPr>
        <w:spacing w:before="240" w:after="240"/>
      </w:pPr>
      <w:r w:rsidRPr="00F4200D">
        <w:t xml:space="preserve">Österholm, J., Larsson Ranada, Å. and Nedlund, A.C., 2023. Mapping collaboration and coordination of health and care services for older people with dementia: A scoping review. </w:t>
      </w:r>
      <w:r w:rsidRPr="00F4200D">
        <w:rPr>
          <w:i/>
          <w:iCs/>
        </w:rPr>
        <w:t xml:space="preserve">Health </w:t>
      </w:r>
      <w:r w:rsidRPr="00F4200D">
        <w:rPr>
          <w:i/>
          <w:iCs/>
        </w:rPr>
        <w:lastRenderedPageBreak/>
        <w:t>&amp; Social Care in the Community</w:t>
      </w:r>
      <w:r w:rsidRPr="00F4200D">
        <w:t xml:space="preserve">, </w:t>
      </w:r>
      <w:r w:rsidRPr="00F4200D">
        <w:rPr>
          <w:i/>
          <w:iCs/>
        </w:rPr>
        <w:t>2023</w:t>
      </w:r>
      <w:r w:rsidRPr="00F4200D">
        <w:t>(1), p.8858773. Available at:</w:t>
      </w:r>
      <w:hyperlink r:id="rId34">
        <w:r w:rsidR="00F52211" w:rsidRPr="00F4200D">
          <w:t xml:space="preserve"> </w:t>
        </w:r>
      </w:hyperlink>
      <w:hyperlink r:id="rId35">
        <w:r w:rsidR="00F52211" w:rsidRPr="00F4200D">
          <w:rPr>
            <w:color w:val="1155CC"/>
            <w:u w:val="single"/>
          </w:rPr>
          <w:t>https://onlinelibrary.wiley.com/doi/pdf/10.1155/2023/8858773</w:t>
        </w:r>
      </w:hyperlink>
      <w:r w:rsidRPr="00F4200D">
        <w:t xml:space="preserve"> (Accessed: 21 February 2026).</w:t>
      </w:r>
    </w:p>
    <w:p w14:paraId="39738626" w14:textId="77777777" w:rsidR="00F52211" w:rsidRPr="00F4200D" w:rsidRDefault="00000000">
      <w:pPr>
        <w:spacing w:before="240" w:after="240"/>
      </w:pPr>
      <w:r w:rsidRPr="00F4200D">
        <w:t xml:space="preserve">Palmese, F., Druda, Y., Benintende, V., Fuda, D., Sicbaldi, M., Di Florio, P., Butt, A.H., Bedogni, G., Chiari, L., Silvani, A. and Domenicali, M., 2025. Wearable sensors for monitoring caregivers of people with dementia: a scoping review. </w:t>
      </w:r>
      <w:r w:rsidRPr="00F4200D">
        <w:rPr>
          <w:i/>
          <w:iCs/>
        </w:rPr>
        <w:t>European Geriatric Medicine</w:t>
      </w:r>
      <w:r w:rsidRPr="00F4200D">
        <w:t xml:space="preserve">, </w:t>
      </w:r>
      <w:r w:rsidRPr="00F4200D">
        <w:rPr>
          <w:i/>
          <w:iCs/>
        </w:rPr>
        <w:t>16</w:t>
      </w:r>
      <w:r w:rsidRPr="00F4200D">
        <w:t>(2), pp.473-483. Available at:</w:t>
      </w:r>
      <w:hyperlink r:id="rId36">
        <w:r w:rsidR="00F52211" w:rsidRPr="00F4200D">
          <w:t xml:space="preserve"> </w:t>
        </w:r>
      </w:hyperlink>
      <w:hyperlink r:id="rId37">
        <w:r w:rsidR="00F52211" w:rsidRPr="00F4200D">
          <w:rPr>
            <w:color w:val="1155CC"/>
            <w:u w:val="single"/>
          </w:rPr>
          <w:t>https://link.springer.com/content/pdf/10.1007/s41999-024-01113-8.pdf</w:t>
        </w:r>
      </w:hyperlink>
      <w:r w:rsidRPr="00F4200D">
        <w:t xml:space="preserve"> (Accessed: 19 February 2026).</w:t>
      </w:r>
    </w:p>
    <w:p w14:paraId="1FEE3AFF" w14:textId="77777777" w:rsidR="00F52211" w:rsidRPr="00F4200D" w:rsidRDefault="00000000">
      <w:pPr>
        <w:spacing w:before="240" w:after="240"/>
      </w:pPr>
      <w:r w:rsidRPr="00F4200D">
        <w:t xml:space="preserve">Romero, C.S., Urman, R.D. and Luedi, M.M., 2024. Perioperative evaluation of brain health. </w:t>
      </w:r>
      <w:r w:rsidRPr="00F4200D">
        <w:rPr>
          <w:i/>
          <w:iCs/>
        </w:rPr>
        <w:t>Anesthesiol Clin</w:t>
      </w:r>
      <w:r w:rsidRPr="00F4200D">
        <w:t xml:space="preserve">, </w:t>
      </w:r>
      <w:r w:rsidRPr="00F4200D">
        <w:rPr>
          <w:i/>
          <w:iCs/>
        </w:rPr>
        <w:t>42</w:t>
      </w:r>
      <w:r w:rsidRPr="00F4200D">
        <w:t>(1), pp.1-8.</w:t>
      </w:r>
      <w:hyperlink r:id="rId38">
        <w:r w:rsidR="00F52211" w:rsidRPr="00F4200D">
          <w:t xml:space="preserve"> </w:t>
        </w:r>
      </w:hyperlink>
      <w:hyperlink r:id="rId39">
        <w:r w:rsidR="00F52211" w:rsidRPr="00F4200D">
          <w:rPr>
            <w:color w:val="1155CC"/>
            <w:u w:val="single"/>
          </w:rPr>
          <w:t>https://www.binasss.sa.cr/bibliotecas/bhm/mar24/2.pdf</w:t>
        </w:r>
      </w:hyperlink>
      <w:r w:rsidRPr="00F4200D">
        <w:t xml:space="preserve"> (Accessed: 20 February 2026).</w:t>
      </w:r>
    </w:p>
    <w:p w14:paraId="1159FE4A" w14:textId="77777777" w:rsidR="00F52211" w:rsidRPr="00F4200D" w:rsidRDefault="00000000">
      <w:pPr>
        <w:spacing w:before="240" w:after="240"/>
      </w:pPr>
      <w:r w:rsidRPr="00F4200D">
        <w:t xml:space="preserve">Smith, A., Rafferty, L., Croak, B., Greenberg, N., Khan, R., Langston, V., Sharp, M.L., Stagg, A., Fear, N. and Stevelink, S., 2025. A systematic review of military-to-civilian transition, The role of gender. </w:t>
      </w:r>
      <w:r w:rsidRPr="00F4200D">
        <w:rPr>
          <w:i/>
          <w:iCs/>
        </w:rPr>
        <w:t>PloS one</w:t>
      </w:r>
      <w:r w:rsidRPr="00F4200D">
        <w:t xml:space="preserve">, </w:t>
      </w:r>
      <w:r w:rsidRPr="00F4200D">
        <w:rPr>
          <w:i/>
          <w:iCs/>
        </w:rPr>
        <w:t>20</w:t>
      </w:r>
      <w:r w:rsidRPr="00F4200D">
        <w:t>(2), p.e0316448. Available at:</w:t>
      </w:r>
      <w:hyperlink r:id="rId40">
        <w:r w:rsidR="00F52211" w:rsidRPr="00F4200D">
          <w:t xml:space="preserve"> </w:t>
        </w:r>
      </w:hyperlink>
      <w:hyperlink r:id="rId41">
        <w:r w:rsidR="00F52211" w:rsidRPr="00F4200D">
          <w:rPr>
            <w:color w:val="1155CC"/>
            <w:u w:val="single"/>
          </w:rPr>
          <w:t>https://journals.plos.org/plosone/article/file?id=10.1371/journal.pone.0316448&amp;type=printable</w:t>
        </w:r>
      </w:hyperlink>
      <w:r w:rsidRPr="00F4200D">
        <w:t xml:space="preserve"> (Accessed: 20 February 2026).</w:t>
      </w:r>
    </w:p>
    <w:p w14:paraId="447D1275" w14:textId="77777777" w:rsidR="00F52211" w:rsidRPr="00F4200D" w:rsidRDefault="00000000">
      <w:pPr>
        <w:spacing w:before="240" w:after="240"/>
      </w:pPr>
      <w:r w:rsidRPr="00F4200D">
        <w:t>WHO (2025). Dementia.   World Health Organization. Available at:</w:t>
      </w:r>
      <w:hyperlink r:id="rId42">
        <w:r w:rsidR="00F52211" w:rsidRPr="00F4200D">
          <w:t xml:space="preserve"> </w:t>
        </w:r>
      </w:hyperlink>
      <w:hyperlink r:id="rId43">
        <w:r w:rsidR="00F52211" w:rsidRPr="00F4200D">
          <w:rPr>
            <w:color w:val="1155CC"/>
            <w:u w:val="single"/>
          </w:rPr>
          <w:t>https://www.who.int/news-room/fact-sheets/detail/dementia</w:t>
        </w:r>
      </w:hyperlink>
      <w:r w:rsidRPr="00F4200D">
        <w:t xml:space="preserve"> (Accessed: 18 February 2026).</w:t>
      </w:r>
    </w:p>
    <w:p w14:paraId="0D39E77A" w14:textId="77777777" w:rsidR="000D5AEF" w:rsidRPr="00F4200D" w:rsidRDefault="00000000" w:rsidP="00F52211">
      <w:pPr>
        <w:spacing w:before="240" w:after="240"/>
        <w:rPr>
          <w:highlight w:val="yellow"/>
        </w:rPr>
      </w:pPr>
      <w:r w:rsidRPr="00F4200D">
        <w:t xml:space="preserve">Worsley-Tonks, K.E., Bender, J.B., Deem, S.L., Ferguson, A.W., Fèvre, E.M., Martins, D.J., Muloi, D.M., Murray, S., Mutinda, M., Ogada, D. and Omondi, G.P., 2022. Strengthening global health security by improving disease surveillance in remote rural areas of low-income and middle-income countries. </w:t>
      </w:r>
      <w:r w:rsidRPr="00F4200D">
        <w:rPr>
          <w:i/>
          <w:iCs/>
        </w:rPr>
        <w:t>The Lancet Global Health</w:t>
      </w:r>
      <w:r w:rsidRPr="00F4200D">
        <w:t xml:space="preserve">, </w:t>
      </w:r>
      <w:r w:rsidRPr="00F4200D">
        <w:rPr>
          <w:i/>
          <w:iCs/>
        </w:rPr>
        <w:t>10</w:t>
      </w:r>
      <w:r w:rsidRPr="00F4200D">
        <w:t xml:space="preserve">(4), </w:t>
      </w:r>
      <w:proofErr w:type="gramStart"/>
      <w:r w:rsidRPr="00F4200D">
        <w:t>pp.e</w:t>
      </w:r>
      <w:proofErr w:type="gramEnd"/>
      <w:r w:rsidRPr="00F4200D">
        <w:t>579-e584. Available at:</w:t>
      </w:r>
      <w:hyperlink r:id="rId44">
        <w:r w:rsidR="000D5AEF" w:rsidRPr="00F4200D">
          <w:t xml:space="preserve"> </w:t>
        </w:r>
      </w:hyperlink>
      <w:hyperlink r:id="rId45">
        <w:r w:rsidR="000D5AEF" w:rsidRPr="00F4200D">
          <w:rPr>
            <w:color w:val="1155CC"/>
            <w:u w:val="single"/>
          </w:rPr>
          <w:t>https://www.thelancet.com/pdfs/journals/langlo/PIIS2214-109X(22)00031-6.pdf</w:t>
        </w:r>
      </w:hyperlink>
      <w:r w:rsidRPr="00F4200D">
        <w:t xml:space="preserve"> (Accessed: 19 February 2026).</w:t>
      </w:r>
    </w:p>
    <w:p w14:paraId="0171E60D" w14:textId="77777777" w:rsidR="000D5AEF" w:rsidRPr="00F4200D" w:rsidRDefault="000D5AEF">
      <w:pPr>
        <w:rPr>
          <w:b/>
          <w:bCs/>
        </w:rPr>
      </w:pPr>
    </w:p>
    <w:sectPr w:rsidR="000D5AEF" w:rsidRPr="00F4200D">
      <w:footerReference w:type="default" r:id="rId4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11BFA" w14:textId="77777777" w:rsidR="004635B1" w:rsidRDefault="004635B1">
      <w:pPr>
        <w:spacing w:line="240" w:lineRule="auto"/>
      </w:pPr>
      <w:r>
        <w:separator/>
      </w:r>
    </w:p>
  </w:endnote>
  <w:endnote w:type="continuationSeparator" w:id="0">
    <w:p w14:paraId="081D8842" w14:textId="77777777" w:rsidR="004635B1" w:rsidRDefault="004635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embedRegular r:id="rId1" w:fontKey="{2CF6DAEF-45FF-4ADC-A512-7705C9631E58}"/>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EE"/>
    <w:family w:val="roman"/>
    <w:pitch w:val="variable"/>
    <w:sig w:usb0="E00006FF" w:usb1="420024FF" w:usb2="02000000" w:usb3="00000000" w:csb0="0000019F" w:csb1="00000000"/>
    <w:embedRegular r:id="rId2" w:fontKey="{90BEEF7C-8A46-40CD-AF69-D9B626E0D2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3709288"/>
      <w:docPartObj>
        <w:docPartGallery w:val="Page Numbers (Bottom of Page)"/>
        <w:docPartUnique/>
      </w:docPartObj>
    </w:sdtPr>
    <w:sdtEndPr>
      <w:rPr>
        <w:noProof/>
      </w:rPr>
    </w:sdtEndPr>
    <w:sdtContent>
      <w:p w14:paraId="56250883" w14:textId="77777777" w:rsidR="0043153A" w:rsidRDefault="0000000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5C46753" w14:textId="77777777" w:rsidR="000D5AEF" w:rsidRDefault="000D5AEF">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60C70" w14:textId="77777777" w:rsidR="004635B1" w:rsidRDefault="004635B1">
      <w:pPr>
        <w:spacing w:line="240" w:lineRule="auto"/>
      </w:pPr>
      <w:r>
        <w:separator/>
      </w:r>
    </w:p>
  </w:footnote>
  <w:footnote w:type="continuationSeparator" w:id="0">
    <w:p w14:paraId="3BD0317F" w14:textId="77777777" w:rsidR="004635B1" w:rsidRDefault="004635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AEF"/>
    <w:rsid w:val="000D5AEF"/>
    <w:rsid w:val="0011725F"/>
    <w:rsid w:val="00167CDA"/>
    <w:rsid w:val="00416082"/>
    <w:rsid w:val="0043153A"/>
    <w:rsid w:val="004635B1"/>
    <w:rsid w:val="006F1B99"/>
    <w:rsid w:val="008B16CE"/>
    <w:rsid w:val="00913499"/>
    <w:rsid w:val="00A15DDF"/>
    <w:rsid w:val="00E71011"/>
    <w:rsid w:val="00F4200D"/>
    <w:rsid w:val="00F52211"/>
    <w:rsid w:val="00F91E7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67CB2"/>
  <w15:docId w15:val="{B2A13372-0BCA-4CE9-87D9-7F18957D2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bCs/>
      <w:sz w:val="28"/>
      <w:szCs w:val="28"/>
    </w:rPr>
  </w:style>
  <w:style w:type="paragraph" w:styleId="Titlu2">
    <w:name w:val="heading 2"/>
    <w:basedOn w:val="Normal"/>
    <w:next w:val="Normal"/>
    <w:uiPriority w:val="9"/>
    <w:unhideWhenUsed/>
    <w:qFormat/>
    <w:pPr>
      <w:keepNext/>
      <w:keepLines/>
      <w:outlineLvl w:val="1"/>
    </w:pPr>
    <w:rPr>
      <w:b/>
      <w:bCs/>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Frspaiere">
    <w:name w:val="No Spacing"/>
    <w:uiPriority w:val="1"/>
    <w:qFormat/>
    <w:rsid w:val="00F52211"/>
    <w:pPr>
      <w:spacing w:line="240" w:lineRule="auto"/>
    </w:pPr>
  </w:style>
  <w:style w:type="paragraph" w:styleId="Titlucuprins">
    <w:name w:val="TOC Heading"/>
    <w:basedOn w:val="Titlu1"/>
    <w:next w:val="Normal"/>
    <w:uiPriority w:val="39"/>
    <w:unhideWhenUsed/>
    <w:qFormat/>
    <w:rsid w:val="00F5221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F52211"/>
    <w:pPr>
      <w:spacing w:after="100"/>
    </w:pPr>
  </w:style>
  <w:style w:type="paragraph" w:styleId="Cuprins2">
    <w:name w:val="toc 2"/>
    <w:basedOn w:val="Normal"/>
    <w:next w:val="Normal"/>
    <w:autoRedefine/>
    <w:uiPriority w:val="39"/>
    <w:unhideWhenUsed/>
    <w:rsid w:val="00F52211"/>
    <w:pPr>
      <w:spacing w:after="100"/>
      <w:ind w:left="220"/>
    </w:pPr>
  </w:style>
  <w:style w:type="character" w:styleId="Hyperlink">
    <w:name w:val="Hyperlink"/>
    <w:basedOn w:val="Fontdeparagrafimplicit"/>
    <w:uiPriority w:val="99"/>
    <w:unhideWhenUsed/>
    <w:rsid w:val="00F52211"/>
    <w:rPr>
      <w:color w:val="0000FF" w:themeColor="hyperlink"/>
      <w:u w:val="single"/>
    </w:rPr>
  </w:style>
  <w:style w:type="paragraph" w:styleId="Antet">
    <w:name w:val="header"/>
    <w:basedOn w:val="Normal"/>
    <w:link w:val="AntetCaracter"/>
    <w:uiPriority w:val="99"/>
    <w:unhideWhenUsed/>
    <w:rsid w:val="0043153A"/>
    <w:pPr>
      <w:tabs>
        <w:tab w:val="center" w:pos="4513"/>
        <w:tab w:val="right" w:pos="9026"/>
      </w:tabs>
      <w:spacing w:line="240" w:lineRule="auto"/>
    </w:pPr>
  </w:style>
  <w:style w:type="character" w:customStyle="1" w:styleId="AntetCaracter">
    <w:name w:val="Antet Caracter"/>
    <w:basedOn w:val="Fontdeparagrafimplicit"/>
    <w:link w:val="Antet"/>
    <w:uiPriority w:val="99"/>
    <w:rsid w:val="0043153A"/>
  </w:style>
  <w:style w:type="paragraph" w:styleId="Subsol">
    <w:name w:val="footer"/>
    <w:basedOn w:val="Normal"/>
    <w:link w:val="SubsolCaracter"/>
    <w:uiPriority w:val="99"/>
    <w:unhideWhenUsed/>
    <w:rsid w:val="0043153A"/>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431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jhm.journals.ekb.eg/article_11499_42cf55fa991df8022428fba6298bf70e.pdf,https:/ejhm.journals.ekb.eg/article_11499.html,http:/ejhm.journals.ekb.eg/article_336533_66be8a0d10116943dc023ec9adba1008.pdf" TargetMode="External"/><Relationship Id="rId18" Type="http://schemas.openxmlformats.org/officeDocument/2006/relationships/hyperlink" Target="https://www.alzint.org/about/dementia-facts-figures/dementia-statistics/" TargetMode="External"/><Relationship Id="rId26" Type="http://schemas.openxmlformats.org/officeDocument/2006/relationships/hyperlink" Target="https://alz-journals.onlinelibrary.wiley.com/doi/pdf/10.1002/alz.70938" TargetMode="External"/><Relationship Id="rId39" Type="http://schemas.openxmlformats.org/officeDocument/2006/relationships/hyperlink" Target="https://www.binasss.sa.cr/bibliotecas/bhm/mar24/2.pdf" TargetMode="External"/><Relationship Id="rId21" Type="http://schemas.openxmlformats.org/officeDocument/2006/relationships/hyperlink" Target="https://www.mdpi.com/1648-9144/58/12/1705" TargetMode="External"/><Relationship Id="rId34" Type="http://schemas.openxmlformats.org/officeDocument/2006/relationships/hyperlink" Target="https://onlinelibrary.wiley.com/doi/pdf/10.1155/2023/8858773" TargetMode="External"/><Relationship Id="rId42" Type="http://schemas.openxmlformats.org/officeDocument/2006/relationships/hyperlink" Target="https://www.who.int/news-room/fact-sheets/detail/dementia"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lzheimers.org.uk/what-we-do/policy-and-influencing/dementia-scale-impact-numbers" TargetMode="External"/><Relationship Id="rId29" Type="http://schemas.openxmlformats.org/officeDocument/2006/relationships/hyperlink" Target="https://www.theguardian.com/society/article/2024/aug/14/dementia-five-charts-that-help-explain-britain-biggest-kill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Tonbara-Agbana/publication/394493844_Corresponding_author_Tonbara_Mike_Agbana_Challenges_and_Opportunities_in_Culturally-Sensitive_Dementia_Care_Among_Minority_Ethnic_Elderly_Populations_in_Urban_Settings/links/689f07b8fc368579b82ff468/Corresponding-author-Tonbara-Mike-Agbana-Challenges-and-Opportunities-in-Culturally-Sensitive-Dementia-Care-Among-Minority-Ethnic-Elderly-Populations-in-Urban-Settings.pdf" TargetMode="External"/><Relationship Id="rId24" Type="http://schemas.openxmlformats.org/officeDocument/2006/relationships/hyperlink" Target="https://www.sciencedirect.com/science/article/pii/S1532046420301489" TargetMode="External"/><Relationship Id="rId32" Type="http://schemas.openxmlformats.org/officeDocument/2006/relationships/hyperlink" Target="https://www.nhs.uk/conditions/dementia/about-dementia/what-is-dementia/" TargetMode="External"/><Relationship Id="rId37" Type="http://schemas.openxmlformats.org/officeDocument/2006/relationships/hyperlink" Target="https://link.springer.com/content/pdf/10.1007/s41999-024-01113-8.pdf" TargetMode="External"/><Relationship Id="rId40" Type="http://schemas.openxmlformats.org/officeDocument/2006/relationships/hyperlink" Target="https://journals.plos.org/plosone/article/file?id=10.1371/journal.pone.0316448&amp;type=printable" TargetMode="External"/><Relationship Id="rId45" Type="http://schemas.openxmlformats.org/officeDocument/2006/relationships/hyperlink" Target="https://www.thelancet.com/pdfs/journals/langlo/PIIS2214-109X(22)00031-6.pdf" TargetMode="External"/><Relationship Id="rId5" Type="http://schemas.openxmlformats.org/officeDocument/2006/relationships/footnotes" Target="footnotes.xml"/><Relationship Id="rId15" Type="http://schemas.openxmlformats.org/officeDocument/2006/relationships/hyperlink" Target="https://pmc.ncbi.nlm.nih.gov/articles/PMC9009364/pdf/ijic-22-2-6418.pdf" TargetMode="External"/><Relationship Id="rId23" Type="http://schemas.openxmlformats.org/officeDocument/2006/relationships/hyperlink" Target="https://www.mdpi.com/2071-1050/16/19/8700" TargetMode="External"/><Relationship Id="rId28" Type="http://schemas.openxmlformats.org/officeDocument/2006/relationships/hyperlink" Target="https://www.theguardian.com/society/article/2024/aug/14/dementia-five-charts-that-help-explain-britain-biggest-killer" TargetMode="External"/><Relationship Id="rId36" Type="http://schemas.openxmlformats.org/officeDocument/2006/relationships/hyperlink" Target="https://link.springer.com/content/pdf/10.1007/s41999-024-01113-8.pdf" TargetMode="External"/><Relationship Id="rId10" Type="http://schemas.openxmlformats.org/officeDocument/2006/relationships/hyperlink" Target="https://www.researchgate.net/profile/Tonbara-Agbana/publication/394493844_Corresponding_author_Tonbara_Mike_Agbana_Challenges_and_Opportunities_in_Culturally-Sensitive_Dementia_Care_Among_Minority_Ethnic_Elderly_Populations_in_Urban_Settings/links/689f07b8fc368579b82ff468/Corresponding-author-Tonbara-Mike-Agbana-Challenges-and-Opportunities-in-Culturally-Sensitive-Dementia-Care-Among-Minority-Ethnic-Elderly-Populations-in-Urban-Settings.pdf" TargetMode="External"/><Relationship Id="rId19" Type="http://schemas.openxmlformats.org/officeDocument/2006/relationships/hyperlink" Target="https://www.alzint.org/about/dementia-facts-figures/dementia-statistics/" TargetMode="External"/><Relationship Id="rId31" Type="http://schemas.openxmlformats.org/officeDocument/2006/relationships/hyperlink" Target="https://diabeticstudies.org/index.php/RDS/article/download/1403/1240" TargetMode="External"/><Relationship Id="rId44" Type="http://schemas.openxmlformats.org/officeDocument/2006/relationships/hyperlink" Target="https://www.thelancet.com/pdfs/journals/langlo/PIIS2214-109X(22)00031-6.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pmc.ncbi.nlm.nih.gov/articles/PMC9009364/pdf/ijic-22-2-6418.pdf" TargetMode="External"/><Relationship Id="rId22" Type="http://schemas.openxmlformats.org/officeDocument/2006/relationships/hyperlink" Target="https://www.mdpi.com/2071-1050/16/19/8700" TargetMode="External"/><Relationship Id="rId27" Type="http://schemas.openxmlformats.org/officeDocument/2006/relationships/hyperlink" Target="https://alz-journals.onlinelibrary.wiley.com/doi/pdf/10.1002/alz.70938" TargetMode="External"/><Relationship Id="rId30" Type="http://schemas.openxmlformats.org/officeDocument/2006/relationships/hyperlink" Target="https://diabeticstudies.org/index.php/RDS/article/download/1403/1240" TargetMode="External"/><Relationship Id="rId35" Type="http://schemas.openxmlformats.org/officeDocument/2006/relationships/hyperlink" Target="https://onlinelibrary.wiley.com/doi/pdf/10.1155/2023/8858773" TargetMode="External"/><Relationship Id="rId43" Type="http://schemas.openxmlformats.org/officeDocument/2006/relationships/hyperlink" Target="https://www.who.int/news-room/fact-sheets/detail/dementia"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ejhm.journals.ekb.eg/article_11499_42cf55fa991df8022428fba6298bf70e.pdf,https:/ejhm.journals.ekb.eg/article_11499.html,http:/ejhm.journals.ekb.eg/article_336533_66be8a0d10116943dc023ec9adba1008.pdf" TargetMode="External"/><Relationship Id="rId17" Type="http://schemas.openxmlformats.org/officeDocument/2006/relationships/hyperlink" Target="https://www.alzheimers.org.uk/what-we-do/policy-and-influencing/dementia-scale-impact-numbers" TargetMode="External"/><Relationship Id="rId25" Type="http://schemas.openxmlformats.org/officeDocument/2006/relationships/hyperlink" Target="https://www.sciencedirect.com/science/article/pii/S1532046420301489" TargetMode="External"/><Relationship Id="rId33" Type="http://schemas.openxmlformats.org/officeDocument/2006/relationships/hyperlink" Target="https://www.nhs.uk/conditions/dementia/about-dementia/what-is-dementia/" TargetMode="External"/><Relationship Id="rId38" Type="http://schemas.openxmlformats.org/officeDocument/2006/relationships/hyperlink" Target="https://www.binasss.sa.cr/bibliotecas/bhm/mar24/2.pdf" TargetMode="External"/><Relationship Id="rId46" Type="http://schemas.openxmlformats.org/officeDocument/2006/relationships/footer" Target="footer1.xml"/><Relationship Id="rId20" Type="http://schemas.openxmlformats.org/officeDocument/2006/relationships/hyperlink" Target="https://www.mdpi.com/1648-9144/58/12/1705" TargetMode="External"/><Relationship Id="rId41" Type="http://schemas.openxmlformats.org/officeDocument/2006/relationships/hyperlink" Target="https://journals.plos.org/plosone/article/file?id=10.1371/journal.pone.0316448&amp;type=printable"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40CBC-6770-4B43-AAB2-A624BC108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1</Pages>
  <Words>4032</Words>
  <Characters>23388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George Priboi</cp:lastModifiedBy>
  <cp:revision>9</cp:revision>
  <dcterms:created xsi:type="dcterms:W3CDTF">2026-02-18T11:04:00Z</dcterms:created>
  <dcterms:modified xsi:type="dcterms:W3CDTF">2026-03-19T21:10:00Z</dcterms:modified>
</cp:coreProperties>
</file>