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91B49" w14:textId="77777777" w:rsidR="000B594B" w:rsidRPr="00A85BFE" w:rsidRDefault="000B594B"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7427908" wp14:editId="2C2A0E1C">
            <wp:simplePos x="457200" y="457200"/>
            <wp:positionH relativeFrom="column">
              <wp:align>left</wp:align>
            </wp:positionH>
            <wp:positionV relativeFrom="paragraph">
              <wp:align>top</wp:align>
            </wp:positionV>
            <wp:extent cx="1809750" cy="723900"/>
            <wp:effectExtent l="0" t="0" r="0" b="0"/>
            <wp:wrapSquare wrapText="bothSides"/>
            <wp:docPr id="343407483" name="Picture 34340748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4BE8ADBD" w14:textId="77777777" w:rsidR="000B594B" w:rsidRPr="00A406E5" w:rsidRDefault="000B594B"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130"/>
      </w:tblGrid>
      <w:tr w:rsidR="000B594B" w:rsidRPr="00A406E5" w14:paraId="0B22645F" w14:textId="77777777" w:rsidTr="00A406E5">
        <w:tc>
          <w:tcPr>
            <w:tcW w:w="9922" w:type="dxa"/>
            <w:shd w:val="clear" w:color="auto" w:fill="C0C0C0"/>
          </w:tcPr>
          <w:p w14:paraId="385E0CEB" w14:textId="77777777" w:rsidR="000B594B" w:rsidRPr="00A406E5" w:rsidRDefault="000B594B" w:rsidP="00552351">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171518D" w14:textId="77777777" w:rsidR="000B594B" w:rsidRPr="00A406E5" w:rsidRDefault="000B594B" w:rsidP="002D5B3F">
      <w:pPr>
        <w:jc w:val="center"/>
        <w:rPr>
          <w:rFonts w:ascii="Arial" w:hAnsi="Arial" w:cs="Arial"/>
          <w:b/>
          <w:i/>
          <w:sz w:val="32"/>
        </w:rPr>
      </w:pP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B594B" w:rsidRPr="00A406E5" w14:paraId="446BE02A" w14:textId="77777777" w:rsidTr="000B594B">
        <w:tc>
          <w:tcPr>
            <w:tcW w:w="2093" w:type="dxa"/>
          </w:tcPr>
          <w:p w14:paraId="33525B2D" w14:textId="77777777" w:rsidR="000B594B" w:rsidRPr="00A406E5" w:rsidRDefault="000B594B"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98095BA" w14:textId="554D6691" w:rsidR="000B594B" w:rsidRPr="00A406E5" w:rsidRDefault="000B594B" w:rsidP="001E57C1">
            <w:pPr>
              <w:spacing w:before="120" w:after="120"/>
              <w:jc w:val="both"/>
              <w:rPr>
                <w:rFonts w:ascii="Arial" w:hAnsi="Arial" w:cs="Arial"/>
                <w:b/>
                <w:sz w:val="22"/>
                <w:szCs w:val="22"/>
              </w:rPr>
            </w:pPr>
            <w:r>
              <w:rPr>
                <w:rFonts w:ascii="Arial" w:hAnsi="Arial" w:cs="Arial"/>
                <w:b/>
                <w:sz w:val="22"/>
                <w:szCs w:val="22"/>
              </w:rPr>
              <w:t>Daniel Stoican</w:t>
            </w:r>
          </w:p>
        </w:tc>
        <w:tc>
          <w:tcPr>
            <w:tcW w:w="2268" w:type="dxa"/>
            <w:shd w:val="clear" w:color="auto" w:fill="D9D9D9" w:themeFill="background1" w:themeFillShade="D9"/>
          </w:tcPr>
          <w:p w14:paraId="54FCEC3E" w14:textId="77777777" w:rsidR="000B594B" w:rsidRPr="00A406E5" w:rsidRDefault="000B594B"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5FFE11E" w14:textId="30FE51F4" w:rsidR="000B594B" w:rsidRPr="00A406E5" w:rsidRDefault="000B594B" w:rsidP="001E57C1">
            <w:pPr>
              <w:spacing w:before="120" w:after="120"/>
              <w:jc w:val="both"/>
              <w:rPr>
                <w:rFonts w:ascii="Arial" w:hAnsi="Arial" w:cs="Arial"/>
                <w:b/>
                <w:sz w:val="22"/>
                <w:szCs w:val="22"/>
              </w:rPr>
            </w:pPr>
            <w:r>
              <w:rPr>
                <w:rFonts w:ascii="Arial" w:hAnsi="Arial" w:cs="Arial"/>
                <w:b/>
                <w:sz w:val="22"/>
                <w:szCs w:val="22"/>
              </w:rPr>
              <w:t>2228042</w:t>
            </w:r>
          </w:p>
        </w:tc>
      </w:tr>
      <w:tr w:rsidR="000B594B" w:rsidRPr="00A406E5" w14:paraId="2DE84F77" w14:textId="77777777" w:rsidTr="000B594B">
        <w:tc>
          <w:tcPr>
            <w:tcW w:w="2093" w:type="dxa"/>
          </w:tcPr>
          <w:p w14:paraId="798381CC" w14:textId="77777777" w:rsidR="000B594B" w:rsidRPr="00A406E5" w:rsidRDefault="000B594B"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176772" w14:textId="77777777" w:rsidR="000B594B" w:rsidRPr="00A406E5" w:rsidRDefault="000B594B" w:rsidP="00E51AAC">
            <w:pPr>
              <w:spacing w:before="120" w:after="120"/>
              <w:jc w:val="both"/>
              <w:rPr>
                <w:rFonts w:ascii="Arial" w:hAnsi="Arial" w:cs="Arial"/>
                <w:b/>
                <w:sz w:val="22"/>
                <w:szCs w:val="22"/>
              </w:rPr>
            </w:pPr>
            <w:r w:rsidRPr="00BD43C7">
              <w:rPr>
                <w:rFonts w:ascii="Arial" w:hAnsi="Arial" w:cs="Arial"/>
                <w:b/>
                <w:sz w:val="22"/>
                <w:szCs w:val="22"/>
              </w:rPr>
              <w:t xml:space="preserve">BA (Hons) Leadership and Management Skills for the Workplace   </w:t>
            </w:r>
          </w:p>
        </w:tc>
      </w:tr>
      <w:tr w:rsidR="000B594B" w:rsidRPr="00A406E5" w14:paraId="5D7CFFA1" w14:textId="77777777" w:rsidTr="000B594B">
        <w:tc>
          <w:tcPr>
            <w:tcW w:w="2093" w:type="dxa"/>
          </w:tcPr>
          <w:p w14:paraId="443D53E8" w14:textId="77777777" w:rsidR="000B594B" w:rsidRPr="00A406E5" w:rsidRDefault="000B594B"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FC8D6A6" w14:textId="77777777" w:rsidR="000B594B" w:rsidRDefault="000B594B" w:rsidP="00B62895">
            <w:pPr>
              <w:rPr>
                <w:rFonts w:ascii="Arial" w:hAnsi="Arial" w:cs="Arial"/>
                <w:b/>
                <w:bCs/>
                <w:color w:val="000000" w:themeColor="text1"/>
                <w:sz w:val="22"/>
                <w:szCs w:val="22"/>
              </w:rPr>
            </w:pPr>
          </w:p>
          <w:p w14:paraId="56DFA9AC" w14:textId="77777777" w:rsidR="000B594B" w:rsidRPr="00A406E5" w:rsidRDefault="000B594B" w:rsidP="00B62895">
            <w:pPr>
              <w:rPr>
                <w:rFonts w:ascii="Arial" w:hAnsi="Arial" w:cs="Arial"/>
                <w:b/>
                <w:sz w:val="22"/>
                <w:szCs w:val="22"/>
              </w:rPr>
            </w:pPr>
            <w:r w:rsidRPr="00B62895">
              <w:rPr>
                <w:rFonts w:ascii="Arial" w:hAnsi="Arial" w:cs="Arial"/>
                <w:b/>
                <w:bCs/>
                <w:color w:val="000000" w:themeColor="text1"/>
                <w:sz w:val="22"/>
                <w:szCs w:val="22"/>
              </w:rPr>
              <w:t xml:space="preserve">Managing Business Information  </w:t>
            </w:r>
            <w:r w:rsidRPr="00B62895">
              <w:rPr>
                <w:rFonts w:ascii="Arial" w:hAnsi="Arial" w:cs="Arial"/>
                <w:color w:val="000000" w:themeColor="text1"/>
                <w:sz w:val="22"/>
                <w:szCs w:val="22"/>
              </w:rPr>
              <w:t xml:space="preserve"> </w:t>
            </w:r>
          </w:p>
        </w:tc>
      </w:tr>
      <w:tr w:rsidR="000B594B" w:rsidRPr="00A406E5" w14:paraId="6D10F9F4" w14:textId="77777777" w:rsidTr="000B594B">
        <w:tc>
          <w:tcPr>
            <w:tcW w:w="2093" w:type="dxa"/>
          </w:tcPr>
          <w:p w14:paraId="1F679CA8" w14:textId="77777777" w:rsidR="000B594B" w:rsidRPr="00A406E5" w:rsidRDefault="000B594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F19259" w14:textId="77777777" w:rsidR="000B594B" w:rsidRPr="00A406E5" w:rsidRDefault="000B594B" w:rsidP="00152E9D">
            <w:pPr>
              <w:spacing w:before="120" w:after="120"/>
              <w:jc w:val="both"/>
              <w:rPr>
                <w:rFonts w:ascii="Arial" w:hAnsi="Arial" w:cs="Arial"/>
                <w:b/>
                <w:sz w:val="22"/>
                <w:szCs w:val="22"/>
              </w:rPr>
            </w:pPr>
            <w:r>
              <w:rPr>
                <w:rFonts w:ascii="Arial" w:hAnsi="Arial" w:cs="Arial"/>
                <w:b/>
                <w:sz w:val="22"/>
                <w:szCs w:val="22"/>
              </w:rPr>
              <w:t>LCLM 5004</w:t>
            </w:r>
          </w:p>
        </w:tc>
        <w:tc>
          <w:tcPr>
            <w:tcW w:w="2268" w:type="dxa"/>
            <w:shd w:val="clear" w:color="auto" w:fill="D9D9D9" w:themeFill="background1" w:themeFillShade="D9"/>
          </w:tcPr>
          <w:p w14:paraId="22885ED0" w14:textId="77777777" w:rsidR="000B594B" w:rsidRPr="004D5E9B" w:rsidRDefault="000B594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AA1C6A" w14:textId="77777777" w:rsidR="000B594B" w:rsidRPr="00B62895" w:rsidRDefault="000B594B" w:rsidP="00E51AAC">
            <w:pPr>
              <w:spacing w:before="120" w:after="120"/>
              <w:jc w:val="both"/>
              <w:rPr>
                <w:rFonts w:ascii="Arial" w:hAnsi="Arial" w:cs="Arial"/>
                <w:b/>
                <w:sz w:val="22"/>
                <w:szCs w:val="22"/>
              </w:rPr>
            </w:pPr>
            <w:r w:rsidRPr="00B62895">
              <w:rPr>
                <w:rFonts w:ascii="Arial" w:hAnsi="Arial" w:cs="Arial"/>
                <w:b/>
                <w:sz w:val="21"/>
              </w:rPr>
              <w:t>50%</w:t>
            </w:r>
          </w:p>
        </w:tc>
      </w:tr>
      <w:tr w:rsidR="000B594B" w:rsidRPr="00A406E5" w14:paraId="2150B38B" w14:textId="77777777" w:rsidTr="000B594B">
        <w:tc>
          <w:tcPr>
            <w:tcW w:w="2093" w:type="dxa"/>
          </w:tcPr>
          <w:p w14:paraId="3F51F19D" w14:textId="77777777" w:rsidR="000B594B" w:rsidRPr="00A406E5" w:rsidRDefault="000B594B"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AEE422" w14:textId="77777777" w:rsidR="000B594B" w:rsidRPr="00230167" w:rsidRDefault="000B594B" w:rsidP="00230167">
            <w:pPr>
              <w:spacing w:before="120" w:after="120" w:line="259" w:lineRule="auto"/>
              <w:jc w:val="both"/>
              <w:rPr>
                <w:rFonts w:ascii="Arial" w:hAnsi="Arial" w:cs="Arial"/>
                <w:b/>
                <w:bCs/>
                <w:sz w:val="22"/>
                <w:szCs w:val="22"/>
                <w:lang w:val="sv-SE"/>
              </w:rPr>
            </w:pPr>
            <w:r w:rsidRPr="00230167">
              <w:rPr>
                <w:rFonts w:ascii="Arial" w:hAnsi="Arial" w:cs="Arial"/>
                <w:b/>
                <w:bCs/>
                <w:sz w:val="22"/>
                <w:szCs w:val="22"/>
                <w:lang w:val="sv-SE"/>
              </w:rPr>
              <w:t>Dr. Amer Kareem</w:t>
            </w:r>
          </w:p>
          <w:p w14:paraId="6172CCDC" w14:textId="77777777" w:rsidR="000B594B" w:rsidRPr="00230167" w:rsidRDefault="000B594B" w:rsidP="00230167">
            <w:pPr>
              <w:spacing w:before="120" w:after="120"/>
              <w:jc w:val="both"/>
              <w:rPr>
                <w:rFonts w:ascii="Arial" w:hAnsi="Arial" w:cs="Arial"/>
                <w:b/>
                <w:bCs/>
                <w:sz w:val="22"/>
                <w:szCs w:val="22"/>
                <w:lang w:val="sv-SE"/>
              </w:rPr>
            </w:pPr>
            <w:r w:rsidRPr="000B39BD">
              <w:rPr>
                <w:rFonts w:ascii="Arial" w:hAnsi="Arial" w:cs="Arial"/>
                <w:b/>
                <w:bCs/>
                <w:sz w:val="22"/>
                <w:szCs w:val="22"/>
                <w:lang w:val="sv-SE"/>
              </w:rPr>
              <w:t>Dian Mayasari</w:t>
            </w:r>
            <w:r w:rsidRPr="00230167">
              <w:rPr>
                <w:rFonts w:ascii="Arial" w:hAnsi="Arial" w:cs="Arial"/>
                <w:b/>
                <w:bCs/>
                <w:sz w:val="22"/>
                <w:szCs w:val="22"/>
                <w:lang w:val="sv-SE"/>
              </w:rPr>
              <w:t xml:space="preserve"> </w:t>
            </w:r>
          </w:p>
        </w:tc>
        <w:tc>
          <w:tcPr>
            <w:tcW w:w="2268" w:type="dxa"/>
            <w:shd w:val="clear" w:color="auto" w:fill="D9D9D9" w:themeFill="background1" w:themeFillShade="D9"/>
          </w:tcPr>
          <w:p w14:paraId="0C29EBF7" w14:textId="77777777" w:rsidR="000B594B" w:rsidRPr="00A406E5" w:rsidRDefault="000B594B"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4E269E" w14:textId="77777777" w:rsidR="000B594B" w:rsidRDefault="000B594B" w:rsidP="28FCB33E">
            <w:pPr>
              <w:spacing w:before="120" w:after="120"/>
              <w:jc w:val="both"/>
              <w:rPr>
                <w:rFonts w:ascii="Arial" w:hAnsi="Arial" w:cs="Arial"/>
                <w:b/>
                <w:bCs/>
                <w:sz w:val="22"/>
                <w:szCs w:val="22"/>
              </w:rPr>
            </w:pPr>
            <w:r w:rsidRPr="28FCB33E">
              <w:rPr>
                <w:rFonts w:ascii="Arial" w:hAnsi="Arial" w:cs="Arial"/>
                <w:b/>
                <w:bCs/>
                <w:sz w:val="22"/>
                <w:szCs w:val="22"/>
              </w:rPr>
              <w:t>Md Kalam</w:t>
            </w:r>
          </w:p>
          <w:p w14:paraId="342C449B" w14:textId="77777777" w:rsidR="000B594B" w:rsidRPr="00A406E5" w:rsidRDefault="000B594B" w:rsidP="28FCB33E">
            <w:pPr>
              <w:spacing w:before="120" w:after="120"/>
              <w:jc w:val="both"/>
              <w:rPr>
                <w:rFonts w:ascii="Arial" w:hAnsi="Arial" w:cs="Arial"/>
                <w:b/>
                <w:bCs/>
                <w:sz w:val="22"/>
                <w:szCs w:val="22"/>
              </w:rPr>
            </w:pPr>
            <w:r>
              <w:rPr>
                <w:rFonts w:ascii="Arial" w:hAnsi="Arial" w:cs="Arial"/>
                <w:b/>
                <w:bCs/>
                <w:sz w:val="22"/>
                <w:szCs w:val="22"/>
              </w:rPr>
              <w:t>Samuel Ofori</w:t>
            </w:r>
          </w:p>
        </w:tc>
      </w:tr>
      <w:tr w:rsidR="000B594B" w:rsidRPr="00A406E5" w14:paraId="721B48E9" w14:textId="77777777" w:rsidTr="000B594B">
        <w:tc>
          <w:tcPr>
            <w:tcW w:w="2093" w:type="dxa"/>
          </w:tcPr>
          <w:p w14:paraId="3004AF0B" w14:textId="77777777" w:rsidR="000B594B" w:rsidRPr="00A406E5" w:rsidRDefault="000B594B"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BC00C7" w14:textId="77777777" w:rsidR="000B594B" w:rsidRPr="003F5C27" w:rsidRDefault="000B594B" w:rsidP="00230167">
            <w:pPr>
              <w:spacing w:before="120" w:after="120"/>
              <w:rPr>
                <w:rFonts w:ascii="Arial" w:hAnsi="Arial" w:cs="Arial"/>
                <w:b/>
                <w:bCs/>
                <w:sz w:val="22"/>
                <w:szCs w:val="22"/>
              </w:rPr>
            </w:pPr>
            <w:r w:rsidRPr="28FCB33E">
              <w:rPr>
                <w:rFonts w:ascii="Arial" w:hAnsi="Arial" w:cs="Arial"/>
                <w:b/>
                <w:bCs/>
                <w:color w:val="000000" w:themeColor="text1"/>
                <w:sz w:val="24"/>
                <w:szCs w:val="24"/>
              </w:rPr>
              <w:t>Component 2-</w:t>
            </w:r>
            <w:r w:rsidRPr="28FCB33E">
              <w:rPr>
                <w:rFonts w:ascii="Arial" w:hAnsi="Arial" w:cs="Arial"/>
                <w:b/>
                <w:bCs/>
                <w:sz w:val="24"/>
                <w:szCs w:val="24"/>
              </w:rPr>
              <w:t xml:space="preserve"> </w:t>
            </w:r>
            <w:r w:rsidRPr="28FCB33E">
              <w:rPr>
                <w:b/>
                <w:bCs/>
                <w:sz w:val="24"/>
                <w:szCs w:val="24"/>
              </w:rPr>
              <w:t>Individual report</w:t>
            </w:r>
            <w:r>
              <w:rPr>
                <w:rFonts w:ascii="Arial" w:hAnsi="Arial" w:cs="Arial"/>
                <w:b/>
                <w:bCs/>
                <w:color w:val="000000" w:themeColor="text1"/>
                <w:sz w:val="22"/>
                <w:szCs w:val="22"/>
              </w:rPr>
              <w:t xml:space="preserve">- </w:t>
            </w:r>
            <w:r w:rsidRPr="28FCB33E">
              <w:rPr>
                <w:rFonts w:ascii="Arial" w:hAnsi="Arial" w:cs="Arial"/>
                <w:b/>
                <w:bCs/>
                <w:color w:val="000000" w:themeColor="text1"/>
                <w:sz w:val="22"/>
                <w:szCs w:val="22"/>
              </w:rPr>
              <w:t>Information Systems Improvements</w:t>
            </w:r>
          </w:p>
        </w:tc>
        <w:tc>
          <w:tcPr>
            <w:tcW w:w="2268" w:type="dxa"/>
          </w:tcPr>
          <w:p w14:paraId="4D76AC95" w14:textId="77777777" w:rsidR="000B594B" w:rsidRPr="00A406E5" w:rsidRDefault="000B594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C7A53F" w14:textId="77777777" w:rsidR="000B594B" w:rsidRPr="00A406E5" w:rsidRDefault="000B594B" w:rsidP="003F5C27">
            <w:pPr>
              <w:pStyle w:val="TableParagraph"/>
              <w:spacing w:before="1"/>
              <w:ind w:left="108"/>
              <w:rPr>
                <w:b/>
              </w:rPr>
            </w:pPr>
            <w:r w:rsidRPr="003F5C27">
              <w:rPr>
                <w:b/>
                <w:sz w:val="21"/>
                <w:szCs w:val="21"/>
              </w:rPr>
              <w:t xml:space="preserve">2,000 </w:t>
            </w:r>
            <w:r>
              <w:rPr>
                <w:b/>
                <w:sz w:val="21"/>
                <w:szCs w:val="21"/>
              </w:rPr>
              <w:t>±</w:t>
            </w:r>
            <w:r w:rsidRPr="003F5C27">
              <w:rPr>
                <w:b/>
                <w:sz w:val="21"/>
                <w:szCs w:val="21"/>
              </w:rPr>
              <w:t>10%</w:t>
            </w:r>
            <w:r>
              <w:rPr>
                <w:b/>
                <w:sz w:val="21"/>
                <w:szCs w:val="21"/>
              </w:rPr>
              <w:t xml:space="preserve"> </w:t>
            </w:r>
            <w:r w:rsidRPr="003F5C27">
              <w:rPr>
                <w:b/>
                <w:sz w:val="21"/>
                <w:szCs w:val="21"/>
              </w:rPr>
              <w:t>words</w:t>
            </w:r>
          </w:p>
        </w:tc>
      </w:tr>
      <w:tr w:rsidR="000B594B" w:rsidRPr="00A406E5" w14:paraId="5C2AC755" w14:textId="77777777" w:rsidTr="000B594B">
        <w:tc>
          <w:tcPr>
            <w:tcW w:w="2093" w:type="dxa"/>
          </w:tcPr>
          <w:p w14:paraId="1BC9097C" w14:textId="77777777" w:rsidR="000B594B" w:rsidRPr="00A406E5" w:rsidRDefault="000B594B"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A7D90D3" w14:textId="77777777" w:rsidR="000B594B" w:rsidRDefault="000B594B" w:rsidP="00897DD1">
            <w:pPr>
              <w:pStyle w:val="TableParagraph"/>
              <w:spacing w:before="119" w:line="360" w:lineRule="auto"/>
              <w:ind w:left="105"/>
              <w:rPr>
                <w:b/>
                <w:bCs/>
              </w:rPr>
            </w:pPr>
            <w:r>
              <w:rPr>
                <w:b/>
                <w:bCs/>
              </w:rPr>
              <w:t>21</w:t>
            </w:r>
            <w:r w:rsidRPr="00350ECA">
              <w:rPr>
                <w:b/>
                <w:bCs/>
                <w:vertAlign w:val="superscript"/>
              </w:rPr>
              <w:t>st</w:t>
            </w:r>
            <w:r>
              <w:rPr>
                <w:b/>
                <w:bCs/>
              </w:rPr>
              <w:t xml:space="preserve"> November 2025</w:t>
            </w:r>
          </w:p>
          <w:p w14:paraId="0E2999AA" w14:textId="77777777" w:rsidR="000B594B" w:rsidRPr="00A406E5" w:rsidRDefault="000B594B" w:rsidP="00897DD1">
            <w:pPr>
              <w:pStyle w:val="TableParagraph"/>
              <w:spacing w:before="119" w:line="360" w:lineRule="auto"/>
              <w:ind w:left="105"/>
              <w:rPr>
                <w:b/>
                <w:bCs/>
              </w:rPr>
            </w:pPr>
            <w:r>
              <w:rPr>
                <w:b/>
                <w:bCs/>
              </w:rPr>
              <w:t>14:00 (2PM)</w:t>
            </w:r>
          </w:p>
        </w:tc>
        <w:tc>
          <w:tcPr>
            <w:tcW w:w="2268" w:type="dxa"/>
          </w:tcPr>
          <w:p w14:paraId="6CF8CC46" w14:textId="77777777" w:rsidR="000B594B" w:rsidRPr="00A406E5" w:rsidRDefault="000B594B"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C17824" w14:textId="77777777" w:rsidR="000B594B" w:rsidRDefault="000B594B" w:rsidP="146D77D4">
            <w:pPr>
              <w:jc w:val="center"/>
              <w:rPr>
                <w:rFonts w:ascii="Aptos Narrow" w:eastAsia="Aptos Narrow" w:hAnsi="Aptos Narrow" w:cs="Aptos Narrow"/>
                <w:b/>
                <w:bCs/>
                <w:color w:val="FF0000"/>
                <w:sz w:val="22"/>
                <w:szCs w:val="22"/>
              </w:rPr>
            </w:pPr>
            <w:r w:rsidRPr="00350ECA">
              <w:rPr>
                <w:rFonts w:ascii="Aptos Narrow" w:eastAsia="Aptos Narrow" w:hAnsi="Aptos Narrow" w:cs="Aptos Narrow"/>
                <w:b/>
                <w:bCs/>
                <w:sz w:val="22"/>
                <w:szCs w:val="22"/>
              </w:rPr>
              <w:t>19</w:t>
            </w:r>
            <w:r w:rsidRPr="00350ECA">
              <w:rPr>
                <w:rFonts w:ascii="Aptos Narrow" w:eastAsia="Aptos Narrow" w:hAnsi="Aptos Narrow" w:cs="Aptos Narrow"/>
                <w:b/>
                <w:bCs/>
                <w:sz w:val="22"/>
                <w:szCs w:val="22"/>
                <w:vertAlign w:val="superscript"/>
              </w:rPr>
              <w:t>th</w:t>
            </w:r>
            <w:r w:rsidRPr="00350ECA">
              <w:rPr>
                <w:rFonts w:ascii="Aptos Narrow" w:eastAsia="Aptos Narrow" w:hAnsi="Aptos Narrow" w:cs="Aptos Narrow"/>
                <w:b/>
                <w:bCs/>
                <w:sz w:val="22"/>
                <w:szCs w:val="22"/>
              </w:rPr>
              <w:t xml:space="preserve"> December 2025</w:t>
            </w:r>
          </w:p>
        </w:tc>
      </w:tr>
    </w:tbl>
    <w:p w14:paraId="07C3C7A0" w14:textId="77777777" w:rsidR="000A7C04" w:rsidRDefault="000A7C04" w:rsidP="000A7C04">
      <w:pPr>
        <w:spacing w:line="360" w:lineRule="auto"/>
        <w:jc w:val="both"/>
        <w:rPr>
          <w:rFonts w:ascii="Arial" w:hAnsi="Arial" w:cs="Arial"/>
          <w:color w:val="000000" w:themeColor="text1"/>
          <w:sz w:val="22"/>
          <w:szCs w:val="22"/>
        </w:rPr>
      </w:pPr>
    </w:p>
    <w:p w14:paraId="7CCDF36D" w14:textId="77777777" w:rsidR="000A7C04" w:rsidRDefault="000A7C04" w:rsidP="000A7C04">
      <w:pPr>
        <w:spacing w:line="360" w:lineRule="auto"/>
        <w:jc w:val="both"/>
        <w:rPr>
          <w:rFonts w:ascii="Arial" w:hAnsi="Arial" w:cs="Arial"/>
          <w:color w:val="000000" w:themeColor="text1"/>
          <w:sz w:val="22"/>
          <w:szCs w:val="22"/>
        </w:rPr>
      </w:pPr>
    </w:p>
    <w:p w14:paraId="0400A68B" w14:textId="77777777" w:rsidR="000A7C04" w:rsidRDefault="000A7C04" w:rsidP="000A7C04">
      <w:pPr>
        <w:spacing w:line="360" w:lineRule="auto"/>
        <w:jc w:val="both"/>
        <w:rPr>
          <w:rFonts w:ascii="Arial" w:hAnsi="Arial" w:cs="Arial"/>
          <w:color w:val="000000" w:themeColor="text1"/>
          <w:sz w:val="22"/>
          <w:szCs w:val="22"/>
        </w:rPr>
      </w:pPr>
    </w:p>
    <w:p w14:paraId="44C241A0" w14:textId="77777777" w:rsidR="00E94C86" w:rsidRPr="000A7C04" w:rsidRDefault="00E94C86" w:rsidP="000A7C04">
      <w:pPr>
        <w:spacing w:line="360" w:lineRule="auto"/>
        <w:jc w:val="center"/>
        <w:rPr>
          <w:rFonts w:ascii="Arial" w:hAnsi="Arial" w:cs="Arial"/>
          <w:b/>
          <w:bCs/>
          <w:color w:val="000000" w:themeColor="text1"/>
          <w:sz w:val="22"/>
          <w:szCs w:val="22"/>
        </w:rPr>
      </w:pPr>
    </w:p>
    <w:p w14:paraId="6B5C6C77" w14:textId="77777777" w:rsidR="00E94C86" w:rsidRPr="000A7C04" w:rsidRDefault="00B3798C" w:rsidP="000A7C04">
      <w:pPr>
        <w:spacing w:line="360" w:lineRule="auto"/>
        <w:jc w:val="center"/>
        <w:rPr>
          <w:rFonts w:ascii="Arial" w:hAnsi="Arial" w:cs="Arial"/>
          <w:b/>
          <w:bCs/>
          <w:color w:val="000000" w:themeColor="text1"/>
          <w:sz w:val="22"/>
          <w:szCs w:val="22"/>
        </w:rPr>
      </w:pPr>
      <w:r w:rsidRPr="000A7C04">
        <w:rPr>
          <w:rFonts w:ascii="Arial" w:hAnsi="Arial" w:cs="Arial"/>
          <w:b/>
          <w:bCs/>
          <w:color w:val="000000" w:themeColor="text1"/>
          <w:sz w:val="22"/>
          <w:szCs w:val="22"/>
        </w:rPr>
        <w:t xml:space="preserve">Information Systems Proposal for </w:t>
      </w:r>
      <w:proofErr w:type="spellStart"/>
      <w:r w:rsidRPr="000A7C04">
        <w:rPr>
          <w:rFonts w:ascii="Arial" w:hAnsi="Arial" w:cs="Arial"/>
          <w:b/>
          <w:bCs/>
          <w:color w:val="000000" w:themeColor="text1"/>
          <w:sz w:val="22"/>
          <w:szCs w:val="22"/>
        </w:rPr>
        <w:t>AKPerog</w:t>
      </w:r>
      <w:proofErr w:type="spellEnd"/>
      <w:r w:rsidRPr="000A7C04">
        <w:rPr>
          <w:rFonts w:ascii="Arial" w:hAnsi="Arial" w:cs="Arial"/>
          <w:b/>
          <w:bCs/>
          <w:color w:val="000000" w:themeColor="text1"/>
          <w:sz w:val="22"/>
          <w:szCs w:val="22"/>
        </w:rPr>
        <w:t xml:space="preserve"> Ltd.</w:t>
      </w:r>
    </w:p>
    <w:p w14:paraId="53BA0D29" w14:textId="77777777" w:rsidR="00E94C86" w:rsidRPr="000A7C04" w:rsidRDefault="00E94C86" w:rsidP="000A7C04">
      <w:pPr>
        <w:spacing w:line="360" w:lineRule="auto"/>
        <w:jc w:val="both"/>
        <w:rPr>
          <w:rFonts w:ascii="Arial" w:hAnsi="Arial" w:cs="Arial"/>
          <w:color w:val="000000" w:themeColor="text1"/>
          <w:sz w:val="22"/>
          <w:szCs w:val="22"/>
        </w:rPr>
      </w:pPr>
    </w:p>
    <w:p w14:paraId="2397C885" w14:textId="77777777" w:rsidR="00E94C86" w:rsidRPr="000A7C04" w:rsidRDefault="00B3798C" w:rsidP="000A7C04">
      <w:pPr>
        <w:spacing w:line="360" w:lineRule="auto"/>
        <w:jc w:val="center"/>
        <w:rPr>
          <w:rFonts w:ascii="Arial" w:hAnsi="Arial" w:cs="Arial"/>
          <w:b/>
          <w:color w:val="000000" w:themeColor="text1"/>
          <w:sz w:val="22"/>
          <w:szCs w:val="22"/>
        </w:rPr>
      </w:pPr>
      <w:r w:rsidRPr="000A7C04">
        <w:rPr>
          <w:rFonts w:ascii="Arial" w:hAnsi="Arial" w:cs="Arial"/>
          <w:b/>
          <w:color w:val="000000" w:themeColor="text1"/>
          <w:sz w:val="22"/>
          <w:szCs w:val="22"/>
        </w:rPr>
        <w:t>Word Count:</w:t>
      </w:r>
      <w:r w:rsidR="00135899">
        <w:rPr>
          <w:rFonts w:ascii="Arial" w:hAnsi="Arial" w:cs="Arial"/>
          <w:b/>
          <w:color w:val="000000" w:themeColor="text1"/>
          <w:sz w:val="22"/>
          <w:szCs w:val="22"/>
        </w:rPr>
        <w:t xml:space="preserve"> 2126</w:t>
      </w:r>
    </w:p>
    <w:p w14:paraId="10F45C01" w14:textId="77777777" w:rsidR="00E94C86" w:rsidRPr="000A7C04" w:rsidRDefault="00B3798C" w:rsidP="000A7C04">
      <w:pPr>
        <w:spacing w:line="360" w:lineRule="auto"/>
        <w:rPr>
          <w:rFonts w:ascii="Arial" w:hAnsi="Arial" w:cs="Arial"/>
          <w:color w:val="000000" w:themeColor="text1"/>
          <w:sz w:val="22"/>
          <w:szCs w:val="22"/>
        </w:rPr>
      </w:pPr>
      <w:r w:rsidRPr="000A7C04">
        <w:rPr>
          <w:rFonts w:ascii="Arial" w:hAnsi="Arial" w:cs="Arial"/>
          <w:color w:val="000000" w:themeColor="text1"/>
          <w:sz w:val="22"/>
          <w:szCs w:val="22"/>
        </w:rPr>
        <w:br w:type="page"/>
      </w:r>
    </w:p>
    <w:sdt>
      <w:sdtPr>
        <w:rPr>
          <w:rFonts w:ascii="Arial" w:eastAsia="SimSun" w:hAnsi="Arial" w:cs="Arial"/>
          <w:color w:val="000000" w:themeColor="text1"/>
          <w:sz w:val="22"/>
          <w:szCs w:val="22"/>
        </w:rPr>
        <w:id w:val="147453947"/>
        <w15:color w:val="DBDBDB"/>
        <w:docPartObj>
          <w:docPartGallery w:val="Table of Contents"/>
          <w:docPartUnique/>
        </w:docPartObj>
      </w:sdtPr>
      <w:sdtEndPr>
        <w:rPr>
          <w:rFonts w:eastAsiaTheme="minorEastAsia"/>
        </w:rPr>
      </w:sdtEndPr>
      <w:sdtContent>
        <w:p w14:paraId="097A42FF" w14:textId="77777777" w:rsidR="00E94C86" w:rsidRPr="00135899" w:rsidRDefault="00135899" w:rsidP="000A7C04">
          <w:pPr>
            <w:spacing w:line="360" w:lineRule="auto"/>
            <w:jc w:val="center"/>
            <w:rPr>
              <w:rFonts w:ascii="Arial" w:hAnsi="Arial" w:cs="Arial"/>
              <w:b/>
              <w:color w:val="000000" w:themeColor="text1"/>
              <w:sz w:val="22"/>
              <w:szCs w:val="22"/>
            </w:rPr>
          </w:pPr>
          <w:r w:rsidRPr="00135899">
            <w:rPr>
              <w:rFonts w:ascii="Arial" w:eastAsia="SimSun" w:hAnsi="Arial" w:cs="Arial"/>
              <w:b/>
              <w:color w:val="000000" w:themeColor="text1"/>
              <w:sz w:val="22"/>
              <w:szCs w:val="22"/>
            </w:rPr>
            <w:t>Table of Contents</w:t>
          </w:r>
        </w:p>
        <w:p w14:paraId="3268DFB1" w14:textId="77777777" w:rsidR="00E94C86" w:rsidRPr="000A7C04" w:rsidRDefault="00B3798C" w:rsidP="000A7C04">
          <w:pPr>
            <w:pStyle w:val="WPSOffice1"/>
            <w:tabs>
              <w:tab w:val="right" w:leader="dot" w:pos="8306"/>
            </w:tabs>
            <w:spacing w:line="360" w:lineRule="auto"/>
            <w:rPr>
              <w:rFonts w:ascii="Arial" w:hAnsi="Arial" w:cs="Arial"/>
              <w:noProof/>
              <w:color w:val="000000" w:themeColor="text1"/>
              <w:sz w:val="22"/>
              <w:szCs w:val="22"/>
            </w:rPr>
          </w:pPr>
          <w:r w:rsidRPr="000A7C04">
            <w:rPr>
              <w:rFonts w:ascii="Arial" w:hAnsi="Arial" w:cs="Arial"/>
              <w:color w:val="000000" w:themeColor="text1"/>
              <w:sz w:val="22"/>
              <w:szCs w:val="22"/>
            </w:rPr>
            <w:fldChar w:fldCharType="begin"/>
          </w:r>
          <w:r w:rsidRPr="000A7C04">
            <w:rPr>
              <w:rFonts w:ascii="Arial" w:hAnsi="Arial" w:cs="Arial"/>
              <w:color w:val="000000" w:themeColor="text1"/>
              <w:sz w:val="22"/>
              <w:szCs w:val="22"/>
            </w:rPr>
            <w:instrText xml:space="preserve">TOC \o "1-3" \h \u </w:instrText>
          </w:r>
          <w:r w:rsidRPr="000A7C04">
            <w:rPr>
              <w:rFonts w:ascii="Arial" w:hAnsi="Arial" w:cs="Arial"/>
              <w:color w:val="000000" w:themeColor="text1"/>
              <w:sz w:val="22"/>
              <w:szCs w:val="22"/>
            </w:rPr>
            <w:fldChar w:fldCharType="separate"/>
          </w:r>
          <w:hyperlink w:anchor="_Toc28837" w:history="1">
            <w:r w:rsidRPr="000A7C04">
              <w:rPr>
                <w:rFonts w:ascii="Arial" w:hAnsi="Arial" w:cs="Arial"/>
                <w:noProof/>
                <w:color w:val="000000" w:themeColor="text1"/>
                <w:sz w:val="22"/>
                <w:szCs w:val="22"/>
              </w:rPr>
              <w:t>1. Introduction</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_Toc28837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3</w:t>
            </w:r>
            <w:r w:rsidRPr="000A7C04">
              <w:rPr>
                <w:rFonts w:ascii="Arial" w:hAnsi="Arial" w:cs="Arial"/>
                <w:noProof/>
                <w:color w:val="000000" w:themeColor="text1"/>
                <w:sz w:val="22"/>
                <w:szCs w:val="22"/>
              </w:rPr>
              <w:fldChar w:fldCharType="end"/>
            </w:r>
          </w:hyperlink>
        </w:p>
        <w:p w14:paraId="7C5A65D5" w14:textId="77777777" w:rsidR="00E94C86" w:rsidRPr="000A7C04" w:rsidRDefault="00B3798C" w:rsidP="000A7C04">
          <w:pPr>
            <w:pStyle w:val="WPSOffice1"/>
            <w:tabs>
              <w:tab w:val="right" w:leader="dot" w:pos="8306"/>
            </w:tabs>
            <w:spacing w:line="360" w:lineRule="auto"/>
            <w:rPr>
              <w:rFonts w:ascii="Arial" w:hAnsi="Arial" w:cs="Arial"/>
              <w:noProof/>
              <w:color w:val="000000" w:themeColor="text1"/>
              <w:sz w:val="22"/>
              <w:szCs w:val="22"/>
            </w:rPr>
          </w:pPr>
          <w:hyperlink w:anchor="_Toc29330" w:history="1">
            <w:r w:rsidRPr="000A7C04">
              <w:rPr>
                <w:rFonts w:ascii="Arial" w:hAnsi="Arial" w:cs="Arial"/>
                <w:noProof/>
                <w:color w:val="000000" w:themeColor="text1"/>
                <w:sz w:val="22"/>
                <w:szCs w:val="22"/>
              </w:rPr>
              <w:t>2. Evaluation of Existing Systems</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_Toc29330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4</w:t>
            </w:r>
            <w:r w:rsidRPr="000A7C04">
              <w:rPr>
                <w:rFonts w:ascii="Arial" w:hAnsi="Arial" w:cs="Arial"/>
                <w:noProof/>
                <w:color w:val="000000" w:themeColor="text1"/>
                <w:sz w:val="22"/>
                <w:szCs w:val="22"/>
              </w:rPr>
              <w:fldChar w:fldCharType="end"/>
            </w:r>
          </w:hyperlink>
        </w:p>
        <w:p w14:paraId="3301A918"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20413" w:history="1">
            <w:r w:rsidRPr="000A7C04">
              <w:rPr>
                <w:rFonts w:ascii="Arial" w:hAnsi="Arial" w:cs="Arial"/>
                <w:noProof/>
                <w:color w:val="000000" w:themeColor="text1"/>
                <w:sz w:val="22"/>
                <w:szCs w:val="22"/>
              </w:rPr>
              <w:t>2.1 Inventory Management</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_Toc20413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4</w:t>
            </w:r>
            <w:r w:rsidRPr="000A7C04">
              <w:rPr>
                <w:rFonts w:ascii="Arial" w:hAnsi="Arial" w:cs="Arial"/>
                <w:noProof/>
                <w:color w:val="000000" w:themeColor="text1"/>
                <w:sz w:val="22"/>
                <w:szCs w:val="22"/>
              </w:rPr>
              <w:fldChar w:fldCharType="end"/>
            </w:r>
          </w:hyperlink>
        </w:p>
        <w:p w14:paraId="61C0DC5A"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25047" w:history="1">
            <w:r w:rsidRPr="000A7C04">
              <w:rPr>
                <w:rFonts w:ascii="Arial" w:hAnsi="Arial" w:cs="Arial"/>
                <w:bCs/>
                <w:noProof/>
                <w:color w:val="000000" w:themeColor="text1"/>
                <w:sz w:val="22"/>
                <w:szCs w:val="22"/>
              </w:rPr>
              <w:t>2.2 Customer Relationship Management</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_Toc25047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4</w:t>
            </w:r>
            <w:r w:rsidRPr="000A7C04">
              <w:rPr>
                <w:rFonts w:ascii="Arial" w:hAnsi="Arial" w:cs="Arial"/>
                <w:noProof/>
                <w:color w:val="000000" w:themeColor="text1"/>
                <w:sz w:val="22"/>
                <w:szCs w:val="22"/>
              </w:rPr>
              <w:fldChar w:fldCharType="end"/>
            </w:r>
          </w:hyperlink>
        </w:p>
        <w:p w14:paraId="3ED25258"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30570" w:history="1">
            <w:r w:rsidRPr="000A7C04">
              <w:rPr>
                <w:rFonts w:ascii="Arial" w:hAnsi="Arial" w:cs="Arial"/>
                <w:noProof/>
                <w:color w:val="000000" w:themeColor="text1"/>
                <w:sz w:val="22"/>
                <w:szCs w:val="22"/>
              </w:rPr>
              <w:t>2.3 Decision-Making and Reporting</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_Toc30570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5</w:t>
            </w:r>
            <w:r w:rsidRPr="000A7C04">
              <w:rPr>
                <w:rFonts w:ascii="Arial" w:hAnsi="Arial" w:cs="Arial"/>
                <w:noProof/>
                <w:color w:val="000000" w:themeColor="text1"/>
                <w:sz w:val="22"/>
                <w:szCs w:val="22"/>
              </w:rPr>
              <w:fldChar w:fldCharType="end"/>
            </w:r>
          </w:hyperlink>
        </w:p>
        <w:p w14:paraId="25ADD828"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14589" w:history="1">
            <w:r w:rsidRPr="000A7C04">
              <w:rPr>
                <w:rFonts w:ascii="Arial" w:hAnsi="Arial" w:cs="Arial"/>
                <w:bCs/>
                <w:noProof/>
                <w:color w:val="000000" w:themeColor="text1"/>
                <w:sz w:val="22"/>
                <w:szCs w:val="22"/>
              </w:rPr>
              <w:t>2.4 Data Protection and Compliance</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_Toc14589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5</w:t>
            </w:r>
            <w:r w:rsidRPr="000A7C04">
              <w:rPr>
                <w:rFonts w:ascii="Arial" w:hAnsi="Arial" w:cs="Arial"/>
                <w:noProof/>
                <w:color w:val="000000" w:themeColor="text1"/>
                <w:sz w:val="22"/>
                <w:szCs w:val="22"/>
              </w:rPr>
              <w:fldChar w:fldCharType="end"/>
            </w:r>
          </w:hyperlink>
        </w:p>
        <w:p w14:paraId="194A365F"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31628" w:history="1">
            <w:r w:rsidRPr="000A7C04">
              <w:rPr>
                <w:rFonts w:ascii="Arial" w:hAnsi="Arial" w:cs="Arial"/>
                <w:noProof/>
                <w:color w:val="000000" w:themeColor="text1"/>
                <w:sz w:val="22"/>
                <w:szCs w:val="22"/>
              </w:rPr>
              <w:t>2.5 System Integration</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_Toc31628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5</w:t>
            </w:r>
            <w:r w:rsidRPr="000A7C04">
              <w:rPr>
                <w:rFonts w:ascii="Arial" w:hAnsi="Arial" w:cs="Arial"/>
                <w:noProof/>
                <w:color w:val="000000" w:themeColor="text1"/>
                <w:sz w:val="22"/>
                <w:szCs w:val="22"/>
              </w:rPr>
              <w:fldChar w:fldCharType="end"/>
            </w:r>
          </w:hyperlink>
        </w:p>
        <w:p w14:paraId="4F14AB0F" w14:textId="77777777" w:rsidR="00E94C86" w:rsidRPr="000A7C04" w:rsidRDefault="00B3798C" w:rsidP="000A7C04">
          <w:pPr>
            <w:pStyle w:val="WPSOffice1"/>
            <w:tabs>
              <w:tab w:val="right" w:leader="dot" w:pos="8306"/>
            </w:tabs>
            <w:spacing w:line="360" w:lineRule="auto"/>
            <w:rPr>
              <w:rFonts w:ascii="Arial" w:hAnsi="Arial" w:cs="Arial"/>
              <w:noProof/>
              <w:color w:val="000000" w:themeColor="text1"/>
              <w:sz w:val="22"/>
              <w:szCs w:val="22"/>
            </w:rPr>
          </w:pPr>
          <w:hyperlink w:anchor="_Toc13179" w:history="1">
            <w:r w:rsidRPr="000A7C04">
              <w:rPr>
                <w:rFonts w:ascii="Arial" w:hAnsi="Arial" w:cs="Arial"/>
                <w:noProof/>
                <w:color w:val="000000" w:themeColor="text1"/>
                <w:sz w:val="22"/>
                <w:szCs w:val="22"/>
              </w:rPr>
              <w:t>3. Recommended Solution</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_Toc13179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6</w:t>
            </w:r>
            <w:r w:rsidRPr="000A7C04">
              <w:rPr>
                <w:rFonts w:ascii="Arial" w:hAnsi="Arial" w:cs="Arial"/>
                <w:noProof/>
                <w:color w:val="000000" w:themeColor="text1"/>
                <w:sz w:val="22"/>
                <w:szCs w:val="22"/>
              </w:rPr>
              <w:fldChar w:fldCharType="end"/>
            </w:r>
          </w:hyperlink>
        </w:p>
        <w:p w14:paraId="66F34267"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3209" w:history="1">
            <w:r w:rsidRPr="000A7C04">
              <w:rPr>
                <w:rFonts w:ascii="Arial" w:hAnsi="Arial" w:cs="Arial"/>
                <w:noProof/>
                <w:color w:val="000000" w:themeColor="text1"/>
                <w:sz w:val="22"/>
                <w:szCs w:val="22"/>
              </w:rPr>
              <w:t>3.1 Why ERP?</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_Toc3209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6</w:t>
            </w:r>
            <w:r w:rsidRPr="000A7C04">
              <w:rPr>
                <w:rFonts w:ascii="Arial" w:hAnsi="Arial" w:cs="Arial"/>
                <w:noProof/>
                <w:color w:val="000000" w:themeColor="text1"/>
                <w:sz w:val="22"/>
                <w:szCs w:val="22"/>
              </w:rPr>
              <w:fldChar w:fldCharType="end"/>
            </w:r>
          </w:hyperlink>
        </w:p>
        <w:p w14:paraId="1D474F19"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16317" w:history="1">
            <w:r w:rsidRPr="000A7C04">
              <w:rPr>
                <w:rFonts w:ascii="Arial" w:hAnsi="Arial" w:cs="Arial"/>
                <w:noProof/>
                <w:color w:val="000000" w:themeColor="text1"/>
                <w:sz w:val="22"/>
                <w:szCs w:val="22"/>
              </w:rPr>
              <w:t>3.2 Integrated Inventory Management</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_Toc16317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6</w:t>
            </w:r>
            <w:r w:rsidRPr="000A7C04">
              <w:rPr>
                <w:rFonts w:ascii="Arial" w:hAnsi="Arial" w:cs="Arial"/>
                <w:noProof/>
                <w:color w:val="000000" w:themeColor="text1"/>
                <w:sz w:val="22"/>
                <w:szCs w:val="22"/>
              </w:rPr>
              <w:fldChar w:fldCharType="end"/>
            </w:r>
          </w:hyperlink>
        </w:p>
        <w:p w14:paraId="53B23837"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26681" w:history="1">
            <w:r w:rsidRPr="000A7C04">
              <w:rPr>
                <w:rFonts w:ascii="Arial" w:hAnsi="Arial" w:cs="Arial"/>
                <w:noProof/>
                <w:color w:val="000000" w:themeColor="text1"/>
                <w:sz w:val="22"/>
                <w:szCs w:val="22"/>
              </w:rPr>
              <w:t>3.3 Integrated CRM Module</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_Toc26681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7</w:t>
            </w:r>
            <w:r w:rsidRPr="000A7C04">
              <w:rPr>
                <w:rFonts w:ascii="Arial" w:hAnsi="Arial" w:cs="Arial"/>
                <w:noProof/>
                <w:color w:val="000000" w:themeColor="text1"/>
                <w:sz w:val="22"/>
                <w:szCs w:val="22"/>
              </w:rPr>
              <w:fldChar w:fldCharType="end"/>
            </w:r>
          </w:hyperlink>
        </w:p>
        <w:p w14:paraId="7723706A"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28909" w:history="1">
            <w:r w:rsidRPr="000A7C04">
              <w:rPr>
                <w:rFonts w:ascii="Arial" w:hAnsi="Arial" w:cs="Arial"/>
                <w:noProof/>
                <w:color w:val="000000" w:themeColor="text1"/>
                <w:sz w:val="22"/>
                <w:szCs w:val="22"/>
              </w:rPr>
              <w:t>3.4 AI-Driven Analytics for Better Decision-Making</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_Toc28909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7</w:t>
            </w:r>
            <w:r w:rsidRPr="000A7C04">
              <w:rPr>
                <w:rFonts w:ascii="Arial" w:hAnsi="Arial" w:cs="Arial"/>
                <w:noProof/>
                <w:color w:val="000000" w:themeColor="text1"/>
                <w:sz w:val="22"/>
                <w:szCs w:val="22"/>
              </w:rPr>
              <w:fldChar w:fldCharType="end"/>
            </w:r>
          </w:hyperlink>
        </w:p>
        <w:p w14:paraId="259C9BEE"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14085" w:history="1">
            <w:r w:rsidRPr="000A7C04">
              <w:rPr>
                <w:rFonts w:ascii="Arial" w:hAnsi="Arial" w:cs="Arial"/>
                <w:noProof/>
                <w:color w:val="000000" w:themeColor="text1"/>
                <w:sz w:val="22"/>
                <w:szCs w:val="22"/>
              </w:rPr>
              <w:t>3.5 GDPR Compliance and Security</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_Toc14085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8</w:t>
            </w:r>
            <w:r w:rsidRPr="000A7C04">
              <w:rPr>
                <w:rFonts w:ascii="Arial" w:hAnsi="Arial" w:cs="Arial"/>
                <w:noProof/>
                <w:color w:val="000000" w:themeColor="text1"/>
                <w:sz w:val="22"/>
                <w:szCs w:val="22"/>
              </w:rPr>
              <w:fldChar w:fldCharType="end"/>
            </w:r>
          </w:hyperlink>
        </w:p>
        <w:p w14:paraId="0416B209" w14:textId="77777777" w:rsidR="00E94C86" w:rsidRPr="000A7C04" w:rsidRDefault="00B3798C" w:rsidP="000A7C04">
          <w:pPr>
            <w:pStyle w:val="WPSOffice1"/>
            <w:tabs>
              <w:tab w:val="right" w:leader="dot" w:pos="8306"/>
            </w:tabs>
            <w:spacing w:line="360" w:lineRule="auto"/>
            <w:rPr>
              <w:rFonts w:ascii="Arial" w:hAnsi="Arial" w:cs="Arial"/>
              <w:noProof/>
              <w:color w:val="000000" w:themeColor="text1"/>
              <w:sz w:val="22"/>
              <w:szCs w:val="22"/>
            </w:rPr>
          </w:pPr>
          <w:hyperlink w:anchor="_Toc20503" w:history="1">
            <w:r w:rsidRPr="000A7C04">
              <w:rPr>
                <w:rFonts w:ascii="Arial" w:hAnsi="Arial" w:cs="Arial"/>
                <w:noProof/>
                <w:color w:val="000000" w:themeColor="text1"/>
                <w:sz w:val="22"/>
                <w:szCs w:val="22"/>
              </w:rPr>
              <w:t>4. Implementation Plan</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_Toc20503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8</w:t>
            </w:r>
            <w:r w:rsidRPr="000A7C04">
              <w:rPr>
                <w:rFonts w:ascii="Arial" w:hAnsi="Arial" w:cs="Arial"/>
                <w:noProof/>
                <w:color w:val="000000" w:themeColor="text1"/>
                <w:sz w:val="22"/>
                <w:szCs w:val="22"/>
              </w:rPr>
              <w:fldChar w:fldCharType="end"/>
            </w:r>
          </w:hyperlink>
        </w:p>
        <w:p w14:paraId="75B8BC10"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24323" w:history="1">
            <w:r w:rsidRPr="000A7C04">
              <w:rPr>
                <w:rFonts w:ascii="Arial" w:hAnsi="Arial" w:cs="Arial"/>
                <w:noProof/>
                <w:color w:val="000000" w:themeColor="text1"/>
                <w:sz w:val="22"/>
                <w:szCs w:val="22"/>
              </w:rPr>
              <w:t>4.1 Phase 1 – Requirements Analysis (2–4 Weeks)</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_Toc24323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8</w:t>
            </w:r>
            <w:r w:rsidRPr="000A7C04">
              <w:rPr>
                <w:rFonts w:ascii="Arial" w:hAnsi="Arial" w:cs="Arial"/>
                <w:noProof/>
                <w:color w:val="000000" w:themeColor="text1"/>
                <w:sz w:val="22"/>
                <w:szCs w:val="22"/>
              </w:rPr>
              <w:fldChar w:fldCharType="end"/>
            </w:r>
          </w:hyperlink>
        </w:p>
        <w:p w14:paraId="4B13A5E0"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3906" w:history="1">
            <w:r w:rsidRPr="000A7C04">
              <w:rPr>
                <w:rFonts w:ascii="Arial" w:hAnsi="Arial" w:cs="Arial"/>
                <w:noProof/>
                <w:color w:val="000000" w:themeColor="text1"/>
                <w:sz w:val="22"/>
                <w:szCs w:val="22"/>
              </w:rPr>
              <w:t>4.2 Phase 2 – System Selection (4 Weeks)</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_Toc3906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8</w:t>
            </w:r>
            <w:r w:rsidRPr="000A7C04">
              <w:rPr>
                <w:rFonts w:ascii="Arial" w:hAnsi="Arial" w:cs="Arial"/>
                <w:noProof/>
                <w:color w:val="000000" w:themeColor="text1"/>
                <w:sz w:val="22"/>
                <w:szCs w:val="22"/>
              </w:rPr>
              <w:fldChar w:fldCharType="end"/>
            </w:r>
          </w:hyperlink>
        </w:p>
        <w:p w14:paraId="4BCF6A26"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25898" w:history="1">
            <w:r w:rsidRPr="000A7C04">
              <w:rPr>
                <w:rFonts w:ascii="Arial" w:hAnsi="Arial" w:cs="Arial"/>
                <w:noProof/>
                <w:color w:val="000000" w:themeColor="text1"/>
                <w:sz w:val="22"/>
                <w:szCs w:val="22"/>
              </w:rPr>
              <w:t>4.3 Phase 3 – Data Migration (4–6 Weeks)</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_Toc25898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9</w:t>
            </w:r>
            <w:r w:rsidRPr="000A7C04">
              <w:rPr>
                <w:rFonts w:ascii="Arial" w:hAnsi="Arial" w:cs="Arial"/>
                <w:noProof/>
                <w:color w:val="000000" w:themeColor="text1"/>
                <w:sz w:val="22"/>
                <w:szCs w:val="22"/>
              </w:rPr>
              <w:fldChar w:fldCharType="end"/>
            </w:r>
          </w:hyperlink>
        </w:p>
        <w:p w14:paraId="6F282398"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30324" w:history="1">
            <w:r w:rsidRPr="000A7C04">
              <w:rPr>
                <w:rFonts w:ascii="Arial" w:hAnsi="Arial" w:cs="Arial"/>
                <w:noProof/>
                <w:color w:val="000000" w:themeColor="text1"/>
                <w:sz w:val="22"/>
                <w:szCs w:val="22"/>
              </w:rPr>
              <w:t>4.4 Phase 4 – System Configuration and Testing (6–8 Weeks)</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_Toc30324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9</w:t>
            </w:r>
            <w:r w:rsidRPr="000A7C04">
              <w:rPr>
                <w:rFonts w:ascii="Arial" w:hAnsi="Arial" w:cs="Arial"/>
                <w:noProof/>
                <w:color w:val="000000" w:themeColor="text1"/>
                <w:sz w:val="22"/>
                <w:szCs w:val="22"/>
              </w:rPr>
              <w:fldChar w:fldCharType="end"/>
            </w:r>
          </w:hyperlink>
        </w:p>
        <w:p w14:paraId="71EA7EB8"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29892" w:history="1">
            <w:r w:rsidRPr="000A7C04">
              <w:rPr>
                <w:rFonts w:ascii="Arial" w:hAnsi="Arial" w:cs="Arial"/>
                <w:noProof/>
                <w:color w:val="000000" w:themeColor="text1"/>
                <w:sz w:val="22"/>
                <w:szCs w:val="22"/>
              </w:rPr>
              <w:t>4.5 Phase 5 – Staff Training (2–3 Weeks)</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_Toc29892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9</w:t>
            </w:r>
            <w:r w:rsidRPr="000A7C04">
              <w:rPr>
                <w:rFonts w:ascii="Arial" w:hAnsi="Arial" w:cs="Arial"/>
                <w:noProof/>
                <w:color w:val="000000" w:themeColor="text1"/>
                <w:sz w:val="22"/>
                <w:szCs w:val="22"/>
              </w:rPr>
              <w:fldChar w:fldCharType="end"/>
            </w:r>
          </w:hyperlink>
        </w:p>
        <w:p w14:paraId="4C0C4677"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25021" w:history="1">
            <w:r w:rsidRPr="000A7C04">
              <w:rPr>
                <w:rFonts w:ascii="Arial" w:hAnsi="Arial" w:cs="Arial"/>
                <w:noProof/>
                <w:color w:val="000000" w:themeColor="text1"/>
                <w:sz w:val="22"/>
                <w:szCs w:val="22"/>
              </w:rPr>
              <w:t>4.6 Phase 6 – Go-Live and Support (2 Weeks)</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_Toc25021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9</w:t>
            </w:r>
            <w:r w:rsidRPr="000A7C04">
              <w:rPr>
                <w:rFonts w:ascii="Arial" w:hAnsi="Arial" w:cs="Arial"/>
                <w:noProof/>
                <w:color w:val="000000" w:themeColor="text1"/>
                <w:sz w:val="22"/>
                <w:szCs w:val="22"/>
              </w:rPr>
              <w:fldChar w:fldCharType="end"/>
            </w:r>
          </w:hyperlink>
        </w:p>
        <w:p w14:paraId="0DF8132F" w14:textId="77777777" w:rsidR="00E94C86" w:rsidRPr="000A7C04" w:rsidRDefault="00B3798C" w:rsidP="000A7C04">
          <w:pPr>
            <w:pStyle w:val="WPSOffice2"/>
            <w:tabs>
              <w:tab w:val="right" w:leader="dot" w:pos="8306"/>
            </w:tabs>
            <w:spacing w:line="360" w:lineRule="auto"/>
            <w:ind w:left="400"/>
            <w:rPr>
              <w:rFonts w:ascii="Arial" w:hAnsi="Arial" w:cs="Arial"/>
              <w:noProof/>
              <w:color w:val="000000" w:themeColor="text1"/>
              <w:sz w:val="22"/>
              <w:szCs w:val="22"/>
            </w:rPr>
          </w:pPr>
          <w:hyperlink w:anchor="_Toc10182" w:history="1">
            <w:r w:rsidRPr="000A7C04">
              <w:rPr>
                <w:rFonts w:ascii="Arial" w:hAnsi="Arial" w:cs="Arial"/>
                <w:noProof/>
                <w:color w:val="000000" w:themeColor="text1"/>
                <w:sz w:val="22"/>
                <w:szCs w:val="22"/>
              </w:rPr>
              <w:t>4.7 Phase 7 – Continuous Improvement</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_Toc10182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10</w:t>
            </w:r>
            <w:r w:rsidRPr="000A7C04">
              <w:rPr>
                <w:rFonts w:ascii="Arial" w:hAnsi="Arial" w:cs="Arial"/>
                <w:noProof/>
                <w:color w:val="000000" w:themeColor="text1"/>
                <w:sz w:val="22"/>
                <w:szCs w:val="22"/>
              </w:rPr>
              <w:fldChar w:fldCharType="end"/>
            </w:r>
          </w:hyperlink>
        </w:p>
        <w:p w14:paraId="01049E49" w14:textId="77777777" w:rsidR="00E94C86" w:rsidRPr="000A7C04" w:rsidRDefault="00B3798C" w:rsidP="000A7C04">
          <w:pPr>
            <w:pStyle w:val="WPSOffice1"/>
            <w:tabs>
              <w:tab w:val="right" w:leader="dot" w:pos="8306"/>
            </w:tabs>
            <w:spacing w:line="360" w:lineRule="auto"/>
            <w:rPr>
              <w:rFonts w:ascii="Arial" w:hAnsi="Arial" w:cs="Arial"/>
              <w:noProof/>
              <w:color w:val="000000" w:themeColor="text1"/>
              <w:sz w:val="22"/>
              <w:szCs w:val="22"/>
            </w:rPr>
          </w:pPr>
          <w:hyperlink w:anchor="_Toc8383" w:history="1">
            <w:r w:rsidRPr="000A7C04">
              <w:rPr>
                <w:rFonts w:ascii="Arial" w:hAnsi="Arial" w:cs="Arial"/>
                <w:noProof/>
                <w:color w:val="000000" w:themeColor="text1"/>
                <w:sz w:val="22"/>
                <w:szCs w:val="22"/>
              </w:rPr>
              <w:t>5. Conclusion</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_Toc8383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10</w:t>
            </w:r>
            <w:r w:rsidRPr="000A7C04">
              <w:rPr>
                <w:rFonts w:ascii="Arial" w:hAnsi="Arial" w:cs="Arial"/>
                <w:noProof/>
                <w:color w:val="000000" w:themeColor="text1"/>
                <w:sz w:val="22"/>
                <w:szCs w:val="22"/>
              </w:rPr>
              <w:fldChar w:fldCharType="end"/>
            </w:r>
          </w:hyperlink>
        </w:p>
        <w:p w14:paraId="29391071" w14:textId="77777777" w:rsidR="00E94C86" w:rsidRPr="000A7C04" w:rsidRDefault="00B3798C" w:rsidP="000A7C04">
          <w:pPr>
            <w:pStyle w:val="WPSOffice1"/>
            <w:tabs>
              <w:tab w:val="right" w:leader="dot" w:pos="8306"/>
            </w:tabs>
            <w:spacing w:line="360" w:lineRule="auto"/>
            <w:rPr>
              <w:rFonts w:ascii="Arial" w:hAnsi="Arial" w:cs="Arial"/>
              <w:noProof/>
              <w:color w:val="000000" w:themeColor="text1"/>
              <w:sz w:val="22"/>
              <w:szCs w:val="22"/>
            </w:rPr>
          </w:pPr>
          <w:r w:rsidRPr="000A7C04">
            <w:rPr>
              <w:rFonts w:ascii="Arial" w:hAnsi="Arial" w:cs="Arial"/>
              <w:noProof/>
              <w:color w:val="000000" w:themeColor="text1"/>
              <w:sz w:val="22"/>
              <w:szCs w:val="22"/>
              <w:lang w:val="en-US"/>
            </w:rPr>
            <w:t xml:space="preserve">6. </w:t>
          </w:r>
          <w:hyperlink w:anchor="_Toc16070" w:history="1">
            <w:r w:rsidRPr="000A7C04">
              <w:rPr>
                <w:rFonts w:ascii="Arial" w:hAnsi="Arial" w:cs="Arial"/>
                <w:noProof/>
                <w:color w:val="000000" w:themeColor="text1"/>
                <w:sz w:val="22"/>
                <w:szCs w:val="22"/>
              </w:rPr>
              <w:t>References</w:t>
            </w:r>
            <w:r w:rsidRPr="000A7C04">
              <w:rPr>
                <w:rFonts w:ascii="Arial" w:hAnsi="Arial" w:cs="Arial"/>
                <w:noProof/>
                <w:color w:val="000000" w:themeColor="text1"/>
                <w:sz w:val="22"/>
                <w:szCs w:val="22"/>
              </w:rPr>
              <w:tab/>
            </w:r>
            <w:r w:rsidRPr="000A7C04">
              <w:rPr>
                <w:rFonts w:ascii="Arial" w:hAnsi="Arial" w:cs="Arial"/>
                <w:noProof/>
                <w:color w:val="000000" w:themeColor="text1"/>
                <w:sz w:val="22"/>
                <w:szCs w:val="22"/>
              </w:rPr>
              <w:fldChar w:fldCharType="begin"/>
            </w:r>
            <w:r w:rsidRPr="000A7C04">
              <w:rPr>
                <w:rFonts w:ascii="Arial" w:hAnsi="Arial" w:cs="Arial"/>
                <w:noProof/>
                <w:color w:val="000000" w:themeColor="text1"/>
                <w:sz w:val="22"/>
                <w:szCs w:val="22"/>
              </w:rPr>
              <w:instrText xml:space="preserve"> PAGEREF _Toc16070 \h </w:instrText>
            </w:r>
            <w:r w:rsidRPr="000A7C04">
              <w:rPr>
                <w:rFonts w:ascii="Arial" w:hAnsi="Arial" w:cs="Arial"/>
                <w:noProof/>
                <w:color w:val="000000" w:themeColor="text1"/>
                <w:sz w:val="22"/>
                <w:szCs w:val="22"/>
              </w:rPr>
            </w:r>
            <w:r w:rsidRPr="000A7C04">
              <w:rPr>
                <w:rFonts w:ascii="Arial" w:hAnsi="Arial" w:cs="Arial"/>
                <w:noProof/>
                <w:color w:val="000000" w:themeColor="text1"/>
                <w:sz w:val="22"/>
                <w:szCs w:val="22"/>
              </w:rPr>
              <w:fldChar w:fldCharType="separate"/>
            </w:r>
            <w:r>
              <w:rPr>
                <w:rFonts w:ascii="Arial" w:hAnsi="Arial" w:cs="Arial"/>
                <w:noProof/>
                <w:color w:val="000000" w:themeColor="text1"/>
                <w:sz w:val="22"/>
                <w:szCs w:val="22"/>
              </w:rPr>
              <w:t>11</w:t>
            </w:r>
            <w:r w:rsidRPr="000A7C04">
              <w:rPr>
                <w:rFonts w:ascii="Arial" w:hAnsi="Arial" w:cs="Arial"/>
                <w:noProof/>
                <w:color w:val="000000" w:themeColor="text1"/>
                <w:sz w:val="22"/>
                <w:szCs w:val="22"/>
              </w:rPr>
              <w:fldChar w:fldCharType="end"/>
            </w:r>
          </w:hyperlink>
        </w:p>
        <w:p w14:paraId="0D388231"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fldChar w:fldCharType="end"/>
          </w:r>
        </w:p>
      </w:sdtContent>
    </w:sdt>
    <w:p w14:paraId="4BE74730" w14:textId="77777777" w:rsidR="00E94C86" w:rsidRPr="000A7C04" w:rsidRDefault="00E94C86" w:rsidP="000A7C04">
      <w:pPr>
        <w:spacing w:line="360" w:lineRule="auto"/>
        <w:jc w:val="both"/>
        <w:rPr>
          <w:rFonts w:ascii="Arial" w:hAnsi="Arial" w:cs="Arial"/>
          <w:color w:val="000000" w:themeColor="text1"/>
          <w:sz w:val="22"/>
          <w:szCs w:val="22"/>
        </w:rPr>
      </w:pPr>
    </w:p>
    <w:p w14:paraId="02A2D32C"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br w:type="page"/>
      </w:r>
    </w:p>
    <w:p w14:paraId="3B8BE8CC" w14:textId="77777777" w:rsidR="00E94C86" w:rsidRPr="000A7C04" w:rsidRDefault="00B3798C" w:rsidP="000A7C04">
      <w:pPr>
        <w:pStyle w:val="Heading1"/>
        <w:spacing w:line="360" w:lineRule="auto"/>
        <w:jc w:val="both"/>
        <w:rPr>
          <w:rFonts w:ascii="Arial" w:hAnsi="Arial" w:cs="Arial"/>
          <w:color w:val="000000" w:themeColor="text1"/>
          <w:sz w:val="22"/>
          <w:szCs w:val="22"/>
        </w:rPr>
      </w:pPr>
      <w:bookmarkStart w:id="0" w:name="_Toc28837"/>
      <w:r w:rsidRPr="000A7C04">
        <w:rPr>
          <w:rFonts w:ascii="Arial" w:hAnsi="Arial" w:cs="Arial"/>
          <w:color w:val="000000" w:themeColor="text1"/>
          <w:sz w:val="22"/>
          <w:szCs w:val="22"/>
        </w:rPr>
        <w:lastRenderedPageBreak/>
        <w:t>1. Introduction</w:t>
      </w:r>
      <w:bookmarkEnd w:id="0"/>
    </w:p>
    <w:p w14:paraId="016E9B3B"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The electronics retail market is being conquered by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Ltd., a company that is growing quickly and running 30 physical stores along with an e-commerce website. The company has recorded a remarkable increase in its sales within a year, but its outdated information systems now limit the operations, the experience of the customers and the strategic decisions. The business development has made more apparent the more manual and separate systems in inventory control, CRM, data security, and inter-departmental communication.</w:t>
      </w:r>
    </w:p>
    <w:p w14:paraId="0B45C4A2"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First and foremost, the challenge is the manual inventory tracking scheme of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which has been the root cause of the stock differences between the online and physical stores. Customers get to order items that are shown to be in stock on the online platform but later are notified that the items are out of stock leading to a high rate of refunds and unsatisfied customers. On the other hand, store managers do not have real-time comprehension of product needs which leads to too much stock, too little stock, and interruptions in the supply cycle.</w:t>
      </w:r>
    </w:p>
    <w:p w14:paraId="0E95360D"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Fragmentation of the customer data is one more issue that is critical to the company and is caused by the data being scattered across different platforms. A unified CRM missing leads to a situation where marketing and support teams cannot be aware of the customer's buying history, react properly to complaints, or conduct personalized promotional campaigns. Consequently, customer experience is of low quality, and the effectiveness of marketing gets limited.</w:t>
      </w:r>
    </w:p>
    <w:p w14:paraId="0D473C5F"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In addition, the decision making within the organi</w:t>
      </w:r>
      <w:r>
        <w:rPr>
          <w:rFonts w:ascii="Arial" w:hAnsi="Arial" w:cs="Arial"/>
          <w:color w:val="000000" w:themeColor="text1"/>
          <w:sz w:val="22"/>
          <w:szCs w:val="22"/>
        </w:rPr>
        <w:t>s</w:t>
      </w:r>
      <w:r w:rsidRPr="000A7C04">
        <w:rPr>
          <w:rFonts w:ascii="Arial" w:hAnsi="Arial" w:cs="Arial"/>
          <w:color w:val="000000" w:themeColor="text1"/>
          <w:sz w:val="22"/>
          <w:szCs w:val="22"/>
        </w:rPr>
        <w:t>ation happens to be hindered by the often inaccurate or outdated manually compiled spreadsheets. Management has a hard time getting the real-time insights which in turn prevents accurate forecasting and slows down the responsiveness to the market trends. Moreover, these difficulties are aggravated by the inadequacies in data protection policies.</w:t>
      </w:r>
      <w:r w:rsidRPr="000A7C04">
        <w:rPr>
          <w:rFonts w:ascii="Arial" w:hAnsi="Arial" w:cs="Arial"/>
          <w:color w:val="000000" w:themeColor="text1"/>
          <w:sz w:val="22"/>
          <w:szCs w:val="22"/>
          <w:lang w:val="en-US"/>
        </w:rPr>
        <w:t xml:space="preserve"> </w:t>
      </w:r>
      <w:r w:rsidRPr="000A7C04">
        <w:rPr>
          <w:rFonts w:ascii="Arial" w:hAnsi="Arial" w:cs="Arial"/>
          <w:color w:val="000000" w:themeColor="text1"/>
          <w:sz w:val="22"/>
          <w:szCs w:val="22"/>
        </w:rPr>
        <w:t xml:space="preserve"> The current security measures of the system are not good enough to protect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and therefore it is very likely that the company has already fallen into the traps of GDPR (GDPR, 2018). That being said, the company may have to pay fines and also suffer loss of its good name as a result.</w:t>
      </w:r>
    </w:p>
    <w:p w14:paraId="00E3C7B8"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The final challenge of the situation is the lack of communication and integration among the sales, finance, inventory, and marketing systems. The employees are still doing data entry by hand, which is a slow process and also prone to making mistakes. If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continues its expansion plan, the inefficiencies will become a burden to long-term profitability and market power.</w:t>
      </w:r>
    </w:p>
    <w:p w14:paraId="3D718658"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lastRenderedPageBreak/>
        <w:t xml:space="preserve">This paper recommends the implementation of a fully integrated ERP system based on cloud, which would be facilitated by advanced CRM and AI-enabled analytics, in order to upgrade </w:t>
      </w:r>
      <w:proofErr w:type="spellStart"/>
      <w:r w:rsidRPr="000A7C04">
        <w:rPr>
          <w:rFonts w:ascii="Arial" w:hAnsi="Arial" w:cs="Arial"/>
          <w:color w:val="000000" w:themeColor="text1"/>
          <w:sz w:val="22"/>
          <w:szCs w:val="22"/>
        </w:rPr>
        <w:t>AKPerog’s</w:t>
      </w:r>
      <w:proofErr w:type="spellEnd"/>
      <w:r w:rsidRPr="000A7C04">
        <w:rPr>
          <w:rFonts w:ascii="Arial" w:hAnsi="Arial" w:cs="Arial"/>
          <w:color w:val="000000" w:themeColor="text1"/>
          <w:sz w:val="22"/>
          <w:szCs w:val="22"/>
        </w:rPr>
        <w:t xml:space="preserve"> operations, increase customer satisfaction, and support strategic decision-making.</w:t>
      </w:r>
    </w:p>
    <w:p w14:paraId="473BAB68" w14:textId="77777777" w:rsidR="00E94C86" w:rsidRPr="000A7C04" w:rsidRDefault="00B3798C" w:rsidP="000A7C04">
      <w:pPr>
        <w:pStyle w:val="Heading1"/>
        <w:spacing w:line="360" w:lineRule="auto"/>
        <w:jc w:val="both"/>
        <w:rPr>
          <w:rFonts w:ascii="Arial" w:hAnsi="Arial" w:cs="Arial"/>
          <w:color w:val="000000" w:themeColor="text1"/>
          <w:sz w:val="22"/>
          <w:szCs w:val="22"/>
        </w:rPr>
      </w:pPr>
      <w:bookmarkStart w:id="1" w:name="_Toc29330"/>
      <w:r w:rsidRPr="000A7C04">
        <w:rPr>
          <w:rFonts w:ascii="Arial" w:hAnsi="Arial" w:cs="Arial"/>
          <w:color w:val="000000" w:themeColor="text1"/>
          <w:sz w:val="22"/>
          <w:szCs w:val="22"/>
        </w:rPr>
        <w:t>2. Evaluation of Existing Systems</w:t>
      </w:r>
      <w:bookmarkEnd w:id="1"/>
    </w:p>
    <w:p w14:paraId="572BA2C6"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A comprehensive analysis of </w:t>
      </w:r>
      <w:proofErr w:type="spellStart"/>
      <w:r w:rsidRPr="000A7C04">
        <w:rPr>
          <w:rFonts w:ascii="Arial" w:hAnsi="Arial" w:cs="Arial"/>
          <w:color w:val="000000" w:themeColor="text1"/>
          <w:sz w:val="22"/>
          <w:szCs w:val="22"/>
        </w:rPr>
        <w:t>AKPerog’s</w:t>
      </w:r>
      <w:proofErr w:type="spellEnd"/>
      <w:r w:rsidRPr="000A7C04">
        <w:rPr>
          <w:rFonts w:ascii="Arial" w:hAnsi="Arial" w:cs="Arial"/>
          <w:color w:val="000000" w:themeColor="text1"/>
          <w:sz w:val="22"/>
          <w:szCs w:val="22"/>
        </w:rPr>
        <w:t xml:space="preserve"> present systems uncovers significant inefficiencies in major operational areas.</w:t>
      </w:r>
    </w:p>
    <w:p w14:paraId="401078A5"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2" w:name="_Toc20413"/>
      <w:r w:rsidRPr="000A7C04">
        <w:rPr>
          <w:rFonts w:ascii="Arial" w:hAnsi="Arial" w:cs="Arial"/>
          <w:color w:val="000000" w:themeColor="text1"/>
          <w:sz w:val="22"/>
          <w:szCs w:val="22"/>
        </w:rPr>
        <w:t>2.1 Inventory Management</w:t>
      </w:r>
      <w:bookmarkEnd w:id="2"/>
    </w:p>
    <w:p w14:paraId="52F12F4D"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The company currently uses a manual inventory tracking system, which is very prone to human errors and delays. The manual updates are not able to match the pace of real-time sales, especially when it comes to synchronizing data among 30 stores and an online platform. Oracle (n.d.) mentions that today's retailers need real-time automated inventory systems to prevent discrepancies and at the same time reduce the waste in operations. The outdated method used by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is the main reason for incorrect stock levels, slow replenishment and hence ultimately dissatisfied customers.</w:t>
      </w:r>
    </w:p>
    <w:p w14:paraId="09B08341" w14:textId="77777777" w:rsidR="00E94C86" w:rsidRPr="000A7C04" w:rsidRDefault="00B3798C" w:rsidP="000A7C04">
      <w:pPr>
        <w:spacing w:line="360" w:lineRule="auto"/>
        <w:jc w:val="center"/>
        <w:rPr>
          <w:rFonts w:ascii="Arial" w:hAnsi="Arial" w:cs="Arial"/>
          <w:i/>
          <w:iCs/>
          <w:color w:val="000000" w:themeColor="text1"/>
          <w:sz w:val="22"/>
          <w:szCs w:val="22"/>
        </w:rPr>
      </w:pPr>
      <w:r w:rsidRPr="000A7C04">
        <w:rPr>
          <w:rFonts w:ascii="Arial" w:hAnsi="Arial" w:cs="Arial"/>
          <w:i/>
          <w:iCs/>
          <w:noProof/>
          <w:color w:val="000000" w:themeColor="text1"/>
          <w:sz w:val="22"/>
          <w:szCs w:val="22"/>
          <w:lang w:eastAsia="en-GB"/>
        </w:rPr>
        <w:drawing>
          <wp:inline distT="0" distB="0" distL="114300" distR="114300" wp14:anchorId="160B0BB2" wp14:editId="40CC71F2">
            <wp:extent cx="3888105" cy="1933575"/>
            <wp:effectExtent l="0" t="0" r="1714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3888105" cy="1933575"/>
                    </a:xfrm>
                    <a:prstGeom prst="rect">
                      <a:avLst/>
                    </a:prstGeom>
                    <a:noFill/>
                    <a:ln>
                      <a:noFill/>
                    </a:ln>
                  </pic:spPr>
                </pic:pic>
              </a:graphicData>
            </a:graphic>
          </wp:inline>
        </w:drawing>
      </w:r>
    </w:p>
    <w:p w14:paraId="53A805C4" w14:textId="77777777" w:rsidR="00E94C86" w:rsidRPr="000A7C04" w:rsidRDefault="00B3798C" w:rsidP="000A7C04">
      <w:pPr>
        <w:pStyle w:val="Caption"/>
        <w:spacing w:line="360" w:lineRule="auto"/>
        <w:jc w:val="center"/>
        <w:rPr>
          <w:i/>
          <w:iCs/>
          <w:color w:val="000000" w:themeColor="text1"/>
          <w:sz w:val="22"/>
          <w:szCs w:val="22"/>
        </w:rPr>
      </w:pPr>
      <w:r w:rsidRPr="000A7C04">
        <w:rPr>
          <w:i/>
          <w:iCs/>
          <w:color w:val="000000" w:themeColor="text1"/>
          <w:sz w:val="22"/>
          <w:szCs w:val="22"/>
        </w:rPr>
        <w:t xml:space="preserve">Figure </w:t>
      </w:r>
      <w:r w:rsidRPr="000A7C04">
        <w:rPr>
          <w:i/>
          <w:iCs/>
          <w:color w:val="000000" w:themeColor="text1"/>
          <w:sz w:val="22"/>
          <w:szCs w:val="22"/>
        </w:rPr>
        <w:fldChar w:fldCharType="begin"/>
      </w:r>
      <w:r w:rsidRPr="000A7C04">
        <w:rPr>
          <w:i/>
          <w:iCs/>
          <w:color w:val="000000" w:themeColor="text1"/>
          <w:sz w:val="22"/>
          <w:szCs w:val="22"/>
        </w:rPr>
        <w:instrText xml:space="preserve"> SEQ Figure \* ARABIC </w:instrText>
      </w:r>
      <w:r w:rsidRPr="000A7C04">
        <w:rPr>
          <w:i/>
          <w:iCs/>
          <w:color w:val="000000" w:themeColor="text1"/>
          <w:sz w:val="22"/>
          <w:szCs w:val="22"/>
        </w:rPr>
        <w:fldChar w:fldCharType="separate"/>
      </w:r>
      <w:r w:rsidRPr="000A7C04">
        <w:rPr>
          <w:i/>
          <w:iCs/>
          <w:color w:val="000000" w:themeColor="text1"/>
          <w:sz w:val="22"/>
          <w:szCs w:val="22"/>
        </w:rPr>
        <w:t>1</w:t>
      </w:r>
      <w:r w:rsidRPr="000A7C04">
        <w:rPr>
          <w:i/>
          <w:iCs/>
          <w:color w:val="000000" w:themeColor="text1"/>
          <w:sz w:val="22"/>
          <w:szCs w:val="22"/>
        </w:rPr>
        <w:fldChar w:fldCharType="end"/>
      </w:r>
      <w:r w:rsidRPr="000A7C04">
        <w:rPr>
          <w:i/>
          <w:iCs/>
          <w:color w:val="000000" w:themeColor="text1"/>
          <w:sz w:val="22"/>
          <w:szCs w:val="22"/>
          <w:lang w:val="en-US"/>
        </w:rPr>
        <w:t>: Stock Discrepancies Across Channels; Source: Self</w:t>
      </w:r>
    </w:p>
    <w:p w14:paraId="6FF21009" w14:textId="77777777" w:rsidR="00E94C86" w:rsidRPr="000A7C04" w:rsidRDefault="00E94C86" w:rsidP="000A7C04">
      <w:pPr>
        <w:spacing w:line="360" w:lineRule="auto"/>
        <w:jc w:val="both"/>
        <w:rPr>
          <w:rFonts w:ascii="Arial" w:hAnsi="Arial" w:cs="Arial"/>
          <w:color w:val="000000" w:themeColor="text1"/>
          <w:sz w:val="22"/>
          <w:szCs w:val="22"/>
        </w:rPr>
      </w:pPr>
    </w:p>
    <w:p w14:paraId="345E0F53"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3" w:name="_Toc25047"/>
      <w:r w:rsidRPr="000A7C04">
        <w:rPr>
          <w:rFonts w:ascii="Arial" w:hAnsi="Arial" w:cs="Arial"/>
          <w:color w:val="000000" w:themeColor="text1"/>
          <w:sz w:val="22"/>
          <w:szCs w:val="22"/>
        </w:rPr>
        <w:t>2.2 Customer Relationship Management</w:t>
      </w:r>
      <w:bookmarkEnd w:id="3"/>
    </w:p>
    <w:p w14:paraId="177EA5EB"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The customer data is spread out over several different systems making it impossible for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to get a full picture of the customer and thus it is very difficult for the company to manage its customer relationships. According to the Salesforce (2022) State of the Connected Customer report, the customers want personalized experiences and the data that supports these needs should be made accessible to all </w:t>
      </w:r>
      <w:r w:rsidRPr="000A7C04">
        <w:rPr>
          <w:rFonts w:ascii="Arial" w:hAnsi="Arial" w:cs="Arial"/>
          <w:color w:val="000000" w:themeColor="text1"/>
          <w:sz w:val="22"/>
          <w:szCs w:val="22"/>
        </w:rPr>
        <w:lastRenderedPageBreak/>
        <w:t>and unified.</w:t>
      </w:r>
      <w:r w:rsidRPr="000A7C04">
        <w:rPr>
          <w:rFonts w:ascii="Arial" w:hAnsi="Arial" w:cs="Arial"/>
          <w:color w:val="000000" w:themeColor="text1"/>
          <w:sz w:val="22"/>
          <w:szCs w:val="22"/>
          <w:lang w:val="en-US"/>
        </w:rPr>
        <w:t xml:space="preserve"> </w:t>
      </w:r>
      <w:r w:rsidRPr="000A7C04">
        <w:rPr>
          <w:rFonts w:ascii="Arial" w:hAnsi="Arial" w:cs="Arial"/>
          <w:color w:val="000000" w:themeColor="text1"/>
          <w:sz w:val="22"/>
          <w:szCs w:val="22"/>
        </w:rPr>
        <w:t xml:space="preserve">In the absence of a centralized CRM system,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is unable to follow customer behavio</w:t>
      </w:r>
      <w:r>
        <w:rPr>
          <w:rFonts w:ascii="Arial" w:hAnsi="Arial" w:cs="Arial"/>
          <w:color w:val="000000" w:themeColor="text1"/>
          <w:sz w:val="22"/>
          <w:szCs w:val="22"/>
        </w:rPr>
        <w:t>u</w:t>
      </w:r>
      <w:r w:rsidRPr="000A7C04">
        <w:rPr>
          <w:rFonts w:ascii="Arial" w:hAnsi="Arial" w:cs="Arial"/>
          <w:color w:val="000000" w:themeColor="text1"/>
          <w:sz w:val="22"/>
          <w:szCs w:val="22"/>
        </w:rPr>
        <w:t>r, change the group of buyers, and adjust marketing strategies according to them. This disintegration has a negative effect on customer service as well, since the personnel cannot see past transactions, returns, or complaints.</w:t>
      </w:r>
    </w:p>
    <w:p w14:paraId="70AFD5C6"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4" w:name="_Toc30570"/>
      <w:r w:rsidRPr="000A7C04">
        <w:rPr>
          <w:rFonts w:ascii="Arial" w:hAnsi="Arial" w:cs="Arial"/>
          <w:color w:val="000000" w:themeColor="text1"/>
          <w:sz w:val="22"/>
          <w:szCs w:val="22"/>
        </w:rPr>
        <w:t>2.3 Decision-Making and Reporting</w:t>
      </w:r>
      <w:bookmarkEnd w:id="4"/>
    </w:p>
    <w:p w14:paraId="24A90FFB"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Decision-making is currently based on spreadsheets that are produced manually. This mode of operation takes a lot of time, is very prone to mistakes, and does not meet the demands of a rapidly growing company. Davenport and Miller (2022) argue that companies should embrace AI-enhanced data analytics to generate trustworthy, instant insights that will guide both strategic and operational decisions. </w:t>
      </w:r>
      <w:proofErr w:type="spellStart"/>
      <w:r w:rsidRPr="000A7C04">
        <w:rPr>
          <w:rFonts w:ascii="Arial" w:hAnsi="Arial" w:cs="Arial"/>
          <w:color w:val="000000" w:themeColor="text1"/>
          <w:sz w:val="22"/>
          <w:szCs w:val="22"/>
        </w:rPr>
        <w:t>AKPerog's</w:t>
      </w:r>
      <w:proofErr w:type="spellEnd"/>
      <w:r w:rsidRPr="000A7C04">
        <w:rPr>
          <w:rFonts w:ascii="Arial" w:hAnsi="Arial" w:cs="Arial"/>
          <w:color w:val="000000" w:themeColor="text1"/>
          <w:sz w:val="22"/>
          <w:szCs w:val="22"/>
        </w:rPr>
        <w:t xml:space="preserve"> dependence on static spreadsheets makes it impossible to do accurate forecasting and it causes delays in making changes in response to shifts in the market.</w:t>
      </w:r>
    </w:p>
    <w:p w14:paraId="04D6DE30"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5" w:name="_Toc14589"/>
      <w:r w:rsidRPr="000A7C04">
        <w:rPr>
          <w:rFonts w:ascii="Arial" w:hAnsi="Arial" w:cs="Arial"/>
          <w:color w:val="000000" w:themeColor="text1"/>
          <w:sz w:val="22"/>
          <w:szCs w:val="22"/>
        </w:rPr>
        <w:t>2.4 Data Protection and Compliance</w:t>
      </w:r>
      <w:bookmarkEnd w:id="5"/>
    </w:p>
    <w:p w14:paraId="42168E49" w14:textId="77777777" w:rsidR="00E94C86" w:rsidRPr="000A7C04" w:rsidRDefault="00E94C86" w:rsidP="000A7C04">
      <w:pPr>
        <w:spacing w:line="360" w:lineRule="auto"/>
        <w:jc w:val="both"/>
        <w:rPr>
          <w:rFonts w:ascii="Arial" w:hAnsi="Arial" w:cs="Arial"/>
          <w:color w:val="000000" w:themeColor="text1"/>
          <w:sz w:val="22"/>
          <w:szCs w:val="22"/>
        </w:rPr>
      </w:pPr>
    </w:p>
    <w:p w14:paraId="765D5EDB" w14:textId="77777777" w:rsidR="00E94C86" w:rsidRPr="000A7C04" w:rsidRDefault="00B3798C" w:rsidP="000A7C04">
      <w:pPr>
        <w:spacing w:line="360" w:lineRule="auto"/>
        <w:jc w:val="both"/>
        <w:rPr>
          <w:rFonts w:ascii="Arial" w:hAnsi="Arial" w:cs="Arial"/>
          <w:color w:val="000000" w:themeColor="text1"/>
          <w:sz w:val="22"/>
          <w:szCs w:val="22"/>
        </w:rPr>
      </w:pP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is at risk mainly because of their data access controls not being secure enough and poor management of customer data. The GDPR (2018) requires companies to implement user access control, lawful processing, and safe storage as part of their data protection measures. The current system puts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at risk of data breaches and heavy fines for non-compliance, mainly because of the nature of the data, which includes sensitive customer purchasing and payment information.</w:t>
      </w:r>
    </w:p>
    <w:p w14:paraId="770CFDAD"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6" w:name="_Toc31628"/>
      <w:r w:rsidRPr="000A7C04">
        <w:rPr>
          <w:rFonts w:ascii="Arial" w:hAnsi="Arial" w:cs="Arial"/>
          <w:color w:val="000000" w:themeColor="text1"/>
          <w:sz w:val="22"/>
          <w:szCs w:val="22"/>
        </w:rPr>
        <w:t>2.5 System Integration</w:t>
      </w:r>
      <w:bookmarkEnd w:id="6"/>
    </w:p>
    <w:p w14:paraId="486CDB72"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At present, different, non-communicating systems are being used in the company for sales, finance, marketing, and inventory. This is a major reason for low operational efficiency. Gartner (2024) emphasizes that modern businesses must employ integrated ERP systems to eliminate data silos, increase workflow automation, and enable accurate reporting. At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non-communicating systems lead to an increase in administrative workload and a decrease in productivity.</w:t>
      </w:r>
    </w:p>
    <w:p w14:paraId="132B7929"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To sum up, the analysis suggests that </w:t>
      </w:r>
      <w:proofErr w:type="spellStart"/>
      <w:r w:rsidRPr="000A7C04">
        <w:rPr>
          <w:rFonts w:ascii="Arial" w:hAnsi="Arial" w:cs="Arial"/>
          <w:color w:val="000000" w:themeColor="text1"/>
          <w:sz w:val="22"/>
          <w:szCs w:val="22"/>
        </w:rPr>
        <w:t>AKPerog's</w:t>
      </w:r>
      <w:proofErr w:type="spellEnd"/>
      <w:r w:rsidRPr="000A7C04">
        <w:rPr>
          <w:rFonts w:ascii="Arial" w:hAnsi="Arial" w:cs="Arial"/>
          <w:color w:val="000000" w:themeColor="text1"/>
          <w:sz w:val="22"/>
          <w:szCs w:val="22"/>
        </w:rPr>
        <w:t xml:space="preserve"> systems are obsolete, fragmented, inefficient, and incapable of supporting future business growth.</w:t>
      </w:r>
    </w:p>
    <w:p w14:paraId="05D3DE15" w14:textId="77777777" w:rsidR="00E94C86" w:rsidRPr="000A7C04" w:rsidRDefault="00B3798C" w:rsidP="000A7C04">
      <w:pPr>
        <w:pStyle w:val="Heading1"/>
        <w:spacing w:line="360" w:lineRule="auto"/>
        <w:jc w:val="both"/>
        <w:rPr>
          <w:rFonts w:ascii="Arial" w:hAnsi="Arial" w:cs="Arial"/>
          <w:color w:val="000000" w:themeColor="text1"/>
          <w:sz w:val="22"/>
          <w:szCs w:val="22"/>
        </w:rPr>
      </w:pPr>
      <w:bookmarkStart w:id="7" w:name="_Toc13179"/>
      <w:r w:rsidRPr="000A7C04">
        <w:rPr>
          <w:rFonts w:ascii="Arial" w:hAnsi="Arial" w:cs="Arial"/>
          <w:color w:val="000000" w:themeColor="text1"/>
          <w:sz w:val="22"/>
          <w:szCs w:val="22"/>
        </w:rPr>
        <w:lastRenderedPageBreak/>
        <w:t>3. Recommended Solution</w:t>
      </w:r>
      <w:bookmarkEnd w:id="7"/>
    </w:p>
    <w:p w14:paraId="2BFB8A58"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In order to tackle the problems, the report suggests the installation of a cloud-based ERP system that comes with integrated CRM and AI-powered analytics features. This solution will take over the uncoordinated and manual systems that are presently in use throughout the organi</w:t>
      </w:r>
      <w:r>
        <w:rPr>
          <w:rFonts w:ascii="Arial" w:hAnsi="Arial" w:cs="Arial"/>
          <w:color w:val="000000" w:themeColor="text1"/>
          <w:sz w:val="22"/>
          <w:szCs w:val="22"/>
        </w:rPr>
        <w:t>s</w:t>
      </w:r>
      <w:r w:rsidRPr="000A7C04">
        <w:rPr>
          <w:rFonts w:ascii="Arial" w:hAnsi="Arial" w:cs="Arial"/>
          <w:color w:val="000000" w:themeColor="text1"/>
          <w:sz w:val="22"/>
          <w:szCs w:val="22"/>
        </w:rPr>
        <w:t>ation.</w:t>
      </w:r>
    </w:p>
    <w:p w14:paraId="6BF72D14"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8" w:name="_Toc3209"/>
      <w:r w:rsidRPr="000A7C04">
        <w:rPr>
          <w:rFonts w:ascii="Arial" w:hAnsi="Arial" w:cs="Arial"/>
          <w:color w:val="000000" w:themeColor="text1"/>
          <w:sz w:val="22"/>
          <w:szCs w:val="22"/>
        </w:rPr>
        <w:t>3.1 Why ERP?</w:t>
      </w:r>
      <w:bookmarkEnd w:id="8"/>
    </w:p>
    <w:p w14:paraId="048953AD"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The all-encompassing nature of ERP systems allows for the integration of the core business processes of any company—namely, inventory, finance, sales, customer management, procurement, and reporting—into a single platform. Stoica, Mares, and Florea (2022) affirm that the adoption of ERP results in outstanding operational performance, cost savings, and accuracy in information dissemination. For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the implementation of ERP will mean no more manual transfers of data among departments, thereby the errors caused by such will also be reduced, while, simultaneously, real-time interdepartmental communication will be possible.</w:t>
      </w:r>
    </w:p>
    <w:p w14:paraId="235BCD9F"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Gartner (2024) adds up to the argument in favo</w:t>
      </w:r>
      <w:r>
        <w:rPr>
          <w:rFonts w:ascii="Arial" w:hAnsi="Arial" w:cs="Arial"/>
          <w:color w:val="000000" w:themeColor="text1"/>
          <w:sz w:val="22"/>
          <w:szCs w:val="22"/>
        </w:rPr>
        <w:t>u</w:t>
      </w:r>
      <w:r w:rsidRPr="000A7C04">
        <w:rPr>
          <w:rFonts w:ascii="Arial" w:hAnsi="Arial" w:cs="Arial"/>
          <w:color w:val="000000" w:themeColor="text1"/>
          <w:sz w:val="22"/>
          <w:szCs w:val="22"/>
        </w:rPr>
        <w:t xml:space="preserve">r of ERP by pointing out that it is the scalability and flexibility that are the key advantages for a growing company.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needs a solution that can go along with the decentralization of the sales and service points, the increase of the online presence, and the variety of the products offered.</w:t>
      </w:r>
    </w:p>
    <w:p w14:paraId="13EC01F7"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Hamad, Yassin, and </w:t>
      </w:r>
      <w:proofErr w:type="spellStart"/>
      <w:r w:rsidRPr="000A7C04">
        <w:rPr>
          <w:rFonts w:ascii="Arial" w:hAnsi="Arial" w:cs="Arial"/>
          <w:color w:val="000000" w:themeColor="text1"/>
          <w:sz w:val="22"/>
          <w:szCs w:val="22"/>
        </w:rPr>
        <w:t>Okour</w:t>
      </w:r>
      <w:proofErr w:type="spellEnd"/>
      <w:r w:rsidRPr="000A7C04">
        <w:rPr>
          <w:rFonts w:ascii="Arial" w:hAnsi="Arial" w:cs="Arial"/>
          <w:color w:val="000000" w:themeColor="text1"/>
          <w:sz w:val="22"/>
          <w:szCs w:val="22"/>
        </w:rPr>
        <w:t xml:space="preserve"> (2022) have also shown that there are great financial performance benefits from the adoption of cloud-based ERP systems especially in emerging markets. Thus, the cloud model is both economical and suitable for a fast-developing retailer such as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w:t>
      </w:r>
    </w:p>
    <w:p w14:paraId="601412DB"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9" w:name="_Toc16317"/>
      <w:r w:rsidRPr="000A7C04">
        <w:rPr>
          <w:rFonts w:ascii="Arial" w:hAnsi="Arial" w:cs="Arial"/>
          <w:color w:val="000000" w:themeColor="text1"/>
          <w:sz w:val="22"/>
          <w:szCs w:val="22"/>
        </w:rPr>
        <w:t>3.2 Integrated Inventory Management</w:t>
      </w:r>
      <w:bookmarkEnd w:id="9"/>
    </w:p>
    <w:p w14:paraId="7D244940"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One of the features that come with modern ERP systems is the advanced inventory management modules. In the observation made by Oracle (n.d.), real-time stock accuracy, decreasing of discrepancies, and enhancing of </w:t>
      </w:r>
      <w:proofErr w:type="spellStart"/>
      <w:r w:rsidRPr="000A7C04">
        <w:rPr>
          <w:rFonts w:ascii="Arial" w:hAnsi="Arial" w:cs="Arial"/>
          <w:color w:val="000000" w:themeColor="text1"/>
          <w:sz w:val="22"/>
          <w:szCs w:val="22"/>
        </w:rPr>
        <w:t>fulfillment</w:t>
      </w:r>
      <w:proofErr w:type="spellEnd"/>
      <w:r w:rsidRPr="000A7C04">
        <w:rPr>
          <w:rFonts w:ascii="Arial" w:hAnsi="Arial" w:cs="Arial"/>
          <w:color w:val="000000" w:themeColor="text1"/>
          <w:sz w:val="22"/>
          <w:szCs w:val="22"/>
        </w:rPr>
        <w:t xml:space="preserve"> efficiency are the benefits provided by automated inventory systems. This will result in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being able to:</w:t>
      </w:r>
    </w:p>
    <w:p w14:paraId="741B1974" w14:textId="77777777" w:rsidR="00E94C86" w:rsidRPr="000A7C04" w:rsidRDefault="00B3798C" w:rsidP="00135899">
      <w:pPr>
        <w:numPr>
          <w:ilvl w:val="0"/>
          <w:numId w:val="3"/>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Have clear access to and control over the stock of 30 stores as well as the online platform</w:t>
      </w:r>
    </w:p>
    <w:p w14:paraId="4EAC650F" w14:textId="77777777" w:rsidR="00E94C86" w:rsidRPr="000A7C04" w:rsidRDefault="00B3798C" w:rsidP="00135899">
      <w:pPr>
        <w:numPr>
          <w:ilvl w:val="0"/>
          <w:numId w:val="3"/>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Get automatic alerts when there is a need to replenish</w:t>
      </w:r>
    </w:p>
    <w:p w14:paraId="46ADDC45" w14:textId="77777777" w:rsidR="00E94C86" w:rsidRPr="000A7C04" w:rsidRDefault="00B3798C" w:rsidP="00135899">
      <w:pPr>
        <w:numPr>
          <w:ilvl w:val="0"/>
          <w:numId w:val="3"/>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Avoid overselling or being short of stock</w:t>
      </w:r>
    </w:p>
    <w:p w14:paraId="16E82B85" w14:textId="77777777" w:rsidR="00E94C86" w:rsidRPr="000A7C04" w:rsidRDefault="00B3798C" w:rsidP="00135899">
      <w:pPr>
        <w:numPr>
          <w:ilvl w:val="0"/>
          <w:numId w:val="3"/>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lastRenderedPageBreak/>
        <w:t>Realizing better online availability of products and hence, improved customers’ satisfaction</w:t>
      </w:r>
    </w:p>
    <w:p w14:paraId="63DA48BC"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10" w:name="_Toc26681"/>
      <w:r w:rsidRPr="000A7C04">
        <w:rPr>
          <w:rFonts w:ascii="Arial" w:hAnsi="Arial" w:cs="Arial"/>
          <w:color w:val="000000" w:themeColor="text1"/>
          <w:sz w:val="22"/>
          <w:szCs w:val="22"/>
        </w:rPr>
        <w:t>3.3 Integrated CRM Module</w:t>
      </w:r>
      <w:bookmarkEnd w:id="10"/>
    </w:p>
    <w:p w14:paraId="48252FB6" w14:textId="77777777" w:rsidR="00E94C86" w:rsidRPr="000A7C04" w:rsidRDefault="00B3798C" w:rsidP="00135899">
      <w:pPr>
        <w:numPr>
          <w:ilvl w:val="0"/>
          <w:numId w:val="4"/>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Salesforce (2022) points out that seamless and personalised experiences are what customers expect nowadays. A unified CRM system in the ERP will set up a single point for all customer data, thus:</w:t>
      </w:r>
    </w:p>
    <w:p w14:paraId="55A423AB" w14:textId="77777777" w:rsidR="00E94C86" w:rsidRPr="000A7C04" w:rsidRDefault="00B3798C" w:rsidP="00135899">
      <w:pPr>
        <w:numPr>
          <w:ilvl w:val="0"/>
          <w:numId w:val="4"/>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Monitoring purchase histories</w:t>
      </w:r>
    </w:p>
    <w:p w14:paraId="14F94D10" w14:textId="77777777" w:rsidR="00E94C86" w:rsidRPr="000A7C04" w:rsidRDefault="00B3798C" w:rsidP="00135899">
      <w:pPr>
        <w:numPr>
          <w:ilvl w:val="0"/>
          <w:numId w:val="4"/>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Creating targeted marketing campaigns</w:t>
      </w:r>
    </w:p>
    <w:p w14:paraId="3B0E0E8B" w14:textId="77777777" w:rsidR="00E94C86" w:rsidRPr="000A7C04" w:rsidRDefault="00B3798C" w:rsidP="00135899">
      <w:pPr>
        <w:numPr>
          <w:ilvl w:val="0"/>
          <w:numId w:val="4"/>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Customer support made easier and faster by enabling access to support records</w:t>
      </w:r>
    </w:p>
    <w:p w14:paraId="2550B906" w14:textId="77777777" w:rsidR="00E94C86" w:rsidRPr="000A7C04" w:rsidRDefault="00B3798C" w:rsidP="00135899">
      <w:pPr>
        <w:numPr>
          <w:ilvl w:val="0"/>
          <w:numId w:val="4"/>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Rewarding customers more effectively through loyalty programmes</w:t>
      </w:r>
    </w:p>
    <w:p w14:paraId="24D6DC72" w14:textId="77777777" w:rsidR="00E94C86" w:rsidRPr="000A7C04" w:rsidRDefault="00B3798C" w:rsidP="00135899">
      <w:pPr>
        <w:numPr>
          <w:ilvl w:val="0"/>
          <w:numId w:val="4"/>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Ultimately, this will have the effect of drastically reducing customer churn and increasing sales.</w:t>
      </w:r>
    </w:p>
    <w:p w14:paraId="61D3BCE8"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11" w:name="_Toc28909"/>
      <w:r w:rsidRPr="000A7C04">
        <w:rPr>
          <w:rFonts w:ascii="Arial" w:hAnsi="Arial" w:cs="Arial"/>
          <w:color w:val="000000" w:themeColor="text1"/>
          <w:sz w:val="22"/>
          <w:szCs w:val="22"/>
        </w:rPr>
        <w:t>3.4 AI-Driven Analytics for Better Decision-Making</w:t>
      </w:r>
      <w:bookmarkEnd w:id="11"/>
    </w:p>
    <w:p w14:paraId="1302F2AA"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Davenport and Miller (2022) talk about the necessity of human decision-making being supported by AI analytics. The ERP with analytics embedded will give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w:t>
      </w:r>
    </w:p>
    <w:p w14:paraId="73242A30" w14:textId="77777777" w:rsidR="00E94C86" w:rsidRPr="000A7C04" w:rsidRDefault="00B3798C" w:rsidP="00135899">
      <w:pPr>
        <w:numPr>
          <w:ilvl w:val="0"/>
          <w:numId w:val="5"/>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Sales dashboards updating in real-time</w:t>
      </w:r>
    </w:p>
    <w:p w14:paraId="4D7369C0" w14:textId="77777777" w:rsidR="00E94C86" w:rsidRPr="000A7C04" w:rsidRDefault="00B3798C" w:rsidP="00135899">
      <w:pPr>
        <w:numPr>
          <w:ilvl w:val="0"/>
          <w:numId w:val="5"/>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Forecasts with high accuracy</w:t>
      </w:r>
    </w:p>
    <w:p w14:paraId="5FACBD65" w14:textId="77777777" w:rsidR="00E94C86" w:rsidRPr="000A7C04" w:rsidRDefault="00B3798C" w:rsidP="00135899">
      <w:pPr>
        <w:numPr>
          <w:ilvl w:val="0"/>
          <w:numId w:val="5"/>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Analysis of trends</w:t>
      </w:r>
    </w:p>
    <w:p w14:paraId="00EAB2F2" w14:textId="77777777" w:rsidR="00E94C86" w:rsidRPr="000A7C04" w:rsidRDefault="00B3798C" w:rsidP="00135899">
      <w:pPr>
        <w:numPr>
          <w:ilvl w:val="0"/>
          <w:numId w:val="5"/>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Reporting that is automated</w:t>
      </w:r>
    </w:p>
    <w:p w14:paraId="46DFACEE" w14:textId="77777777" w:rsidR="00E94C86" w:rsidRPr="000A7C04" w:rsidRDefault="00B3798C" w:rsidP="00135899">
      <w:pPr>
        <w:numPr>
          <w:ilvl w:val="0"/>
          <w:numId w:val="5"/>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This will help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overcome its problem with spreadsheet-based choice making.</w:t>
      </w:r>
    </w:p>
    <w:p w14:paraId="0DF9F717" w14:textId="77777777" w:rsidR="00E94C86" w:rsidRPr="000A7C04" w:rsidRDefault="00E94C86" w:rsidP="000A7C04">
      <w:pPr>
        <w:spacing w:line="360" w:lineRule="auto"/>
        <w:jc w:val="both"/>
        <w:rPr>
          <w:rFonts w:ascii="Arial" w:hAnsi="Arial" w:cs="Arial"/>
          <w:color w:val="000000" w:themeColor="text1"/>
          <w:sz w:val="22"/>
          <w:szCs w:val="22"/>
        </w:rPr>
      </w:pPr>
    </w:p>
    <w:p w14:paraId="4988D704" w14:textId="77777777" w:rsidR="00E94C86" w:rsidRPr="000A7C04" w:rsidRDefault="00B3798C" w:rsidP="000A7C04">
      <w:pPr>
        <w:spacing w:line="360" w:lineRule="auto"/>
        <w:jc w:val="center"/>
        <w:rPr>
          <w:rFonts w:ascii="Arial" w:hAnsi="Arial" w:cs="Arial"/>
          <w:i/>
          <w:iCs/>
          <w:color w:val="000000" w:themeColor="text1"/>
          <w:sz w:val="22"/>
          <w:szCs w:val="22"/>
        </w:rPr>
      </w:pPr>
      <w:r w:rsidRPr="000A7C04">
        <w:rPr>
          <w:rFonts w:ascii="Arial" w:hAnsi="Arial" w:cs="Arial"/>
          <w:i/>
          <w:iCs/>
          <w:noProof/>
          <w:color w:val="000000" w:themeColor="text1"/>
          <w:sz w:val="22"/>
          <w:szCs w:val="22"/>
          <w:lang w:eastAsia="en-GB"/>
        </w:rPr>
        <w:drawing>
          <wp:inline distT="0" distB="0" distL="114300" distR="114300" wp14:anchorId="7E3C3949" wp14:editId="676EA6B2">
            <wp:extent cx="3483610" cy="22815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3483610" cy="2281555"/>
                    </a:xfrm>
                    <a:prstGeom prst="rect">
                      <a:avLst/>
                    </a:prstGeom>
                    <a:noFill/>
                    <a:ln>
                      <a:noFill/>
                    </a:ln>
                  </pic:spPr>
                </pic:pic>
              </a:graphicData>
            </a:graphic>
          </wp:inline>
        </w:drawing>
      </w:r>
    </w:p>
    <w:p w14:paraId="21AD8DFF" w14:textId="77777777" w:rsidR="00E94C86" w:rsidRPr="000A7C04" w:rsidRDefault="00B3798C" w:rsidP="000A7C04">
      <w:pPr>
        <w:pStyle w:val="Caption"/>
        <w:spacing w:line="360" w:lineRule="auto"/>
        <w:jc w:val="center"/>
        <w:rPr>
          <w:i/>
          <w:iCs/>
          <w:color w:val="000000" w:themeColor="text1"/>
          <w:sz w:val="22"/>
          <w:szCs w:val="22"/>
        </w:rPr>
      </w:pPr>
      <w:r w:rsidRPr="000A7C04">
        <w:rPr>
          <w:i/>
          <w:iCs/>
          <w:color w:val="000000" w:themeColor="text1"/>
          <w:sz w:val="22"/>
          <w:szCs w:val="22"/>
        </w:rPr>
        <w:t xml:space="preserve">Figure </w:t>
      </w:r>
      <w:r w:rsidRPr="000A7C04">
        <w:rPr>
          <w:i/>
          <w:iCs/>
          <w:color w:val="000000" w:themeColor="text1"/>
          <w:sz w:val="22"/>
          <w:szCs w:val="22"/>
        </w:rPr>
        <w:fldChar w:fldCharType="begin"/>
      </w:r>
      <w:r w:rsidRPr="000A7C04">
        <w:rPr>
          <w:i/>
          <w:iCs/>
          <w:color w:val="000000" w:themeColor="text1"/>
          <w:sz w:val="22"/>
          <w:szCs w:val="22"/>
        </w:rPr>
        <w:instrText xml:space="preserve"> SEQ Figure \* ARABIC </w:instrText>
      </w:r>
      <w:r w:rsidRPr="000A7C04">
        <w:rPr>
          <w:i/>
          <w:iCs/>
          <w:color w:val="000000" w:themeColor="text1"/>
          <w:sz w:val="22"/>
          <w:szCs w:val="22"/>
        </w:rPr>
        <w:fldChar w:fldCharType="separate"/>
      </w:r>
      <w:r w:rsidRPr="000A7C04">
        <w:rPr>
          <w:i/>
          <w:iCs/>
          <w:color w:val="000000" w:themeColor="text1"/>
          <w:sz w:val="22"/>
          <w:szCs w:val="22"/>
        </w:rPr>
        <w:t>2</w:t>
      </w:r>
      <w:r w:rsidRPr="000A7C04">
        <w:rPr>
          <w:i/>
          <w:iCs/>
          <w:color w:val="000000" w:themeColor="text1"/>
          <w:sz w:val="22"/>
          <w:szCs w:val="22"/>
        </w:rPr>
        <w:fldChar w:fldCharType="end"/>
      </w:r>
      <w:r w:rsidRPr="000A7C04">
        <w:rPr>
          <w:i/>
          <w:iCs/>
          <w:color w:val="000000" w:themeColor="text1"/>
          <w:sz w:val="22"/>
          <w:szCs w:val="22"/>
          <w:lang w:val="en-US"/>
        </w:rPr>
        <w:t>: Forecast Accuracy: Current vs AI-Driven; Source: Self</w:t>
      </w:r>
    </w:p>
    <w:p w14:paraId="1A2D2570"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12" w:name="_Toc14085"/>
      <w:r w:rsidRPr="000A7C04">
        <w:rPr>
          <w:rFonts w:ascii="Arial" w:hAnsi="Arial" w:cs="Arial"/>
          <w:color w:val="000000" w:themeColor="text1"/>
          <w:sz w:val="22"/>
          <w:szCs w:val="22"/>
        </w:rPr>
        <w:lastRenderedPageBreak/>
        <w:t>3.5 GDPR Compliance and Security</w:t>
      </w:r>
      <w:bookmarkEnd w:id="12"/>
    </w:p>
    <w:p w14:paraId="5101FD32"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An ERP system guarantees security by offering features such as access controls, user authentication, encryption, and audit trails. With these features in place,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will be able to meet the requirements of GDPR (GDPR, 2018) thus safeguarding customer information and minimizing the risks associated with compliance.</w:t>
      </w:r>
    </w:p>
    <w:p w14:paraId="545B5A41" w14:textId="77777777" w:rsidR="00E94C86" w:rsidRPr="000A7C04" w:rsidRDefault="00B3798C" w:rsidP="000A7C04">
      <w:pPr>
        <w:pStyle w:val="Heading1"/>
        <w:spacing w:line="360" w:lineRule="auto"/>
        <w:jc w:val="both"/>
        <w:rPr>
          <w:rFonts w:ascii="Arial" w:hAnsi="Arial" w:cs="Arial"/>
          <w:color w:val="000000" w:themeColor="text1"/>
          <w:sz w:val="22"/>
          <w:szCs w:val="22"/>
        </w:rPr>
      </w:pPr>
      <w:bookmarkStart w:id="13" w:name="_Toc20503"/>
      <w:r w:rsidRPr="000A7C04">
        <w:rPr>
          <w:rFonts w:ascii="Arial" w:hAnsi="Arial" w:cs="Arial"/>
          <w:color w:val="000000" w:themeColor="text1"/>
          <w:sz w:val="22"/>
          <w:szCs w:val="22"/>
        </w:rPr>
        <w:t>4. Implementation Plan</w:t>
      </w:r>
      <w:bookmarkEnd w:id="13"/>
    </w:p>
    <w:p w14:paraId="4FA24974"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The company will be presented with a smooth transition from its current system to the new ERP through a structured and phased implementation plan.</w:t>
      </w:r>
    </w:p>
    <w:p w14:paraId="1FE8B8D1"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14" w:name="_Toc24323"/>
      <w:r w:rsidRPr="000A7C04">
        <w:rPr>
          <w:rFonts w:ascii="Arial" w:hAnsi="Arial" w:cs="Arial"/>
          <w:color w:val="000000" w:themeColor="text1"/>
          <w:sz w:val="22"/>
          <w:szCs w:val="22"/>
        </w:rPr>
        <w:t>4.1 Phase 1 – Requirements Analysis (2–4 Weeks)</w:t>
      </w:r>
      <w:bookmarkEnd w:id="14"/>
    </w:p>
    <w:p w14:paraId="3E06DCF4"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The project must start with an in-depth investigation of the business processes over the different departments. The main tasks are as follows:</w:t>
      </w:r>
    </w:p>
    <w:p w14:paraId="28574ADE" w14:textId="77777777" w:rsidR="00E94C86" w:rsidRPr="000A7C04" w:rsidRDefault="00B3798C" w:rsidP="00135899">
      <w:pPr>
        <w:numPr>
          <w:ilvl w:val="0"/>
          <w:numId w:val="6"/>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Drawing a map of the current processes</w:t>
      </w:r>
    </w:p>
    <w:p w14:paraId="37DFF267" w14:textId="77777777" w:rsidR="00E94C86" w:rsidRPr="000A7C04" w:rsidRDefault="00B3798C" w:rsidP="00135899">
      <w:pPr>
        <w:numPr>
          <w:ilvl w:val="0"/>
          <w:numId w:val="6"/>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Listing down the problems and defining the system requirements</w:t>
      </w:r>
    </w:p>
    <w:p w14:paraId="25632566" w14:textId="77777777" w:rsidR="00E94C86" w:rsidRPr="000A7C04" w:rsidRDefault="00B3798C" w:rsidP="00135899">
      <w:pPr>
        <w:numPr>
          <w:ilvl w:val="0"/>
          <w:numId w:val="6"/>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Talking to the key people from sales, finance, inventory, marketing, and HR</w:t>
      </w:r>
    </w:p>
    <w:p w14:paraId="679E7492" w14:textId="77777777" w:rsidR="00E94C86" w:rsidRPr="000A7C04" w:rsidRDefault="00B3798C" w:rsidP="00135899">
      <w:pPr>
        <w:numPr>
          <w:ilvl w:val="0"/>
          <w:numId w:val="6"/>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This guarantees that the ERP setup is in sync with the company's requirements.</w:t>
      </w:r>
    </w:p>
    <w:p w14:paraId="44EAFFEC"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15" w:name="_Toc3906"/>
      <w:r w:rsidRPr="000A7C04">
        <w:rPr>
          <w:rFonts w:ascii="Arial" w:hAnsi="Arial" w:cs="Arial"/>
          <w:color w:val="000000" w:themeColor="text1"/>
          <w:sz w:val="22"/>
          <w:szCs w:val="22"/>
        </w:rPr>
        <w:t>4.2 Phase 2 – System Selection (4 Weeks)</w:t>
      </w:r>
      <w:bookmarkEnd w:id="15"/>
    </w:p>
    <w:p w14:paraId="0668D662" w14:textId="77777777" w:rsidR="00E94C86" w:rsidRPr="000A7C04" w:rsidRDefault="00B3798C" w:rsidP="000A7C04">
      <w:pPr>
        <w:spacing w:line="360" w:lineRule="auto"/>
        <w:jc w:val="both"/>
        <w:rPr>
          <w:rFonts w:ascii="Arial" w:hAnsi="Arial" w:cs="Arial"/>
          <w:color w:val="000000" w:themeColor="text1"/>
          <w:sz w:val="22"/>
          <w:szCs w:val="22"/>
        </w:rPr>
      </w:pP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should consider evaluating cloud-based ERP vendors like Oracle NetSuite, SAP Business </w:t>
      </w:r>
      <w:proofErr w:type="spellStart"/>
      <w:r w:rsidRPr="000A7C04">
        <w:rPr>
          <w:rFonts w:ascii="Arial" w:hAnsi="Arial" w:cs="Arial"/>
          <w:color w:val="000000" w:themeColor="text1"/>
          <w:sz w:val="22"/>
          <w:szCs w:val="22"/>
        </w:rPr>
        <w:t>ByDesign</w:t>
      </w:r>
      <w:proofErr w:type="spellEnd"/>
      <w:r w:rsidRPr="000A7C04">
        <w:rPr>
          <w:rFonts w:ascii="Arial" w:hAnsi="Arial" w:cs="Arial"/>
          <w:color w:val="000000" w:themeColor="text1"/>
          <w:sz w:val="22"/>
          <w:szCs w:val="22"/>
        </w:rPr>
        <w:t>, or Microsoft Dynamics 365 based on requirements. The evaluation will be based on the following criteria:</w:t>
      </w:r>
    </w:p>
    <w:p w14:paraId="7EF51250" w14:textId="77777777" w:rsidR="00E94C86" w:rsidRPr="000A7C04" w:rsidRDefault="00B3798C" w:rsidP="00135899">
      <w:pPr>
        <w:numPr>
          <w:ilvl w:val="0"/>
          <w:numId w:val="7"/>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Cost</w:t>
      </w:r>
    </w:p>
    <w:p w14:paraId="1ACC876B" w14:textId="77777777" w:rsidR="00E94C86" w:rsidRPr="000A7C04" w:rsidRDefault="00B3798C" w:rsidP="00135899">
      <w:pPr>
        <w:numPr>
          <w:ilvl w:val="0"/>
          <w:numId w:val="7"/>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Scalability</w:t>
      </w:r>
    </w:p>
    <w:p w14:paraId="3373CD31" w14:textId="77777777" w:rsidR="00E94C86" w:rsidRPr="000A7C04" w:rsidRDefault="00B3798C" w:rsidP="00135899">
      <w:pPr>
        <w:numPr>
          <w:ilvl w:val="0"/>
          <w:numId w:val="7"/>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CRM functionalities</w:t>
      </w:r>
    </w:p>
    <w:p w14:paraId="7C93A8EA" w14:textId="77777777" w:rsidR="00E94C86" w:rsidRPr="000A7C04" w:rsidRDefault="00B3798C" w:rsidP="00135899">
      <w:pPr>
        <w:numPr>
          <w:ilvl w:val="0"/>
          <w:numId w:val="7"/>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Reporting tools</w:t>
      </w:r>
    </w:p>
    <w:p w14:paraId="47C40A39" w14:textId="77777777" w:rsidR="00E94C86" w:rsidRPr="000A7C04" w:rsidRDefault="00B3798C" w:rsidP="00135899">
      <w:pPr>
        <w:numPr>
          <w:ilvl w:val="0"/>
          <w:numId w:val="7"/>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GDPR compliance features</w:t>
      </w:r>
    </w:p>
    <w:p w14:paraId="46C9183B"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Gartner (2024) suggests evaluating vendors’ long-term reliability and interconnection ability along with the above-mentioned criteria.</w:t>
      </w:r>
    </w:p>
    <w:p w14:paraId="2BB35C03" w14:textId="77777777" w:rsidR="00E94C86" w:rsidRPr="000A7C04" w:rsidRDefault="00E94C86" w:rsidP="000A7C04">
      <w:pPr>
        <w:spacing w:line="360" w:lineRule="auto"/>
        <w:jc w:val="both"/>
        <w:rPr>
          <w:rFonts w:ascii="Arial" w:hAnsi="Arial" w:cs="Arial"/>
          <w:color w:val="000000" w:themeColor="text1"/>
          <w:sz w:val="22"/>
          <w:szCs w:val="22"/>
        </w:rPr>
      </w:pPr>
    </w:p>
    <w:p w14:paraId="1ADDAAFF"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16" w:name="_Toc25898"/>
      <w:r w:rsidRPr="000A7C04">
        <w:rPr>
          <w:rFonts w:ascii="Arial" w:hAnsi="Arial" w:cs="Arial"/>
          <w:color w:val="000000" w:themeColor="text1"/>
          <w:sz w:val="22"/>
          <w:szCs w:val="22"/>
        </w:rPr>
        <w:lastRenderedPageBreak/>
        <w:t>4.3 Phase 3 – Data Migration (4–6 Weeks)</w:t>
      </w:r>
      <w:bookmarkEnd w:id="16"/>
    </w:p>
    <w:p w14:paraId="44F5AC30"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Data migration might be difficult owing to the disjointed systems of the company. The phase consists of:</w:t>
      </w:r>
    </w:p>
    <w:p w14:paraId="1FDB8614" w14:textId="77777777" w:rsidR="00E94C86" w:rsidRPr="000A7C04" w:rsidRDefault="00B3798C" w:rsidP="00135899">
      <w:pPr>
        <w:numPr>
          <w:ilvl w:val="0"/>
          <w:numId w:val="8"/>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Cleaning and validating current data</w:t>
      </w:r>
    </w:p>
    <w:p w14:paraId="43B38289" w14:textId="77777777" w:rsidR="00E94C86" w:rsidRPr="000A7C04" w:rsidRDefault="00B3798C" w:rsidP="00135899">
      <w:pPr>
        <w:numPr>
          <w:ilvl w:val="0"/>
          <w:numId w:val="8"/>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Merging customer data</w:t>
      </w:r>
    </w:p>
    <w:p w14:paraId="58A3905E" w14:textId="77777777" w:rsidR="00E94C86" w:rsidRPr="000A7C04" w:rsidRDefault="00B3798C" w:rsidP="00135899">
      <w:pPr>
        <w:numPr>
          <w:ilvl w:val="0"/>
          <w:numId w:val="8"/>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Changing inventory and sales data to a common format</w:t>
      </w:r>
    </w:p>
    <w:p w14:paraId="15E654BF" w14:textId="77777777" w:rsidR="00E94C86" w:rsidRPr="000A7C04" w:rsidRDefault="00B3798C" w:rsidP="00135899">
      <w:pPr>
        <w:numPr>
          <w:ilvl w:val="0"/>
          <w:numId w:val="8"/>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Quality control is very important to guarantee precision.</w:t>
      </w:r>
    </w:p>
    <w:p w14:paraId="404DDAC2"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17" w:name="_Toc30324"/>
      <w:r w:rsidRPr="000A7C04">
        <w:rPr>
          <w:rFonts w:ascii="Arial" w:hAnsi="Arial" w:cs="Arial"/>
          <w:color w:val="000000" w:themeColor="text1"/>
          <w:sz w:val="22"/>
          <w:szCs w:val="22"/>
        </w:rPr>
        <w:t>4.4 Phase 4 – System Configuration and Testing (6–8 Weeks)</w:t>
      </w:r>
      <w:bookmarkEnd w:id="17"/>
    </w:p>
    <w:p w14:paraId="05CE273C"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The focus of the configuration should be on:</w:t>
      </w:r>
    </w:p>
    <w:p w14:paraId="50C3EBB5" w14:textId="77777777" w:rsidR="00E94C86" w:rsidRPr="000A7C04" w:rsidRDefault="00B3798C" w:rsidP="00135899">
      <w:pPr>
        <w:numPr>
          <w:ilvl w:val="0"/>
          <w:numId w:val="9"/>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Inventory processes</w:t>
      </w:r>
    </w:p>
    <w:p w14:paraId="07366077" w14:textId="77777777" w:rsidR="00E94C86" w:rsidRPr="000A7C04" w:rsidRDefault="00B3798C" w:rsidP="00135899">
      <w:pPr>
        <w:numPr>
          <w:ilvl w:val="0"/>
          <w:numId w:val="9"/>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CRM connection</w:t>
      </w:r>
    </w:p>
    <w:p w14:paraId="4C1F6350" w14:textId="77777777" w:rsidR="00E94C86" w:rsidRPr="000A7C04" w:rsidRDefault="00B3798C" w:rsidP="00135899">
      <w:pPr>
        <w:numPr>
          <w:ilvl w:val="0"/>
          <w:numId w:val="9"/>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Access controls based on roles</w:t>
      </w:r>
    </w:p>
    <w:p w14:paraId="6B31C2BC" w14:textId="77777777" w:rsidR="00E94C86" w:rsidRPr="000A7C04" w:rsidRDefault="00B3798C" w:rsidP="00135899">
      <w:pPr>
        <w:numPr>
          <w:ilvl w:val="0"/>
          <w:numId w:val="9"/>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Automated reporting dashboards</w:t>
      </w:r>
    </w:p>
    <w:p w14:paraId="6F089BDB"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Testing should cover:</w:t>
      </w:r>
    </w:p>
    <w:p w14:paraId="3850209D" w14:textId="77777777" w:rsidR="00E94C86" w:rsidRPr="000A7C04" w:rsidRDefault="00B3798C" w:rsidP="00135899">
      <w:pPr>
        <w:numPr>
          <w:ilvl w:val="0"/>
          <w:numId w:val="10"/>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Unit testing</w:t>
      </w:r>
    </w:p>
    <w:p w14:paraId="74FFEAD8" w14:textId="77777777" w:rsidR="00E94C86" w:rsidRPr="000A7C04" w:rsidRDefault="00B3798C" w:rsidP="00135899">
      <w:pPr>
        <w:numPr>
          <w:ilvl w:val="0"/>
          <w:numId w:val="10"/>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User acceptance testing</w:t>
      </w:r>
    </w:p>
    <w:p w14:paraId="18E14912" w14:textId="77777777" w:rsidR="00E94C86" w:rsidRPr="000A7C04" w:rsidRDefault="00B3798C" w:rsidP="00135899">
      <w:pPr>
        <w:numPr>
          <w:ilvl w:val="0"/>
          <w:numId w:val="10"/>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Security testing</w:t>
      </w:r>
    </w:p>
    <w:p w14:paraId="15BD00E6"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18" w:name="_Toc29892"/>
      <w:r w:rsidRPr="000A7C04">
        <w:rPr>
          <w:rFonts w:ascii="Arial" w:hAnsi="Arial" w:cs="Arial"/>
          <w:color w:val="000000" w:themeColor="text1"/>
          <w:sz w:val="22"/>
          <w:szCs w:val="22"/>
        </w:rPr>
        <w:t>4.5 Phase 5 – Staff Training (2–3 Weeks)</w:t>
      </w:r>
      <w:bookmarkEnd w:id="18"/>
    </w:p>
    <w:p w14:paraId="0ED8245D"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Training is a must for the ERP's successful uptake. Hamad, Yassin, and </w:t>
      </w:r>
      <w:proofErr w:type="spellStart"/>
      <w:r w:rsidRPr="000A7C04">
        <w:rPr>
          <w:rFonts w:ascii="Arial" w:hAnsi="Arial" w:cs="Arial"/>
          <w:color w:val="000000" w:themeColor="text1"/>
          <w:sz w:val="22"/>
          <w:szCs w:val="22"/>
        </w:rPr>
        <w:t>Okour</w:t>
      </w:r>
      <w:proofErr w:type="spellEnd"/>
      <w:r w:rsidRPr="000A7C04">
        <w:rPr>
          <w:rFonts w:ascii="Arial" w:hAnsi="Arial" w:cs="Arial"/>
          <w:color w:val="000000" w:themeColor="text1"/>
          <w:sz w:val="22"/>
          <w:szCs w:val="22"/>
        </w:rPr>
        <w:t xml:space="preserve"> (2022) insist on the utmost importance of staff readiness as the ERP implementation critical success factor. Training activities should comprise:</w:t>
      </w:r>
    </w:p>
    <w:p w14:paraId="14F7CF17"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Workshops for roles</w:t>
      </w:r>
    </w:p>
    <w:p w14:paraId="01D06DE4"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Practical system exercises</w:t>
      </w:r>
    </w:p>
    <w:p w14:paraId="341470B6"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Manuals and video guides for training</w:t>
      </w:r>
    </w:p>
    <w:p w14:paraId="0F34C865"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19" w:name="_Toc25021"/>
      <w:r w:rsidRPr="000A7C04">
        <w:rPr>
          <w:rFonts w:ascii="Arial" w:hAnsi="Arial" w:cs="Arial"/>
          <w:color w:val="000000" w:themeColor="text1"/>
          <w:sz w:val="22"/>
          <w:szCs w:val="22"/>
        </w:rPr>
        <w:t>4.6 Phase 6 – Go-Live and Support (2 Weeks)</w:t>
      </w:r>
      <w:bookmarkEnd w:id="19"/>
    </w:p>
    <w:p w14:paraId="76F87FBD"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The migration should be done slowly, letting the old and new systems run concurrently for a week. Support should continue to be available for any problems related to:</w:t>
      </w:r>
    </w:p>
    <w:p w14:paraId="36496694" w14:textId="77777777" w:rsidR="00E94C86" w:rsidRPr="000A7C04" w:rsidRDefault="00B3798C" w:rsidP="00135899">
      <w:pPr>
        <w:numPr>
          <w:ilvl w:val="0"/>
          <w:numId w:val="11"/>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Data reporting</w:t>
      </w:r>
    </w:p>
    <w:p w14:paraId="38F10B6A" w14:textId="77777777" w:rsidR="00E94C86" w:rsidRPr="000A7C04" w:rsidRDefault="00B3798C" w:rsidP="00135899">
      <w:pPr>
        <w:numPr>
          <w:ilvl w:val="0"/>
          <w:numId w:val="11"/>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Inventory updates</w:t>
      </w:r>
    </w:p>
    <w:p w14:paraId="124FBE92" w14:textId="77777777" w:rsidR="00E94C86" w:rsidRPr="000A7C04" w:rsidRDefault="00B3798C" w:rsidP="00135899">
      <w:pPr>
        <w:numPr>
          <w:ilvl w:val="0"/>
          <w:numId w:val="11"/>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CRM usage</w:t>
      </w:r>
    </w:p>
    <w:p w14:paraId="184EB172" w14:textId="77777777" w:rsidR="00E94C86" w:rsidRPr="000A7C04" w:rsidRDefault="00B3798C" w:rsidP="00135899">
      <w:pPr>
        <w:numPr>
          <w:ilvl w:val="0"/>
          <w:numId w:val="11"/>
        </w:numPr>
        <w:tabs>
          <w:tab w:val="left" w:pos="420"/>
        </w:tabs>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lastRenderedPageBreak/>
        <w:t>User access</w:t>
      </w:r>
    </w:p>
    <w:p w14:paraId="1DFA240E" w14:textId="77777777" w:rsidR="00E94C86" w:rsidRPr="000A7C04" w:rsidRDefault="00B3798C" w:rsidP="000A7C04">
      <w:pPr>
        <w:pStyle w:val="Heading2"/>
        <w:spacing w:line="360" w:lineRule="auto"/>
        <w:jc w:val="both"/>
        <w:rPr>
          <w:rFonts w:ascii="Arial" w:hAnsi="Arial" w:cs="Arial"/>
          <w:color w:val="000000" w:themeColor="text1"/>
          <w:sz w:val="22"/>
          <w:szCs w:val="22"/>
        </w:rPr>
      </w:pPr>
      <w:bookmarkStart w:id="20" w:name="_Toc10182"/>
      <w:r w:rsidRPr="000A7C04">
        <w:rPr>
          <w:rFonts w:ascii="Arial" w:hAnsi="Arial" w:cs="Arial"/>
          <w:color w:val="000000" w:themeColor="text1"/>
          <w:sz w:val="22"/>
          <w:szCs w:val="22"/>
        </w:rPr>
        <w:t>4.7 Phase 7 – Continuous Improvement</w:t>
      </w:r>
      <w:bookmarkEnd w:id="20"/>
    </w:p>
    <w:p w14:paraId="2045E50F"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Once the system is fully operational,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should take quarterly evaluations to adjust system performance and explore the possibility of using data analysis and automation more efficiently.</w:t>
      </w:r>
    </w:p>
    <w:p w14:paraId="34713E3A" w14:textId="77777777" w:rsidR="00E94C86" w:rsidRPr="000A7C04" w:rsidRDefault="00B3798C" w:rsidP="000A7C04">
      <w:pPr>
        <w:pStyle w:val="Heading1"/>
        <w:spacing w:line="360" w:lineRule="auto"/>
        <w:jc w:val="both"/>
        <w:rPr>
          <w:rFonts w:ascii="Arial" w:hAnsi="Arial" w:cs="Arial"/>
          <w:color w:val="000000" w:themeColor="text1"/>
          <w:sz w:val="22"/>
          <w:szCs w:val="22"/>
        </w:rPr>
      </w:pPr>
      <w:bookmarkStart w:id="21" w:name="_Toc8383"/>
      <w:r w:rsidRPr="000A7C04">
        <w:rPr>
          <w:rFonts w:ascii="Arial" w:hAnsi="Arial" w:cs="Arial"/>
          <w:color w:val="000000" w:themeColor="text1"/>
          <w:sz w:val="22"/>
          <w:szCs w:val="22"/>
        </w:rPr>
        <w:t>5. Conclusion</w:t>
      </w:r>
      <w:bookmarkEnd w:id="21"/>
    </w:p>
    <w:p w14:paraId="776CFF60"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The company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Ltd. has taken the entire operational system under serious challenge from the old-fashioned, manual, and disconnected information systems. The predicament has caused a major drop in the accuracy of the inventory, the customer experience, the quality of decisions made, the security of data, and inter-departmental collaboration. After a thorough assessment, the report recommends a cloud-based ERP system that will be integrated with CRM and AI-enabled analytics as the most reliable and efficient solution.</w:t>
      </w:r>
    </w:p>
    <w:p w14:paraId="2B8DEA95"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The ERP systems will grant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the automating of their reports, real-time visibility, and ultimately the resolving of inventory inaccuracies and inefficiencies. With the Integrated CRM customer data, customer marketing will be even more personalized and customer service will be greatly improved. AI supported analytics will give decision making and forecasting a new level of accuracy. The security and access controls will be so strong that they will not only ensure determining the privacy of data but also compliance with GDPR. The plan for the new system's implementation is such that it is structured in a way that the new system can be adopted without failure.</w:t>
      </w:r>
    </w:p>
    <w:p w14:paraId="7E6D0E66"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t xml:space="preserve">Replacing the outdated information systems with the modern ones will allow </w:t>
      </w:r>
      <w:proofErr w:type="spellStart"/>
      <w:r w:rsidRPr="000A7C04">
        <w:rPr>
          <w:rFonts w:ascii="Arial" w:hAnsi="Arial" w:cs="Arial"/>
          <w:color w:val="000000" w:themeColor="text1"/>
          <w:sz w:val="22"/>
          <w:szCs w:val="22"/>
        </w:rPr>
        <w:t>AKPerog</w:t>
      </w:r>
      <w:proofErr w:type="spellEnd"/>
      <w:r w:rsidRPr="000A7C04">
        <w:rPr>
          <w:rFonts w:ascii="Arial" w:hAnsi="Arial" w:cs="Arial"/>
          <w:color w:val="000000" w:themeColor="text1"/>
          <w:sz w:val="22"/>
          <w:szCs w:val="22"/>
        </w:rPr>
        <w:t xml:space="preserve"> to gain a large chunk of the operational efficiency, customer satisfaction as well as reduction of errors, and at the same time, the company will become more competitive in the electronic retail industry.</w:t>
      </w:r>
    </w:p>
    <w:p w14:paraId="38CE48B4" w14:textId="77777777" w:rsidR="00E94C86" w:rsidRPr="000A7C04" w:rsidRDefault="00B3798C" w:rsidP="000A7C04">
      <w:pPr>
        <w:spacing w:line="360" w:lineRule="auto"/>
        <w:jc w:val="both"/>
        <w:rPr>
          <w:rFonts w:ascii="Arial" w:hAnsi="Arial" w:cs="Arial"/>
          <w:color w:val="000000" w:themeColor="text1"/>
          <w:sz w:val="22"/>
          <w:szCs w:val="22"/>
        </w:rPr>
      </w:pPr>
      <w:r w:rsidRPr="000A7C04">
        <w:rPr>
          <w:rFonts w:ascii="Arial" w:hAnsi="Arial" w:cs="Arial"/>
          <w:color w:val="000000" w:themeColor="text1"/>
          <w:sz w:val="22"/>
          <w:szCs w:val="22"/>
        </w:rPr>
        <w:br w:type="page"/>
      </w:r>
    </w:p>
    <w:p w14:paraId="5CC7FFB9" w14:textId="77777777" w:rsidR="00E94C86" w:rsidRPr="000A7C04" w:rsidRDefault="00B3798C" w:rsidP="000A7C04">
      <w:pPr>
        <w:pStyle w:val="Heading1"/>
        <w:numPr>
          <w:ilvl w:val="0"/>
          <w:numId w:val="2"/>
        </w:numPr>
        <w:spacing w:line="360" w:lineRule="auto"/>
        <w:jc w:val="both"/>
        <w:rPr>
          <w:rFonts w:ascii="Arial" w:hAnsi="Arial" w:cs="Arial"/>
          <w:color w:val="000000" w:themeColor="text1"/>
          <w:sz w:val="22"/>
          <w:szCs w:val="22"/>
        </w:rPr>
      </w:pPr>
      <w:bookmarkStart w:id="22" w:name="_Toc16070"/>
      <w:r w:rsidRPr="000A7C04">
        <w:rPr>
          <w:rFonts w:ascii="Arial" w:hAnsi="Arial" w:cs="Arial"/>
          <w:color w:val="000000" w:themeColor="text1"/>
          <w:sz w:val="22"/>
          <w:szCs w:val="22"/>
        </w:rPr>
        <w:lastRenderedPageBreak/>
        <w:t>References</w:t>
      </w:r>
      <w:bookmarkEnd w:id="22"/>
    </w:p>
    <w:p w14:paraId="7FAA5058" w14:textId="77777777" w:rsidR="00E94C86" w:rsidRPr="000A7C04" w:rsidRDefault="00B3798C" w:rsidP="000A7C04">
      <w:pPr>
        <w:pStyle w:val="NormalWeb"/>
        <w:spacing w:line="360" w:lineRule="auto"/>
        <w:ind w:left="330" w:hangingChars="150" w:hanging="330"/>
        <w:jc w:val="both"/>
        <w:rPr>
          <w:rFonts w:ascii="Arial" w:hAnsi="Arial" w:cs="Arial"/>
          <w:color w:val="000000" w:themeColor="text1"/>
          <w:sz w:val="22"/>
          <w:szCs w:val="22"/>
        </w:rPr>
      </w:pPr>
      <w:r w:rsidRPr="000A7C04">
        <w:rPr>
          <w:rFonts w:ascii="Arial" w:hAnsi="Arial" w:cs="Arial"/>
          <w:color w:val="000000" w:themeColor="text1"/>
          <w:sz w:val="22"/>
          <w:szCs w:val="22"/>
        </w:rPr>
        <w:t xml:space="preserve">Davenport, T.H. and Miller, S.M., 2022. </w:t>
      </w:r>
      <w:r w:rsidRPr="000A7C04">
        <w:rPr>
          <w:rStyle w:val="Emphasis"/>
          <w:rFonts w:ascii="Arial" w:hAnsi="Arial" w:cs="Arial"/>
          <w:color w:val="000000" w:themeColor="text1"/>
          <w:sz w:val="22"/>
          <w:szCs w:val="22"/>
        </w:rPr>
        <w:t>Working with AI: real stories of human-machine collaboration.</w:t>
      </w:r>
      <w:r w:rsidRPr="000A7C04">
        <w:rPr>
          <w:rFonts w:ascii="Arial" w:hAnsi="Arial" w:cs="Arial"/>
          <w:color w:val="000000" w:themeColor="text1"/>
          <w:sz w:val="22"/>
          <w:szCs w:val="22"/>
        </w:rPr>
        <w:t xml:space="preserve"> MIT Press. Available at: </w:t>
      </w:r>
      <w:hyperlink r:id="rId9" w:tgtFrame="_new" w:history="1">
        <w:r w:rsidRPr="000A7C04">
          <w:rPr>
            <w:rStyle w:val="Hyperlink"/>
            <w:rFonts w:ascii="Arial" w:hAnsi="Arial" w:cs="Arial"/>
            <w:color w:val="000000" w:themeColor="text1"/>
            <w:sz w:val="22"/>
            <w:szCs w:val="22"/>
          </w:rPr>
          <w:t>https://books.google.com/books?hl=en&amp;lr=&amp;id=f79WEAAAQBAJ&amp;oi=fnd&amp;pg=PR9&amp;dq=Davenport,+T.H.,+2018.+The+AI+Advantage:+How+to+Put+the+Artificial+Intelligence+Revolution+to+Work.+MIT+Press.&amp;ots=WChN34l2rU&amp;sig=_69Z3z2TkOnJQzmNfDOjG8oDpyg</w:t>
        </w:r>
      </w:hyperlink>
      <w:r w:rsidRPr="000A7C04">
        <w:rPr>
          <w:rFonts w:ascii="Arial" w:hAnsi="Arial" w:cs="Arial"/>
          <w:color w:val="000000" w:themeColor="text1"/>
          <w:sz w:val="22"/>
          <w:szCs w:val="22"/>
        </w:rPr>
        <w:t xml:space="preserve"> [Accessed 20 November 2025].</w:t>
      </w:r>
    </w:p>
    <w:p w14:paraId="43D92EA3" w14:textId="77777777" w:rsidR="00E94C86" w:rsidRPr="000A7C04" w:rsidRDefault="00B3798C" w:rsidP="000A7C04">
      <w:pPr>
        <w:pStyle w:val="NormalWeb"/>
        <w:spacing w:line="360" w:lineRule="auto"/>
        <w:ind w:left="330" w:hangingChars="150" w:hanging="330"/>
        <w:jc w:val="both"/>
        <w:rPr>
          <w:rFonts w:ascii="Arial" w:hAnsi="Arial" w:cs="Arial"/>
          <w:color w:val="000000" w:themeColor="text1"/>
          <w:sz w:val="22"/>
          <w:szCs w:val="22"/>
        </w:rPr>
      </w:pPr>
      <w:r w:rsidRPr="000A7C04">
        <w:rPr>
          <w:rFonts w:ascii="Arial" w:hAnsi="Arial" w:cs="Arial"/>
          <w:color w:val="000000" w:themeColor="text1"/>
          <w:sz w:val="22"/>
          <w:szCs w:val="22"/>
        </w:rPr>
        <w:t xml:space="preserve">Gartner, 2024. </w:t>
      </w:r>
      <w:r w:rsidRPr="000A7C04">
        <w:rPr>
          <w:rStyle w:val="Emphasis"/>
          <w:rFonts w:ascii="Arial" w:hAnsi="Arial" w:cs="Arial"/>
          <w:color w:val="000000" w:themeColor="text1"/>
          <w:sz w:val="22"/>
          <w:szCs w:val="22"/>
        </w:rPr>
        <w:t>Latest Enterprise Resource Planning (ERP) Insights | Gartner.</w:t>
      </w:r>
      <w:r w:rsidRPr="000A7C04">
        <w:rPr>
          <w:rFonts w:ascii="Arial" w:hAnsi="Arial" w:cs="Arial"/>
          <w:color w:val="000000" w:themeColor="text1"/>
          <w:sz w:val="22"/>
          <w:szCs w:val="22"/>
        </w:rPr>
        <w:t xml:space="preserve"> Available at: </w:t>
      </w:r>
      <w:hyperlink r:id="rId10" w:tgtFrame="_new" w:history="1">
        <w:r w:rsidRPr="000A7C04">
          <w:rPr>
            <w:rStyle w:val="Hyperlink"/>
            <w:rFonts w:ascii="Arial" w:hAnsi="Arial" w:cs="Arial"/>
            <w:color w:val="000000" w:themeColor="text1"/>
            <w:sz w:val="22"/>
            <w:szCs w:val="22"/>
          </w:rPr>
          <w:t>https://www.gartner.com/en/information-technology/topics/enterprise-resource-planning</w:t>
        </w:r>
      </w:hyperlink>
      <w:r w:rsidRPr="000A7C04">
        <w:rPr>
          <w:rFonts w:ascii="Arial" w:hAnsi="Arial" w:cs="Arial"/>
          <w:color w:val="000000" w:themeColor="text1"/>
          <w:sz w:val="22"/>
          <w:szCs w:val="22"/>
        </w:rPr>
        <w:t xml:space="preserve"> [Accessed 20 November 2025].</w:t>
      </w:r>
    </w:p>
    <w:p w14:paraId="7DDF07FD" w14:textId="77777777" w:rsidR="00E94C86" w:rsidRPr="000A7C04" w:rsidRDefault="00B3798C" w:rsidP="000A7C04">
      <w:pPr>
        <w:pStyle w:val="NormalWeb"/>
        <w:spacing w:line="360" w:lineRule="auto"/>
        <w:ind w:left="330" w:hangingChars="150" w:hanging="330"/>
        <w:jc w:val="both"/>
        <w:rPr>
          <w:rFonts w:ascii="Arial" w:hAnsi="Arial" w:cs="Arial"/>
          <w:color w:val="000000" w:themeColor="text1"/>
          <w:sz w:val="22"/>
          <w:szCs w:val="22"/>
        </w:rPr>
      </w:pPr>
      <w:r w:rsidRPr="000A7C04">
        <w:rPr>
          <w:rFonts w:ascii="Arial" w:hAnsi="Arial" w:cs="Arial"/>
          <w:color w:val="000000" w:themeColor="text1"/>
          <w:sz w:val="22"/>
          <w:szCs w:val="22"/>
        </w:rPr>
        <w:t xml:space="preserve">GDPR, 2018. </w:t>
      </w:r>
      <w:r w:rsidRPr="000A7C04">
        <w:rPr>
          <w:rStyle w:val="Emphasis"/>
          <w:rFonts w:ascii="Arial" w:hAnsi="Arial" w:cs="Arial"/>
          <w:color w:val="000000" w:themeColor="text1"/>
          <w:sz w:val="22"/>
          <w:szCs w:val="22"/>
        </w:rPr>
        <w:t>General Data Protection Regulation (GDPR).</w:t>
      </w:r>
      <w:r w:rsidRPr="000A7C04">
        <w:rPr>
          <w:rFonts w:ascii="Arial" w:hAnsi="Arial" w:cs="Arial"/>
          <w:color w:val="000000" w:themeColor="text1"/>
          <w:sz w:val="22"/>
          <w:szCs w:val="22"/>
        </w:rPr>
        <w:t xml:space="preserve"> Available at: </w:t>
      </w:r>
      <w:hyperlink r:id="rId11" w:tgtFrame="_new" w:history="1">
        <w:r w:rsidRPr="000A7C04">
          <w:rPr>
            <w:rStyle w:val="Hyperlink"/>
            <w:rFonts w:ascii="Arial" w:hAnsi="Arial" w:cs="Arial"/>
            <w:color w:val="000000" w:themeColor="text1"/>
            <w:sz w:val="22"/>
            <w:szCs w:val="22"/>
          </w:rPr>
          <w:t>https://gdpr-info.eu/</w:t>
        </w:r>
      </w:hyperlink>
      <w:r w:rsidRPr="000A7C04">
        <w:rPr>
          <w:rFonts w:ascii="Arial" w:hAnsi="Arial" w:cs="Arial"/>
          <w:color w:val="000000" w:themeColor="text1"/>
          <w:sz w:val="22"/>
          <w:szCs w:val="22"/>
        </w:rPr>
        <w:t xml:space="preserve"> [Accessed 20 November 2025].</w:t>
      </w:r>
    </w:p>
    <w:p w14:paraId="704280E0" w14:textId="77777777" w:rsidR="00E94C86" w:rsidRPr="000A7C04" w:rsidRDefault="00B3798C" w:rsidP="000A7C04">
      <w:pPr>
        <w:pStyle w:val="NormalWeb"/>
        <w:spacing w:line="360" w:lineRule="auto"/>
        <w:ind w:left="330" w:hangingChars="150" w:hanging="330"/>
        <w:jc w:val="both"/>
        <w:rPr>
          <w:rFonts w:ascii="Arial" w:hAnsi="Arial" w:cs="Arial"/>
          <w:color w:val="000000" w:themeColor="text1"/>
          <w:sz w:val="22"/>
          <w:szCs w:val="22"/>
        </w:rPr>
      </w:pPr>
      <w:r w:rsidRPr="000A7C04">
        <w:rPr>
          <w:rFonts w:ascii="Arial" w:hAnsi="Arial" w:cs="Arial"/>
          <w:color w:val="000000" w:themeColor="text1"/>
          <w:sz w:val="22"/>
          <w:szCs w:val="22"/>
        </w:rPr>
        <w:t xml:space="preserve">Hamad, M.T.J., Yassin, M.M. and </w:t>
      </w:r>
      <w:proofErr w:type="spellStart"/>
      <w:r w:rsidRPr="000A7C04">
        <w:rPr>
          <w:rFonts w:ascii="Arial" w:hAnsi="Arial" w:cs="Arial"/>
          <w:color w:val="000000" w:themeColor="text1"/>
          <w:sz w:val="22"/>
          <w:szCs w:val="22"/>
        </w:rPr>
        <w:t>Okour</w:t>
      </w:r>
      <w:proofErr w:type="spellEnd"/>
      <w:r w:rsidRPr="000A7C04">
        <w:rPr>
          <w:rFonts w:ascii="Arial" w:hAnsi="Arial" w:cs="Arial"/>
          <w:color w:val="000000" w:themeColor="text1"/>
          <w:sz w:val="22"/>
          <w:szCs w:val="22"/>
        </w:rPr>
        <w:t xml:space="preserve">, S.M., 2022. Critical success factors of cloud enterprise resource planning systems and financial performance: evidence from emerging markets. </w:t>
      </w:r>
      <w:r w:rsidRPr="000A7C04">
        <w:rPr>
          <w:rStyle w:val="Emphasis"/>
          <w:rFonts w:ascii="Arial" w:hAnsi="Arial" w:cs="Arial"/>
          <w:color w:val="000000" w:themeColor="text1"/>
          <w:sz w:val="22"/>
          <w:szCs w:val="22"/>
        </w:rPr>
        <w:t>Journal of Governance &amp; Regulation</w:t>
      </w:r>
      <w:r w:rsidRPr="000A7C04">
        <w:rPr>
          <w:rFonts w:ascii="Arial" w:hAnsi="Arial" w:cs="Arial"/>
          <w:color w:val="000000" w:themeColor="text1"/>
          <w:sz w:val="22"/>
          <w:szCs w:val="22"/>
        </w:rPr>
        <w:t>, 11(1), pp.361–375.</w:t>
      </w:r>
    </w:p>
    <w:p w14:paraId="4256F6E7" w14:textId="77777777" w:rsidR="00E94C86" w:rsidRPr="000A7C04" w:rsidRDefault="00B3798C" w:rsidP="000A7C04">
      <w:pPr>
        <w:pStyle w:val="NormalWeb"/>
        <w:spacing w:line="360" w:lineRule="auto"/>
        <w:ind w:left="330" w:hangingChars="150" w:hanging="330"/>
        <w:jc w:val="both"/>
        <w:rPr>
          <w:rFonts w:ascii="Arial" w:hAnsi="Arial" w:cs="Arial"/>
          <w:color w:val="000000" w:themeColor="text1"/>
          <w:sz w:val="22"/>
          <w:szCs w:val="22"/>
        </w:rPr>
      </w:pPr>
      <w:r w:rsidRPr="000A7C04">
        <w:rPr>
          <w:rFonts w:ascii="Arial" w:hAnsi="Arial" w:cs="Arial"/>
          <w:color w:val="000000" w:themeColor="text1"/>
          <w:sz w:val="22"/>
          <w:szCs w:val="22"/>
        </w:rPr>
        <w:t xml:space="preserve">Oracle, n.d. </w:t>
      </w:r>
      <w:r w:rsidRPr="000A7C04">
        <w:rPr>
          <w:rStyle w:val="Emphasis"/>
          <w:rFonts w:ascii="Arial" w:hAnsi="Arial" w:cs="Arial"/>
          <w:color w:val="000000" w:themeColor="text1"/>
          <w:sz w:val="22"/>
          <w:szCs w:val="22"/>
        </w:rPr>
        <w:t>Inventory Management Cloud | SCM | Oracle.</w:t>
      </w:r>
      <w:r w:rsidRPr="000A7C04">
        <w:rPr>
          <w:rFonts w:ascii="Arial" w:hAnsi="Arial" w:cs="Arial"/>
          <w:color w:val="000000" w:themeColor="text1"/>
          <w:sz w:val="22"/>
          <w:szCs w:val="22"/>
        </w:rPr>
        <w:t xml:space="preserve"> Available at: </w:t>
      </w:r>
      <w:hyperlink r:id="rId12" w:tgtFrame="_new" w:history="1">
        <w:r w:rsidRPr="000A7C04">
          <w:rPr>
            <w:rStyle w:val="Hyperlink"/>
            <w:rFonts w:ascii="Arial" w:hAnsi="Arial" w:cs="Arial"/>
            <w:color w:val="000000" w:themeColor="text1"/>
            <w:sz w:val="22"/>
            <w:szCs w:val="22"/>
          </w:rPr>
          <w:t>https://www.oracle.com/scm/inventory-management/</w:t>
        </w:r>
      </w:hyperlink>
      <w:r w:rsidRPr="000A7C04">
        <w:rPr>
          <w:rFonts w:ascii="Arial" w:hAnsi="Arial" w:cs="Arial"/>
          <w:color w:val="000000" w:themeColor="text1"/>
          <w:sz w:val="22"/>
          <w:szCs w:val="22"/>
        </w:rPr>
        <w:t xml:space="preserve"> [Accessed 20 November 2025].</w:t>
      </w:r>
    </w:p>
    <w:p w14:paraId="1D4ADA8E" w14:textId="77777777" w:rsidR="00E94C86" w:rsidRPr="000A7C04" w:rsidRDefault="00B3798C" w:rsidP="000A7C04">
      <w:pPr>
        <w:pStyle w:val="NormalWeb"/>
        <w:spacing w:line="360" w:lineRule="auto"/>
        <w:ind w:left="330" w:hangingChars="150" w:hanging="330"/>
        <w:jc w:val="both"/>
        <w:rPr>
          <w:rFonts w:ascii="Arial" w:hAnsi="Arial" w:cs="Arial"/>
          <w:color w:val="000000" w:themeColor="text1"/>
          <w:sz w:val="22"/>
          <w:szCs w:val="22"/>
        </w:rPr>
      </w:pPr>
      <w:r w:rsidRPr="000A7C04">
        <w:rPr>
          <w:rFonts w:ascii="Arial" w:hAnsi="Arial" w:cs="Arial"/>
          <w:color w:val="000000" w:themeColor="text1"/>
          <w:sz w:val="22"/>
          <w:szCs w:val="22"/>
        </w:rPr>
        <w:t xml:space="preserve">Rigby, D. and Bilodeau, B., 2018. </w:t>
      </w:r>
      <w:r w:rsidRPr="000A7C04">
        <w:rPr>
          <w:rStyle w:val="Emphasis"/>
          <w:rFonts w:ascii="Arial" w:hAnsi="Arial" w:cs="Arial"/>
          <w:color w:val="000000" w:themeColor="text1"/>
          <w:sz w:val="22"/>
          <w:szCs w:val="22"/>
        </w:rPr>
        <w:t>Management Tools &amp; Trends.</w:t>
      </w:r>
      <w:r w:rsidRPr="000A7C04">
        <w:rPr>
          <w:rFonts w:ascii="Arial" w:hAnsi="Arial" w:cs="Arial"/>
          <w:color w:val="000000" w:themeColor="text1"/>
          <w:sz w:val="22"/>
          <w:szCs w:val="22"/>
        </w:rPr>
        <w:t xml:space="preserve"> Available at: </w:t>
      </w:r>
      <w:hyperlink r:id="rId13" w:tgtFrame="_new" w:history="1">
        <w:r w:rsidRPr="000A7C04">
          <w:rPr>
            <w:rStyle w:val="Hyperlink"/>
            <w:rFonts w:ascii="Arial" w:hAnsi="Arial" w:cs="Arial"/>
            <w:color w:val="000000" w:themeColor="text1"/>
            <w:sz w:val="22"/>
            <w:szCs w:val="22"/>
          </w:rPr>
          <w:t>https://www.bain.com/contentassets/f8361c5cd99e4f40bbbf83c17d6a91b9/bain_brief-management_tools_and_trends.pdf</w:t>
        </w:r>
      </w:hyperlink>
      <w:r w:rsidRPr="000A7C04">
        <w:rPr>
          <w:rFonts w:ascii="Arial" w:hAnsi="Arial" w:cs="Arial"/>
          <w:color w:val="000000" w:themeColor="text1"/>
          <w:sz w:val="22"/>
          <w:szCs w:val="22"/>
        </w:rPr>
        <w:t xml:space="preserve"> [Accessed 20 November 2025].</w:t>
      </w:r>
    </w:p>
    <w:p w14:paraId="5BAF3CDF" w14:textId="77777777" w:rsidR="00E94C86" w:rsidRPr="000A7C04" w:rsidRDefault="00B3798C" w:rsidP="000A7C04">
      <w:pPr>
        <w:pStyle w:val="NormalWeb"/>
        <w:spacing w:line="360" w:lineRule="auto"/>
        <w:ind w:left="330" w:hangingChars="150" w:hanging="330"/>
        <w:jc w:val="both"/>
        <w:rPr>
          <w:rFonts w:ascii="Arial" w:hAnsi="Arial" w:cs="Arial"/>
          <w:color w:val="000000" w:themeColor="text1"/>
          <w:sz w:val="22"/>
          <w:szCs w:val="22"/>
        </w:rPr>
      </w:pPr>
      <w:r w:rsidRPr="000A7C04">
        <w:rPr>
          <w:rFonts w:ascii="Arial" w:hAnsi="Arial" w:cs="Arial"/>
          <w:color w:val="000000" w:themeColor="text1"/>
          <w:sz w:val="22"/>
          <w:szCs w:val="22"/>
        </w:rPr>
        <w:t xml:space="preserve">Salesforce, 2022. </w:t>
      </w:r>
      <w:r w:rsidRPr="000A7C04">
        <w:rPr>
          <w:rStyle w:val="Emphasis"/>
          <w:rFonts w:ascii="Arial" w:hAnsi="Arial" w:cs="Arial"/>
          <w:color w:val="000000" w:themeColor="text1"/>
          <w:sz w:val="22"/>
          <w:szCs w:val="22"/>
        </w:rPr>
        <w:t>State of the Connected Customer Report.</w:t>
      </w:r>
      <w:r w:rsidRPr="000A7C04">
        <w:rPr>
          <w:rFonts w:ascii="Arial" w:hAnsi="Arial" w:cs="Arial"/>
          <w:color w:val="000000" w:themeColor="text1"/>
          <w:sz w:val="22"/>
          <w:szCs w:val="22"/>
        </w:rPr>
        <w:t xml:space="preserve"> Available at: </w:t>
      </w:r>
      <w:hyperlink r:id="rId14" w:tgtFrame="_new" w:history="1">
        <w:r w:rsidRPr="000A7C04">
          <w:rPr>
            <w:rStyle w:val="Hyperlink"/>
            <w:rFonts w:ascii="Arial" w:hAnsi="Arial" w:cs="Arial"/>
            <w:color w:val="000000" w:themeColor="text1"/>
            <w:sz w:val="22"/>
            <w:szCs w:val="22"/>
          </w:rPr>
          <w:t>https://www.salesforce.com/ap/resources/research-reports/state-of-the-connected-customer/</w:t>
        </w:r>
      </w:hyperlink>
      <w:r w:rsidRPr="000A7C04">
        <w:rPr>
          <w:rFonts w:ascii="Arial" w:hAnsi="Arial" w:cs="Arial"/>
          <w:color w:val="000000" w:themeColor="text1"/>
          <w:sz w:val="22"/>
          <w:szCs w:val="22"/>
        </w:rPr>
        <w:t xml:space="preserve"> [Accessed 20 November 2025].</w:t>
      </w:r>
    </w:p>
    <w:p w14:paraId="6CBF1532" w14:textId="77777777" w:rsidR="00E94C86" w:rsidRPr="00B3798C" w:rsidRDefault="00B3798C" w:rsidP="00135899">
      <w:pPr>
        <w:pStyle w:val="NormalWeb"/>
        <w:spacing w:line="360" w:lineRule="auto"/>
        <w:ind w:left="330" w:hangingChars="150" w:hanging="330"/>
        <w:jc w:val="both"/>
        <w:rPr>
          <w:rFonts w:ascii="Arial" w:hAnsi="Arial" w:cs="Arial"/>
          <w:color w:val="000000" w:themeColor="text1"/>
          <w:sz w:val="22"/>
          <w:szCs w:val="22"/>
          <w:lang w:val="en-GB"/>
        </w:rPr>
      </w:pPr>
      <w:r w:rsidRPr="000A7C04">
        <w:rPr>
          <w:rFonts w:ascii="Arial" w:hAnsi="Arial" w:cs="Arial"/>
          <w:color w:val="000000" w:themeColor="text1"/>
          <w:sz w:val="22"/>
          <w:szCs w:val="22"/>
        </w:rPr>
        <w:t xml:space="preserve">Stoica, R.A., Mares, A.G. and Florea, L.A., 2022. The impact of ERP implementation on firm performance. </w:t>
      </w:r>
      <w:r w:rsidRPr="000A7C04">
        <w:rPr>
          <w:rStyle w:val="Emphasis"/>
          <w:rFonts w:ascii="Arial" w:hAnsi="Arial" w:cs="Arial"/>
          <w:color w:val="000000" w:themeColor="text1"/>
          <w:sz w:val="22"/>
          <w:szCs w:val="22"/>
        </w:rPr>
        <w:t>Ovidius University Annals of Economics Sciences Series</w:t>
      </w:r>
      <w:r w:rsidRPr="000A7C04">
        <w:rPr>
          <w:rFonts w:ascii="Arial" w:hAnsi="Arial" w:cs="Arial"/>
          <w:color w:val="000000" w:themeColor="text1"/>
          <w:sz w:val="22"/>
          <w:szCs w:val="22"/>
        </w:rPr>
        <w:t>, 22(2), pp.1036–1041.</w:t>
      </w:r>
    </w:p>
    <w:sectPr w:rsidR="00E94C86" w:rsidRPr="00B3798C">
      <w:footerReference w:type="default" r:id="rId15"/>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SimHei">
    <w:altName w:val="黑体"/>
    <w:panose1 w:val="02010600030101010101"/>
    <w:charset w:val="86"/>
    <w:family w:val="auto"/>
    <w:pitch w:val="default"/>
    <w:sig w:usb0="00000001" w:usb1="080E0000" w:usb2="00000010" w:usb3="00000000" w:csb0="00040000"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33D63" w14:textId="77777777" w:rsidR="000B594B" w:rsidRDefault="000B594B">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91D0B6"/>
    <w:multiLevelType w:val="singleLevel"/>
    <w:tmpl w:val="AB91D0B6"/>
    <w:lvl w:ilvl="0">
      <w:start w:val="6"/>
      <w:numFmt w:val="decimal"/>
      <w:suff w:val="space"/>
      <w:lvlText w:val="%1."/>
      <w:lvlJc w:val="left"/>
    </w:lvl>
  </w:abstractNum>
  <w:abstractNum w:abstractNumId="1" w15:restartNumberingAfterBreak="0">
    <w:nsid w:val="FC1A6F1A"/>
    <w:multiLevelType w:val="singleLevel"/>
    <w:tmpl w:val="FC1A6F1A"/>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15:restartNumberingAfterBreak="0">
    <w:nsid w:val="008643D9"/>
    <w:multiLevelType w:val="hybridMultilevel"/>
    <w:tmpl w:val="45AC6E3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7456C7"/>
    <w:multiLevelType w:val="hybridMultilevel"/>
    <w:tmpl w:val="C87E3EC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091EBE"/>
    <w:multiLevelType w:val="multilevel"/>
    <w:tmpl w:val="31F4D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843378"/>
    <w:multiLevelType w:val="hybridMultilevel"/>
    <w:tmpl w:val="5BCC369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6774C1"/>
    <w:multiLevelType w:val="hybridMultilevel"/>
    <w:tmpl w:val="BB92868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3A0455"/>
    <w:multiLevelType w:val="hybridMultilevel"/>
    <w:tmpl w:val="A6C0A50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F35206"/>
    <w:multiLevelType w:val="hybridMultilevel"/>
    <w:tmpl w:val="F60EFCE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0555148"/>
    <w:multiLevelType w:val="hybridMultilevel"/>
    <w:tmpl w:val="1C345B6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A68B8"/>
    <w:multiLevelType w:val="hybridMultilevel"/>
    <w:tmpl w:val="3FA89B8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80034BA"/>
    <w:multiLevelType w:val="hybridMultilevel"/>
    <w:tmpl w:val="16C60154"/>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6153E4"/>
    <w:multiLevelType w:val="hybridMultilevel"/>
    <w:tmpl w:val="45006FA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EB152A3"/>
    <w:multiLevelType w:val="hybridMultilevel"/>
    <w:tmpl w:val="EBEA1F0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39090545">
    <w:abstractNumId w:val="1"/>
  </w:num>
  <w:num w:numId="2" w16cid:durableId="737172132">
    <w:abstractNumId w:val="0"/>
  </w:num>
  <w:num w:numId="3" w16cid:durableId="595597266">
    <w:abstractNumId w:val="11"/>
  </w:num>
  <w:num w:numId="4" w16cid:durableId="1550454590">
    <w:abstractNumId w:val="14"/>
  </w:num>
  <w:num w:numId="5" w16cid:durableId="1033530882">
    <w:abstractNumId w:val="15"/>
  </w:num>
  <w:num w:numId="6" w16cid:durableId="1115369035">
    <w:abstractNumId w:val="20"/>
  </w:num>
  <w:num w:numId="7" w16cid:durableId="134572119">
    <w:abstractNumId w:val="22"/>
  </w:num>
  <w:num w:numId="8" w16cid:durableId="1428237357">
    <w:abstractNumId w:val="17"/>
  </w:num>
  <w:num w:numId="9" w16cid:durableId="653603433">
    <w:abstractNumId w:val="4"/>
  </w:num>
  <w:num w:numId="10" w16cid:durableId="262500087">
    <w:abstractNumId w:val="26"/>
  </w:num>
  <w:num w:numId="11" w16cid:durableId="1777483566">
    <w:abstractNumId w:val="27"/>
  </w:num>
  <w:num w:numId="12" w16cid:durableId="1182742652">
    <w:abstractNumId w:val="6"/>
  </w:num>
  <w:num w:numId="13" w16cid:durableId="73672553">
    <w:abstractNumId w:val="18"/>
  </w:num>
  <w:num w:numId="14" w16cid:durableId="551386548">
    <w:abstractNumId w:val="29"/>
  </w:num>
  <w:num w:numId="15" w16cid:durableId="1328249599">
    <w:abstractNumId w:val="21"/>
  </w:num>
  <w:num w:numId="16" w16cid:durableId="1629507774">
    <w:abstractNumId w:val="13"/>
  </w:num>
  <w:num w:numId="17" w16cid:durableId="815100522">
    <w:abstractNumId w:val="28"/>
  </w:num>
  <w:num w:numId="18" w16cid:durableId="1664971962">
    <w:abstractNumId w:val="7"/>
  </w:num>
  <w:num w:numId="19" w16cid:durableId="420836819">
    <w:abstractNumId w:val="25"/>
  </w:num>
  <w:num w:numId="20" w16cid:durableId="1352684847">
    <w:abstractNumId w:val="19"/>
  </w:num>
  <w:num w:numId="21" w16cid:durableId="1326278409">
    <w:abstractNumId w:val="9"/>
  </w:num>
  <w:num w:numId="22" w16cid:durableId="1897081028">
    <w:abstractNumId w:val="10"/>
  </w:num>
  <w:num w:numId="23" w16cid:durableId="1114714032">
    <w:abstractNumId w:val="16"/>
  </w:num>
  <w:num w:numId="24" w16cid:durableId="1289899390">
    <w:abstractNumId w:val="24"/>
  </w:num>
  <w:num w:numId="25" w16cid:durableId="1550071778">
    <w:abstractNumId w:val="8"/>
  </w:num>
  <w:num w:numId="26" w16cid:durableId="255409480">
    <w:abstractNumId w:val="2"/>
  </w:num>
  <w:num w:numId="27" w16cid:durableId="595863372">
    <w:abstractNumId w:val="12"/>
  </w:num>
  <w:num w:numId="28" w16cid:durableId="1763407062">
    <w:abstractNumId w:val="3"/>
  </w:num>
  <w:num w:numId="29" w16cid:durableId="80299189">
    <w:abstractNumId w:val="23"/>
  </w:num>
  <w:num w:numId="30" w16cid:durableId="3264014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1B9659D"/>
    <w:rsid w:val="000A7C04"/>
    <w:rsid w:val="000B594B"/>
    <w:rsid w:val="00135899"/>
    <w:rsid w:val="0089781A"/>
    <w:rsid w:val="00B3798C"/>
    <w:rsid w:val="00E94C86"/>
    <w:rsid w:val="01B9659D"/>
    <w:rsid w:val="0BDC7924"/>
    <w:rsid w:val="0FB61AF3"/>
    <w:rsid w:val="7C555E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1F987"/>
  <w15:docId w15:val="{6D8D21F0-FB87-450B-9A9B-A19E7ABA1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paragraph" w:styleId="Heading3">
    <w:name w:val="heading 3"/>
    <w:basedOn w:val="Normal"/>
    <w:next w:val="Normal"/>
    <w:link w:val="Heading3Char"/>
    <w:qFormat/>
    <w:rsid w:val="000B594B"/>
    <w:pPr>
      <w:keepNext/>
      <w:jc w:val="center"/>
      <w:outlineLvl w:val="2"/>
    </w:pPr>
    <w:rPr>
      <w:rFonts w:ascii="Times New Roman" w:eastAsia="Times New Roman" w:hAnsi="Times New Roman" w:cs="Times New Roman"/>
      <w:b/>
      <w:sz w:val="24"/>
      <w:lang w:eastAsia="en-GB"/>
    </w:rPr>
  </w:style>
  <w:style w:type="paragraph" w:styleId="Heading4">
    <w:name w:val="heading 4"/>
    <w:basedOn w:val="Normal"/>
    <w:next w:val="Normal"/>
    <w:link w:val="Heading4Char"/>
    <w:qFormat/>
    <w:rsid w:val="000B594B"/>
    <w:pPr>
      <w:keepNext/>
      <w:spacing w:before="120" w:after="120"/>
      <w:jc w:val="center"/>
      <w:outlineLvl w:val="3"/>
    </w:pPr>
    <w:rPr>
      <w:rFonts w:ascii="Times New Roman" w:eastAsia="Times New Roman" w:hAnsi="Times New Roman" w:cs="Times New Roman"/>
      <w:sz w:val="40"/>
      <w:lang w:eastAsia="en-GB"/>
    </w:rPr>
  </w:style>
  <w:style w:type="paragraph" w:styleId="Heading6">
    <w:name w:val="heading 6"/>
    <w:basedOn w:val="Normal"/>
    <w:next w:val="Normal"/>
    <w:link w:val="Heading6Char"/>
    <w:qFormat/>
    <w:rsid w:val="000B594B"/>
    <w:pPr>
      <w:keepNext/>
      <w:pBdr>
        <w:top w:val="single" w:sz="18" w:space="1" w:color="auto"/>
        <w:left w:val="single" w:sz="18" w:space="4" w:color="auto"/>
        <w:bottom w:val="single" w:sz="18" w:space="1" w:color="auto"/>
        <w:right w:val="single" w:sz="18" w:space="4" w:color="auto"/>
      </w:pBdr>
      <w:outlineLvl w:val="5"/>
    </w:pPr>
    <w:rPr>
      <w:rFonts w:ascii="Arial" w:eastAsia="Times New Roman"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Pr>
      <w:rFonts w:ascii="Arial" w:eastAsia="SimHei" w:hAnsi="Arial" w:cs="Arial"/>
    </w:rPr>
  </w:style>
  <w:style w:type="character" w:styleId="Emphasis">
    <w:name w:val="Emphasis"/>
    <w:basedOn w:val="DefaultParagraphFont"/>
    <w:uiPriority w:val="20"/>
    <w:qFormat/>
    <w:rPr>
      <w:i/>
      <w:iCs/>
    </w:rPr>
  </w:style>
  <w:style w:type="character" w:styleId="Hyperlink">
    <w:name w:val="Hyperlink"/>
    <w:basedOn w:val="DefaultParagraphFont"/>
    <w:uiPriority w:val="99"/>
    <w:rPr>
      <w:color w:val="0000FF"/>
      <w:u w:val="single"/>
    </w:rPr>
  </w:style>
  <w:style w:type="paragraph" w:styleId="NormalWeb">
    <w:name w:val="Normal (Web)"/>
    <w:uiPriority w:val="99"/>
    <w:pPr>
      <w:spacing w:beforeAutospacing="1" w:afterAutospacing="1"/>
    </w:pPr>
    <w:rPr>
      <w:sz w:val="24"/>
      <w:szCs w:val="24"/>
      <w:lang w:val="en-US" w:eastAsia="zh-CN"/>
    </w:rPr>
  </w:style>
  <w:style w:type="paragraph" w:customStyle="1" w:styleId="WPSOffice1">
    <w:name w:val="WPSOffice手动目录 1"/>
  </w:style>
  <w:style w:type="paragraph" w:customStyle="1" w:styleId="WPSOffice2">
    <w:name w:val="WPSOffice手动目录 2"/>
    <w:pPr>
      <w:ind w:leftChars="200" w:left="200"/>
    </w:pPr>
  </w:style>
  <w:style w:type="paragraph" w:styleId="ListParagraph">
    <w:name w:val="List Paragraph"/>
    <w:basedOn w:val="Normal"/>
    <w:uiPriority w:val="34"/>
    <w:qFormat/>
    <w:rsid w:val="00135899"/>
    <w:pPr>
      <w:ind w:left="720"/>
      <w:contextualSpacing/>
    </w:pPr>
  </w:style>
  <w:style w:type="character" w:customStyle="1" w:styleId="Heading3Char">
    <w:name w:val="Heading 3 Char"/>
    <w:basedOn w:val="DefaultParagraphFont"/>
    <w:link w:val="Heading3"/>
    <w:rsid w:val="000B594B"/>
    <w:rPr>
      <w:rFonts w:eastAsia="Times New Roman"/>
      <w:b/>
      <w:sz w:val="24"/>
    </w:rPr>
  </w:style>
  <w:style w:type="character" w:customStyle="1" w:styleId="Heading4Char">
    <w:name w:val="Heading 4 Char"/>
    <w:basedOn w:val="DefaultParagraphFont"/>
    <w:link w:val="Heading4"/>
    <w:rsid w:val="000B594B"/>
    <w:rPr>
      <w:rFonts w:eastAsia="Times New Roman"/>
      <w:sz w:val="40"/>
    </w:rPr>
  </w:style>
  <w:style w:type="character" w:customStyle="1" w:styleId="Heading6Char">
    <w:name w:val="Heading 6 Char"/>
    <w:basedOn w:val="DefaultParagraphFont"/>
    <w:link w:val="Heading6"/>
    <w:rsid w:val="000B594B"/>
    <w:rPr>
      <w:rFonts w:ascii="Arial" w:eastAsia="Times New Roman" w:hAnsi="Arial" w:cs="Arial"/>
      <w:b/>
      <w:bCs/>
      <w:sz w:val="24"/>
      <w:lang w:eastAsia="en-US"/>
    </w:rPr>
  </w:style>
  <w:style w:type="paragraph" w:styleId="Header">
    <w:name w:val="header"/>
    <w:basedOn w:val="Normal"/>
    <w:link w:val="HeaderChar"/>
    <w:rsid w:val="000B594B"/>
    <w:pPr>
      <w:tabs>
        <w:tab w:val="center" w:pos="4153"/>
        <w:tab w:val="right" w:pos="8306"/>
      </w:tabs>
    </w:pPr>
    <w:rPr>
      <w:rFonts w:ascii="Times New Roman" w:eastAsia="Times New Roman" w:hAnsi="Times New Roman" w:cs="Times New Roman"/>
      <w:lang w:eastAsia="en-GB"/>
    </w:rPr>
  </w:style>
  <w:style w:type="character" w:customStyle="1" w:styleId="HeaderChar">
    <w:name w:val="Header Char"/>
    <w:basedOn w:val="DefaultParagraphFont"/>
    <w:link w:val="Header"/>
    <w:rsid w:val="000B594B"/>
    <w:rPr>
      <w:rFonts w:eastAsia="Times New Roman"/>
    </w:rPr>
  </w:style>
  <w:style w:type="paragraph" w:styleId="Footer">
    <w:name w:val="footer"/>
    <w:basedOn w:val="Normal"/>
    <w:link w:val="FooterChar"/>
    <w:uiPriority w:val="99"/>
    <w:rsid w:val="000B594B"/>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0B594B"/>
    <w:rPr>
      <w:rFonts w:eastAsia="Times New Roman"/>
    </w:rPr>
  </w:style>
  <w:style w:type="table" w:styleId="TableGrid">
    <w:name w:val="Table Grid"/>
    <w:basedOn w:val="TableNormal"/>
    <w:uiPriority w:val="39"/>
    <w:rsid w:val="000B594B"/>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0B594B"/>
    <w:rPr>
      <w:rFonts w:ascii="Times New Roman" w:eastAsia="Times New Roman" w:hAnsi="Times New Roman" w:cs="Times New Roman"/>
      <w:sz w:val="16"/>
      <w:lang w:eastAsia="en-US"/>
    </w:rPr>
  </w:style>
  <w:style w:type="character" w:customStyle="1" w:styleId="BodyText2Char">
    <w:name w:val="Body Text 2 Char"/>
    <w:basedOn w:val="DefaultParagraphFont"/>
    <w:link w:val="BodyText2"/>
    <w:rsid w:val="000B594B"/>
    <w:rPr>
      <w:rFonts w:eastAsia="Times New Roman"/>
      <w:sz w:val="16"/>
      <w:lang w:eastAsia="en-US"/>
    </w:rPr>
  </w:style>
  <w:style w:type="paragraph" w:customStyle="1" w:styleId="BodyText1">
    <w:name w:val="Body Text1"/>
    <w:basedOn w:val="Normal"/>
    <w:rsid w:val="000B594B"/>
    <w:pPr>
      <w:tabs>
        <w:tab w:val="left" w:pos="720"/>
        <w:tab w:val="left" w:pos="1440"/>
      </w:tabs>
    </w:pPr>
    <w:rPr>
      <w:rFonts w:ascii="CG Times (WN)" w:eastAsia="Times New Roman" w:hAnsi="CG Times (WN)" w:cs="Times New Roman"/>
      <w:sz w:val="24"/>
      <w:lang w:eastAsia="en-US"/>
    </w:rPr>
  </w:style>
  <w:style w:type="paragraph" w:styleId="BalloonText">
    <w:name w:val="Balloon Text"/>
    <w:basedOn w:val="Normal"/>
    <w:link w:val="BalloonTextChar"/>
    <w:rsid w:val="000B594B"/>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0B594B"/>
    <w:rPr>
      <w:rFonts w:ascii="Tahoma" w:eastAsia="Times New Roman" w:hAnsi="Tahoma" w:cs="Tahoma"/>
      <w:sz w:val="16"/>
      <w:szCs w:val="16"/>
    </w:rPr>
  </w:style>
  <w:style w:type="paragraph" w:customStyle="1" w:styleId="BulletedList">
    <w:name w:val="Bulleted List"/>
    <w:basedOn w:val="Normal"/>
    <w:rsid w:val="000B594B"/>
    <w:pPr>
      <w:numPr>
        <w:numId w:val="16"/>
      </w:numPr>
      <w:spacing w:before="120" w:after="240"/>
    </w:pPr>
    <w:rPr>
      <w:rFonts w:ascii="Verdana" w:eastAsia="Times New Roman" w:hAnsi="Verdana" w:cs="Times New Roman"/>
      <w:sz w:val="16"/>
      <w:szCs w:val="24"/>
      <w:lang w:val="en-US" w:eastAsia="en-US"/>
    </w:rPr>
  </w:style>
  <w:style w:type="paragraph" w:customStyle="1" w:styleId="TableParagraph">
    <w:name w:val="Table Paragraph"/>
    <w:basedOn w:val="Normal"/>
    <w:uiPriority w:val="1"/>
    <w:qFormat/>
    <w:rsid w:val="000B594B"/>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ain.com/contentassets/f8361c5cd99e4f40bbbf83c17d6a91b9/bain_brief-management_tools_and_trends.pdf"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oracle.com/scm/inventory-manage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gdpr-info.eu/" TargetMode="External"/><Relationship Id="rId5" Type="http://schemas.openxmlformats.org/officeDocument/2006/relationships/image" Target="media/image1.png"/><Relationship Id="rId15" Type="http://schemas.openxmlformats.org/officeDocument/2006/relationships/footer" Target="footer1.xml"/><Relationship Id="rId10" Type="http://schemas.openxmlformats.org/officeDocument/2006/relationships/hyperlink" Target="https://www.gartner.com/en/information-technology/topics/enterprise-resource-planning" TargetMode="External"/><Relationship Id="rId4" Type="http://schemas.openxmlformats.org/officeDocument/2006/relationships/webSettings" Target="webSettings.xml"/><Relationship Id="rId9" Type="http://schemas.openxmlformats.org/officeDocument/2006/relationships/hyperlink" Target="https://books.google.com/books?hl=en&amp;lr=&amp;id=f79WEAAAQBAJ&amp;oi=fnd&amp;pg=PR9&amp;dq=Davenport,+T.H.,+2018.+The+AI+Advantage:+How+to+Put+the+Artificial+Intelligence+Revolution+to+Work.+MIT+Press.&amp;ots=WChN34l2rU&amp;sig=_69Z3z2TkOnJQzmNfDOjG8oDpyg" TargetMode="External"/><Relationship Id="rId14" Type="http://schemas.openxmlformats.org/officeDocument/2006/relationships/hyperlink" Target="https://www.salesforce.com/ap/resources/research-reports/state-of-the-connected-custome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2858</Words>
  <Characters>16292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Ezzah Kamran (CHG)</cp:lastModifiedBy>
  <cp:revision>5</cp:revision>
  <dcterms:created xsi:type="dcterms:W3CDTF">2025-11-20T09:25:00Z</dcterms:created>
  <dcterms:modified xsi:type="dcterms:W3CDTF">2025-11-21T00:23:00Z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4340C3AE306C449DBF457064E268A020_11</vt:lpwstr>
  </property>
</Properties>
</file>