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7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746"/>
      </w:tblGrid>
      <w:tr w:rsidR="00553D7C" w:rsidRPr="00553D7C" w14:paraId="2B5EB931" w14:textId="77777777">
        <w:tc>
          <w:tcPr>
            <w:tcW w:w="9746" w:type="dxa"/>
            <w:tcBorders>
              <w:top w:val="none" w:sz="0" w:space="0" w:color="FFFFFF"/>
              <w:left w:val="none" w:sz="0" w:space="0" w:color="FFFFFF"/>
              <w:bottom w:val="none" w:sz="0" w:space="0" w:color="FFFFFF"/>
              <w:right w:val="none" w:sz="0" w:space="0" w:color="FFFFFF"/>
            </w:tcBorders>
            <w:shd w:val="clear" w:color="auto" w:fill="1B3A6B"/>
            <w:tcMar>
              <w:top w:w="800" w:type="dxa"/>
              <w:left w:w="400" w:type="dxa"/>
              <w:bottom w:w="800" w:type="dxa"/>
              <w:right w:w="400" w:type="dxa"/>
            </w:tcMar>
          </w:tcPr>
          <w:p w14:paraId="3DF7F365" w14:textId="31C4FB96" w:rsidR="00A114FD" w:rsidRPr="00553D7C" w:rsidRDefault="00FA6AF1" w:rsidP="0096145E">
            <w:pPr>
              <w:spacing w:after="100" w:line="360" w:lineRule="auto"/>
              <w:jc w:val="center"/>
              <w:rPr>
                <w:rFonts w:ascii="Times New Roman" w:hAnsi="Times New Roman" w:cs="Times New Roman"/>
                <w:color w:val="auto"/>
                <w:sz w:val="24"/>
                <w:szCs w:val="24"/>
              </w:rPr>
            </w:pPr>
            <w:r>
              <w:rPr>
                <w:rFonts w:ascii="Times New Roman" w:hAnsi="Times New Roman" w:cs="Times New Roman"/>
                <w:b/>
                <w:bCs/>
                <w:color w:val="auto"/>
                <w:sz w:val="24"/>
                <w:szCs w:val="24"/>
              </w:rPr>
              <w:t>z</w:t>
            </w:r>
            <w:r w:rsidR="00280F89" w:rsidRPr="00553D7C">
              <w:rPr>
                <w:rFonts w:ascii="Times New Roman" w:hAnsi="Times New Roman" w:cs="Times New Roman"/>
                <w:b/>
                <w:bCs/>
                <w:color w:val="auto"/>
                <w:sz w:val="24"/>
                <w:szCs w:val="24"/>
              </w:rPr>
              <w:t>LCLM5003 PROJECT MANAGEMENT</w:t>
            </w:r>
          </w:p>
          <w:p w14:paraId="6C41379E" w14:textId="77777777" w:rsidR="00A114FD" w:rsidRPr="00553D7C" w:rsidRDefault="00280F89" w:rsidP="0096145E">
            <w:pPr>
              <w:spacing w:after="200" w:line="360" w:lineRule="auto"/>
              <w:jc w:val="center"/>
              <w:rPr>
                <w:rFonts w:ascii="Times New Roman" w:hAnsi="Times New Roman" w:cs="Times New Roman"/>
                <w:color w:val="auto"/>
                <w:sz w:val="24"/>
                <w:szCs w:val="24"/>
              </w:rPr>
            </w:pPr>
            <w:r w:rsidRPr="00553D7C">
              <w:rPr>
                <w:rFonts w:ascii="Times New Roman" w:hAnsi="Times New Roman" w:cs="Times New Roman"/>
                <w:b/>
                <w:bCs/>
                <w:color w:val="auto"/>
                <w:sz w:val="24"/>
                <w:szCs w:val="24"/>
              </w:rPr>
              <w:t>PROJECT PORTFOLIO</w:t>
            </w:r>
          </w:p>
          <w:p w14:paraId="1CFF95A5" w14:textId="77777777" w:rsidR="00A114FD" w:rsidRPr="00553D7C" w:rsidRDefault="00280F89" w:rsidP="0096145E">
            <w:pPr>
              <w:spacing w:after="80" w:line="360" w:lineRule="auto"/>
              <w:jc w:val="center"/>
              <w:rPr>
                <w:rFonts w:ascii="Times New Roman" w:hAnsi="Times New Roman" w:cs="Times New Roman"/>
                <w:color w:val="auto"/>
                <w:sz w:val="24"/>
                <w:szCs w:val="24"/>
              </w:rPr>
            </w:pPr>
            <w:r w:rsidRPr="00553D7C">
              <w:rPr>
                <w:rFonts w:ascii="Times New Roman" w:hAnsi="Times New Roman" w:cs="Times New Roman"/>
                <w:i/>
                <w:iCs/>
                <w:color w:val="auto"/>
                <w:sz w:val="24"/>
                <w:szCs w:val="24"/>
              </w:rPr>
              <w:t>Redevelopment of the Central Transport Hub</w:t>
            </w:r>
          </w:p>
          <w:p w14:paraId="141CAE7D" w14:textId="27E04901" w:rsidR="00A114FD" w:rsidRPr="00553D7C" w:rsidRDefault="00280F89" w:rsidP="0096145E">
            <w:pPr>
              <w:spacing w:after="60"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 xml:space="preserve">A Major Metropolitan Urban Regeneration </w:t>
            </w:r>
            <w:proofErr w:type="spellStart"/>
            <w:r w:rsidRPr="00553D7C">
              <w:rPr>
                <w:rFonts w:ascii="Times New Roman" w:hAnsi="Times New Roman" w:cs="Times New Roman"/>
                <w:color w:val="auto"/>
                <w:sz w:val="24"/>
                <w:szCs w:val="24"/>
              </w:rPr>
              <w:t>Pro</w:t>
            </w:r>
            <w:r w:rsidR="000C3CC9">
              <w:rPr>
                <w:rFonts w:ascii="Times New Roman" w:hAnsi="Times New Roman" w:cs="Times New Roman"/>
                <w:color w:val="auto"/>
                <w:sz w:val="24"/>
                <w:szCs w:val="24"/>
              </w:rPr>
              <w:t>z</w:t>
            </w:r>
            <w:r w:rsidRPr="00553D7C">
              <w:rPr>
                <w:rFonts w:ascii="Times New Roman" w:hAnsi="Times New Roman" w:cs="Times New Roman"/>
                <w:color w:val="auto"/>
                <w:sz w:val="24"/>
                <w:szCs w:val="24"/>
              </w:rPr>
              <w:t>gramme</w:t>
            </w:r>
            <w:proofErr w:type="spellEnd"/>
          </w:p>
        </w:tc>
      </w:tr>
    </w:tbl>
    <w:p w14:paraId="6BF36716" w14:textId="77777777" w:rsidR="00A114FD" w:rsidRPr="00553D7C" w:rsidRDefault="00A114FD" w:rsidP="0096145E">
      <w:pPr>
        <w:spacing w:before="40" w:after="40" w:line="360" w:lineRule="auto"/>
        <w:rPr>
          <w:rFonts w:ascii="Times New Roman" w:hAnsi="Times New Roman" w:cs="Times New Roman"/>
          <w:color w:val="auto"/>
          <w:sz w:val="24"/>
          <w:szCs w:val="24"/>
        </w:rPr>
      </w:pPr>
    </w:p>
    <w:p w14:paraId="73C6B279" w14:textId="77777777" w:rsidR="00A114FD" w:rsidRPr="00553D7C" w:rsidRDefault="00A114FD" w:rsidP="0096145E">
      <w:pPr>
        <w:spacing w:before="40" w:after="40" w:line="360" w:lineRule="auto"/>
        <w:rPr>
          <w:rFonts w:ascii="Times New Roman" w:hAnsi="Times New Roman" w:cs="Times New Roman"/>
          <w:color w:val="auto"/>
          <w:sz w:val="24"/>
          <w:szCs w:val="24"/>
        </w:rPr>
      </w:pPr>
    </w:p>
    <w:tbl>
      <w:tblPr>
        <w:tblW w:w="97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000"/>
        <w:gridCol w:w="6746"/>
      </w:tblGrid>
      <w:tr w:rsidR="00553D7C" w:rsidRPr="00553D7C" w14:paraId="5E9F02AC" w14:textId="77777777">
        <w:tc>
          <w:tcPr>
            <w:tcW w:w="3000" w:type="dxa"/>
            <w:tcBorders>
              <w:top w:val="single" w:sz="4" w:space="0" w:color="CCCCCC"/>
              <w:left w:val="single" w:sz="4" w:space="0" w:color="CCCCCC"/>
              <w:bottom w:val="single" w:sz="4" w:space="0" w:color="CCCCCC"/>
              <w:right w:val="single" w:sz="4" w:space="0" w:color="CCCCCC"/>
            </w:tcBorders>
            <w:shd w:val="clear" w:color="auto" w:fill="D6E8F0"/>
            <w:tcMar>
              <w:top w:w="80" w:type="dxa"/>
              <w:left w:w="140" w:type="dxa"/>
              <w:bottom w:w="80" w:type="dxa"/>
              <w:right w:w="140" w:type="dxa"/>
            </w:tcMar>
          </w:tcPr>
          <w:p w14:paraId="28B9B2FC"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Module:</w:t>
            </w:r>
          </w:p>
        </w:tc>
        <w:tc>
          <w:tcPr>
            <w:tcW w:w="6746"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77143E17"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Project Management – LCLM5003</w:t>
            </w:r>
          </w:p>
        </w:tc>
      </w:tr>
      <w:tr w:rsidR="00553D7C" w:rsidRPr="00553D7C" w14:paraId="0D1FED8D" w14:textId="77777777">
        <w:tc>
          <w:tcPr>
            <w:tcW w:w="3000" w:type="dxa"/>
            <w:tcBorders>
              <w:top w:val="single" w:sz="4" w:space="0" w:color="CCCCCC"/>
              <w:left w:val="single" w:sz="4" w:space="0" w:color="CCCCCC"/>
              <w:bottom w:val="single" w:sz="4" w:space="0" w:color="CCCCCC"/>
              <w:right w:val="single" w:sz="4" w:space="0" w:color="CCCCCC"/>
            </w:tcBorders>
            <w:shd w:val="clear" w:color="auto" w:fill="D6E8F0"/>
            <w:tcMar>
              <w:top w:w="80" w:type="dxa"/>
              <w:left w:w="140" w:type="dxa"/>
              <w:bottom w:w="80" w:type="dxa"/>
              <w:right w:w="140" w:type="dxa"/>
            </w:tcMar>
          </w:tcPr>
          <w:p w14:paraId="15366651"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Programme:</w:t>
            </w:r>
          </w:p>
        </w:tc>
        <w:tc>
          <w:tcPr>
            <w:tcW w:w="6746"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62FFDF21"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BA (Hons) Leadership and Management Skills in the Workplace</w:t>
            </w:r>
          </w:p>
        </w:tc>
      </w:tr>
      <w:tr w:rsidR="00553D7C" w:rsidRPr="00553D7C" w14:paraId="225658E1" w14:textId="77777777">
        <w:tc>
          <w:tcPr>
            <w:tcW w:w="3000" w:type="dxa"/>
            <w:tcBorders>
              <w:top w:val="single" w:sz="4" w:space="0" w:color="CCCCCC"/>
              <w:left w:val="single" w:sz="4" w:space="0" w:color="CCCCCC"/>
              <w:bottom w:val="single" w:sz="4" w:space="0" w:color="CCCCCC"/>
              <w:right w:val="single" w:sz="4" w:space="0" w:color="CCCCCC"/>
            </w:tcBorders>
            <w:shd w:val="clear" w:color="auto" w:fill="D6E8F0"/>
            <w:tcMar>
              <w:top w:w="80" w:type="dxa"/>
              <w:left w:w="140" w:type="dxa"/>
              <w:bottom w:w="80" w:type="dxa"/>
              <w:right w:w="140" w:type="dxa"/>
            </w:tcMar>
          </w:tcPr>
          <w:p w14:paraId="1CE8F7AB"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Module Leaders:</w:t>
            </w:r>
          </w:p>
        </w:tc>
        <w:tc>
          <w:tcPr>
            <w:tcW w:w="6746"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30720C80" w14:textId="32C59B78"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 xml:space="preserve">Dr. </w:t>
            </w:r>
            <w:r w:rsidR="00E34C57">
              <w:rPr>
                <w:rFonts w:ascii="Times New Roman" w:hAnsi="Times New Roman" w:cs="Times New Roman"/>
                <w:color w:val="auto"/>
                <w:sz w:val="24"/>
                <w:szCs w:val="24"/>
              </w:rPr>
              <w:t>Kareem Sani</w:t>
            </w:r>
          </w:p>
        </w:tc>
      </w:tr>
      <w:tr w:rsidR="00553D7C" w:rsidRPr="00553D7C" w14:paraId="4F5A3A47" w14:textId="77777777">
        <w:tc>
          <w:tcPr>
            <w:tcW w:w="3000" w:type="dxa"/>
            <w:tcBorders>
              <w:top w:val="single" w:sz="4" w:space="0" w:color="CCCCCC"/>
              <w:left w:val="single" w:sz="4" w:space="0" w:color="CCCCCC"/>
              <w:bottom w:val="single" w:sz="4" w:space="0" w:color="CCCCCC"/>
              <w:right w:val="single" w:sz="4" w:space="0" w:color="CCCCCC"/>
            </w:tcBorders>
            <w:shd w:val="clear" w:color="auto" w:fill="D6E8F0"/>
            <w:tcMar>
              <w:top w:w="80" w:type="dxa"/>
              <w:left w:w="140" w:type="dxa"/>
              <w:bottom w:w="80" w:type="dxa"/>
              <w:right w:w="140" w:type="dxa"/>
            </w:tcMar>
          </w:tcPr>
          <w:p w14:paraId="659C6310"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Assignment:</w:t>
            </w:r>
          </w:p>
        </w:tc>
        <w:tc>
          <w:tcPr>
            <w:tcW w:w="6746"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3B9146E9"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A Project Portfolio</w:t>
            </w:r>
          </w:p>
        </w:tc>
      </w:tr>
      <w:tr w:rsidR="00553D7C" w:rsidRPr="00553D7C" w14:paraId="1D95AD1D" w14:textId="77777777">
        <w:tc>
          <w:tcPr>
            <w:tcW w:w="3000" w:type="dxa"/>
            <w:tcBorders>
              <w:top w:val="single" w:sz="4" w:space="0" w:color="CCCCCC"/>
              <w:left w:val="single" w:sz="4" w:space="0" w:color="CCCCCC"/>
              <w:bottom w:val="single" w:sz="4" w:space="0" w:color="CCCCCC"/>
              <w:right w:val="single" w:sz="4" w:space="0" w:color="CCCCCC"/>
            </w:tcBorders>
            <w:shd w:val="clear" w:color="auto" w:fill="D6E8F0"/>
            <w:tcMar>
              <w:top w:w="80" w:type="dxa"/>
              <w:left w:w="140" w:type="dxa"/>
              <w:bottom w:w="80" w:type="dxa"/>
              <w:right w:w="140" w:type="dxa"/>
            </w:tcMar>
          </w:tcPr>
          <w:p w14:paraId="537A8345"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Components:</w:t>
            </w:r>
          </w:p>
        </w:tc>
        <w:tc>
          <w:tcPr>
            <w:tcW w:w="6746"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1E0AC0DD"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Part A: Project Proposal Poster | Part B: Reflection | Part C: Project Management Plan</w:t>
            </w:r>
          </w:p>
        </w:tc>
      </w:tr>
      <w:tr w:rsidR="00553D7C" w:rsidRPr="00553D7C" w14:paraId="3F80C66B" w14:textId="77777777">
        <w:tc>
          <w:tcPr>
            <w:tcW w:w="3000" w:type="dxa"/>
            <w:tcBorders>
              <w:top w:val="single" w:sz="4" w:space="0" w:color="CCCCCC"/>
              <w:left w:val="single" w:sz="4" w:space="0" w:color="CCCCCC"/>
              <w:bottom w:val="single" w:sz="4" w:space="0" w:color="CCCCCC"/>
              <w:right w:val="single" w:sz="4" w:space="0" w:color="CCCCCC"/>
            </w:tcBorders>
            <w:shd w:val="clear" w:color="auto" w:fill="D6E8F0"/>
            <w:tcMar>
              <w:top w:w="80" w:type="dxa"/>
              <w:left w:w="140" w:type="dxa"/>
              <w:bottom w:w="80" w:type="dxa"/>
              <w:right w:w="140" w:type="dxa"/>
            </w:tcMar>
          </w:tcPr>
          <w:p w14:paraId="121EE850" w14:textId="51468679" w:rsidR="00A114FD" w:rsidRPr="00553D7C" w:rsidRDefault="00F23B24" w:rsidP="0096145E">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Student Name:</w:t>
            </w:r>
          </w:p>
        </w:tc>
        <w:tc>
          <w:tcPr>
            <w:tcW w:w="6746"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46C2F012" w14:textId="0F0B8B8D" w:rsidR="00A114FD" w:rsidRPr="00553D7C" w:rsidRDefault="00F23B24" w:rsidP="0096145E">
            <w:pPr>
              <w:spacing w:line="360" w:lineRule="auto"/>
              <w:rPr>
                <w:rFonts w:ascii="Times New Roman" w:hAnsi="Times New Roman" w:cs="Times New Roman"/>
                <w:color w:val="auto"/>
                <w:sz w:val="24"/>
                <w:szCs w:val="24"/>
              </w:rPr>
            </w:pPr>
            <w:r w:rsidRPr="00F23B24">
              <w:rPr>
                <w:rFonts w:ascii="Times New Roman" w:hAnsi="Times New Roman" w:cs="Times New Roman"/>
                <w:color w:val="auto"/>
                <w:sz w:val="24"/>
                <w:szCs w:val="24"/>
              </w:rPr>
              <w:t>Sabine Pindou-Bouanga</w:t>
            </w:r>
          </w:p>
        </w:tc>
      </w:tr>
      <w:tr w:rsidR="00553D7C" w:rsidRPr="00553D7C" w14:paraId="30C1ACAB" w14:textId="77777777">
        <w:tc>
          <w:tcPr>
            <w:tcW w:w="3000" w:type="dxa"/>
            <w:tcBorders>
              <w:top w:val="single" w:sz="4" w:space="0" w:color="CCCCCC"/>
              <w:left w:val="single" w:sz="4" w:space="0" w:color="CCCCCC"/>
              <w:bottom w:val="single" w:sz="4" w:space="0" w:color="CCCCCC"/>
              <w:right w:val="single" w:sz="4" w:space="0" w:color="CCCCCC"/>
            </w:tcBorders>
            <w:shd w:val="clear" w:color="auto" w:fill="D6E8F0"/>
            <w:tcMar>
              <w:top w:w="80" w:type="dxa"/>
              <w:left w:w="140" w:type="dxa"/>
              <w:bottom w:w="80" w:type="dxa"/>
              <w:right w:w="140" w:type="dxa"/>
            </w:tcMar>
          </w:tcPr>
          <w:p w14:paraId="4A48D595" w14:textId="38D9F929" w:rsidR="00A114FD" w:rsidRPr="00553D7C" w:rsidRDefault="00F23B24" w:rsidP="0096145E">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Student code:</w:t>
            </w:r>
          </w:p>
        </w:tc>
        <w:tc>
          <w:tcPr>
            <w:tcW w:w="6746"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67367F61" w14:textId="440E9922" w:rsidR="00A114FD" w:rsidRPr="00553D7C" w:rsidRDefault="00F23B24" w:rsidP="0096145E">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2335155</w:t>
            </w:r>
          </w:p>
        </w:tc>
      </w:tr>
    </w:tbl>
    <w:p w14:paraId="1109DC56"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br w:type="page"/>
      </w:r>
    </w:p>
    <w:p w14:paraId="4D56140F" w14:textId="77CEFECE" w:rsidR="00A114FD" w:rsidRDefault="00A114FD" w:rsidP="002F3C08"/>
    <w:p w14:paraId="60047AE5" w14:textId="77777777" w:rsidR="002F3C08" w:rsidRDefault="002F3C08" w:rsidP="002F3C08"/>
    <w:tbl>
      <w:tblPr>
        <w:tblpPr w:leftFromText="180" w:rightFromText="180" w:vertAnchor="text" w:horzAnchor="margin" w:tblpY="214"/>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360"/>
      </w:tblGrid>
      <w:tr w:rsidR="002F3C08" w:rsidRPr="00553D7C" w14:paraId="35E56C96" w14:textId="77777777" w:rsidTr="002F3C08">
        <w:tc>
          <w:tcPr>
            <w:tcW w:w="9360" w:type="dxa"/>
            <w:tcBorders>
              <w:top w:val="none" w:sz="0" w:space="0" w:color="FFFFFF"/>
              <w:left w:val="none" w:sz="0" w:space="0" w:color="FFFFFF"/>
              <w:bottom w:val="none" w:sz="0" w:space="0" w:color="FFFFFF"/>
              <w:right w:val="none" w:sz="0" w:space="0" w:color="FFFFFF"/>
            </w:tcBorders>
            <w:shd w:val="clear" w:color="auto" w:fill="1B3A6B"/>
            <w:tcMar>
              <w:top w:w="140" w:type="dxa"/>
              <w:left w:w="200" w:type="dxa"/>
              <w:bottom w:w="140" w:type="dxa"/>
              <w:right w:w="200" w:type="dxa"/>
            </w:tcMar>
          </w:tcPr>
          <w:p w14:paraId="4B347125" w14:textId="77777777" w:rsidR="002F3C08" w:rsidRPr="00553D7C" w:rsidRDefault="002F3C08" w:rsidP="002F3C08">
            <w:pPr>
              <w:spacing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PART A – PROJECT PROPOSAL POSTER</w:t>
            </w:r>
          </w:p>
        </w:tc>
      </w:tr>
    </w:tbl>
    <w:p w14:paraId="36EB6241" w14:textId="77777777" w:rsidR="002F3C08" w:rsidRDefault="002F3C08" w:rsidP="002F3C08"/>
    <w:p w14:paraId="50E9E0AF" w14:textId="77777777" w:rsidR="002F3C08" w:rsidRDefault="002F3C08" w:rsidP="002F3C08"/>
    <w:p w14:paraId="167502F1" w14:textId="77777777" w:rsidR="002F3C08" w:rsidRDefault="002F3C08" w:rsidP="002F3C08"/>
    <w:p w14:paraId="3FA68081" w14:textId="77777777" w:rsidR="002F3C08" w:rsidRDefault="002F3C08" w:rsidP="002F3C08"/>
    <w:p w14:paraId="23B5F7C1" w14:textId="77777777" w:rsidR="002F3C08" w:rsidRPr="002F3C08" w:rsidRDefault="002F3C08" w:rsidP="002F3C08"/>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hemeFill="background1"/>
        <w:tblCellMar>
          <w:left w:w="10" w:type="dxa"/>
          <w:right w:w="10" w:type="dxa"/>
        </w:tblCellMar>
        <w:tblLook w:val="0000" w:firstRow="0" w:lastRow="0" w:firstColumn="0" w:lastColumn="0" w:noHBand="0" w:noVBand="0"/>
      </w:tblPr>
      <w:tblGrid>
        <w:gridCol w:w="9360"/>
      </w:tblGrid>
      <w:tr w:rsidR="00553D7C" w:rsidRPr="00553D7C" w14:paraId="50B93872" w14:textId="77777777" w:rsidTr="00C408F0">
        <w:tc>
          <w:tcPr>
            <w:tcW w:w="9360" w:type="dxa"/>
            <w:tcBorders>
              <w:top w:val="none" w:sz="0" w:space="0" w:color="FFFFFF"/>
              <w:left w:val="none" w:sz="0" w:space="0" w:color="FFFFFF"/>
              <w:bottom w:val="none" w:sz="0" w:space="0" w:color="FFFFFF"/>
              <w:right w:val="none" w:sz="0" w:space="0" w:color="FFFFFF"/>
            </w:tcBorders>
            <w:shd w:val="clear" w:color="auto" w:fill="FFFFFF" w:themeFill="background1"/>
            <w:tcMar>
              <w:top w:w="120" w:type="dxa"/>
              <w:left w:w="200" w:type="dxa"/>
              <w:bottom w:w="120" w:type="dxa"/>
              <w:right w:w="200" w:type="dxa"/>
            </w:tcMar>
          </w:tcPr>
          <w:p w14:paraId="7A4C5E56"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b/>
                <w:bCs/>
                <w:color w:val="auto"/>
                <w:sz w:val="24"/>
                <w:szCs w:val="24"/>
              </w:rPr>
              <w:t>REDEVELOPMENT OF THE CENTRAL TRANSPORT HUB</w:t>
            </w:r>
          </w:p>
          <w:p w14:paraId="5ECBEFBE"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A Strategic Urban Regeneration Project | LCLM5003 Project Management</w:t>
            </w:r>
          </w:p>
        </w:tc>
      </w:tr>
    </w:tbl>
    <w:p w14:paraId="7883DB53" w14:textId="77777777" w:rsidR="00A114FD" w:rsidRPr="00553D7C" w:rsidRDefault="00A114FD" w:rsidP="0096145E">
      <w:pPr>
        <w:spacing w:before="40" w:after="40" w:line="360" w:lineRule="auto"/>
        <w:rPr>
          <w:rFonts w:ascii="Times New Roman" w:hAnsi="Times New Roman" w:cs="Times New Roman"/>
          <w:color w:val="auto"/>
          <w:sz w:val="24"/>
          <w:szCs w:val="24"/>
        </w:rPr>
      </w:pPr>
    </w:p>
    <w:p w14:paraId="0E36E9A5" w14:textId="4462760F" w:rsidR="00FA1DA7" w:rsidRPr="00E34C57" w:rsidRDefault="00FA1DA7" w:rsidP="00E34C57">
      <w:pPr>
        <w:spacing w:line="360" w:lineRule="auto"/>
        <w:rPr>
          <w:rFonts w:ascii="Times New Roman" w:hAnsi="Times New Roman" w:cs="Times New Roman"/>
          <w:color w:val="auto"/>
          <w:sz w:val="24"/>
          <w:szCs w:val="24"/>
        </w:rPr>
      </w:pPr>
      <w:r>
        <w:rPr>
          <w:noProof/>
        </w:rPr>
        <w:drawing>
          <wp:inline distT="0" distB="0" distL="0" distR="0" wp14:anchorId="03610A27" wp14:editId="7A765787">
            <wp:extent cx="6096635" cy="3429000"/>
            <wp:effectExtent l="0" t="0" r="0" b="0"/>
            <wp:docPr id="6348971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br w:type="page"/>
      </w:r>
    </w:p>
    <w:tbl>
      <w:tblPr>
        <w:tblW w:w="78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888"/>
      </w:tblGrid>
      <w:tr w:rsidR="00553D7C" w:rsidRPr="00553D7C" w14:paraId="1CC5FB85" w14:textId="77777777" w:rsidTr="00E34C57">
        <w:trPr>
          <w:trHeight w:val="1333"/>
        </w:trPr>
        <w:tc>
          <w:tcPr>
            <w:tcW w:w="7888" w:type="dxa"/>
            <w:tcBorders>
              <w:top w:val="none" w:sz="0" w:space="0" w:color="FFFFFF"/>
              <w:left w:val="none" w:sz="0" w:space="0" w:color="FFFFFF"/>
              <w:bottom w:val="none" w:sz="0" w:space="0" w:color="FFFFFF"/>
              <w:right w:val="none" w:sz="0" w:space="0" w:color="FFFFFF"/>
            </w:tcBorders>
            <w:shd w:val="clear" w:color="auto" w:fill="1B3A6B"/>
            <w:tcMar>
              <w:top w:w="140" w:type="dxa"/>
              <w:left w:w="200" w:type="dxa"/>
              <w:bottom w:w="140" w:type="dxa"/>
              <w:right w:w="200" w:type="dxa"/>
            </w:tcMar>
          </w:tcPr>
          <w:p w14:paraId="3570E94B" w14:textId="104BBD25" w:rsidR="00E34C57" w:rsidRPr="002F3C08" w:rsidRDefault="00E34C57" w:rsidP="002F3C08">
            <w:pPr>
              <w:spacing w:before="60" w:after="60" w:line="360" w:lineRule="auto"/>
              <w:rPr>
                <w:rFonts w:ascii="Times New Roman" w:hAnsi="Times New Roman" w:cs="Times New Roman"/>
                <w:color w:val="auto"/>
                <w:sz w:val="24"/>
                <w:szCs w:val="24"/>
              </w:rPr>
            </w:pPr>
          </w:p>
          <w:p w14:paraId="45AD19DD" w14:textId="529B935B" w:rsidR="00A114FD" w:rsidRPr="00FA1DA7" w:rsidRDefault="00280F89" w:rsidP="00FA1DA7">
            <w:pPr>
              <w:spacing w:line="360" w:lineRule="auto"/>
              <w:rPr>
                <w:rFonts w:ascii="Times New Roman" w:hAnsi="Times New Roman" w:cs="Times New Roman"/>
                <w:b/>
                <w:bCs/>
                <w:color w:val="auto"/>
                <w:sz w:val="24"/>
                <w:szCs w:val="24"/>
              </w:rPr>
            </w:pPr>
            <w:r w:rsidRPr="00553D7C">
              <w:rPr>
                <w:rFonts w:ascii="Times New Roman" w:hAnsi="Times New Roman" w:cs="Times New Roman"/>
                <w:b/>
                <w:bCs/>
                <w:color w:val="auto"/>
                <w:sz w:val="24"/>
                <w:szCs w:val="24"/>
              </w:rPr>
              <w:t xml:space="preserve">PART B – </w:t>
            </w:r>
            <w:proofErr w:type="spellStart"/>
            <w:r w:rsidRPr="00553D7C">
              <w:rPr>
                <w:rFonts w:ascii="Times New Roman" w:hAnsi="Times New Roman" w:cs="Times New Roman"/>
                <w:b/>
                <w:bCs/>
                <w:color w:val="auto"/>
                <w:sz w:val="24"/>
                <w:szCs w:val="24"/>
              </w:rPr>
              <w:t>CRIT</w:t>
            </w:r>
            <w:r w:rsidR="00FA1DA7">
              <w:rPr>
                <w:rFonts w:ascii="Times New Roman" w:hAnsi="Times New Roman" w:cs="Times New Roman"/>
                <w:b/>
                <w:bCs/>
                <w:color w:val="auto"/>
                <w:sz w:val="24"/>
                <w:szCs w:val="24"/>
              </w:rPr>
              <w:t>i</w:t>
            </w:r>
            <w:r w:rsidRPr="00553D7C">
              <w:rPr>
                <w:rFonts w:ascii="Times New Roman" w:hAnsi="Times New Roman" w:cs="Times New Roman"/>
                <w:b/>
                <w:bCs/>
                <w:color w:val="auto"/>
                <w:sz w:val="24"/>
                <w:szCs w:val="24"/>
              </w:rPr>
              <w:t>CAL</w:t>
            </w:r>
            <w:proofErr w:type="spellEnd"/>
            <w:r w:rsidRPr="00553D7C">
              <w:rPr>
                <w:rFonts w:ascii="Times New Roman" w:hAnsi="Times New Roman" w:cs="Times New Roman"/>
                <w:b/>
                <w:bCs/>
                <w:color w:val="auto"/>
                <w:sz w:val="24"/>
                <w:szCs w:val="24"/>
              </w:rPr>
              <w:t xml:space="preserve"> REFLECTION ON PEER AND TUTOR FEEDBACK</w:t>
            </w:r>
          </w:p>
        </w:tc>
      </w:tr>
      <w:tr w:rsidR="00FA1DA7" w:rsidRPr="00553D7C" w14:paraId="526C10F8" w14:textId="77777777" w:rsidTr="00E34C57">
        <w:trPr>
          <w:trHeight w:val="98"/>
        </w:trPr>
        <w:tc>
          <w:tcPr>
            <w:tcW w:w="7888" w:type="dxa"/>
            <w:tcBorders>
              <w:top w:val="none" w:sz="0" w:space="0" w:color="FFFFFF"/>
              <w:left w:val="none" w:sz="0" w:space="0" w:color="FFFFFF"/>
              <w:bottom w:val="none" w:sz="0" w:space="0" w:color="FFFFFF"/>
              <w:right w:val="none" w:sz="0" w:space="0" w:color="FFFFFF"/>
            </w:tcBorders>
            <w:shd w:val="clear" w:color="auto" w:fill="1B3A6B"/>
            <w:tcMar>
              <w:top w:w="140" w:type="dxa"/>
              <w:left w:w="200" w:type="dxa"/>
              <w:bottom w:w="140" w:type="dxa"/>
              <w:right w:w="200" w:type="dxa"/>
            </w:tcMar>
          </w:tcPr>
          <w:p w14:paraId="4940B4FC" w14:textId="77777777" w:rsidR="00FA1DA7" w:rsidRPr="00553D7C" w:rsidRDefault="00FA1DA7" w:rsidP="00FA1DA7">
            <w:pPr>
              <w:spacing w:line="360" w:lineRule="auto"/>
              <w:rPr>
                <w:rFonts w:ascii="Times New Roman" w:hAnsi="Times New Roman" w:cs="Times New Roman"/>
                <w:b/>
                <w:bCs/>
                <w:color w:val="auto"/>
                <w:sz w:val="24"/>
                <w:szCs w:val="24"/>
              </w:rPr>
            </w:pPr>
          </w:p>
        </w:tc>
      </w:tr>
    </w:tbl>
    <w:p w14:paraId="724ED4B0" w14:textId="77777777" w:rsidR="00A114FD" w:rsidRPr="00553D7C" w:rsidRDefault="00A114FD" w:rsidP="0096145E">
      <w:pPr>
        <w:spacing w:before="40" w:after="40" w:line="360" w:lineRule="auto"/>
        <w:rPr>
          <w:rFonts w:ascii="Times New Roman" w:hAnsi="Times New Roman" w:cs="Times New Roman"/>
          <w:color w:val="auto"/>
          <w:sz w:val="24"/>
          <w:szCs w:val="24"/>
        </w:rPr>
      </w:pPr>
    </w:p>
    <w:p w14:paraId="554246B1" w14:textId="77777777" w:rsidR="00A114FD" w:rsidRPr="00553D7C" w:rsidRDefault="00280F89" w:rsidP="0096145E">
      <w:pPr>
        <w:pStyle w:val="Heading2"/>
        <w:spacing w:after="120"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1. Introduction</w:t>
      </w:r>
    </w:p>
    <w:p w14:paraId="6A9EDDB9" w14:textId="5C1D37EE" w:rsidR="00A114FD" w:rsidRPr="00553D7C" w:rsidRDefault="00C80734" w:rsidP="0096145E">
      <w:pPr>
        <w:spacing w:before="80" w:after="100" w:line="360" w:lineRule="auto"/>
        <w:jc w:val="both"/>
        <w:rPr>
          <w:rFonts w:ascii="Times New Roman" w:hAnsi="Times New Roman" w:cs="Times New Roman"/>
          <w:color w:val="auto"/>
          <w:sz w:val="24"/>
          <w:szCs w:val="24"/>
        </w:rPr>
      </w:pPr>
      <w:r w:rsidRPr="00C80734">
        <w:rPr>
          <w:rFonts w:ascii="Times New Roman" w:hAnsi="Times New Roman" w:cs="Times New Roman"/>
          <w:color w:val="auto"/>
          <w:sz w:val="24"/>
          <w:szCs w:val="24"/>
        </w:rPr>
        <w:t>Reflective practice is considered to be one of the essential parts of the project management professional development process, an analytical process of reflection and questioning of experience and transforming it into better performance (Schön, 1983; Rolfe, Freshwater and Jasper, 2001). Reflects on feedback provided by the module tutor and other members of the peer cohort after presenting the Project Proposal Poster, highlighting strengths, areas for development and how they have been taken on board into the Project Management Plan</w:t>
      </w:r>
      <w:r w:rsidR="00B275C6" w:rsidRPr="00553D7C">
        <w:rPr>
          <w:rFonts w:ascii="Times New Roman" w:hAnsi="Times New Roman" w:cs="Times New Roman"/>
          <w:color w:val="auto"/>
          <w:sz w:val="24"/>
          <w:szCs w:val="24"/>
        </w:rPr>
        <w:t>.</w:t>
      </w:r>
    </w:p>
    <w:p w14:paraId="6BACF1D9" w14:textId="77777777" w:rsidR="00A114FD" w:rsidRPr="00553D7C" w:rsidRDefault="00280F89" w:rsidP="0096145E">
      <w:pPr>
        <w:pStyle w:val="Heading2"/>
        <w:spacing w:after="120"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2. Key Strengths Identified</w:t>
      </w:r>
    </w:p>
    <w:p w14:paraId="64C70465" w14:textId="441C91D5" w:rsidR="00A114FD" w:rsidRPr="00553D7C" w:rsidRDefault="00C80734" w:rsidP="0096145E">
      <w:pPr>
        <w:spacing w:before="80" w:after="100" w:line="360" w:lineRule="auto"/>
        <w:jc w:val="both"/>
        <w:rPr>
          <w:rFonts w:ascii="Times New Roman" w:hAnsi="Times New Roman" w:cs="Times New Roman"/>
          <w:color w:val="auto"/>
          <w:sz w:val="24"/>
          <w:szCs w:val="24"/>
        </w:rPr>
      </w:pPr>
      <w:r w:rsidRPr="00C80734">
        <w:rPr>
          <w:rFonts w:ascii="Times New Roman" w:hAnsi="Times New Roman" w:cs="Times New Roman"/>
          <w:color w:val="auto"/>
          <w:sz w:val="24"/>
          <w:szCs w:val="24"/>
        </w:rPr>
        <w:t>The tutor and peers regularly commented on the clear and well-presented visual design of the poster. The strategic application of thematic panels (rationale, objectives, scope, stakeholder mapping, risk) was recognised as helping audience to understand a complex project. The tutor acknowledged that the project selection was suitable, the redevelopment project was referenced in the UK Net Zero Strategy (HM Government, 2021) and Levelling-Up (DLUHC, 2022) demonstrated good contextual awareness. The peers also praised the measurable budget variance and the BREEAM Excellent rating for the projects SMART objectives, indicating that they had an understanding of the definition of a project in terms of its outcomes, which is also in line with the best practice of PRINCE2 (Axelos, 2023).</w:t>
      </w:r>
    </w:p>
    <w:p w14:paraId="42008C8E" w14:textId="77777777" w:rsidR="00A114FD" w:rsidRPr="00553D7C" w:rsidRDefault="00280F89" w:rsidP="0096145E">
      <w:pPr>
        <w:pStyle w:val="Heading2"/>
        <w:spacing w:after="120"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3. Areas for Improvement</w:t>
      </w:r>
    </w:p>
    <w:p w14:paraId="2A1CF2B6" w14:textId="18971589" w:rsidR="00A114FD" w:rsidRPr="00553D7C" w:rsidRDefault="00B275C6" w:rsidP="0096145E">
      <w:pPr>
        <w:spacing w:before="80" w:after="100" w:line="360" w:lineRule="auto"/>
        <w:jc w:val="both"/>
        <w:rPr>
          <w:rFonts w:ascii="Times New Roman" w:hAnsi="Times New Roman" w:cs="Times New Roman"/>
          <w:color w:val="auto"/>
          <w:sz w:val="24"/>
          <w:szCs w:val="24"/>
        </w:rPr>
      </w:pPr>
      <w:r w:rsidRPr="00553D7C">
        <w:rPr>
          <w:rFonts w:ascii="Times New Roman" w:hAnsi="Times New Roman" w:cs="Times New Roman"/>
          <w:color w:val="auto"/>
          <w:sz w:val="24"/>
          <w:szCs w:val="24"/>
        </w:rPr>
        <w:t>There were two main dimensions of constructive criticism. The tutor's initial comments were that the stakeholder analysis was thorough, but did not include any analysis of the power-interest profile of key groups. A lack of a Power-Interest Grid (Mendelow 1991) was mentioned in particular as a gap that would lessen the engagement strategy of the subsequent management plan. Secondly, some peers raised concerns regarding the lack of quantitative probability-impact ratings for the risk assessment, which was only qualitatively described, making it difficult to prioritise. This notion is in line with Project Management Institute (PMI, 2021) recommendations to include numerical likelihood and impact scores in the risk registers to allow for objective prioritisation.</w:t>
      </w:r>
    </w:p>
    <w:p w14:paraId="339802C4" w14:textId="77777777" w:rsidR="00A114FD" w:rsidRPr="00553D7C" w:rsidRDefault="00280F89" w:rsidP="0096145E">
      <w:pPr>
        <w:pStyle w:val="Heading2"/>
        <w:spacing w:after="120"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4. How Feedback Informed the Final Project Management Plan</w:t>
      </w:r>
    </w:p>
    <w:p w14:paraId="69AEDA17" w14:textId="4A2DA12B" w:rsidR="00A114FD" w:rsidRPr="00553D7C" w:rsidRDefault="00B275C6" w:rsidP="0096145E">
      <w:pPr>
        <w:spacing w:before="80" w:after="100" w:line="360" w:lineRule="auto"/>
        <w:jc w:val="both"/>
        <w:rPr>
          <w:rFonts w:ascii="Times New Roman" w:hAnsi="Times New Roman" w:cs="Times New Roman"/>
          <w:color w:val="auto"/>
          <w:sz w:val="24"/>
          <w:szCs w:val="24"/>
        </w:rPr>
      </w:pPr>
      <w:r w:rsidRPr="00553D7C">
        <w:rPr>
          <w:rFonts w:ascii="Times New Roman" w:hAnsi="Times New Roman" w:cs="Times New Roman"/>
          <w:color w:val="auto"/>
          <w:sz w:val="24"/>
          <w:szCs w:val="24"/>
        </w:rPr>
        <w:lastRenderedPageBreak/>
        <w:t>The feedback has helped to inform multiple aspects of the Project Management Plan. To address the feedback from stakeholders, a comprehensive Power-Interest Grid has been created (Section 6 of Part C) to classify all main stakeholders in four quadrants and define specific engagement strategies for each stakeholder group. The analysis is an analytical improvement, not descriptive identification, but rather a critical evaluation required at level 5. In relation to Risk Assessment, the Plan now includes a fully developed Risk Register (Part C Section 8) with quantitative probability scores (1-5) and impact scores (1-5) for identified risks, which are combined to give each risk a Risk Priority Number (RPN) which is used to prioritize risks according to ISO 31000:2018 guidance. The revisions are substantive in nature and qualitative; they take the results from the poster phase and bring them to a robust, evidence-based management plan.</w:t>
      </w:r>
    </w:p>
    <w:p w14:paraId="73F189BB" w14:textId="77777777" w:rsidR="00A114FD" w:rsidRPr="00553D7C" w:rsidRDefault="00280F89" w:rsidP="0096145E">
      <w:pPr>
        <w:pStyle w:val="Heading2"/>
        <w:spacing w:after="120"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5. Conclusion</w:t>
      </w:r>
    </w:p>
    <w:p w14:paraId="143DC1EC" w14:textId="4D198DDD" w:rsidR="00A114FD" w:rsidRPr="00553D7C" w:rsidRDefault="00B275C6" w:rsidP="0096145E">
      <w:pPr>
        <w:spacing w:before="80" w:after="100" w:line="360" w:lineRule="auto"/>
        <w:jc w:val="both"/>
        <w:rPr>
          <w:rFonts w:ascii="Times New Roman" w:hAnsi="Times New Roman" w:cs="Times New Roman"/>
          <w:color w:val="auto"/>
          <w:sz w:val="24"/>
          <w:szCs w:val="24"/>
        </w:rPr>
      </w:pPr>
      <w:r w:rsidRPr="00553D7C">
        <w:rPr>
          <w:rFonts w:ascii="Times New Roman" w:hAnsi="Times New Roman" w:cs="Times New Roman"/>
          <w:color w:val="auto"/>
          <w:sz w:val="24"/>
          <w:szCs w:val="24"/>
        </w:rPr>
        <w:t>he peer/tutor feedback process has been formative and not summative. It led to self-assessment of the analytical deficiencies of the original submission, and to targeted improvements that have significantly improved the project management plan. The process of presenting, receiving feedback, and revising is iterative, and represents the Plan-Do-Check-Act (PDCA) cycle (Deming, 1986), which underscores the importance of structured reflective practice as part of the professional competence in project delivery.</w:t>
      </w:r>
    </w:p>
    <w:p w14:paraId="20453F4C"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br w:type="page"/>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360"/>
      </w:tblGrid>
      <w:tr w:rsidR="00553D7C" w:rsidRPr="00553D7C" w14:paraId="7E440257" w14:textId="77777777" w:rsidTr="00AD5EE0">
        <w:trPr>
          <w:trHeight w:val="490"/>
        </w:trPr>
        <w:tc>
          <w:tcPr>
            <w:tcW w:w="9360" w:type="dxa"/>
            <w:tcBorders>
              <w:top w:val="none" w:sz="0" w:space="0" w:color="FFFFFF"/>
              <w:left w:val="none" w:sz="0" w:space="0" w:color="FFFFFF"/>
              <w:bottom w:val="none" w:sz="0" w:space="0" w:color="FFFFFF"/>
              <w:right w:val="none" w:sz="0" w:space="0" w:color="FFFFFF"/>
            </w:tcBorders>
            <w:shd w:val="clear" w:color="auto" w:fill="1B3A6B"/>
            <w:tcMar>
              <w:top w:w="140" w:type="dxa"/>
              <w:left w:w="200" w:type="dxa"/>
              <w:bottom w:w="140" w:type="dxa"/>
              <w:right w:w="200" w:type="dxa"/>
            </w:tcMar>
          </w:tcPr>
          <w:p w14:paraId="1B9A01CE"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b/>
                <w:bCs/>
                <w:color w:val="auto"/>
                <w:sz w:val="24"/>
                <w:szCs w:val="24"/>
              </w:rPr>
              <w:lastRenderedPageBreak/>
              <w:t>PART C – PROJECT MANAGEMENT PLAN</w:t>
            </w:r>
          </w:p>
        </w:tc>
      </w:tr>
    </w:tbl>
    <w:p w14:paraId="121AC0E4" w14:textId="77777777" w:rsidR="00A114FD" w:rsidRPr="00553D7C" w:rsidRDefault="00A114FD" w:rsidP="0096145E">
      <w:pPr>
        <w:spacing w:before="40" w:after="40" w:line="360" w:lineRule="auto"/>
        <w:rPr>
          <w:rFonts w:ascii="Times New Roman" w:hAnsi="Times New Roman" w:cs="Times New Roman"/>
          <w:color w:val="auto"/>
          <w:sz w:val="24"/>
          <w:szCs w:val="24"/>
        </w:rPr>
      </w:pPr>
    </w:p>
    <w:p w14:paraId="276692EB" w14:textId="77777777" w:rsidR="00A114FD" w:rsidRPr="00553D7C" w:rsidRDefault="00280F89" w:rsidP="00DA3002">
      <w:pPr>
        <w:pStyle w:val="Heading1"/>
        <w:spacing w:before="280" w:after="120"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1. Introduction</w:t>
      </w:r>
    </w:p>
    <w:p w14:paraId="2FC2818C" w14:textId="77777777" w:rsidR="00DA3002" w:rsidRPr="00553D7C" w:rsidRDefault="00DA3002" w:rsidP="00DA3002">
      <w:pPr>
        <w:spacing w:before="80" w:after="100" w:line="360" w:lineRule="auto"/>
        <w:jc w:val="both"/>
        <w:rPr>
          <w:rFonts w:ascii="Times New Roman" w:hAnsi="Times New Roman" w:cs="Times New Roman"/>
          <w:color w:val="auto"/>
          <w:sz w:val="24"/>
          <w:szCs w:val="24"/>
        </w:rPr>
      </w:pPr>
      <w:r w:rsidRPr="00553D7C">
        <w:rPr>
          <w:rFonts w:ascii="Times New Roman" w:hAnsi="Times New Roman" w:cs="Times New Roman"/>
          <w:color w:val="auto"/>
          <w:sz w:val="24"/>
          <w:szCs w:val="24"/>
        </w:rPr>
        <w:t>This Project Management Plan (PMP) outlines the detailed plan for the Redevelopment of the Central Transport Hub (CTH) — otherwise known as 'the Project'. The Project is one of the largest urban regeneration schemes in recent times in the history of UK infrastructure and has been commissioned in response to the emergency closure of the structurally unsafe metropolitan transport interchange in November 2025. The plan utilises existing project management methodologies, tools and techniques from PRINCE2 (Axelos, 2023), the PMI's PMBOK® Guide (PMI, 2021) and Agile principles as appropriate to control all aspects of project delivery from project initiation to project commissioning.</w:t>
      </w:r>
    </w:p>
    <w:p w14:paraId="30A98EBD" w14:textId="50AAB68E" w:rsidR="00A114FD" w:rsidRPr="00553D7C" w:rsidRDefault="00DA3002" w:rsidP="00DA3002">
      <w:pPr>
        <w:spacing w:before="80" w:after="100" w:line="360" w:lineRule="auto"/>
        <w:jc w:val="both"/>
        <w:rPr>
          <w:rFonts w:ascii="Times New Roman" w:hAnsi="Times New Roman" w:cs="Times New Roman"/>
          <w:color w:val="auto"/>
          <w:sz w:val="24"/>
          <w:szCs w:val="24"/>
        </w:rPr>
      </w:pPr>
      <w:r w:rsidRPr="00553D7C">
        <w:rPr>
          <w:rFonts w:ascii="Times New Roman" w:hAnsi="Times New Roman" w:cs="Times New Roman"/>
          <w:color w:val="auto"/>
          <w:sz w:val="24"/>
          <w:szCs w:val="24"/>
        </w:rPr>
        <w:t xml:space="preserve">A structured PMP is of paramount importance. Numerous studies have shown that projects with formal management structures are much more likely to deliver the agreed project objectives within the scope, time and cost limits (Müller and Turner, 2010; </w:t>
      </w:r>
      <w:proofErr w:type="spellStart"/>
      <w:r w:rsidRPr="00553D7C">
        <w:rPr>
          <w:rFonts w:ascii="Times New Roman" w:hAnsi="Times New Roman" w:cs="Times New Roman"/>
          <w:color w:val="auto"/>
          <w:sz w:val="24"/>
          <w:szCs w:val="24"/>
        </w:rPr>
        <w:t>Jugdev</w:t>
      </w:r>
      <w:proofErr w:type="spellEnd"/>
      <w:r w:rsidRPr="00553D7C">
        <w:rPr>
          <w:rFonts w:ascii="Times New Roman" w:hAnsi="Times New Roman" w:cs="Times New Roman"/>
          <w:color w:val="auto"/>
          <w:sz w:val="24"/>
          <w:szCs w:val="24"/>
        </w:rPr>
        <w:t xml:space="preserve"> and Müller, 2005). This plan is thus the main document that will be referred to by all stakeholders on the project, with clarity over how the project is governed, how resources are allocated, how risk is managed, and accountability over the project life cycle.</w:t>
      </w:r>
    </w:p>
    <w:p w14:paraId="73D5A44D" w14:textId="77777777" w:rsidR="00A114FD" w:rsidRPr="00553D7C" w:rsidRDefault="00280F89" w:rsidP="00DA3002">
      <w:pPr>
        <w:pStyle w:val="Heading1"/>
        <w:spacing w:before="280" w:after="120"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2. Project Description</w:t>
      </w:r>
    </w:p>
    <w:p w14:paraId="6EE530EE" w14:textId="77777777" w:rsidR="00C80734" w:rsidRPr="00C80734" w:rsidRDefault="00C80734" w:rsidP="00C80734">
      <w:pPr>
        <w:spacing w:before="80" w:after="100" w:line="360" w:lineRule="auto"/>
        <w:jc w:val="both"/>
        <w:rPr>
          <w:rFonts w:ascii="Times New Roman" w:hAnsi="Times New Roman" w:cs="Times New Roman"/>
          <w:color w:val="auto"/>
          <w:sz w:val="24"/>
          <w:szCs w:val="24"/>
        </w:rPr>
      </w:pPr>
      <w:r w:rsidRPr="00C80734">
        <w:rPr>
          <w:rFonts w:ascii="Times New Roman" w:hAnsi="Times New Roman" w:cs="Times New Roman"/>
          <w:color w:val="auto"/>
          <w:sz w:val="24"/>
          <w:szCs w:val="24"/>
        </w:rPr>
        <w:t>This project will feature the full restoration of passenger facilities such as rail and bus stations, all of them play a crucial role in the city's transportation networks; the removal of the decommissioned sections; the implementation of digital solutions for managing the flow of passengers and services; and the installation of sustainable energy infrastructure. The project is classified as a capital infrastructure project, has an approved budget of £220 million, planning period of 30 months (from July 1st 2026 to September 30th 2028) and is expected to employ around 850 people at the peak construction stage.</w:t>
      </w:r>
    </w:p>
    <w:p w14:paraId="69931903" w14:textId="77777777" w:rsidR="00C80734" w:rsidRPr="00C80734" w:rsidRDefault="00C80734" w:rsidP="00C80734">
      <w:pPr>
        <w:spacing w:before="80" w:after="100" w:line="360" w:lineRule="auto"/>
        <w:jc w:val="both"/>
        <w:rPr>
          <w:rFonts w:ascii="Times New Roman" w:hAnsi="Times New Roman" w:cs="Times New Roman"/>
          <w:color w:val="auto"/>
          <w:sz w:val="24"/>
          <w:szCs w:val="24"/>
        </w:rPr>
      </w:pPr>
      <w:r w:rsidRPr="00C80734">
        <w:rPr>
          <w:rFonts w:ascii="Times New Roman" w:hAnsi="Times New Roman" w:cs="Times New Roman"/>
          <w:color w:val="auto"/>
          <w:sz w:val="24"/>
          <w:szCs w:val="24"/>
        </w:rPr>
        <w:t>The project is part of a wider national policy context, in particular the UK Infrastructure Strategy (HM Treasury, 2021) which recognises the need to renew transport infrastructure as a key component of the post-pandemic economic recovery and rebalancing. Additionally, the project is in line with the National Infrastructure Commission's Rail Needs Assessment (NIC, 2020) that has integrated the project within a long-term programme of investment in UK rail infrastructure, providing further legitimacy and funding eligibility for the project.</w:t>
      </w:r>
    </w:p>
    <w:p w14:paraId="37AEA642" w14:textId="4B338059" w:rsidR="00A114FD" w:rsidRPr="00553D7C" w:rsidRDefault="00C80734" w:rsidP="00C80734">
      <w:pPr>
        <w:spacing w:before="80" w:after="100" w:line="360" w:lineRule="auto"/>
        <w:jc w:val="both"/>
        <w:rPr>
          <w:rFonts w:ascii="Times New Roman" w:hAnsi="Times New Roman" w:cs="Times New Roman"/>
          <w:color w:val="auto"/>
          <w:sz w:val="24"/>
          <w:szCs w:val="24"/>
        </w:rPr>
      </w:pPr>
      <w:r w:rsidRPr="00C80734">
        <w:rPr>
          <w:rFonts w:ascii="Times New Roman" w:hAnsi="Times New Roman" w:cs="Times New Roman"/>
          <w:color w:val="auto"/>
          <w:sz w:val="24"/>
          <w:szCs w:val="24"/>
        </w:rPr>
        <w:t xml:space="preserve">A hybrid approach will be used for delivery of the project: PRINCE2 will provide the framework for the overall delivery of programme governance, sprint and stage-gate approvals and the standards for </w:t>
      </w:r>
      <w:r w:rsidRPr="00C80734">
        <w:rPr>
          <w:rFonts w:ascii="Times New Roman" w:hAnsi="Times New Roman" w:cs="Times New Roman"/>
          <w:color w:val="auto"/>
          <w:sz w:val="24"/>
          <w:szCs w:val="24"/>
        </w:rPr>
        <w:lastRenderedPageBreak/>
        <w:t>documentation (Axelos, 2023; PMI, 2021); whilst the principles of Agile will be applied to the digital infrastructure workstream, where iterative development and testing with passengers is required to ensure that the digital technologies are fit for purpose.</w:t>
      </w:r>
      <w:r w:rsidR="00DA3002" w:rsidRPr="00553D7C">
        <w:rPr>
          <w:rFonts w:ascii="Times New Roman" w:hAnsi="Times New Roman" w:cs="Times New Roman"/>
          <w:color w:val="auto"/>
          <w:sz w:val="24"/>
          <w:szCs w:val="24"/>
        </w:rPr>
        <w:t xml:space="preserve"> Both of these methods indicate the complexity and multidisciplinary nature of this project and align with current good practice in the delivery of large-scale infrastructure (Flyvbjerg, 2017).</w:t>
      </w:r>
    </w:p>
    <w:p w14:paraId="422CF962" w14:textId="77777777" w:rsidR="00A114FD" w:rsidRPr="00553D7C" w:rsidRDefault="00280F89" w:rsidP="00DA3002">
      <w:pPr>
        <w:pStyle w:val="Heading1"/>
        <w:spacing w:before="280" w:after="120"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3. Scope</w:t>
      </w:r>
    </w:p>
    <w:p w14:paraId="38F8D43B" w14:textId="77777777" w:rsidR="00DA3002" w:rsidRPr="00553D7C" w:rsidRDefault="00DA3002" w:rsidP="00DA3002">
      <w:pPr>
        <w:spacing w:before="80" w:after="100" w:line="360" w:lineRule="auto"/>
        <w:jc w:val="both"/>
        <w:rPr>
          <w:rFonts w:ascii="Times New Roman" w:hAnsi="Times New Roman" w:cs="Times New Roman"/>
          <w:color w:val="auto"/>
          <w:sz w:val="24"/>
          <w:szCs w:val="24"/>
        </w:rPr>
      </w:pPr>
      <w:r w:rsidRPr="00553D7C">
        <w:rPr>
          <w:rFonts w:ascii="Times New Roman" w:hAnsi="Times New Roman" w:cs="Times New Roman"/>
          <w:color w:val="auto"/>
          <w:sz w:val="24"/>
          <w:szCs w:val="24"/>
        </w:rPr>
        <w:t>It is essential to project management to have a solid understanding of scope management. Some of the major reasons for the failure of projects, as discussed by Turner (2014) include poorly defined scope. The project has therefore been clearly defined to avoid scope creep and ensure the project brief is adhered to.</w:t>
      </w:r>
    </w:p>
    <w:p w14:paraId="3CF2BE90" w14:textId="77777777" w:rsidR="00DA3002" w:rsidRPr="00553D7C" w:rsidRDefault="00DA3002" w:rsidP="00DA3002">
      <w:pPr>
        <w:spacing w:before="80" w:after="100" w:line="360" w:lineRule="auto"/>
        <w:jc w:val="both"/>
        <w:rPr>
          <w:rFonts w:ascii="Times New Roman" w:hAnsi="Times New Roman" w:cs="Times New Roman"/>
          <w:color w:val="auto"/>
          <w:sz w:val="24"/>
          <w:szCs w:val="24"/>
        </w:rPr>
      </w:pPr>
      <w:r w:rsidRPr="00553D7C">
        <w:rPr>
          <w:rFonts w:ascii="Times New Roman" w:hAnsi="Times New Roman" w:cs="Times New Roman"/>
          <w:color w:val="auto"/>
          <w:sz w:val="24"/>
          <w:szCs w:val="24"/>
        </w:rPr>
        <w:t>The scope of the works includes: Demolition of former structural features; reconstruction of the main rail terminus and integrated bus station; introduction of an IoT-based passenger information system; installation of contactless ticketing and biometric access control; the integration of photovoltaic solar panels and EV charging bays; design for accessibility according to BS 8300:2018 and Part M of the Building Regulations 2010; compliance with all statutory planning, fire and environmental requirements.</w:t>
      </w:r>
    </w:p>
    <w:p w14:paraId="47858011" w14:textId="77777777" w:rsidR="00DA3002" w:rsidRPr="00553D7C" w:rsidRDefault="00DA3002" w:rsidP="00DA3002">
      <w:pPr>
        <w:spacing w:before="80" w:after="100" w:line="360" w:lineRule="auto"/>
        <w:jc w:val="both"/>
        <w:rPr>
          <w:rFonts w:ascii="Times New Roman" w:hAnsi="Times New Roman" w:cs="Times New Roman"/>
          <w:color w:val="auto"/>
          <w:sz w:val="24"/>
          <w:szCs w:val="24"/>
        </w:rPr>
      </w:pPr>
      <w:r w:rsidRPr="00553D7C">
        <w:rPr>
          <w:rFonts w:ascii="Times New Roman" w:hAnsi="Times New Roman" w:cs="Times New Roman"/>
          <w:b/>
          <w:bCs/>
          <w:color w:val="auto"/>
          <w:sz w:val="24"/>
          <w:szCs w:val="24"/>
        </w:rPr>
        <w:t>Out of scope:</w:t>
      </w:r>
      <w:r w:rsidRPr="00553D7C">
        <w:rPr>
          <w:rFonts w:ascii="Times New Roman" w:hAnsi="Times New Roman" w:cs="Times New Roman"/>
          <w:color w:val="auto"/>
          <w:sz w:val="24"/>
          <w:szCs w:val="24"/>
        </w:rPr>
        <w:t xml:space="preserve"> wider city road network changes; private freight operator IT systems; adjacent retail/commercial development; private residential displacement/regeneration beyond immediate transport site boundary.</w:t>
      </w:r>
    </w:p>
    <w:p w14:paraId="62ED16B4" w14:textId="6E324F1C" w:rsidR="00A114FD" w:rsidRPr="00553D7C" w:rsidRDefault="00DA3002" w:rsidP="00DA3002">
      <w:pPr>
        <w:spacing w:before="80" w:after="100" w:line="360" w:lineRule="auto"/>
        <w:jc w:val="both"/>
        <w:rPr>
          <w:rFonts w:ascii="Times New Roman" w:hAnsi="Times New Roman" w:cs="Times New Roman"/>
          <w:color w:val="auto"/>
          <w:sz w:val="24"/>
          <w:szCs w:val="24"/>
        </w:rPr>
      </w:pPr>
      <w:r w:rsidRPr="00553D7C">
        <w:rPr>
          <w:rFonts w:ascii="Times New Roman" w:hAnsi="Times New Roman" w:cs="Times New Roman"/>
          <w:color w:val="auto"/>
          <w:sz w:val="24"/>
          <w:szCs w:val="24"/>
        </w:rPr>
        <w:t>The scope is formally controlled with a strong Change Control procedure which is integrated within PRINCE2's Change Authority arrangement (Axelos, 2023) where any proposed deviation has to be raised through a Change Request, go through the Project Board's Change Assessment Group to be considered for its impact on time, cost and quality before being approved for implementation.</w:t>
      </w:r>
    </w:p>
    <w:p w14:paraId="3C8CD640" w14:textId="77777777" w:rsidR="00A114FD" w:rsidRPr="00553D7C" w:rsidRDefault="00280F89" w:rsidP="00DA3002">
      <w:pPr>
        <w:pStyle w:val="Heading1"/>
        <w:spacing w:before="280" w:after="120"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4. Work Breakdown Structure (WBS)</w:t>
      </w:r>
    </w:p>
    <w:p w14:paraId="02042D72" w14:textId="65F343A1" w:rsidR="00A114FD" w:rsidRDefault="00DA3002" w:rsidP="0096145E">
      <w:pPr>
        <w:spacing w:before="80" w:after="100" w:line="360" w:lineRule="auto"/>
        <w:jc w:val="both"/>
        <w:rPr>
          <w:rFonts w:ascii="Times New Roman" w:hAnsi="Times New Roman" w:cs="Times New Roman"/>
          <w:color w:val="auto"/>
          <w:sz w:val="24"/>
          <w:szCs w:val="24"/>
        </w:rPr>
      </w:pPr>
      <w:r w:rsidRPr="00553D7C">
        <w:rPr>
          <w:rFonts w:ascii="Times New Roman" w:hAnsi="Times New Roman" w:cs="Times New Roman"/>
          <w:color w:val="auto"/>
          <w:sz w:val="24"/>
          <w:szCs w:val="24"/>
        </w:rPr>
        <w:t>The Work Breakdown Structure (WBS) outlines the project in a hierarchical manner, breaking it down into smaller, more manageable tasks that represent the deliverables of the project. The WBS is used to help schedule, allocate resources, and estimate costs (PMI, 2021). The Project is organized into five Level 1 workstreams and each workstream is broken down into work packages as outlined below in Table 1.</w:t>
      </w:r>
    </w:p>
    <w:p w14:paraId="49ED6E7D" w14:textId="77777777" w:rsidR="00AD5EE0" w:rsidRDefault="00AD5EE0" w:rsidP="0096145E">
      <w:pPr>
        <w:spacing w:before="80" w:after="100" w:line="360" w:lineRule="auto"/>
        <w:jc w:val="both"/>
        <w:rPr>
          <w:rFonts w:ascii="Times New Roman" w:hAnsi="Times New Roman" w:cs="Times New Roman"/>
          <w:color w:val="auto"/>
          <w:sz w:val="24"/>
          <w:szCs w:val="24"/>
        </w:rPr>
      </w:pPr>
    </w:p>
    <w:p w14:paraId="0D77261D" w14:textId="77777777" w:rsidR="00AD5EE0" w:rsidRDefault="00AD5EE0" w:rsidP="0096145E">
      <w:pPr>
        <w:spacing w:before="80" w:after="100" w:line="360" w:lineRule="auto"/>
        <w:jc w:val="both"/>
        <w:rPr>
          <w:rFonts w:ascii="Times New Roman" w:hAnsi="Times New Roman" w:cs="Times New Roman"/>
          <w:color w:val="auto"/>
          <w:sz w:val="24"/>
          <w:szCs w:val="24"/>
        </w:rPr>
      </w:pPr>
    </w:p>
    <w:p w14:paraId="5E6A56B0" w14:textId="77777777" w:rsidR="00AD5EE0" w:rsidRPr="00553D7C" w:rsidRDefault="00AD5EE0" w:rsidP="0096145E">
      <w:pPr>
        <w:spacing w:before="80" w:after="100" w:line="360" w:lineRule="auto"/>
        <w:jc w:val="both"/>
        <w:rPr>
          <w:rFonts w:ascii="Times New Roman" w:hAnsi="Times New Roman" w:cs="Times New Roman"/>
          <w:color w:val="auto"/>
          <w:sz w:val="24"/>
          <w:szCs w:val="24"/>
        </w:rPr>
      </w:pPr>
    </w:p>
    <w:p w14:paraId="755019DF" w14:textId="77777777" w:rsidR="00A114FD" w:rsidRPr="00553D7C" w:rsidRDefault="00280F89" w:rsidP="00AD5EE0">
      <w:pPr>
        <w:spacing w:before="120" w:after="60" w:line="360" w:lineRule="auto"/>
        <w:jc w:val="center"/>
        <w:rPr>
          <w:rFonts w:ascii="Times New Roman" w:hAnsi="Times New Roman" w:cs="Times New Roman"/>
          <w:color w:val="auto"/>
          <w:sz w:val="24"/>
          <w:szCs w:val="24"/>
        </w:rPr>
      </w:pPr>
      <w:r w:rsidRPr="00553D7C">
        <w:rPr>
          <w:rFonts w:ascii="Times New Roman" w:hAnsi="Times New Roman" w:cs="Times New Roman"/>
          <w:b/>
          <w:bCs/>
          <w:i/>
          <w:iCs/>
          <w:color w:val="auto"/>
          <w:sz w:val="24"/>
          <w:szCs w:val="24"/>
        </w:rPr>
        <w:lastRenderedPageBreak/>
        <w:t>Table 1: Work Breakdown Structure – Central Transport Hub Redevelopment</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7E6E6" w:themeFill="background2"/>
        <w:tblCellMar>
          <w:left w:w="10" w:type="dxa"/>
          <w:right w:w="10" w:type="dxa"/>
        </w:tblCellMar>
        <w:tblLook w:val="0000" w:firstRow="0" w:lastRow="0" w:firstColumn="0" w:lastColumn="0" w:noHBand="0" w:noVBand="0"/>
      </w:tblPr>
      <w:tblGrid>
        <w:gridCol w:w="1400"/>
        <w:gridCol w:w="4560"/>
        <w:gridCol w:w="2200"/>
        <w:gridCol w:w="1200"/>
      </w:tblGrid>
      <w:tr w:rsidR="00553D7C" w:rsidRPr="00553D7C" w14:paraId="702CFC6A" w14:textId="77777777" w:rsidTr="00C408F0">
        <w:tc>
          <w:tcPr>
            <w:tcW w:w="14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1CFD6758"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WBS Code</w:t>
            </w:r>
          </w:p>
        </w:tc>
        <w:tc>
          <w:tcPr>
            <w:tcW w:w="456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40725197"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Workstream / Work Package</w:t>
            </w:r>
          </w:p>
        </w:tc>
        <w:tc>
          <w:tcPr>
            <w:tcW w:w="2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7CB0F7A7"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Owner</w:t>
            </w:r>
          </w:p>
        </w:tc>
        <w:tc>
          <w:tcPr>
            <w:tcW w:w="1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2C19ADCB"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b/>
                <w:bCs/>
                <w:color w:val="auto"/>
                <w:sz w:val="24"/>
                <w:szCs w:val="24"/>
              </w:rPr>
              <w:t>Duration (weeks)</w:t>
            </w:r>
          </w:p>
        </w:tc>
      </w:tr>
      <w:tr w:rsidR="00553D7C" w:rsidRPr="00553D7C" w14:paraId="49FCE0F1" w14:textId="77777777" w:rsidTr="00C408F0">
        <w:tc>
          <w:tcPr>
            <w:tcW w:w="14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08DC6D24"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1.0</w:t>
            </w:r>
          </w:p>
        </w:tc>
        <w:tc>
          <w:tcPr>
            <w:tcW w:w="456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0B53B0A9"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Project Initiation &amp; Governance</w:t>
            </w:r>
          </w:p>
        </w:tc>
        <w:tc>
          <w:tcPr>
            <w:tcW w:w="2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24ACE7D0"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Project Manager</w:t>
            </w:r>
          </w:p>
        </w:tc>
        <w:tc>
          <w:tcPr>
            <w:tcW w:w="1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1845D4AE" w14:textId="77777777" w:rsidR="00A114FD" w:rsidRPr="00553D7C" w:rsidRDefault="00A114FD" w:rsidP="0096145E">
            <w:pPr>
              <w:spacing w:line="360" w:lineRule="auto"/>
              <w:jc w:val="center"/>
              <w:rPr>
                <w:rFonts w:ascii="Times New Roman" w:hAnsi="Times New Roman" w:cs="Times New Roman"/>
                <w:color w:val="auto"/>
                <w:sz w:val="24"/>
                <w:szCs w:val="24"/>
              </w:rPr>
            </w:pPr>
          </w:p>
        </w:tc>
      </w:tr>
      <w:tr w:rsidR="00553D7C" w:rsidRPr="00553D7C" w14:paraId="73807927" w14:textId="77777777" w:rsidTr="00C408F0">
        <w:tc>
          <w:tcPr>
            <w:tcW w:w="14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054E4D34"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1.1</w:t>
            </w:r>
          </w:p>
        </w:tc>
        <w:tc>
          <w:tcPr>
            <w:tcW w:w="456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27F47A97"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PMP Finalisation &amp; Baseline</w:t>
            </w:r>
          </w:p>
        </w:tc>
        <w:tc>
          <w:tcPr>
            <w:tcW w:w="2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690FBD42"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PM / PMO</w:t>
            </w:r>
          </w:p>
        </w:tc>
        <w:tc>
          <w:tcPr>
            <w:tcW w:w="1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1BDC74FB"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4</w:t>
            </w:r>
          </w:p>
        </w:tc>
      </w:tr>
      <w:tr w:rsidR="00553D7C" w:rsidRPr="00553D7C" w14:paraId="53626041" w14:textId="77777777" w:rsidTr="00C408F0">
        <w:tc>
          <w:tcPr>
            <w:tcW w:w="14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22B4C14F"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1.2</w:t>
            </w:r>
          </w:p>
        </w:tc>
        <w:tc>
          <w:tcPr>
            <w:tcW w:w="456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0B68BC29"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Stakeholder Register &amp; RACI Matrix</w:t>
            </w:r>
          </w:p>
        </w:tc>
        <w:tc>
          <w:tcPr>
            <w:tcW w:w="2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4C0716CF"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Comms Lead</w:t>
            </w:r>
          </w:p>
        </w:tc>
        <w:tc>
          <w:tcPr>
            <w:tcW w:w="1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4702D997"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3</w:t>
            </w:r>
          </w:p>
        </w:tc>
      </w:tr>
      <w:tr w:rsidR="00553D7C" w:rsidRPr="00553D7C" w14:paraId="21361788" w14:textId="77777777" w:rsidTr="00C408F0">
        <w:tc>
          <w:tcPr>
            <w:tcW w:w="14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001374C2"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1.3</w:t>
            </w:r>
          </w:p>
        </w:tc>
        <w:tc>
          <w:tcPr>
            <w:tcW w:w="456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0572F379"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Risk Register Baseline</w:t>
            </w:r>
          </w:p>
        </w:tc>
        <w:tc>
          <w:tcPr>
            <w:tcW w:w="2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25F316E4"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Risk Manager</w:t>
            </w:r>
          </w:p>
        </w:tc>
        <w:tc>
          <w:tcPr>
            <w:tcW w:w="1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79C1F738"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3</w:t>
            </w:r>
          </w:p>
        </w:tc>
      </w:tr>
      <w:tr w:rsidR="00553D7C" w:rsidRPr="00553D7C" w14:paraId="160C02A1" w14:textId="77777777" w:rsidTr="00C408F0">
        <w:tc>
          <w:tcPr>
            <w:tcW w:w="14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33317D5F"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2.0</w:t>
            </w:r>
          </w:p>
        </w:tc>
        <w:tc>
          <w:tcPr>
            <w:tcW w:w="456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0CA36B80"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Demolition &amp; Site Preparation</w:t>
            </w:r>
          </w:p>
        </w:tc>
        <w:tc>
          <w:tcPr>
            <w:tcW w:w="2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745FB3A3"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Construction Director</w:t>
            </w:r>
          </w:p>
        </w:tc>
        <w:tc>
          <w:tcPr>
            <w:tcW w:w="1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167B5F84" w14:textId="77777777" w:rsidR="00A114FD" w:rsidRPr="00553D7C" w:rsidRDefault="00A114FD" w:rsidP="0096145E">
            <w:pPr>
              <w:spacing w:line="360" w:lineRule="auto"/>
              <w:jc w:val="center"/>
              <w:rPr>
                <w:rFonts w:ascii="Times New Roman" w:hAnsi="Times New Roman" w:cs="Times New Roman"/>
                <w:color w:val="auto"/>
                <w:sz w:val="24"/>
                <w:szCs w:val="24"/>
              </w:rPr>
            </w:pPr>
          </w:p>
        </w:tc>
      </w:tr>
      <w:tr w:rsidR="00553D7C" w:rsidRPr="00553D7C" w14:paraId="4871EB9A" w14:textId="77777777" w:rsidTr="00C408F0">
        <w:tc>
          <w:tcPr>
            <w:tcW w:w="14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65CD8C63"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2.1</w:t>
            </w:r>
          </w:p>
        </w:tc>
        <w:tc>
          <w:tcPr>
            <w:tcW w:w="456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198FB11F"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Structural Survey &amp; Asbestos Removal</w:t>
            </w:r>
          </w:p>
        </w:tc>
        <w:tc>
          <w:tcPr>
            <w:tcW w:w="2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388AAF1B"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Health &amp; Safety Manager</w:t>
            </w:r>
          </w:p>
        </w:tc>
        <w:tc>
          <w:tcPr>
            <w:tcW w:w="1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3B6C652B"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8</w:t>
            </w:r>
          </w:p>
        </w:tc>
      </w:tr>
      <w:tr w:rsidR="00553D7C" w:rsidRPr="00553D7C" w14:paraId="109C884D" w14:textId="77777777" w:rsidTr="00C408F0">
        <w:tc>
          <w:tcPr>
            <w:tcW w:w="14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556849A3"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2.2</w:t>
            </w:r>
          </w:p>
        </w:tc>
        <w:tc>
          <w:tcPr>
            <w:tcW w:w="456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1CDDD220"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Controlled Demolition – Decommissioned Wings</w:t>
            </w:r>
          </w:p>
        </w:tc>
        <w:tc>
          <w:tcPr>
            <w:tcW w:w="2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04D2DC49"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Demolition Contractor</w:t>
            </w:r>
          </w:p>
        </w:tc>
        <w:tc>
          <w:tcPr>
            <w:tcW w:w="1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28599B03"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12</w:t>
            </w:r>
          </w:p>
        </w:tc>
      </w:tr>
      <w:tr w:rsidR="00553D7C" w:rsidRPr="00553D7C" w14:paraId="11F69EDB" w14:textId="77777777" w:rsidTr="00C408F0">
        <w:tc>
          <w:tcPr>
            <w:tcW w:w="14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6025AD04"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2.3</w:t>
            </w:r>
          </w:p>
        </w:tc>
        <w:tc>
          <w:tcPr>
            <w:tcW w:w="456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206B5164"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Site Clearance &amp; Ground Investigation</w:t>
            </w:r>
          </w:p>
        </w:tc>
        <w:tc>
          <w:tcPr>
            <w:tcW w:w="2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501E2220"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Site Engineer</w:t>
            </w:r>
          </w:p>
        </w:tc>
        <w:tc>
          <w:tcPr>
            <w:tcW w:w="1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2F0FF354"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6</w:t>
            </w:r>
          </w:p>
        </w:tc>
      </w:tr>
      <w:tr w:rsidR="00553D7C" w:rsidRPr="00553D7C" w14:paraId="6DA511D8" w14:textId="77777777" w:rsidTr="00C408F0">
        <w:tc>
          <w:tcPr>
            <w:tcW w:w="14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3D38FA05"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3.0</w:t>
            </w:r>
          </w:p>
        </w:tc>
        <w:tc>
          <w:tcPr>
            <w:tcW w:w="456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4DDC7013"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Civil &amp; Structural Construction</w:t>
            </w:r>
          </w:p>
        </w:tc>
        <w:tc>
          <w:tcPr>
            <w:tcW w:w="2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1CC47613"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Lead Civil Engineer</w:t>
            </w:r>
          </w:p>
        </w:tc>
        <w:tc>
          <w:tcPr>
            <w:tcW w:w="1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37F28354" w14:textId="77777777" w:rsidR="00A114FD" w:rsidRPr="00553D7C" w:rsidRDefault="00A114FD" w:rsidP="0096145E">
            <w:pPr>
              <w:spacing w:line="360" w:lineRule="auto"/>
              <w:jc w:val="center"/>
              <w:rPr>
                <w:rFonts w:ascii="Times New Roman" w:hAnsi="Times New Roman" w:cs="Times New Roman"/>
                <w:color w:val="auto"/>
                <w:sz w:val="24"/>
                <w:szCs w:val="24"/>
              </w:rPr>
            </w:pPr>
          </w:p>
        </w:tc>
      </w:tr>
      <w:tr w:rsidR="00553D7C" w:rsidRPr="00553D7C" w14:paraId="38303973" w14:textId="77777777" w:rsidTr="00C408F0">
        <w:tc>
          <w:tcPr>
            <w:tcW w:w="14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70AA6D9F"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3.1</w:t>
            </w:r>
          </w:p>
        </w:tc>
        <w:tc>
          <w:tcPr>
            <w:tcW w:w="456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553C6B2A"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Foundations &amp; Substructure Works</w:t>
            </w:r>
          </w:p>
        </w:tc>
        <w:tc>
          <w:tcPr>
            <w:tcW w:w="2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09E81496"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Structural Engineer</w:t>
            </w:r>
          </w:p>
        </w:tc>
        <w:tc>
          <w:tcPr>
            <w:tcW w:w="1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276A684E"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20</w:t>
            </w:r>
          </w:p>
        </w:tc>
      </w:tr>
      <w:tr w:rsidR="00553D7C" w:rsidRPr="00553D7C" w14:paraId="5234D58A" w14:textId="77777777" w:rsidTr="00C408F0">
        <w:tc>
          <w:tcPr>
            <w:tcW w:w="14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2D18C4B3"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3.2</w:t>
            </w:r>
          </w:p>
        </w:tc>
        <w:tc>
          <w:tcPr>
            <w:tcW w:w="456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2A3ECB4A"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Rail Terminal Superstructure</w:t>
            </w:r>
          </w:p>
        </w:tc>
        <w:tc>
          <w:tcPr>
            <w:tcW w:w="2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46099B91"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Architect / Contractor</w:t>
            </w:r>
          </w:p>
        </w:tc>
        <w:tc>
          <w:tcPr>
            <w:tcW w:w="1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79A1E0AA"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24</w:t>
            </w:r>
          </w:p>
        </w:tc>
      </w:tr>
      <w:tr w:rsidR="00553D7C" w:rsidRPr="00553D7C" w14:paraId="33FCFA45" w14:textId="77777777" w:rsidTr="00C408F0">
        <w:tc>
          <w:tcPr>
            <w:tcW w:w="14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4FF0EBAB"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3.3</w:t>
            </w:r>
          </w:p>
        </w:tc>
        <w:tc>
          <w:tcPr>
            <w:tcW w:w="456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688DE579"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Bus Station &amp; Interchange Facilities</w:t>
            </w:r>
          </w:p>
        </w:tc>
        <w:tc>
          <w:tcPr>
            <w:tcW w:w="2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26A93172"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Construction Manager</w:t>
            </w:r>
          </w:p>
        </w:tc>
        <w:tc>
          <w:tcPr>
            <w:tcW w:w="1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43DA97C3"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18</w:t>
            </w:r>
          </w:p>
        </w:tc>
      </w:tr>
      <w:tr w:rsidR="00553D7C" w:rsidRPr="00553D7C" w14:paraId="7A6FAF5F" w14:textId="77777777" w:rsidTr="00C408F0">
        <w:tc>
          <w:tcPr>
            <w:tcW w:w="14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0B19E829"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3.4</w:t>
            </w:r>
          </w:p>
        </w:tc>
        <w:tc>
          <w:tcPr>
            <w:tcW w:w="456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7BEC1E1E"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Accessible Design Integration</w:t>
            </w:r>
          </w:p>
        </w:tc>
        <w:tc>
          <w:tcPr>
            <w:tcW w:w="2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2C4C7211"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Access Consultant</w:t>
            </w:r>
          </w:p>
        </w:tc>
        <w:tc>
          <w:tcPr>
            <w:tcW w:w="1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0BC0B1BF"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16</w:t>
            </w:r>
          </w:p>
        </w:tc>
      </w:tr>
      <w:tr w:rsidR="00553D7C" w:rsidRPr="00553D7C" w14:paraId="034BAA71" w14:textId="77777777" w:rsidTr="00C408F0">
        <w:tc>
          <w:tcPr>
            <w:tcW w:w="14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29A7B830"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4.0</w:t>
            </w:r>
          </w:p>
        </w:tc>
        <w:tc>
          <w:tcPr>
            <w:tcW w:w="456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2251D9D6"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Digital Infrastructure</w:t>
            </w:r>
          </w:p>
        </w:tc>
        <w:tc>
          <w:tcPr>
            <w:tcW w:w="2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391EBCC3"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IT Project Lead</w:t>
            </w:r>
          </w:p>
        </w:tc>
        <w:tc>
          <w:tcPr>
            <w:tcW w:w="1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6B3C4C65" w14:textId="77777777" w:rsidR="00A114FD" w:rsidRPr="00553D7C" w:rsidRDefault="00A114FD" w:rsidP="0096145E">
            <w:pPr>
              <w:spacing w:line="360" w:lineRule="auto"/>
              <w:jc w:val="center"/>
              <w:rPr>
                <w:rFonts w:ascii="Times New Roman" w:hAnsi="Times New Roman" w:cs="Times New Roman"/>
                <w:color w:val="auto"/>
                <w:sz w:val="24"/>
                <w:szCs w:val="24"/>
              </w:rPr>
            </w:pPr>
          </w:p>
        </w:tc>
      </w:tr>
      <w:tr w:rsidR="00553D7C" w:rsidRPr="00553D7C" w14:paraId="782EBB81" w14:textId="77777777" w:rsidTr="00C408F0">
        <w:tc>
          <w:tcPr>
            <w:tcW w:w="14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08D66C53"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4.1</w:t>
            </w:r>
          </w:p>
        </w:tc>
        <w:tc>
          <w:tcPr>
            <w:tcW w:w="456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25065345"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IoT Passenger Flow Systems</w:t>
            </w:r>
          </w:p>
        </w:tc>
        <w:tc>
          <w:tcPr>
            <w:tcW w:w="2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7EB5417D"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Systems Integrator</w:t>
            </w:r>
          </w:p>
        </w:tc>
        <w:tc>
          <w:tcPr>
            <w:tcW w:w="1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0A9E5BA7"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20</w:t>
            </w:r>
          </w:p>
        </w:tc>
      </w:tr>
      <w:tr w:rsidR="00553D7C" w:rsidRPr="00553D7C" w14:paraId="1FD5C74A" w14:textId="77777777" w:rsidTr="00C408F0">
        <w:tc>
          <w:tcPr>
            <w:tcW w:w="14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33DC39A7"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4.2</w:t>
            </w:r>
          </w:p>
        </w:tc>
        <w:tc>
          <w:tcPr>
            <w:tcW w:w="456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229C83D3"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Contactless Ticketing &amp; Biometric Access</w:t>
            </w:r>
          </w:p>
        </w:tc>
        <w:tc>
          <w:tcPr>
            <w:tcW w:w="2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697A0C6B"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Digital Contractor</w:t>
            </w:r>
          </w:p>
        </w:tc>
        <w:tc>
          <w:tcPr>
            <w:tcW w:w="1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0A3B4BC0"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16</w:t>
            </w:r>
          </w:p>
        </w:tc>
      </w:tr>
      <w:tr w:rsidR="00553D7C" w:rsidRPr="00553D7C" w14:paraId="1338A2E6" w14:textId="77777777" w:rsidTr="00C408F0">
        <w:tc>
          <w:tcPr>
            <w:tcW w:w="14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674B20BF"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4.3</w:t>
            </w:r>
          </w:p>
        </w:tc>
        <w:tc>
          <w:tcPr>
            <w:tcW w:w="456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48342870"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CCTV &amp; Security Monitoring Network</w:t>
            </w:r>
          </w:p>
        </w:tc>
        <w:tc>
          <w:tcPr>
            <w:tcW w:w="2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14001D7E"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Security Advisor</w:t>
            </w:r>
          </w:p>
        </w:tc>
        <w:tc>
          <w:tcPr>
            <w:tcW w:w="1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63782537"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12</w:t>
            </w:r>
          </w:p>
        </w:tc>
      </w:tr>
      <w:tr w:rsidR="00553D7C" w:rsidRPr="00553D7C" w14:paraId="573234C0" w14:textId="77777777" w:rsidTr="00C408F0">
        <w:tc>
          <w:tcPr>
            <w:tcW w:w="14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7ECE04F4"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5.0</w:t>
            </w:r>
          </w:p>
        </w:tc>
        <w:tc>
          <w:tcPr>
            <w:tcW w:w="456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40A0F5B5"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Sustainability &amp; Environmental Works</w:t>
            </w:r>
          </w:p>
        </w:tc>
        <w:tc>
          <w:tcPr>
            <w:tcW w:w="2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79FEFE56"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Sustainability Manager</w:t>
            </w:r>
          </w:p>
        </w:tc>
        <w:tc>
          <w:tcPr>
            <w:tcW w:w="1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4670246D" w14:textId="77777777" w:rsidR="00A114FD" w:rsidRPr="00553D7C" w:rsidRDefault="00A114FD" w:rsidP="0096145E">
            <w:pPr>
              <w:spacing w:line="360" w:lineRule="auto"/>
              <w:jc w:val="center"/>
              <w:rPr>
                <w:rFonts w:ascii="Times New Roman" w:hAnsi="Times New Roman" w:cs="Times New Roman"/>
                <w:color w:val="auto"/>
                <w:sz w:val="24"/>
                <w:szCs w:val="24"/>
              </w:rPr>
            </w:pPr>
          </w:p>
        </w:tc>
      </w:tr>
      <w:tr w:rsidR="00553D7C" w:rsidRPr="00553D7C" w14:paraId="583F6A07" w14:textId="77777777" w:rsidTr="00C408F0">
        <w:tc>
          <w:tcPr>
            <w:tcW w:w="14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3C1E8AB5"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lastRenderedPageBreak/>
              <w:t>5.1</w:t>
            </w:r>
          </w:p>
        </w:tc>
        <w:tc>
          <w:tcPr>
            <w:tcW w:w="456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7ABC1D3D"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Photovoltaic Solar Array Installation</w:t>
            </w:r>
          </w:p>
        </w:tc>
        <w:tc>
          <w:tcPr>
            <w:tcW w:w="2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1DBAA50C"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Energy Contractor</w:t>
            </w:r>
          </w:p>
        </w:tc>
        <w:tc>
          <w:tcPr>
            <w:tcW w:w="1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1C5A88D1"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10</w:t>
            </w:r>
          </w:p>
        </w:tc>
      </w:tr>
      <w:tr w:rsidR="00553D7C" w:rsidRPr="00553D7C" w14:paraId="6D741E91" w14:textId="77777777" w:rsidTr="00C408F0">
        <w:tc>
          <w:tcPr>
            <w:tcW w:w="14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13D37FEA"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5.2</w:t>
            </w:r>
          </w:p>
        </w:tc>
        <w:tc>
          <w:tcPr>
            <w:tcW w:w="456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33DEE0AB"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EV Charging Infrastructure</w:t>
            </w:r>
          </w:p>
        </w:tc>
        <w:tc>
          <w:tcPr>
            <w:tcW w:w="2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085DBD7E"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Electrical Engineer</w:t>
            </w:r>
          </w:p>
        </w:tc>
        <w:tc>
          <w:tcPr>
            <w:tcW w:w="1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0F3B3530"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8</w:t>
            </w:r>
          </w:p>
        </w:tc>
      </w:tr>
      <w:tr w:rsidR="00553D7C" w:rsidRPr="00553D7C" w14:paraId="75A149CE" w14:textId="77777777" w:rsidTr="00C408F0">
        <w:tc>
          <w:tcPr>
            <w:tcW w:w="14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1AC5A05B"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5.3</w:t>
            </w:r>
          </w:p>
        </w:tc>
        <w:tc>
          <w:tcPr>
            <w:tcW w:w="456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2AA58A51"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BREEAM Compliance Audit</w:t>
            </w:r>
          </w:p>
        </w:tc>
        <w:tc>
          <w:tcPr>
            <w:tcW w:w="2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2BB8154D"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BREEAM Assessor</w:t>
            </w:r>
          </w:p>
        </w:tc>
        <w:tc>
          <w:tcPr>
            <w:tcW w:w="1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5015F693"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6</w:t>
            </w:r>
          </w:p>
        </w:tc>
      </w:tr>
      <w:tr w:rsidR="00553D7C" w:rsidRPr="00553D7C" w14:paraId="4BD8337D" w14:textId="77777777" w:rsidTr="00C408F0">
        <w:tc>
          <w:tcPr>
            <w:tcW w:w="14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47994CF6"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6.0</w:t>
            </w:r>
          </w:p>
        </w:tc>
        <w:tc>
          <w:tcPr>
            <w:tcW w:w="456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5F2A4D36"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Testing, Commissioning &amp; Handover</w:t>
            </w:r>
          </w:p>
        </w:tc>
        <w:tc>
          <w:tcPr>
            <w:tcW w:w="2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74E0F445"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PM / Quality Manager</w:t>
            </w:r>
          </w:p>
        </w:tc>
        <w:tc>
          <w:tcPr>
            <w:tcW w:w="1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7507EB3B" w14:textId="77777777" w:rsidR="00A114FD" w:rsidRPr="00553D7C" w:rsidRDefault="00A114FD" w:rsidP="0096145E">
            <w:pPr>
              <w:spacing w:line="360" w:lineRule="auto"/>
              <w:jc w:val="center"/>
              <w:rPr>
                <w:rFonts w:ascii="Times New Roman" w:hAnsi="Times New Roman" w:cs="Times New Roman"/>
                <w:color w:val="auto"/>
                <w:sz w:val="24"/>
                <w:szCs w:val="24"/>
              </w:rPr>
            </w:pPr>
          </w:p>
        </w:tc>
      </w:tr>
      <w:tr w:rsidR="00553D7C" w:rsidRPr="00553D7C" w14:paraId="084A1B36" w14:textId="77777777" w:rsidTr="00C408F0">
        <w:tc>
          <w:tcPr>
            <w:tcW w:w="14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403C2265"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6.1</w:t>
            </w:r>
          </w:p>
        </w:tc>
        <w:tc>
          <w:tcPr>
            <w:tcW w:w="456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5E004A51"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System Integration Testing</w:t>
            </w:r>
          </w:p>
        </w:tc>
        <w:tc>
          <w:tcPr>
            <w:tcW w:w="2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4C2FE628"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QA Lead</w:t>
            </w:r>
          </w:p>
        </w:tc>
        <w:tc>
          <w:tcPr>
            <w:tcW w:w="1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649D797A"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8</w:t>
            </w:r>
          </w:p>
        </w:tc>
      </w:tr>
      <w:tr w:rsidR="00553D7C" w:rsidRPr="00553D7C" w14:paraId="5F659EE8" w14:textId="77777777" w:rsidTr="00C408F0">
        <w:tc>
          <w:tcPr>
            <w:tcW w:w="14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1E028A96"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6.2</w:t>
            </w:r>
          </w:p>
        </w:tc>
        <w:tc>
          <w:tcPr>
            <w:tcW w:w="456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628B5729"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Stakeholder Acceptance Testing</w:t>
            </w:r>
          </w:p>
        </w:tc>
        <w:tc>
          <w:tcPr>
            <w:tcW w:w="2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169BA25A"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Client Representative</w:t>
            </w:r>
          </w:p>
        </w:tc>
        <w:tc>
          <w:tcPr>
            <w:tcW w:w="1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6BB02418"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6</w:t>
            </w:r>
          </w:p>
        </w:tc>
      </w:tr>
      <w:tr w:rsidR="00553D7C" w:rsidRPr="00553D7C" w14:paraId="6B2F7BFB" w14:textId="77777777" w:rsidTr="00C408F0">
        <w:tc>
          <w:tcPr>
            <w:tcW w:w="14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588E2397"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6.3</w:t>
            </w:r>
          </w:p>
        </w:tc>
        <w:tc>
          <w:tcPr>
            <w:tcW w:w="456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5FF8349D"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Formal Commissioning &amp; Lessons Learnt</w:t>
            </w:r>
          </w:p>
        </w:tc>
        <w:tc>
          <w:tcPr>
            <w:tcW w:w="2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5007664B"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Project Manager</w:t>
            </w:r>
          </w:p>
        </w:tc>
        <w:tc>
          <w:tcPr>
            <w:tcW w:w="120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70" w:type="dxa"/>
              <w:left w:w="120" w:type="dxa"/>
              <w:bottom w:w="70" w:type="dxa"/>
              <w:right w:w="120" w:type="dxa"/>
            </w:tcMar>
          </w:tcPr>
          <w:p w14:paraId="46EC1D5E"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4</w:t>
            </w:r>
          </w:p>
        </w:tc>
      </w:tr>
    </w:tbl>
    <w:p w14:paraId="17B44E69" w14:textId="77777777" w:rsidR="00A114FD" w:rsidRPr="00553D7C" w:rsidRDefault="00A114FD" w:rsidP="0096145E">
      <w:pPr>
        <w:spacing w:before="40" w:after="40" w:line="360" w:lineRule="auto"/>
        <w:rPr>
          <w:rFonts w:ascii="Times New Roman" w:hAnsi="Times New Roman" w:cs="Times New Roman"/>
          <w:color w:val="auto"/>
          <w:sz w:val="24"/>
          <w:szCs w:val="24"/>
        </w:rPr>
      </w:pPr>
    </w:p>
    <w:p w14:paraId="7B30E04B" w14:textId="77777777" w:rsidR="00A114FD" w:rsidRPr="00553D7C" w:rsidRDefault="00280F89" w:rsidP="00DA3002">
      <w:pPr>
        <w:pStyle w:val="Heading1"/>
        <w:spacing w:before="280" w:after="120"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5. Quad Chart</w:t>
      </w:r>
    </w:p>
    <w:p w14:paraId="034975AA" w14:textId="77777777" w:rsidR="00DA3002" w:rsidRPr="00553D7C" w:rsidRDefault="00DA3002" w:rsidP="00DA3002">
      <w:pPr>
        <w:spacing w:before="80" w:after="100" w:line="360" w:lineRule="auto"/>
        <w:jc w:val="both"/>
        <w:rPr>
          <w:rFonts w:ascii="Times New Roman" w:hAnsi="Times New Roman" w:cs="Times New Roman"/>
          <w:color w:val="auto"/>
          <w:sz w:val="24"/>
          <w:szCs w:val="24"/>
        </w:rPr>
      </w:pPr>
      <w:r w:rsidRPr="00553D7C">
        <w:rPr>
          <w:rFonts w:ascii="Times New Roman" w:hAnsi="Times New Roman" w:cs="Times New Roman"/>
          <w:color w:val="auto"/>
          <w:sz w:val="24"/>
          <w:szCs w:val="24"/>
        </w:rPr>
        <w:t>The Quad Chart is a project overview in a single page, consolidating the four main project status aspects; Objectives &amp; Key Deliverables, Schedule Summary, Budget Summary and Top Risks. This is a tool that is widely used in defence and large-scale infrastructure procurement (DoD, 2019) and will allow senior stakeholders to see a quick overview of the health of a project without having to go through the entire PMP.</w:t>
      </w:r>
    </w:p>
    <w:p w14:paraId="77925AF0" w14:textId="3F08F5F4" w:rsidR="00A114FD" w:rsidRPr="00553D7C" w:rsidRDefault="00DA3002" w:rsidP="00DA3002">
      <w:pPr>
        <w:spacing w:before="80" w:after="100" w:line="360" w:lineRule="auto"/>
        <w:jc w:val="both"/>
        <w:rPr>
          <w:rFonts w:ascii="Times New Roman" w:hAnsi="Times New Roman" w:cs="Times New Roman"/>
          <w:color w:val="auto"/>
          <w:sz w:val="24"/>
          <w:szCs w:val="24"/>
        </w:rPr>
      </w:pPr>
      <w:r w:rsidRPr="00553D7C">
        <w:rPr>
          <w:rFonts w:ascii="Times New Roman" w:hAnsi="Times New Roman" w:cs="Times New Roman"/>
          <w:color w:val="auto"/>
          <w:sz w:val="24"/>
          <w:szCs w:val="24"/>
        </w:rPr>
        <w:t>The Quad Chart below is for the Central Transport Hub Redevelopment (CTHR) (figure 1).</w:t>
      </w:r>
    </w:p>
    <w:p w14:paraId="44B797A2" w14:textId="77777777" w:rsidR="00A114FD" w:rsidRPr="00AD5EE0" w:rsidRDefault="00280F89" w:rsidP="00DA3002">
      <w:pPr>
        <w:spacing w:before="100" w:after="60" w:line="360" w:lineRule="auto"/>
        <w:jc w:val="center"/>
        <w:rPr>
          <w:rFonts w:ascii="Times New Roman" w:hAnsi="Times New Roman" w:cs="Times New Roman"/>
          <w:color w:val="auto"/>
          <w:sz w:val="24"/>
          <w:szCs w:val="24"/>
        </w:rPr>
      </w:pPr>
      <w:r w:rsidRPr="00AD5EE0">
        <w:rPr>
          <w:rFonts w:ascii="Times New Roman" w:hAnsi="Times New Roman" w:cs="Times New Roman"/>
          <w:b/>
          <w:bCs/>
          <w:i/>
          <w:iCs/>
          <w:color w:val="auto"/>
          <w:sz w:val="24"/>
          <w:szCs w:val="24"/>
        </w:rPr>
        <w:t>Figure 1: Project Quad Chart – Central Transport Hub Redevelopment</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0CECE" w:themeFill="background2" w:themeFillShade="E6"/>
        <w:tblCellMar>
          <w:left w:w="10" w:type="dxa"/>
          <w:right w:w="10" w:type="dxa"/>
        </w:tblCellMar>
        <w:tblLook w:val="0000" w:firstRow="0" w:lastRow="0" w:firstColumn="0" w:lastColumn="0" w:noHBand="0" w:noVBand="0"/>
      </w:tblPr>
      <w:tblGrid>
        <w:gridCol w:w="4680"/>
        <w:gridCol w:w="4680"/>
      </w:tblGrid>
      <w:tr w:rsidR="00553D7C" w:rsidRPr="00553D7C" w14:paraId="2089180C" w14:textId="77777777" w:rsidTr="00C408F0">
        <w:tc>
          <w:tcPr>
            <w:tcW w:w="9360" w:type="dxa"/>
            <w:gridSpan w:val="2"/>
            <w:tcBorders>
              <w:top w:val="single" w:sz="4" w:space="0" w:color="1B3A6B"/>
              <w:left w:val="single" w:sz="4" w:space="0" w:color="1B3A6B"/>
              <w:bottom w:val="single" w:sz="4" w:space="0" w:color="1B3A6B"/>
              <w:right w:val="single" w:sz="4" w:space="0" w:color="1B3A6B"/>
            </w:tcBorders>
            <w:shd w:val="clear" w:color="auto" w:fill="D0CECE" w:themeFill="background2" w:themeFillShade="E6"/>
            <w:tcMar>
              <w:top w:w="100" w:type="dxa"/>
              <w:left w:w="200" w:type="dxa"/>
              <w:bottom w:w="100" w:type="dxa"/>
              <w:right w:w="200" w:type="dxa"/>
            </w:tcMar>
          </w:tcPr>
          <w:p w14:paraId="5240F1CD"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b/>
                <w:bCs/>
                <w:color w:val="auto"/>
                <w:sz w:val="24"/>
                <w:szCs w:val="24"/>
              </w:rPr>
              <w:t>PROJECT: Central Transport Hub Redevelopment | PM: [Your Name] | Date: June 2026</w:t>
            </w:r>
          </w:p>
        </w:tc>
      </w:tr>
      <w:tr w:rsidR="00553D7C" w:rsidRPr="00553D7C" w14:paraId="31E80BB8" w14:textId="77777777" w:rsidTr="00C408F0">
        <w:tc>
          <w:tcPr>
            <w:tcW w:w="4680" w:type="dxa"/>
            <w:tcBorders>
              <w:top w:val="single" w:sz="4" w:space="0" w:color="1B3A6B"/>
              <w:left w:val="single" w:sz="4" w:space="0" w:color="1B3A6B"/>
              <w:bottom w:val="single" w:sz="4" w:space="0" w:color="1B3A6B"/>
              <w:right w:val="single" w:sz="4" w:space="0" w:color="1B3A6B"/>
            </w:tcBorders>
            <w:shd w:val="clear" w:color="auto" w:fill="D0CECE" w:themeFill="background2" w:themeFillShade="E6"/>
            <w:tcMar>
              <w:top w:w="100" w:type="dxa"/>
              <w:left w:w="160" w:type="dxa"/>
              <w:bottom w:w="100" w:type="dxa"/>
              <w:right w:w="160" w:type="dxa"/>
            </w:tcMar>
          </w:tcPr>
          <w:p w14:paraId="466C3E47" w14:textId="77777777" w:rsidR="00A114FD" w:rsidRPr="00553D7C" w:rsidRDefault="00280F89" w:rsidP="0096145E">
            <w:pPr>
              <w:spacing w:before="60" w:after="80"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OBJECTIVES &amp; KEY DELIVERABLES</w:t>
            </w:r>
          </w:p>
          <w:p w14:paraId="419E134B" w14:textId="77777777" w:rsidR="00A114FD" w:rsidRPr="00553D7C" w:rsidRDefault="00280F89" w:rsidP="0096145E">
            <w:pPr>
              <w:spacing w:before="30" w:after="30" w:line="360" w:lineRule="auto"/>
              <w:rPr>
                <w:rFonts w:ascii="Times New Roman" w:hAnsi="Times New Roman" w:cs="Times New Roman"/>
                <w:color w:val="auto"/>
                <w:sz w:val="24"/>
                <w:szCs w:val="24"/>
              </w:rPr>
            </w:pPr>
            <w:r w:rsidRPr="00553D7C">
              <w:rPr>
                <w:rFonts w:ascii="Segoe UI Symbol" w:hAnsi="Segoe UI Symbol" w:cs="Segoe UI Symbol"/>
                <w:color w:val="auto"/>
                <w:sz w:val="24"/>
                <w:szCs w:val="24"/>
              </w:rPr>
              <w:t>✓</w:t>
            </w:r>
            <w:r w:rsidRPr="00553D7C">
              <w:rPr>
                <w:rFonts w:ascii="Times New Roman" w:hAnsi="Times New Roman" w:cs="Times New Roman"/>
                <w:color w:val="auto"/>
                <w:sz w:val="24"/>
                <w:szCs w:val="24"/>
              </w:rPr>
              <w:t xml:space="preserve"> Restore full multimodal transport interchange capacity</w:t>
            </w:r>
          </w:p>
          <w:p w14:paraId="6856F47E" w14:textId="77777777" w:rsidR="00A114FD" w:rsidRPr="00553D7C" w:rsidRDefault="00280F89" w:rsidP="0096145E">
            <w:pPr>
              <w:spacing w:before="30" w:after="30" w:line="360" w:lineRule="auto"/>
              <w:rPr>
                <w:rFonts w:ascii="Times New Roman" w:hAnsi="Times New Roman" w:cs="Times New Roman"/>
                <w:color w:val="auto"/>
                <w:sz w:val="24"/>
                <w:szCs w:val="24"/>
              </w:rPr>
            </w:pPr>
            <w:r w:rsidRPr="00553D7C">
              <w:rPr>
                <w:rFonts w:ascii="Segoe UI Symbol" w:hAnsi="Segoe UI Symbol" w:cs="Segoe UI Symbol"/>
                <w:color w:val="auto"/>
                <w:sz w:val="24"/>
                <w:szCs w:val="24"/>
              </w:rPr>
              <w:t>✓</w:t>
            </w:r>
            <w:r w:rsidRPr="00553D7C">
              <w:rPr>
                <w:rFonts w:ascii="Times New Roman" w:hAnsi="Times New Roman" w:cs="Times New Roman"/>
                <w:color w:val="auto"/>
                <w:sz w:val="24"/>
                <w:szCs w:val="24"/>
              </w:rPr>
              <w:t xml:space="preserve"> Achieve BREEAM Excellent sustainability certification</w:t>
            </w:r>
          </w:p>
          <w:p w14:paraId="6AEE7437" w14:textId="77777777" w:rsidR="00A114FD" w:rsidRPr="00553D7C" w:rsidRDefault="00280F89" w:rsidP="0096145E">
            <w:pPr>
              <w:spacing w:before="30" w:after="30" w:line="360" w:lineRule="auto"/>
              <w:rPr>
                <w:rFonts w:ascii="Times New Roman" w:hAnsi="Times New Roman" w:cs="Times New Roman"/>
                <w:color w:val="auto"/>
                <w:sz w:val="24"/>
                <w:szCs w:val="24"/>
              </w:rPr>
            </w:pPr>
            <w:r w:rsidRPr="00553D7C">
              <w:rPr>
                <w:rFonts w:ascii="Segoe UI Symbol" w:hAnsi="Segoe UI Symbol" w:cs="Segoe UI Symbol"/>
                <w:color w:val="auto"/>
                <w:sz w:val="24"/>
                <w:szCs w:val="24"/>
              </w:rPr>
              <w:t>✓</w:t>
            </w:r>
            <w:r w:rsidRPr="00553D7C">
              <w:rPr>
                <w:rFonts w:ascii="Times New Roman" w:hAnsi="Times New Roman" w:cs="Times New Roman"/>
                <w:color w:val="auto"/>
                <w:sz w:val="24"/>
                <w:szCs w:val="24"/>
              </w:rPr>
              <w:t xml:space="preserve"> Deliver integrated digital passenger &amp; logistics systems</w:t>
            </w:r>
          </w:p>
          <w:p w14:paraId="58ED5824" w14:textId="77777777" w:rsidR="00A114FD" w:rsidRPr="00553D7C" w:rsidRDefault="00280F89" w:rsidP="0096145E">
            <w:pPr>
              <w:spacing w:before="30" w:after="30" w:line="360" w:lineRule="auto"/>
              <w:rPr>
                <w:rFonts w:ascii="Times New Roman" w:hAnsi="Times New Roman" w:cs="Times New Roman"/>
                <w:color w:val="auto"/>
                <w:sz w:val="24"/>
                <w:szCs w:val="24"/>
              </w:rPr>
            </w:pPr>
            <w:r w:rsidRPr="00553D7C">
              <w:rPr>
                <w:rFonts w:ascii="Segoe UI Symbol" w:hAnsi="Segoe UI Symbol" w:cs="Segoe UI Symbol"/>
                <w:color w:val="auto"/>
                <w:sz w:val="24"/>
                <w:szCs w:val="24"/>
              </w:rPr>
              <w:lastRenderedPageBreak/>
              <w:t>✓</w:t>
            </w:r>
            <w:r w:rsidRPr="00553D7C">
              <w:rPr>
                <w:rFonts w:ascii="Times New Roman" w:hAnsi="Times New Roman" w:cs="Times New Roman"/>
                <w:color w:val="auto"/>
                <w:sz w:val="24"/>
                <w:szCs w:val="24"/>
              </w:rPr>
              <w:t xml:space="preserve"> Ensure 100% accessibility compliance (BS 8300:2018)</w:t>
            </w:r>
          </w:p>
          <w:p w14:paraId="245B4827" w14:textId="77777777" w:rsidR="00A114FD" w:rsidRPr="00553D7C" w:rsidRDefault="00280F89" w:rsidP="0096145E">
            <w:pPr>
              <w:spacing w:before="30" w:after="30" w:line="360" w:lineRule="auto"/>
              <w:rPr>
                <w:rFonts w:ascii="Times New Roman" w:hAnsi="Times New Roman" w:cs="Times New Roman"/>
                <w:color w:val="auto"/>
                <w:sz w:val="24"/>
                <w:szCs w:val="24"/>
              </w:rPr>
            </w:pPr>
            <w:r w:rsidRPr="00553D7C">
              <w:rPr>
                <w:rFonts w:ascii="Segoe UI Symbol" w:hAnsi="Segoe UI Symbol" w:cs="Segoe UI Symbol"/>
                <w:color w:val="auto"/>
                <w:sz w:val="24"/>
                <w:szCs w:val="24"/>
              </w:rPr>
              <w:t>✓</w:t>
            </w:r>
            <w:r w:rsidRPr="00553D7C">
              <w:rPr>
                <w:rFonts w:ascii="Times New Roman" w:hAnsi="Times New Roman" w:cs="Times New Roman"/>
                <w:color w:val="auto"/>
                <w:sz w:val="24"/>
                <w:szCs w:val="24"/>
              </w:rPr>
              <w:t xml:space="preserve"> Complete within £220m budget and 30-month schedule</w:t>
            </w:r>
          </w:p>
        </w:tc>
        <w:tc>
          <w:tcPr>
            <w:tcW w:w="4680" w:type="dxa"/>
            <w:tcBorders>
              <w:top w:val="single" w:sz="4" w:space="0" w:color="1B3A6B"/>
              <w:left w:val="single" w:sz="4" w:space="0" w:color="1B3A6B"/>
              <w:bottom w:val="single" w:sz="4" w:space="0" w:color="1B3A6B"/>
              <w:right w:val="single" w:sz="4" w:space="0" w:color="1B3A6B"/>
            </w:tcBorders>
            <w:shd w:val="clear" w:color="auto" w:fill="D0CECE" w:themeFill="background2" w:themeFillShade="E6"/>
            <w:tcMar>
              <w:top w:w="100" w:type="dxa"/>
              <w:left w:w="160" w:type="dxa"/>
              <w:bottom w:w="100" w:type="dxa"/>
              <w:right w:w="160" w:type="dxa"/>
            </w:tcMar>
          </w:tcPr>
          <w:p w14:paraId="5CEBC94C" w14:textId="77777777" w:rsidR="00A114FD" w:rsidRPr="00553D7C" w:rsidRDefault="00280F89" w:rsidP="0096145E">
            <w:pPr>
              <w:spacing w:before="60" w:after="80"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lastRenderedPageBreak/>
              <w:t>SCHEDULE SUMMARY</w:t>
            </w:r>
          </w:p>
          <w:p w14:paraId="5C964D3D" w14:textId="77777777" w:rsidR="00A114FD" w:rsidRPr="00553D7C" w:rsidRDefault="00280F89" w:rsidP="0096145E">
            <w:pPr>
              <w:spacing w:before="30" w:after="30"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 xml:space="preserve">Phase 1: Initiation &amp; Governance: </w:t>
            </w:r>
            <w:r w:rsidRPr="00553D7C">
              <w:rPr>
                <w:rFonts w:ascii="Times New Roman" w:hAnsi="Times New Roman" w:cs="Times New Roman"/>
                <w:color w:val="auto"/>
                <w:sz w:val="24"/>
                <w:szCs w:val="24"/>
              </w:rPr>
              <w:t>Jan–Mar 2026</w:t>
            </w:r>
          </w:p>
          <w:p w14:paraId="0D1DF4D4" w14:textId="77777777" w:rsidR="00A114FD" w:rsidRPr="00553D7C" w:rsidRDefault="00280F89" w:rsidP="0096145E">
            <w:pPr>
              <w:spacing w:before="30" w:after="30"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 xml:space="preserve">Phase 2: Demolition &amp; Site Prep: </w:t>
            </w:r>
            <w:r w:rsidRPr="00553D7C">
              <w:rPr>
                <w:rFonts w:ascii="Times New Roman" w:hAnsi="Times New Roman" w:cs="Times New Roman"/>
                <w:color w:val="auto"/>
                <w:sz w:val="24"/>
                <w:szCs w:val="24"/>
              </w:rPr>
              <w:t>Apr–Sep 2026</w:t>
            </w:r>
          </w:p>
          <w:p w14:paraId="5146306C" w14:textId="77777777" w:rsidR="00A114FD" w:rsidRPr="00553D7C" w:rsidRDefault="00280F89" w:rsidP="0096145E">
            <w:pPr>
              <w:spacing w:before="30" w:after="30"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 xml:space="preserve">Phase 3: Civil Construction: </w:t>
            </w:r>
            <w:r w:rsidRPr="00553D7C">
              <w:rPr>
                <w:rFonts w:ascii="Times New Roman" w:hAnsi="Times New Roman" w:cs="Times New Roman"/>
                <w:color w:val="auto"/>
                <w:sz w:val="24"/>
                <w:szCs w:val="24"/>
              </w:rPr>
              <w:t>Oct 2026–Dec 2027</w:t>
            </w:r>
          </w:p>
          <w:p w14:paraId="0CBC7D0C" w14:textId="77777777" w:rsidR="00A114FD" w:rsidRPr="00553D7C" w:rsidRDefault="00280F89" w:rsidP="0096145E">
            <w:pPr>
              <w:spacing w:before="30" w:after="30"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 xml:space="preserve">Phase 4: Digital &amp; Sustainability: </w:t>
            </w:r>
            <w:r w:rsidRPr="00553D7C">
              <w:rPr>
                <w:rFonts w:ascii="Times New Roman" w:hAnsi="Times New Roman" w:cs="Times New Roman"/>
                <w:color w:val="auto"/>
                <w:sz w:val="24"/>
                <w:szCs w:val="24"/>
              </w:rPr>
              <w:t>Jan–Sep 2027</w:t>
            </w:r>
          </w:p>
          <w:p w14:paraId="3615F8B9" w14:textId="77777777" w:rsidR="00A114FD" w:rsidRPr="00553D7C" w:rsidRDefault="00280F89" w:rsidP="0096145E">
            <w:pPr>
              <w:spacing w:before="30" w:after="30"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lastRenderedPageBreak/>
              <w:t xml:space="preserve">Phase 5: Testing &amp; Commissioning: </w:t>
            </w:r>
            <w:r w:rsidRPr="00553D7C">
              <w:rPr>
                <w:rFonts w:ascii="Times New Roman" w:hAnsi="Times New Roman" w:cs="Times New Roman"/>
                <w:color w:val="auto"/>
                <w:sz w:val="24"/>
                <w:szCs w:val="24"/>
              </w:rPr>
              <w:t>Oct 2027–Mar 2028</w:t>
            </w:r>
          </w:p>
          <w:p w14:paraId="03F39000" w14:textId="77777777" w:rsidR="00A114FD" w:rsidRPr="00553D7C" w:rsidRDefault="00280F89" w:rsidP="0096145E">
            <w:pPr>
              <w:spacing w:before="30" w:after="30"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 xml:space="preserve">Phase 6: Handover &amp; Closure: </w:t>
            </w:r>
            <w:r w:rsidRPr="00553D7C">
              <w:rPr>
                <w:rFonts w:ascii="Times New Roman" w:hAnsi="Times New Roman" w:cs="Times New Roman"/>
                <w:color w:val="auto"/>
                <w:sz w:val="24"/>
                <w:szCs w:val="24"/>
              </w:rPr>
              <w:t>Apr–Jul 2028</w:t>
            </w:r>
          </w:p>
        </w:tc>
      </w:tr>
      <w:tr w:rsidR="00553D7C" w:rsidRPr="00553D7C" w14:paraId="0D8A6C81" w14:textId="77777777" w:rsidTr="00C408F0">
        <w:tc>
          <w:tcPr>
            <w:tcW w:w="4680" w:type="dxa"/>
            <w:tcBorders>
              <w:top w:val="single" w:sz="4" w:space="0" w:color="1B3A6B"/>
              <w:left w:val="single" w:sz="4" w:space="0" w:color="1B3A6B"/>
              <w:bottom w:val="single" w:sz="4" w:space="0" w:color="1B3A6B"/>
              <w:right w:val="single" w:sz="4" w:space="0" w:color="1B3A6B"/>
            </w:tcBorders>
            <w:shd w:val="clear" w:color="auto" w:fill="D0CECE" w:themeFill="background2" w:themeFillShade="E6"/>
            <w:tcMar>
              <w:top w:w="100" w:type="dxa"/>
              <w:left w:w="160" w:type="dxa"/>
              <w:bottom w:w="100" w:type="dxa"/>
              <w:right w:w="160" w:type="dxa"/>
            </w:tcMar>
          </w:tcPr>
          <w:p w14:paraId="2E1662C5" w14:textId="77777777" w:rsidR="00A114FD" w:rsidRPr="00553D7C" w:rsidRDefault="00280F89" w:rsidP="0096145E">
            <w:pPr>
              <w:spacing w:before="60" w:after="80"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BUDGET SUMMARY</w:t>
            </w:r>
          </w:p>
          <w:p w14:paraId="2BD7D9A3" w14:textId="77777777" w:rsidR="00A114FD" w:rsidRPr="00553D7C" w:rsidRDefault="00280F89" w:rsidP="0096145E">
            <w:pPr>
              <w:spacing w:before="25" w:after="25"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 xml:space="preserve">Total Approved Budget: </w:t>
            </w:r>
            <w:r w:rsidRPr="00553D7C">
              <w:rPr>
                <w:rFonts w:ascii="Times New Roman" w:hAnsi="Times New Roman" w:cs="Times New Roman"/>
                <w:color w:val="auto"/>
                <w:sz w:val="24"/>
                <w:szCs w:val="24"/>
              </w:rPr>
              <w:t>£220,000,000</w:t>
            </w:r>
          </w:p>
          <w:p w14:paraId="12C5134A" w14:textId="77777777" w:rsidR="00A114FD" w:rsidRPr="00553D7C" w:rsidRDefault="00280F89" w:rsidP="0096145E">
            <w:pPr>
              <w:spacing w:before="25" w:after="25"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 xml:space="preserve">Phase 1 – Initiation: </w:t>
            </w:r>
            <w:r w:rsidRPr="00553D7C">
              <w:rPr>
                <w:rFonts w:ascii="Times New Roman" w:hAnsi="Times New Roman" w:cs="Times New Roman"/>
                <w:color w:val="auto"/>
                <w:sz w:val="24"/>
                <w:szCs w:val="24"/>
              </w:rPr>
              <w:t>£2,500,000</w:t>
            </w:r>
          </w:p>
          <w:p w14:paraId="2D81C5E4" w14:textId="77777777" w:rsidR="00A114FD" w:rsidRPr="00553D7C" w:rsidRDefault="00280F89" w:rsidP="0096145E">
            <w:pPr>
              <w:spacing w:before="25" w:after="25"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 xml:space="preserve">Phase 2 – Demolition/Prep: </w:t>
            </w:r>
            <w:r w:rsidRPr="00553D7C">
              <w:rPr>
                <w:rFonts w:ascii="Times New Roman" w:hAnsi="Times New Roman" w:cs="Times New Roman"/>
                <w:color w:val="auto"/>
                <w:sz w:val="24"/>
                <w:szCs w:val="24"/>
              </w:rPr>
              <w:t>£18,000,000</w:t>
            </w:r>
          </w:p>
          <w:p w14:paraId="669184A8" w14:textId="77777777" w:rsidR="00A114FD" w:rsidRPr="00553D7C" w:rsidRDefault="00280F89" w:rsidP="0096145E">
            <w:pPr>
              <w:spacing w:before="25" w:after="25"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 xml:space="preserve">Phase 3 – Civil Construction: </w:t>
            </w:r>
            <w:r w:rsidRPr="00553D7C">
              <w:rPr>
                <w:rFonts w:ascii="Times New Roman" w:hAnsi="Times New Roman" w:cs="Times New Roman"/>
                <w:color w:val="auto"/>
                <w:sz w:val="24"/>
                <w:szCs w:val="24"/>
              </w:rPr>
              <w:t>£130,000,000</w:t>
            </w:r>
          </w:p>
          <w:p w14:paraId="779B1026" w14:textId="77777777" w:rsidR="00A114FD" w:rsidRPr="00553D7C" w:rsidRDefault="00280F89" w:rsidP="0096145E">
            <w:pPr>
              <w:spacing w:before="25" w:after="25"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 xml:space="preserve">Phase 4 – Digital &amp; Sustainability: </w:t>
            </w:r>
            <w:r w:rsidRPr="00553D7C">
              <w:rPr>
                <w:rFonts w:ascii="Times New Roman" w:hAnsi="Times New Roman" w:cs="Times New Roman"/>
                <w:color w:val="auto"/>
                <w:sz w:val="24"/>
                <w:szCs w:val="24"/>
              </w:rPr>
              <w:t>£32,000,000</w:t>
            </w:r>
          </w:p>
          <w:p w14:paraId="12C769F5" w14:textId="77777777" w:rsidR="00A114FD" w:rsidRPr="00553D7C" w:rsidRDefault="00280F89" w:rsidP="0096145E">
            <w:pPr>
              <w:spacing w:before="25" w:after="25"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 xml:space="preserve">Phase 5 – Testing &amp; Commission: </w:t>
            </w:r>
            <w:r w:rsidRPr="00553D7C">
              <w:rPr>
                <w:rFonts w:ascii="Times New Roman" w:hAnsi="Times New Roman" w:cs="Times New Roman"/>
                <w:color w:val="auto"/>
                <w:sz w:val="24"/>
                <w:szCs w:val="24"/>
              </w:rPr>
              <w:t>£15,000,000</w:t>
            </w:r>
          </w:p>
          <w:p w14:paraId="0738A211" w14:textId="77777777" w:rsidR="00A114FD" w:rsidRPr="00553D7C" w:rsidRDefault="00280F89" w:rsidP="0096145E">
            <w:pPr>
              <w:spacing w:before="25" w:after="25"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 xml:space="preserve">Contingency Reserve (10%): </w:t>
            </w:r>
            <w:r w:rsidRPr="00553D7C">
              <w:rPr>
                <w:rFonts w:ascii="Times New Roman" w:hAnsi="Times New Roman" w:cs="Times New Roman"/>
                <w:color w:val="auto"/>
                <w:sz w:val="24"/>
                <w:szCs w:val="24"/>
              </w:rPr>
              <w:t>£22,500,000</w:t>
            </w:r>
          </w:p>
        </w:tc>
        <w:tc>
          <w:tcPr>
            <w:tcW w:w="4680" w:type="dxa"/>
            <w:tcBorders>
              <w:top w:val="single" w:sz="4" w:space="0" w:color="1B3A6B"/>
              <w:left w:val="single" w:sz="4" w:space="0" w:color="1B3A6B"/>
              <w:bottom w:val="single" w:sz="4" w:space="0" w:color="1B3A6B"/>
              <w:right w:val="single" w:sz="4" w:space="0" w:color="1B3A6B"/>
            </w:tcBorders>
            <w:shd w:val="clear" w:color="auto" w:fill="D0CECE" w:themeFill="background2" w:themeFillShade="E6"/>
            <w:tcMar>
              <w:top w:w="100" w:type="dxa"/>
              <w:left w:w="160" w:type="dxa"/>
              <w:bottom w:w="100" w:type="dxa"/>
              <w:right w:w="160" w:type="dxa"/>
            </w:tcMar>
          </w:tcPr>
          <w:p w14:paraId="22AE1349" w14:textId="77777777" w:rsidR="00A114FD" w:rsidRPr="00553D7C" w:rsidRDefault="00280F89" w:rsidP="0096145E">
            <w:pPr>
              <w:spacing w:before="60" w:after="80"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TOP RISKS (RAG STATUS)</w:t>
            </w:r>
          </w:p>
          <w:p w14:paraId="0B269856" w14:textId="77777777" w:rsidR="00A114FD" w:rsidRPr="00553D7C" w:rsidRDefault="00A114FD" w:rsidP="0096145E">
            <w:pPr>
              <w:spacing w:before="30" w:after="30" w:line="360" w:lineRule="auto"/>
              <w:rPr>
                <w:rFonts w:ascii="Times New Roman" w:hAnsi="Times New Roman" w:cs="Times New Roman"/>
                <w:color w:val="auto"/>
                <w:sz w:val="24"/>
                <w:szCs w:val="24"/>
              </w:rPr>
            </w:pPr>
          </w:p>
          <w:p w14:paraId="62AED349" w14:textId="77777777" w:rsidR="00A114FD" w:rsidRPr="00553D7C" w:rsidRDefault="00A114FD" w:rsidP="0096145E">
            <w:pPr>
              <w:spacing w:before="30" w:after="30" w:line="360" w:lineRule="auto"/>
              <w:rPr>
                <w:rFonts w:ascii="Times New Roman" w:hAnsi="Times New Roman" w:cs="Times New Roman"/>
                <w:color w:val="auto"/>
                <w:sz w:val="24"/>
                <w:szCs w:val="24"/>
              </w:rPr>
            </w:pPr>
          </w:p>
          <w:p w14:paraId="67EC92A0" w14:textId="77777777" w:rsidR="00A114FD" w:rsidRPr="00553D7C" w:rsidRDefault="00A114FD" w:rsidP="0096145E">
            <w:pPr>
              <w:spacing w:before="30" w:after="30" w:line="360" w:lineRule="auto"/>
              <w:rPr>
                <w:rFonts w:ascii="Times New Roman" w:hAnsi="Times New Roman" w:cs="Times New Roman"/>
                <w:color w:val="auto"/>
                <w:sz w:val="24"/>
                <w:szCs w:val="24"/>
              </w:rPr>
            </w:pPr>
          </w:p>
          <w:p w14:paraId="79C1EEAB" w14:textId="77777777" w:rsidR="00A114FD" w:rsidRPr="00553D7C" w:rsidRDefault="00A114FD" w:rsidP="0096145E">
            <w:pPr>
              <w:spacing w:before="30" w:after="30" w:line="360" w:lineRule="auto"/>
              <w:rPr>
                <w:rFonts w:ascii="Times New Roman" w:hAnsi="Times New Roman" w:cs="Times New Roman"/>
                <w:color w:val="auto"/>
                <w:sz w:val="24"/>
                <w:szCs w:val="24"/>
              </w:rPr>
            </w:pPr>
          </w:p>
          <w:p w14:paraId="1FEE2191" w14:textId="77777777" w:rsidR="00A114FD" w:rsidRPr="00553D7C" w:rsidRDefault="00A114FD" w:rsidP="0096145E">
            <w:pPr>
              <w:spacing w:before="30" w:after="30" w:line="360" w:lineRule="auto"/>
              <w:rPr>
                <w:rFonts w:ascii="Times New Roman" w:hAnsi="Times New Roman" w:cs="Times New Roman"/>
                <w:color w:val="auto"/>
                <w:sz w:val="24"/>
                <w:szCs w:val="24"/>
              </w:rPr>
            </w:pPr>
          </w:p>
        </w:tc>
      </w:tr>
    </w:tbl>
    <w:p w14:paraId="12714684" w14:textId="77777777" w:rsidR="00A114FD" w:rsidRPr="00553D7C" w:rsidRDefault="00A114FD" w:rsidP="0096145E">
      <w:pPr>
        <w:spacing w:before="40" w:after="40" w:line="360" w:lineRule="auto"/>
        <w:rPr>
          <w:rFonts w:ascii="Times New Roman" w:hAnsi="Times New Roman" w:cs="Times New Roman"/>
          <w:color w:val="auto"/>
          <w:sz w:val="24"/>
          <w:szCs w:val="24"/>
        </w:rPr>
      </w:pPr>
    </w:p>
    <w:p w14:paraId="1EAAEB87" w14:textId="77777777" w:rsidR="00A114FD" w:rsidRPr="00553D7C" w:rsidRDefault="00280F89" w:rsidP="00AD5EE0">
      <w:pPr>
        <w:pStyle w:val="Heading1"/>
        <w:spacing w:before="280" w:after="120"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6. Gantt Chart</w:t>
      </w:r>
    </w:p>
    <w:p w14:paraId="1E1A6F04" w14:textId="6BD56B85" w:rsidR="00A114FD" w:rsidRPr="00553D7C" w:rsidRDefault="00DA3002" w:rsidP="0096145E">
      <w:pPr>
        <w:spacing w:before="80" w:after="100" w:line="360" w:lineRule="auto"/>
        <w:jc w:val="both"/>
        <w:rPr>
          <w:rFonts w:ascii="Times New Roman" w:hAnsi="Times New Roman" w:cs="Times New Roman"/>
          <w:color w:val="auto"/>
          <w:sz w:val="24"/>
          <w:szCs w:val="24"/>
        </w:rPr>
      </w:pPr>
      <w:r w:rsidRPr="00553D7C">
        <w:rPr>
          <w:rFonts w:ascii="Times New Roman" w:hAnsi="Times New Roman" w:cs="Times New Roman"/>
          <w:color w:val="auto"/>
          <w:sz w:val="24"/>
          <w:szCs w:val="24"/>
        </w:rPr>
        <w:t>The Gantt Chart shows a temporal view of the project schedule and displays the sequence, duration and relationships of all major workstreams. The Gantt Chart is a planning tool used to track progress towards baseline, to identify activities that are on the critical path and to communicate the status of the project schedule to stakeholders (Kerzner, 2022). The high-level Gantt Chart for the project is shown in Figure 2, and spans a 30-month delivery period from January 2026 to July 2028.</w:t>
      </w:r>
    </w:p>
    <w:p w14:paraId="77219F2D" w14:textId="77777777" w:rsidR="00A114FD" w:rsidRPr="00553D7C" w:rsidRDefault="00280F89" w:rsidP="0096145E">
      <w:pPr>
        <w:spacing w:before="100" w:after="60" w:line="360" w:lineRule="auto"/>
        <w:rPr>
          <w:rFonts w:ascii="Times New Roman" w:hAnsi="Times New Roman" w:cs="Times New Roman"/>
          <w:color w:val="auto"/>
          <w:sz w:val="24"/>
          <w:szCs w:val="24"/>
        </w:rPr>
      </w:pPr>
      <w:r w:rsidRPr="00553D7C">
        <w:rPr>
          <w:rFonts w:ascii="Times New Roman" w:hAnsi="Times New Roman" w:cs="Times New Roman"/>
          <w:b/>
          <w:bCs/>
          <w:i/>
          <w:iCs/>
          <w:color w:val="auto"/>
          <w:sz w:val="24"/>
          <w:szCs w:val="24"/>
        </w:rPr>
        <w:t>Figure 2: High-Level Gantt Chart – Central Transport Hub Redevelopment (2026–2028)</w:t>
      </w:r>
    </w:p>
    <w:tbl>
      <w:tblPr>
        <w:tblW w:w="9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681"/>
        <w:gridCol w:w="774"/>
        <w:gridCol w:w="774"/>
        <w:gridCol w:w="774"/>
        <w:gridCol w:w="774"/>
        <w:gridCol w:w="774"/>
        <w:gridCol w:w="774"/>
        <w:gridCol w:w="774"/>
        <w:gridCol w:w="774"/>
        <w:gridCol w:w="774"/>
        <w:gridCol w:w="774"/>
      </w:tblGrid>
      <w:tr w:rsidR="00553D7C" w:rsidRPr="00553D7C" w14:paraId="5A14AFF8" w14:textId="77777777" w:rsidTr="00DA3002">
        <w:tc>
          <w:tcPr>
            <w:tcW w:w="1681" w:type="dxa"/>
            <w:tcBorders>
              <w:top w:val="single" w:sz="4" w:space="0" w:color="CCCCCC"/>
              <w:left w:val="single" w:sz="4" w:space="0" w:color="CCCCCC"/>
              <w:bottom w:val="single" w:sz="4" w:space="0" w:color="CCCCCC"/>
              <w:right w:val="single" w:sz="4" w:space="0" w:color="CCCCCC"/>
            </w:tcBorders>
            <w:shd w:val="clear" w:color="auto" w:fill="1B3A6B"/>
            <w:tcMar>
              <w:top w:w="60" w:type="dxa"/>
              <w:left w:w="80" w:type="dxa"/>
              <w:bottom w:w="60" w:type="dxa"/>
              <w:right w:w="80" w:type="dxa"/>
            </w:tcMar>
          </w:tcPr>
          <w:p w14:paraId="5FE4806D"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b/>
                <w:bCs/>
                <w:color w:val="auto"/>
                <w:sz w:val="24"/>
                <w:szCs w:val="24"/>
              </w:rPr>
              <w:t>Phase / Workstream</w:t>
            </w:r>
          </w:p>
        </w:tc>
        <w:tc>
          <w:tcPr>
            <w:tcW w:w="774" w:type="dxa"/>
            <w:tcBorders>
              <w:top w:val="single" w:sz="4" w:space="0" w:color="CCCCCC"/>
              <w:left w:val="single" w:sz="4" w:space="0" w:color="CCCCCC"/>
              <w:bottom w:val="single" w:sz="4" w:space="0" w:color="CCCCCC"/>
              <w:right w:val="single" w:sz="4" w:space="0" w:color="CCCCCC"/>
            </w:tcBorders>
            <w:shd w:val="clear" w:color="auto" w:fill="1B3A6B"/>
            <w:tcMar>
              <w:top w:w="60" w:type="dxa"/>
              <w:left w:w="80" w:type="dxa"/>
              <w:bottom w:w="60" w:type="dxa"/>
              <w:right w:w="80" w:type="dxa"/>
            </w:tcMar>
          </w:tcPr>
          <w:p w14:paraId="5C1FB1D5"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b/>
                <w:bCs/>
                <w:color w:val="auto"/>
                <w:sz w:val="24"/>
                <w:szCs w:val="24"/>
              </w:rPr>
              <w:t>Q1'26</w:t>
            </w:r>
          </w:p>
        </w:tc>
        <w:tc>
          <w:tcPr>
            <w:tcW w:w="774" w:type="dxa"/>
            <w:tcBorders>
              <w:top w:val="single" w:sz="4" w:space="0" w:color="CCCCCC"/>
              <w:left w:val="single" w:sz="4" w:space="0" w:color="CCCCCC"/>
              <w:bottom w:val="single" w:sz="4" w:space="0" w:color="CCCCCC"/>
              <w:right w:val="single" w:sz="4" w:space="0" w:color="CCCCCC"/>
            </w:tcBorders>
            <w:shd w:val="clear" w:color="auto" w:fill="1B3A6B"/>
            <w:tcMar>
              <w:top w:w="60" w:type="dxa"/>
              <w:left w:w="80" w:type="dxa"/>
              <w:bottom w:w="60" w:type="dxa"/>
              <w:right w:w="80" w:type="dxa"/>
            </w:tcMar>
          </w:tcPr>
          <w:p w14:paraId="46F62939"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b/>
                <w:bCs/>
                <w:color w:val="auto"/>
                <w:sz w:val="24"/>
                <w:szCs w:val="24"/>
              </w:rPr>
              <w:t>Q2'26</w:t>
            </w:r>
          </w:p>
        </w:tc>
        <w:tc>
          <w:tcPr>
            <w:tcW w:w="774" w:type="dxa"/>
            <w:tcBorders>
              <w:top w:val="single" w:sz="4" w:space="0" w:color="CCCCCC"/>
              <w:left w:val="single" w:sz="4" w:space="0" w:color="CCCCCC"/>
              <w:bottom w:val="single" w:sz="4" w:space="0" w:color="CCCCCC"/>
              <w:right w:val="single" w:sz="4" w:space="0" w:color="CCCCCC"/>
            </w:tcBorders>
            <w:shd w:val="clear" w:color="auto" w:fill="1B3A6B"/>
            <w:tcMar>
              <w:top w:w="60" w:type="dxa"/>
              <w:left w:w="80" w:type="dxa"/>
              <w:bottom w:w="60" w:type="dxa"/>
              <w:right w:w="80" w:type="dxa"/>
            </w:tcMar>
          </w:tcPr>
          <w:p w14:paraId="6C98384F"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b/>
                <w:bCs/>
                <w:color w:val="auto"/>
                <w:sz w:val="24"/>
                <w:szCs w:val="24"/>
              </w:rPr>
              <w:t>Q3'26</w:t>
            </w:r>
          </w:p>
        </w:tc>
        <w:tc>
          <w:tcPr>
            <w:tcW w:w="774" w:type="dxa"/>
            <w:tcBorders>
              <w:top w:val="single" w:sz="4" w:space="0" w:color="CCCCCC"/>
              <w:left w:val="single" w:sz="4" w:space="0" w:color="CCCCCC"/>
              <w:bottom w:val="single" w:sz="4" w:space="0" w:color="CCCCCC"/>
              <w:right w:val="single" w:sz="4" w:space="0" w:color="CCCCCC"/>
            </w:tcBorders>
            <w:shd w:val="clear" w:color="auto" w:fill="1B3A6B"/>
            <w:tcMar>
              <w:top w:w="60" w:type="dxa"/>
              <w:left w:w="80" w:type="dxa"/>
              <w:bottom w:w="60" w:type="dxa"/>
              <w:right w:w="80" w:type="dxa"/>
            </w:tcMar>
          </w:tcPr>
          <w:p w14:paraId="26B52F47"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b/>
                <w:bCs/>
                <w:color w:val="auto"/>
                <w:sz w:val="24"/>
                <w:szCs w:val="24"/>
              </w:rPr>
              <w:t>Q4'26</w:t>
            </w:r>
          </w:p>
        </w:tc>
        <w:tc>
          <w:tcPr>
            <w:tcW w:w="774" w:type="dxa"/>
            <w:tcBorders>
              <w:top w:val="single" w:sz="4" w:space="0" w:color="CCCCCC"/>
              <w:left w:val="single" w:sz="4" w:space="0" w:color="CCCCCC"/>
              <w:bottom w:val="single" w:sz="4" w:space="0" w:color="CCCCCC"/>
              <w:right w:val="single" w:sz="4" w:space="0" w:color="CCCCCC"/>
            </w:tcBorders>
            <w:shd w:val="clear" w:color="auto" w:fill="1B3A6B"/>
            <w:tcMar>
              <w:top w:w="60" w:type="dxa"/>
              <w:left w:w="80" w:type="dxa"/>
              <w:bottom w:w="60" w:type="dxa"/>
              <w:right w:w="80" w:type="dxa"/>
            </w:tcMar>
          </w:tcPr>
          <w:p w14:paraId="0FE384F2"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b/>
                <w:bCs/>
                <w:color w:val="auto"/>
                <w:sz w:val="24"/>
                <w:szCs w:val="24"/>
              </w:rPr>
              <w:t>Q1'27</w:t>
            </w:r>
          </w:p>
        </w:tc>
        <w:tc>
          <w:tcPr>
            <w:tcW w:w="774" w:type="dxa"/>
            <w:tcBorders>
              <w:top w:val="single" w:sz="4" w:space="0" w:color="CCCCCC"/>
              <w:left w:val="single" w:sz="4" w:space="0" w:color="CCCCCC"/>
              <w:bottom w:val="single" w:sz="4" w:space="0" w:color="CCCCCC"/>
              <w:right w:val="single" w:sz="4" w:space="0" w:color="CCCCCC"/>
            </w:tcBorders>
            <w:shd w:val="clear" w:color="auto" w:fill="1B3A6B"/>
            <w:tcMar>
              <w:top w:w="60" w:type="dxa"/>
              <w:left w:w="80" w:type="dxa"/>
              <w:bottom w:w="60" w:type="dxa"/>
              <w:right w:w="80" w:type="dxa"/>
            </w:tcMar>
          </w:tcPr>
          <w:p w14:paraId="266FFCB3"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b/>
                <w:bCs/>
                <w:color w:val="auto"/>
                <w:sz w:val="24"/>
                <w:szCs w:val="24"/>
              </w:rPr>
              <w:t>Q2'27</w:t>
            </w:r>
          </w:p>
        </w:tc>
        <w:tc>
          <w:tcPr>
            <w:tcW w:w="774" w:type="dxa"/>
            <w:tcBorders>
              <w:top w:val="single" w:sz="4" w:space="0" w:color="CCCCCC"/>
              <w:left w:val="single" w:sz="4" w:space="0" w:color="CCCCCC"/>
              <w:bottom w:val="single" w:sz="4" w:space="0" w:color="CCCCCC"/>
              <w:right w:val="single" w:sz="4" w:space="0" w:color="CCCCCC"/>
            </w:tcBorders>
            <w:shd w:val="clear" w:color="auto" w:fill="1B3A6B"/>
            <w:tcMar>
              <w:top w:w="60" w:type="dxa"/>
              <w:left w:w="80" w:type="dxa"/>
              <w:bottom w:w="60" w:type="dxa"/>
              <w:right w:w="80" w:type="dxa"/>
            </w:tcMar>
          </w:tcPr>
          <w:p w14:paraId="313E2F20"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b/>
                <w:bCs/>
                <w:color w:val="auto"/>
                <w:sz w:val="24"/>
                <w:szCs w:val="24"/>
              </w:rPr>
              <w:t>Q3'27</w:t>
            </w:r>
          </w:p>
        </w:tc>
        <w:tc>
          <w:tcPr>
            <w:tcW w:w="774" w:type="dxa"/>
            <w:tcBorders>
              <w:top w:val="single" w:sz="4" w:space="0" w:color="CCCCCC"/>
              <w:left w:val="single" w:sz="4" w:space="0" w:color="CCCCCC"/>
              <w:bottom w:val="single" w:sz="4" w:space="0" w:color="CCCCCC"/>
              <w:right w:val="single" w:sz="4" w:space="0" w:color="CCCCCC"/>
            </w:tcBorders>
            <w:shd w:val="clear" w:color="auto" w:fill="1B3A6B"/>
            <w:tcMar>
              <w:top w:w="60" w:type="dxa"/>
              <w:left w:w="80" w:type="dxa"/>
              <w:bottom w:w="60" w:type="dxa"/>
              <w:right w:w="80" w:type="dxa"/>
            </w:tcMar>
          </w:tcPr>
          <w:p w14:paraId="39A2BF22"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b/>
                <w:bCs/>
                <w:color w:val="auto"/>
                <w:sz w:val="24"/>
                <w:szCs w:val="24"/>
              </w:rPr>
              <w:t>Q4'27</w:t>
            </w:r>
          </w:p>
        </w:tc>
        <w:tc>
          <w:tcPr>
            <w:tcW w:w="774" w:type="dxa"/>
            <w:tcBorders>
              <w:top w:val="single" w:sz="4" w:space="0" w:color="CCCCCC"/>
              <w:left w:val="single" w:sz="4" w:space="0" w:color="CCCCCC"/>
              <w:bottom w:val="single" w:sz="4" w:space="0" w:color="CCCCCC"/>
              <w:right w:val="single" w:sz="4" w:space="0" w:color="CCCCCC"/>
            </w:tcBorders>
            <w:shd w:val="clear" w:color="auto" w:fill="1B3A6B"/>
            <w:tcMar>
              <w:top w:w="60" w:type="dxa"/>
              <w:left w:w="80" w:type="dxa"/>
              <w:bottom w:w="60" w:type="dxa"/>
              <w:right w:w="80" w:type="dxa"/>
            </w:tcMar>
          </w:tcPr>
          <w:p w14:paraId="338B5365"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b/>
                <w:bCs/>
                <w:color w:val="auto"/>
                <w:sz w:val="24"/>
                <w:szCs w:val="24"/>
              </w:rPr>
              <w:t>Q1'28</w:t>
            </w:r>
          </w:p>
        </w:tc>
        <w:tc>
          <w:tcPr>
            <w:tcW w:w="774" w:type="dxa"/>
            <w:tcBorders>
              <w:top w:val="single" w:sz="4" w:space="0" w:color="CCCCCC"/>
              <w:left w:val="single" w:sz="4" w:space="0" w:color="CCCCCC"/>
              <w:bottom w:val="single" w:sz="4" w:space="0" w:color="CCCCCC"/>
              <w:right w:val="single" w:sz="4" w:space="0" w:color="CCCCCC"/>
            </w:tcBorders>
            <w:shd w:val="clear" w:color="auto" w:fill="1B3A6B"/>
            <w:tcMar>
              <w:top w:w="60" w:type="dxa"/>
              <w:left w:w="80" w:type="dxa"/>
              <w:bottom w:w="60" w:type="dxa"/>
              <w:right w:w="80" w:type="dxa"/>
            </w:tcMar>
          </w:tcPr>
          <w:p w14:paraId="030B0D95"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b/>
                <w:bCs/>
                <w:color w:val="auto"/>
                <w:sz w:val="24"/>
                <w:szCs w:val="24"/>
              </w:rPr>
              <w:t>Q2'28</w:t>
            </w:r>
          </w:p>
        </w:tc>
      </w:tr>
      <w:tr w:rsidR="00553D7C" w:rsidRPr="00553D7C" w14:paraId="34694BC1" w14:textId="77777777" w:rsidTr="00DA3002">
        <w:tc>
          <w:tcPr>
            <w:tcW w:w="1681" w:type="dxa"/>
            <w:tcBorders>
              <w:top w:val="single" w:sz="4" w:space="0" w:color="CCCCCC"/>
              <w:left w:val="single" w:sz="4" w:space="0" w:color="CCCCCC"/>
              <w:bottom w:val="single" w:sz="4" w:space="0" w:color="CCCCCC"/>
              <w:right w:val="single" w:sz="4" w:space="0" w:color="CCCCCC"/>
            </w:tcBorders>
            <w:shd w:val="clear" w:color="auto" w:fill="F2F2F2"/>
            <w:tcMar>
              <w:top w:w="60" w:type="dxa"/>
              <w:left w:w="80" w:type="dxa"/>
              <w:bottom w:w="60" w:type="dxa"/>
              <w:right w:w="80" w:type="dxa"/>
            </w:tcMar>
          </w:tcPr>
          <w:p w14:paraId="66AFA8B1"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1. Initiation &amp; Governance</w:t>
            </w:r>
          </w:p>
        </w:tc>
        <w:tc>
          <w:tcPr>
            <w:tcW w:w="774" w:type="dxa"/>
            <w:tcBorders>
              <w:top w:val="single" w:sz="4" w:space="0" w:color="CCCCCC"/>
              <w:left w:val="single" w:sz="4" w:space="0" w:color="CCCCCC"/>
              <w:bottom w:val="single" w:sz="4" w:space="0" w:color="CCCCCC"/>
              <w:right w:val="single" w:sz="4" w:space="0" w:color="CCCCCC"/>
            </w:tcBorders>
            <w:shd w:val="clear" w:color="auto" w:fill="1D7A8A"/>
            <w:tcMar>
              <w:top w:w="60" w:type="dxa"/>
              <w:left w:w="80" w:type="dxa"/>
              <w:bottom w:w="60" w:type="dxa"/>
              <w:right w:w="80" w:type="dxa"/>
            </w:tcMar>
          </w:tcPr>
          <w:p w14:paraId="7BE778D8"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7A1401E8"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6C9A22D4"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70372177"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0E0BB537"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7233B081"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4407478A"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66504A94"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3149FA9D"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7E20339F" w14:textId="77777777" w:rsidR="00A114FD" w:rsidRPr="00553D7C" w:rsidRDefault="00A114FD" w:rsidP="0096145E">
            <w:pPr>
              <w:spacing w:line="360" w:lineRule="auto"/>
              <w:jc w:val="center"/>
              <w:rPr>
                <w:rFonts w:ascii="Times New Roman" w:hAnsi="Times New Roman" w:cs="Times New Roman"/>
                <w:color w:val="auto"/>
                <w:sz w:val="24"/>
                <w:szCs w:val="24"/>
              </w:rPr>
            </w:pPr>
          </w:p>
        </w:tc>
      </w:tr>
      <w:tr w:rsidR="00553D7C" w:rsidRPr="00553D7C" w14:paraId="0B80C9E3" w14:textId="77777777" w:rsidTr="00DA3002">
        <w:tc>
          <w:tcPr>
            <w:tcW w:w="1681" w:type="dxa"/>
            <w:tcBorders>
              <w:top w:val="single" w:sz="4" w:space="0" w:color="CCCCCC"/>
              <w:left w:val="single" w:sz="4" w:space="0" w:color="CCCCCC"/>
              <w:bottom w:val="single" w:sz="4" w:space="0" w:color="CCCCCC"/>
              <w:right w:val="single" w:sz="4" w:space="0" w:color="CCCCCC"/>
            </w:tcBorders>
            <w:shd w:val="clear" w:color="auto" w:fill="F2F2F2"/>
            <w:tcMar>
              <w:top w:w="60" w:type="dxa"/>
              <w:left w:w="80" w:type="dxa"/>
              <w:bottom w:w="60" w:type="dxa"/>
              <w:right w:w="80" w:type="dxa"/>
            </w:tcMar>
          </w:tcPr>
          <w:p w14:paraId="468C01A8"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2. Demolition &amp; Site Preparation</w:t>
            </w: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04285C02"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1D7A8A"/>
            <w:tcMar>
              <w:top w:w="60" w:type="dxa"/>
              <w:left w:w="80" w:type="dxa"/>
              <w:bottom w:w="60" w:type="dxa"/>
              <w:right w:w="80" w:type="dxa"/>
            </w:tcMar>
          </w:tcPr>
          <w:p w14:paraId="1B5E6144"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1D7A8A"/>
            <w:tcMar>
              <w:top w:w="60" w:type="dxa"/>
              <w:left w:w="80" w:type="dxa"/>
              <w:bottom w:w="60" w:type="dxa"/>
              <w:right w:w="80" w:type="dxa"/>
            </w:tcMar>
          </w:tcPr>
          <w:p w14:paraId="0EC62B73"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637D81AA"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60E43B03"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2EB8BD47"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004228CF"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052442C7"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5B227AE6"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54D1B104" w14:textId="77777777" w:rsidR="00A114FD" w:rsidRPr="00553D7C" w:rsidRDefault="00A114FD" w:rsidP="0096145E">
            <w:pPr>
              <w:spacing w:line="360" w:lineRule="auto"/>
              <w:jc w:val="center"/>
              <w:rPr>
                <w:rFonts w:ascii="Times New Roman" w:hAnsi="Times New Roman" w:cs="Times New Roman"/>
                <w:color w:val="auto"/>
                <w:sz w:val="24"/>
                <w:szCs w:val="24"/>
              </w:rPr>
            </w:pPr>
          </w:p>
        </w:tc>
      </w:tr>
      <w:tr w:rsidR="00553D7C" w:rsidRPr="00553D7C" w14:paraId="01540492" w14:textId="77777777" w:rsidTr="00DA3002">
        <w:tc>
          <w:tcPr>
            <w:tcW w:w="1681" w:type="dxa"/>
            <w:tcBorders>
              <w:top w:val="single" w:sz="4" w:space="0" w:color="CCCCCC"/>
              <w:left w:val="single" w:sz="4" w:space="0" w:color="CCCCCC"/>
              <w:bottom w:val="single" w:sz="4" w:space="0" w:color="CCCCCC"/>
              <w:right w:val="single" w:sz="4" w:space="0" w:color="CCCCCC"/>
            </w:tcBorders>
            <w:shd w:val="clear" w:color="auto" w:fill="F2F2F2"/>
            <w:tcMar>
              <w:top w:w="60" w:type="dxa"/>
              <w:left w:w="80" w:type="dxa"/>
              <w:bottom w:w="60" w:type="dxa"/>
              <w:right w:w="80" w:type="dxa"/>
            </w:tcMar>
          </w:tcPr>
          <w:p w14:paraId="66CDBE5D"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lastRenderedPageBreak/>
              <w:t>3. Civil &amp; Structural Construction</w:t>
            </w: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7E0CD8C3"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4DE4AF05"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1D7A8A"/>
            <w:tcMar>
              <w:top w:w="60" w:type="dxa"/>
              <w:left w:w="80" w:type="dxa"/>
              <w:bottom w:w="60" w:type="dxa"/>
              <w:right w:w="80" w:type="dxa"/>
            </w:tcMar>
          </w:tcPr>
          <w:p w14:paraId="591B2829"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1D7A8A"/>
            <w:tcMar>
              <w:top w:w="60" w:type="dxa"/>
              <w:left w:w="80" w:type="dxa"/>
              <w:bottom w:w="60" w:type="dxa"/>
              <w:right w:w="80" w:type="dxa"/>
            </w:tcMar>
          </w:tcPr>
          <w:p w14:paraId="01E08277"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1D7A8A"/>
            <w:tcMar>
              <w:top w:w="60" w:type="dxa"/>
              <w:left w:w="80" w:type="dxa"/>
              <w:bottom w:w="60" w:type="dxa"/>
              <w:right w:w="80" w:type="dxa"/>
            </w:tcMar>
          </w:tcPr>
          <w:p w14:paraId="1CF9D358"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1D7A8A"/>
            <w:tcMar>
              <w:top w:w="60" w:type="dxa"/>
              <w:left w:w="80" w:type="dxa"/>
              <w:bottom w:w="60" w:type="dxa"/>
              <w:right w:w="80" w:type="dxa"/>
            </w:tcMar>
          </w:tcPr>
          <w:p w14:paraId="372D8EB8"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1D7A8A"/>
            <w:tcMar>
              <w:top w:w="60" w:type="dxa"/>
              <w:left w:w="80" w:type="dxa"/>
              <w:bottom w:w="60" w:type="dxa"/>
              <w:right w:w="80" w:type="dxa"/>
            </w:tcMar>
          </w:tcPr>
          <w:p w14:paraId="69C8F8B7"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5DFA7672"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6C9ED7D1"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24CA560D" w14:textId="77777777" w:rsidR="00A114FD" w:rsidRPr="00553D7C" w:rsidRDefault="00A114FD" w:rsidP="0096145E">
            <w:pPr>
              <w:spacing w:line="360" w:lineRule="auto"/>
              <w:jc w:val="center"/>
              <w:rPr>
                <w:rFonts w:ascii="Times New Roman" w:hAnsi="Times New Roman" w:cs="Times New Roman"/>
                <w:color w:val="auto"/>
                <w:sz w:val="24"/>
                <w:szCs w:val="24"/>
              </w:rPr>
            </w:pPr>
          </w:p>
        </w:tc>
      </w:tr>
      <w:tr w:rsidR="00553D7C" w:rsidRPr="00553D7C" w14:paraId="6DE19559" w14:textId="77777777" w:rsidTr="00DA3002">
        <w:tc>
          <w:tcPr>
            <w:tcW w:w="1681" w:type="dxa"/>
            <w:tcBorders>
              <w:top w:val="single" w:sz="4" w:space="0" w:color="CCCCCC"/>
              <w:left w:val="single" w:sz="4" w:space="0" w:color="CCCCCC"/>
              <w:bottom w:val="single" w:sz="4" w:space="0" w:color="CCCCCC"/>
              <w:right w:val="single" w:sz="4" w:space="0" w:color="CCCCCC"/>
            </w:tcBorders>
            <w:shd w:val="clear" w:color="auto" w:fill="F2F2F2"/>
            <w:tcMar>
              <w:top w:w="60" w:type="dxa"/>
              <w:left w:w="80" w:type="dxa"/>
              <w:bottom w:w="60" w:type="dxa"/>
              <w:right w:w="80" w:type="dxa"/>
            </w:tcMar>
          </w:tcPr>
          <w:p w14:paraId="0F401255"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4. Digital Infrastructure</w:t>
            </w: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280C10B0"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71E8EBB1"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0FA6CCE4"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0D0F1222"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1D7A8A"/>
            <w:tcMar>
              <w:top w:w="60" w:type="dxa"/>
              <w:left w:w="80" w:type="dxa"/>
              <w:bottom w:w="60" w:type="dxa"/>
              <w:right w:w="80" w:type="dxa"/>
            </w:tcMar>
          </w:tcPr>
          <w:p w14:paraId="16376AE3"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1D7A8A"/>
            <w:tcMar>
              <w:top w:w="60" w:type="dxa"/>
              <w:left w:w="80" w:type="dxa"/>
              <w:bottom w:w="60" w:type="dxa"/>
              <w:right w:w="80" w:type="dxa"/>
            </w:tcMar>
          </w:tcPr>
          <w:p w14:paraId="670C3358"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1D7A8A"/>
            <w:tcMar>
              <w:top w:w="60" w:type="dxa"/>
              <w:left w:w="80" w:type="dxa"/>
              <w:bottom w:w="60" w:type="dxa"/>
              <w:right w:w="80" w:type="dxa"/>
            </w:tcMar>
          </w:tcPr>
          <w:p w14:paraId="5A1AAF9A"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4CCF91B8"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52161377"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33F58AFB" w14:textId="77777777" w:rsidR="00A114FD" w:rsidRPr="00553D7C" w:rsidRDefault="00A114FD" w:rsidP="0096145E">
            <w:pPr>
              <w:spacing w:line="360" w:lineRule="auto"/>
              <w:jc w:val="center"/>
              <w:rPr>
                <w:rFonts w:ascii="Times New Roman" w:hAnsi="Times New Roman" w:cs="Times New Roman"/>
                <w:color w:val="auto"/>
                <w:sz w:val="24"/>
                <w:szCs w:val="24"/>
              </w:rPr>
            </w:pPr>
          </w:p>
        </w:tc>
      </w:tr>
      <w:tr w:rsidR="00553D7C" w:rsidRPr="00553D7C" w14:paraId="27CA509D" w14:textId="77777777" w:rsidTr="00DA3002">
        <w:tc>
          <w:tcPr>
            <w:tcW w:w="1681" w:type="dxa"/>
            <w:tcBorders>
              <w:top w:val="single" w:sz="4" w:space="0" w:color="CCCCCC"/>
              <w:left w:val="single" w:sz="4" w:space="0" w:color="CCCCCC"/>
              <w:bottom w:val="single" w:sz="4" w:space="0" w:color="CCCCCC"/>
              <w:right w:val="single" w:sz="4" w:space="0" w:color="CCCCCC"/>
            </w:tcBorders>
            <w:shd w:val="clear" w:color="auto" w:fill="F2F2F2"/>
            <w:tcMar>
              <w:top w:w="60" w:type="dxa"/>
              <w:left w:w="80" w:type="dxa"/>
              <w:bottom w:w="60" w:type="dxa"/>
              <w:right w:w="80" w:type="dxa"/>
            </w:tcMar>
          </w:tcPr>
          <w:p w14:paraId="022B7331"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5. Sustainability Works</w:t>
            </w: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57EEDC04"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017B6EA9"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7750EE68"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76D701A4"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3166F1AE"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1D7A8A"/>
            <w:tcMar>
              <w:top w:w="60" w:type="dxa"/>
              <w:left w:w="80" w:type="dxa"/>
              <w:bottom w:w="60" w:type="dxa"/>
              <w:right w:w="80" w:type="dxa"/>
            </w:tcMar>
          </w:tcPr>
          <w:p w14:paraId="555278DA"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1D7A8A"/>
            <w:tcMar>
              <w:top w:w="60" w:type="dxa"/>
              <w:left w:w="80" w:type="dxa"/>
              <w:bottom w:w="60" w:type="dxa"/>
              <w:right w:w="80" w:type="dxa"/>
            </w:tcMar>
          </w:tcPr>
          <w:p w14:paraId="57F31876"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1D7A8A"/>
            <w:tcMar>
              <w:top w:w="60" w:type="dxa"/>
              <w:left w:w="80" w:type="dxa"/>
              <w:bottom w:w="60" w:type="dxa"/>
              <w:right w:w="80" w:type="dxa"/>
            </w:tcMar>
          </w:tcPr>
          <w:p w14:paraId="23FE5BD5"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7015C29B"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0DD7B869" w14:textId="77777777" w:rsidR="00A114FD" w:rsidRPr="00553D7C" w:rsidRDefault="00A114FD" w:rsidP="0096145E">
            <w:pPr>
              <w:spacing w:line="360" w:lineRule="auto"/>
              <w:jc w:val="center"/>
              <w:rPr>
                <w:rFonts w:ascii="Times New Roman" w:hAnsi="Times New Roman" w:cs="Times New Roman"/>
                <w:color w:val="auto"/>
                <w:sz w:val="24"/>
                <w:szCs w:val="24"/>
              </w:rPr>
            </w:pPr>
          </w:p>
        </w:tc>
      </w:tr>
      <w:tr w:rsidR="00553D7C" w:rsidRPr="00553D7C" w14:paraId="6A7F2B59" w14:textId="77777777" w:rsidTr="00DA3002">
        <w:tc>
          <w:tcPr>
            <w:tcW w:w="1681" w:type="dxa"/>
            <w:tcBorders>
              <w:top w:val="single" w:sz="4" w:space="0" w:color="CCCCCC"/>
              <w:left w:val="single" w:sz="4" w:space="0" w:color="CCCCCC"/>
              <w:bottom w:val="single" w:sz="4" w:space="0" w:color="CCCCCC"/>
              <w:right w:val="single" w:sz="4" w:space="0" w:color="CCCCCC"/>
            </w:tcBorders>
            <w:shd w:val="clear" w:color="auto" w:fill="F2F2F2"/>
            <w:tcMar>
              <w:top w:w="60" w:type="dxa"/>
              <w:left w:w="80" w:type="dxa"/>
              <w:bottom w:w="60" w:type="dxa"/>
              <w:right w:w="80" w:type="dxa"/>
            </w:tcMar>
          </w:tcPr>
          <w:p w14:paraId="178360EB"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6. Testing &amp; Commissioning</w:t>
            </w: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2629CE98"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2CE7720A"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460EB4C9"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3D3A63FA"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041A4950"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7F7B2D38"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3382AF29"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1D7A8A"/>
            <w:tcMar>
              <w:top w:w="60" w:type="dxa"/>
              <w:left w:w="80" w:type="dxa"/>
              <w:bottom w:w="60" w:type="dxa"/>
              <w:right w:w="80" w:type="dxa"/>
            </w:tcMar>
          </w:tcPr>
          <w:p w14:paraId="37868E70"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1D7A8A"/>
            <w:tcMar>
              <w:top w:w="60" w:type="dxa"/>
              <w:left w:w="80" w:type="dxa"/>
              <w:bottom w:w="60" w:type="dxa"/>
              <w:right w:w="80" w:type="dxa"/>
            </w:tcMar>
          </w:tcPr>
          <w:p w14:paraId="401330A9"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3B3E924B" w14:textId="77777777" w:rsidR="00A114FD" w:rsidRPr="00553D7C" w:rsidRDefault="00A114FD" w:rsidP="0096145E">
            <w:pPr>
              <w:spacing w:line="360" w:lineRule="auto"/>
              <w:jc w:val="center"/>
              <w:rPr>
                <w:rFonts w:ascii="Times New Roman" w:hAnsi="Times New Roman" w:cs="Times New Roman"/>
                <w:color w:val="auto"/>
                <w:sz w:val="24"/>
                <w:szCs w:val="24"/>
              </w:rPr>
            </w:pPr>
          </w:p>
        </w:tc>
      </w:tr>
      <w:tr w:rsidR="00553D7C" w:rsidRPr="00553D7C" w14:paraId="257EAFEE" w14:textId="77777777" w:rsidTr="00DA3002">
        <w:tc>
          <w:tcPr>
            <w:tcW w:w="1681" w:type="dxa"/>
            <w:tcBorders>
              <w:top w:val="single" w:sz="4" w:space="0" w:color="CCCCCC"/>
              <w:left w:val="single" w:sz="4" w:space="0" w:color="CCCCCC"/>
              <w:bottom w:val="single" w:sz="4" w:space="0" w:color="CCCCCC"/>
              <w:right w:val="single" w:sz="4" w:space="0" w:color="CCCCCC"/>
            </w:tcBorders>
            <w:shd w:val="clear" w:color="auto" w:fill="F2F2F2"/>
            <w:tcMar>
              <w:top w:w="60" w:type="dxa"/>
              <w:left w:w="80" w:type="dxa"/>
              <w:bottom w:w="60" w:type="dxa"/>
              <w:right w:w="80" w:type="dxa"/>
            </w:tcMar>
          </w:tcPr>
          <w:p w14:paraId="2BAEE8F3"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7. Handover &amp; Closure</w:t>
            </w: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702B702A"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4D7AFCCF"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02416D4A"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230A6C6D"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61EE6272"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11439FE2"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6A596D3A"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03C038E5"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FFFFFF"/>
            <w:tcMar>
              <w:top w:w="60" w:type="dxa"/>
              <w:left w:w="80" w:type="dxa"/>
              <w:bottom w:w="60" w:type="dxa"/>
              <w:right w:w="80" w:type="dxa"/>
            </w:tcMar>
          </w:tcPr>
          <w:p w14:paraId="00534F1C" w14:textId="77777777" w:rsidR="00A114FD" w:rsidRPr="00553D7C" w:rsidRDefault="00A114FD" w:rsidP="0096145E">
            <w:pPr>
              <w:spacing w:line="360" w:lineRule="auto"/>
              <w:jc w:val="center"/>
              <w:rPr>
                <w:rFonts w:ascii="Times New Roman" w:hAnsi="Times New Roman" w:cs="Times New Roman"/>
                <w:color w:val="auto"/>
                <w:sz w:val="24"/>
                <w:szCs w:val="24"/>
              </w:rPr>
            </w:pPr>
          </w:p>
        </w:tc>
        <w:tc>
          <w:tcPr>
            <w:tcW w:w="774" w:type="dxa"/>
            <w:tcBorders>
              <w:top w:val="single" w:sz="4" w:space="0" w:color="CCCCCC"/>
              <w:left w:val="single" w:sz="4" w:space="0" w:color="CCCCCC"/>
              <w:bottom w:val="single" w:sz="4" w:space="0" w:color="CCCCCC"/>
              <w:right w:val="single" w:sz="4" w:space="0" w:color="CCCCCC"/>
            </w:tcBorders>
            <w:shd w:val="clear" w:color="auto" w:fill="1D7A8A"/>
            <w:tcMar>
              <w:top w:w="60" w:type="dxa"/>
              <w:left w:w="80" w:type="dxa"/>
              <w:bottom w:w="60" w:type="dxa"/>
              <w:right w:w="80" w:type="dxa"/>
            </w:tcMar>
          </w:tcPr>
          <w:p w14:paraId="170E9534" w14:textId="77777777" w:rsidR="00A114FD" w:rsidRPr="00553D7C" w:rsidRDefault="00A114FD" w:rsidP="0096145E">
            <w:pPr>
              <w:spacing w:line="360" w:lineRule="auto"/>
              <w:jc w:val="center"/>
              <w:rPr>
                <w:rFonts w:ascii="Times New Roman" w:hAnsi="Times New Roman" w:cs="Times New Roman"/>
                <w:color w:val="auto"/>
                <w:sz w:val="24"/>
                <w:szCs w:val="24"/>
              </w:rPr>
            </w:pPr>
          </w:p>
        </w:tc>
      </w:tr>
    </w:tbl>
    <w:p w14:paraId="082FFC9C" w14:textId="62D2D1C1" w:rsidR="00A114FD" w:rsidRPr="00553D7C" w:rsidRDefault="00DA3002" w:rsidP="0096145E">
      <w:pPr>
        <w:spacing w:before="80" w:after="100" w:line="360" w:lineRule="auto"/>
        <w:jc w:val="both"/>
        <w:rPr>
          <w:rFonts w:ascii="Times New Roman" w:hAnsi="Times New Roman" w:cs="Times New Roman"/>
          <w:color w:val="auto"/>
          <w:sz w:val="24"/>
          <w:szCs w:val="24"/>
        </w:rPr>
      </w:pPr>
      <w:r w:rsidRPr="00553D7C">
        <w:rPr>
          <w:rFonts w:ascii="Times New Roman" w:hAnsi="Times New Roman" w:cs="Times New Roman"/>
          <w:color w:val="auto"/>
          <w:sz w:val="24"/>
          <w:szCs w:val="24"/>
        </w:rPr>
        <w:t>Note: Critical path is from Phases 3 (Civil Construction) to 4 (Digital) to 6 (Testing &amp; Commissioning) and covers a total of around 22 months. These are the periods of work with the lowest amount of schedule float, and any delay will have a direct negative effect on the project completion date, and should be escalated immediately.</w:t>
      </w:r>
    </w:p>
    <w:p w14:paraId="33FAACBD" w14:textId="77777777" w:rsidR="00A114FD" w:rsidRPr="00553D7C" w:rsidRDefault="00280F89" w:rsidP="00AD5EE0">
      <w:pPr>
        <w:pStyle w:val="Heading1"/>
        <w:spacing w:before="280" w:after="120"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7. Stakeholder Involvement</w:t>
      </w:r>
    </w:p>
    <w:p w14:paraId="32C18DC0" w14:textId="092002CD" w:rsidR="00A114FD" w:rsidRPr="00553D7C" w:rsidRDefault="00DA3002" w:rsidP="0096145E">
      <w:pPr>
        <w:spacing w:before="80" w:after="100" w:line="360" w:lineRule="auto"/>
        <w:jc w:val="both"/>
        <w:rPr>
          <w:rFonts w:ascii="Times New Roman" w:hAnsi="Times New Roman" w:cs="Times New Roman"/>
          <w:color w:val="auto"/>
          <w:sz w:val="24"/>
          <w:szCs w:val="24"/>
        </w:rPr>
      </w:pPr>
      <w:r w:rsidRPr="00553D7C">
        <w:rPr>
          <w:rFonts w:ascii="Times New Roman" w:hAnsi="Times New Roman" w:cs="Times New Roman"/>
          <w:color w:val="auto"/>
          <w:sz w:val="24"/>
          <w:szCs w:val="24"/>
        </w:rPr>
        <w:t>The successful management of stakeholders is seen as one of the key success factors in large-scale infrastructure projects (Bourne, 2016; Freeman, 1984). The project uses Mendelow's (1991) Power-Interest Grid to place stakeholders in one of four quadrants, allowing the project manager to decide how they should engage in the project based on the relative power and interest.</w:t>
      </w:r>
    </w:p>
    <w:p w14:paraId="4667D657" w14:textId="77777777" w:rsidR="00A114FD" w:rsidRPr="00553D7C" w:rsidRDefault="00280F89" w:rsidP="0096145E">
      <w:pPr>
        <w:spacing w:before="100" w:after="60" w:line="360" w:lineRule="auto"/>
        <w:rPr>
          <w:rFonts w:ascii="Times New Roman" w:hAnsi="Times New Roman" w:cs="Times New Roman"/>
          <w:color w:val="auto"/>
          <w:sz w:val="24"/>
          <w:szCs w:val="24"/>
        </w:rPr>
      </w:pPr>
      <w:r w:rsidRPr="00553D7C">
        <w:rPr>
          <w:rFonts w:ascii="Times New Roman" w:hAnsi="Times New Roman" w:cs="Times New Roman"/>
          <w:b/>
          <w:bCs/>
          <w:i/>
          <w:iCs/>
          <w:color w:val="auto"/>
          <w:sz w:val="24"/>
          <w:szCs w:val="24"/>
        </w:rPr>
        <w:t>Table 2: Stakeholder Power-Interest Analysis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0CECE" w:themeFill="background2" w:themeFillShade="E6"/>
        <w:tblCellMar>
          <w:left w:w="10" w:type="dxa"/>
          <w:right w:w="10" w:type="dxa"/>
        </w:tblCellMar>
        <w:tblLook w:val="0000" w:firstRow="0" w:lastRow="0" w:firstColumn="0" w:lastColumn="0" w:noHBand="0" w:noVBand="0"/>
      </w:tblPr>
      <w:tblGrid>
        <w:gridCol w:w="1789"/>
        <w:gridCol w:w="898"/>
        <w:gridCol w:w="1014"/>
        <w:gridCol w:w="1355"/>
        <w:gridCol w:w="4304"/>
      </w:tblGrid>
      <w:tr w:rsidR="00553D7C" w:rsidRPr="00553D7C" w14:paraId="59F65A5B" w14:textId="77777777" w:rsidTr="00C408F0">
        <w:tc>
          <w:tcPr>
            <w:tcW w:w="1789"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1896AE69"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Stakeholder</w:t>
            </w:r>
          </w:p>
        </w:tc>
        <w:tc>
          <w:tcPr>
            <w:tcW w:w="898"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67ADADB6"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Power</w:t>
            </w:r>
          </w:p>
        </w:tc>
        <w:tc>
          <w:tcPr>
            <w:tcW w:w="1014"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0CEE0878"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Interest</w:t>
            </w:r>
          </w:p>
        </w:tc>
        <w:tc>
          <w:tcPr>
            <w:tcW w:w="1355"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22C7A5E8"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Quadrant</w:t>
            </w:r>
          </w:p>
        </w:tc>
        <w:tc>
          <w:tcPr>
            <w:tcW w:w="4304"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6034859A"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Engagement Strategy</w:t>
            </w:r>
          </w:p>
        </w:tc>
      </w:tr>
      <w:tr w:rsidR="00553D7C" w:rsidRPr="00553D7C" w14:paraId="4023B2B7" w14:textId="77777777" w:rsidTr="00C408F0">
        <w:tc>
          <w:tcPr>
            <w:tcW w:w="1789"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5AF54719"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Local Authority / City Council</w:t>
            </w:r>
          </w:p>
        </w:tc>
        <w:tc>
          <w:tcPr>
            <w:tcW w:w="898"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0EB57575"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High</w:t>
            </w:r>
          </w:p>
        </w:tc>
        <w:tc>
          <w:tcPr>
            <w:tcW w:w="1014"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6267C824"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High</w:t>
            </w:r>
          </w:p>
        </w:tc>
        <w:tc>
          <w:tcPr>
            <w:tcW w:w="1355"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42760796"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Manage Closely</w:t>
            </w:r>
          </w:p>
        </w:tc>
        <w:tc>
          <w:tcPr>
            <w:tcW w:w="4304"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450DDEA8"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Weekly steering meetings; full PMP access; formal sign-off at each stage gate</w:t>
            </w:r>
          </w:p>
        </w:tc>
      </w:tr>
      <w:tr w:rsidR="00553D7C" w:rsidRPr="00553D7C" w14:paraId="4C7E79DA" w14:textId="77777777" w:rsidTr="00C408F0">
        <w:tc>
          <w:tcPr>
            <w:tcW w:w="1789"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348BEE99"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Department for Transport</w:t>
            </w:r>
          </w:p>
        </w:tc>
        <w:tc>
          <w:tcPr>
            <w:tcW w:w="898"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774D2E6F"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High</w:t>
            </w:r>
          </w:p>
        </w:tc>
        <w:tc>
          <w:tcPr>
            <w:tcW w:w="1014"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66FB43C5"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Medium</w:t>
            </w:r>
          </w:p>
        </w:tc>
        <w:tc>
          <w:tcPr>
            <w:tcW w:w="1355"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5063C8B0"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Keep Satisfied</w:t>
            </w:r>
          </w:p>
        </w:tc>
        <w:tc>
          <w:tcPr>
            <w:tcW w:w="4304"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1F16E5E6"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Monthly written progress reports; formal quarterly review meetings</w:t>
            </w:r>
          </w:p>
        </w:tc>
      </w:tr>
      <w:tr w:rsidR="00553D7C" w:rsidRPr="00553D7C" w14:paraId="35E8166F" w14:textId="77777777" w:rsidTr="00C408F0">
        <w:tc>
          <w:tcPr>
            <w:tcW w:w="1789"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2B157D1C"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Network Rail</w:t>
            </w:r>
          </w:p>
        </w:tc>
        <w:tc>
          <w:tcPr>
            <w:tcW w:w="898"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726D57A3"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High</w:t>
            </w:r>
          </w:p>
        </w:tc>
        <w:tc>
          <w:tcPr>
            <w:tcW w:w="1014"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67C7F875"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High</w:t>
            </w:r>
          </w:p>
        </w:tc>
        <w:tc>
          <w:tcPr>
            <w:tcW w:w="1355"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7D937E3C"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Manage Closely</w:t>
            </w:r>
          </w:p>
        </w:tc>
        <w:tc>
          <w:tcPr>
            <w:tcW w:w="4304"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1E5ECCEB"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Joint working group; shared schedule; weekly operational interface meetings</w:t>
            </w:r>
          </w:p>
        </w:tc>
      </w:tr>
      <w:tr w:rsidR="00553D7C" w:rsidRPr="00553D7C" w14:paraId="70A523B6" w14:textId="77777777" w:rsidTr="00C408F0">
        <w:tc>
          <w:tcPr>
            <w:tcW w:w="1789"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23B1699B"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lastRenderedPageBreak/>
              <w:t>Construction Consortium</w:t>
            </w:r>
          </w:p>
        </w:tc>
        <w:tc>
          <w:tcPr>
            <w:tcW w:w="898"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682D2B82"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High</w:t>
            </w:r>
          </w:p>
        </w:tc>
        <w:tc>
          <w:tcPr>
            <w:tcW w:w="1014"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27EB1004"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High</w:t>
            </w:r>
          </w:p>
        </w:tc>
        <w:tc>
          <w:tcPr>
            <w:tcW w:w="1355"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7FD2319B"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Manage Closely</w:t>
            </w:r>
          </w:p>
        </w:tc>
        <w:tc>
          <w:tcPr>
            <w:tcW w:w="4304"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3DC60470"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Daily site management meetings; KPI dashboard; risk review forums</w:t>
            </w:r>
          </w:p>
        </w:tc>
      </w:tr>
      <w:tr w:rsidR="00553D7C" w:rsidRPr="00553D7C" w14:paraId="1E758923" w14:textId="77777777" w:rsidTr="00C408F0">
        <w:tc>
          <w:tcPr>
            <w:tcW w:w="1789"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0A57F3F5"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Environment Agency</w:t>
            </w:r>
          </w:p>
        </w:tc>
        <w:tc>
          <w:tcPr>
            <w:tcW w:w="898"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6B36B4C6"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High</w:t>
            </w:r>
          </w:p>
        </w:tc>
        <w:tc>
          <w:tcPr>
            <w:tcW w:w="1014"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2CC207AB"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Medium</w:t>
            </w:r>
          </w:p>
        </w:tc>
        <w:tc>
          <w:tcPr>
            <w:tcW w:w="1355"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2AACE8CA"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Keep Satisfied</w:t>
            </w:r>
          </w:p>
        </w:tc>
        <w:tc>
          <w:tcPr>
            <w:tcW w:w="4304"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466B53AA"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Quarterly compliance reports; EIA updates; immediate escalation on incidents</w:t>
            </w:r>
          </w:p>
        </w:tc>
      </w:tr>
      <w:tr w:rsidR="00553D7C" w:rsidRPr="00553D7C" w14:paraId="7F916772" w14:textId="77777777" w:rsidTr="00C408F0">
        <w:tc>
          <w:tcPr>
            <w:tcW w:w="1789"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1E1AB82B"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Disability Advisory Groups</w:t>
            </w:r>
          </w:p>
        </w:tc>
        <w:tc>
          <w:tcPr>
            <w:tcW w:w="898"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021802CC"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Low</w:t>
            </w:r>
          </w:p>
        </w:tc>
        <w:tc>
          <w:tcPr>
            <w:tcW w:w="1014"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6E2FEFEC"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High</w:t>
            </w:r>
          </w:p>
        </w:tc>
        <w:tc>
          <w:tcPr>
            <w:tcW w:w="1355"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40142A32"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Keep Informed</w:t>
            </w:r>
          </w:p>
        </w:tc>
        <w:tc>
          <w:tcPr>
            <w:tcW w:w="4304"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60A39B80"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Quarterly engagement sessions; design review participation; accessible documents</w:t>
            </w:r>
          </w:p>
        </w:tc>
      </w:tr>
      <w:tr w:rsidR="00553D7C" w:rsidRPr="00553D7C" w14:paraId="513C7878" w14:textId="77777777" w:rsidTr="00C408F0">
        <w:tc>
          <w:tcPr>
            <w:tcW w:w="1789"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083A7A7A"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Local Residents &amp; Commuters</w:t>
            </w:r>
          </w:p>
        </w:tc>
        <w:tc>
          <w:tcPr>
            <w:tcW w:w="898"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467949C0"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Low</w:t>
            </w:r>
          </w:p>
        </w:tc>
        <w:tc>
          <w:tcPr>
            <w:tcW w:w="1014"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360F23C4"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High</w:t>
            </w:r>
          </w:p>
        </w:tc>
        <w:tc>
          <w:tcPr>
            <w:tcW w:w="1355"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7DDBE7F2"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Keep Informed</w:t>
            </w:r>
          </w:p>
        </w:tc>
        <w:tc>
          <w:tcPr>
            <w:tcW w:w="4304"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785E35A2"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Monthly public newsletter; community drop-in sessions; dedicated helpline</w:t>
            </w:r>
          </w:p>
        </w:tc>
      </w:tr>
      <w:tr w:rsidR="00553D7C" w:rsidRPr="00553D7C" w14:paraId="565E3E48" w14:textId="77777777" w:rsidTr="00C408F0">
        <w:tc>
          <w:tcPr>
            <w:tcW w:w="1789"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17E66DBC"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Local Businesses</w:t>
            </w:r>
          </w:p>
        </w:tc>
        <w:tc>
          <w:tcPr>
            <w:tcW w:w="898"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7E0C8C7A"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Low</w:t>
            </w:r>
          </w:p>
        </w:tc>
        <w:tc>
          <w:tcPr>
            <w:tcW w:w="1014"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42761397"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Medium</w:t>
            </w:r>
          </w:p>
        </w:tc>
        <w:tc>
          <w:tcPr>
            <w:tcW w:w="1355"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46DA57A7"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Monitor</w:t>
            </w:r>
          </w:p>
        </w:tc>
        <w:tc>
          <w:tcPr>
            <w:tcW w:w="4304"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41618CAA"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Bi-monthly updates; advance notice of disruption; business liaison officer</w:t>
            </w:r>
          </w:p>
        </w:tc>
      </w:tr>
    </w:tbl>
    <w:p w14:paraId="61DF0145" w14:textId="77777777" w:rsidR="00DA3002" w:rsidRPr="00AD5EE0" w:rsidRDefault="00DA3002" w:rsidP="00AD5EE0">
      <w:pPr>
        <w:spacing w:line="360" w:lineRule="auto"/>
        <w:rPr>
          <w:rFonts w:ascii="Times New Roman" w:hAnsi="Times New Roman" w:cs="Times New Roman"/>
          <w:b/>
          <w:bCs/>
          <w:sz w:val="24"/>
          <w:szCs w:val="24"/>
        </w:rPr>
      </w:pPr>
      <w:r w:rsidRPr="00AD5EE0">
        <w:rPr>
          <w:rFonts w:ascii="Times New Roman" w:hAnsi="Times New Roman" w:cs="Times New Roman"/>
          <w:sz w:val="24"/>
          <w:szCs w:val="24"/>
        </w:rPr>
        <w:t>The RACI matrix (Responsible, Accountable, Consulted, Informed) was developed in conjunction with the stakeholder register and adds clarity about decision rights for all 23 project work packages, making it clear who is accountable in all aspects of the project life cycle (PMI, 2021).</w:t>
      </w:r>
    </w:p>
    <w:p w14:paraId="1CFBF393" w14:textId="7A9FDC9A" w:rsidR="00A114FD" w:rsidRPr="00553D7C" w:rsidRDefault="00280F89" w:rsidP="00AD5EE0">
      <w:pPr>
        <w:pStyle w:val="Heading1"/>
        <w:spacing w:before="280" w:after="120"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8. Resource Allocation</w:t>
      </w:r>
    </w:p>
    <w:p w14:paraId="4E8B56B8" w14:textId="77777777" w:rsidR="00DA3002" w:rsidRPr="00553D7C" w:rsidRDefault="00DA3002" w:rsidP="00DA3002">
      <w:pPr>
        <w:spacing w:before="80" w:after="100" w:line="360" w:lineRule="auto"/>
        <w:jc w:val="both"/>
        <w:rPr>
          <w:rFonts w:ascii="Times New Roman" w:hAnsi="Times New Roman" w:cs="Times New Roman"/>
          <w:color w:val="auto"/>
          <w:sz w:val="24"/>
          <w:szCs w:val="24"/>
        </w:rPr>
      </w:pPr>
      <w:r w:rsidRPr="00553D7C">
        <w:rPr>
          <w:rFonts w:ascii="Times New Roman" w:hAnsi="Times New Roman" w:cs="Times New Roman"/>
          <w:color w:val="auto"/>
          <w:sz w:val="24"/>
          <w:szCs w:val="24"/>
        </w:rPr>
        <w:t xml:space="preserve">Resource management is a key factor in the performance of a project; and under-resourced workstreams are a significant contributor to the schedule delay and cost overruns in infrastructure programmes (Flyvbjerg, Bruzelius and </w:t>
      </w:r>
      <w:proofErr w:type="spellStart"/>
      <w:r w:rsidRPr="00553D7C">
        <w:rPr>
          <w:rFonts w:ascii="Times New Roman" w:hAnsi="Times New Roman" w:cs="Times New Roman"/>
          <w:color w:val="auto"/>
          <w:sz w:val="24"/>
          <w:szCs w:val="24"/>
        </w:rPr>
        <w:t>Rothengatter</w:t>
      </w:r>
      <w:proofErr w:type="spellEnd"/>
      <w:r w:rsidRPr="00553D7C">
        <w:rPr>
          <w:rFonts w:ascii="Times New Roman" w:hAnsi="Times New Roman" w:cs="Times New Roman"/>
          <w:color w:val="auto"/>
          <w:sz w:val="24"/>
          <w:szCs w:val="24"/>
        </w:rPr>
        <w:t>, 2003). The plan for the allocation of the resources on this project is divided into four categories: human resources, equipment, financial resources, and information technology.</w:t>
      </w:r>
    </w:p>
    <w:p w14:paraId="33277DCE" w14:textId="5C65FB4E" w:rsidR="00A114FD" w:rsidRPr="00553D7C" w:rsidRDefault="00DA3002" w:rsidP="00DA3002">
      <w:pPr>
        <w:spacing w:before="80" w:after="100" w:line="360" w:lineRule="auto"/>
        <w:jc w:val="both"/>
        <w:rPr>
          <w:rFonts w:ascii="Times New Roman" w:hAnsi="Times New Roman" w:cs="Times New Roman"/>
          <w:color w:val="auto"/>
          <w:sz w:val="24"/>
          <w:szCs w:val="24"/>
        </w:rPr>
      </w:pPr>
      <w:r w:rsidRPr="00553D7C">
        <w:rPr>
          <w:rFonts w:ascii="Times New Roman" w:hAnsi="Times New Roman" w:cs="Times New Roman"/>
          <w:color w:val="auto"/>
          <w:sz w:val="24"/>
          <w:szCs w:val="24"/>
        </w:rPr>
        <w:t>Human resources are structured in a hierarchical project team, comprising of the Project Manager, Project Management Office (PMO) and six functional stream leads: civil engineering, digital infrastructure, sustainability, health &amp; safety, stakeholder engagement, finance &amp; commercial. The project will have around 850 direct staff and an additional 340 sub-contractors at the peak construction period (Q3 2026 – Q2 2027).</w:t>
      </w:r>
    </w:p>
    <w:p w14:paraId="0D120535" w14:textId="77777777" w:rsidR="00A114FD" w:rsidRPr="00553D7C" w:rsidRDefault="00280F89" w:rsidP="00AD5EE0">
      <w:pPr>
        <w:spacing w:before="100" w:after="60" w:line="360" w:lineRule="auto"/>
        <w:jc w:val="center"/>
        <w:rPr>
          <w:rFonts w:ascii="Times New Roman" w:hAnsi="Times New Roman" w:cs="Times New Roman"/>
          <w:color w:val="auto"/>
          <w:sz w:val="24"/>
          <w:szCs w:val="24"/>
        </w:rPr>
      </w:pPr>
      <w:r w:rsidRPr="00553D7C">
        <w:rPr>
          <w:rFonts w:ascii="Times New Roman" w:hAnsi="Times New Roman" w:cs="Times New Roman"/>
          <w:b/>
          <w:bCs/>
          <w:i/>
          <w:iCs/>
          <w:color w:val="auto"/>
          <w:sz w:val="24"/>
          <w:szCs w:val="24"/>
        </w:rPr>
        <w:t>Table 3: High-Level Resource Allocation Summary</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0CECE" w:themeFill="background2" w:themeFillShade="E6"/>
        <w:tblCellMar>
          <w:left w:w="10" w:type="dxa"/>
          <w:right w:w="10" w:type="dxa"/>
        </w:tblCellMar>
        <w:tblLook w:val="0000" w:firstRow="0" w:lastRow="0" w:firstColumn="0" w:lastColumn="0" w:noHBand="0" w:noVBand="0"/>
      </w:tblPr>
      <w:tblGrid>
        <w:gridCol w:w="2000"/>
        <w:gridCol w:w="2600"/>
        <w:gridCol w:w="3060"/>
        <w:gridCol w:w="1700"/>
      </w:tblGrid>
      <w:tr w:rsidR="00553D7C" w:rsidRPr="00553D7C" w14:paraId="20AADDB8" w14:textId="77777777" w:rsidTr="00C408F0">
        <w:tc>
          <w:tcPr>
            <w:tcW w:w="2000"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075E6CAB"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Resource Category</w:t>
            </w:r>
          </w:p>
        </w:tc>
        <w:tc>
          <w:tcPr>
            <w:tcW w:w="2600"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4C7B8841"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Allocated Resource</w:t>
            </w:r>
          </w:p>
        </w:tc>
        <w:tc>
          <w:tcPr>
            <w:tcW w:w="3060"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3A26FEEE"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Responsibility</w:t>
            </w:r>
          </w:p>
        </w:tc>
        <w:tc>
          <w:tcPr>
            <w:tcW w:w="1700"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050EB7B9"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Budget Allocation</w:t>
            </w:r>
          </w:p>
        </w:tc>
      </w:tr>
      <w:tr w:rsidR="00553D7C" w:rsidRPr="00553D7C" w14:paraId="688A339C" w14:textId="77777777" w:rsidTr="00C408F0">
        <w:tc>
          <w:tcPr>
            <w:tcW w:w="2000"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5608A772"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Project Governance</w:t>
            </w:r>
          </w:p>
        </w:tc>
        <w:tc>
          <w:tcPr>
            <w:tcW w:w="2600"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250CA4D2"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Project Manager, PMO (3 FTE)</w:t>
            </w:r>
          </w:p>
        </w:tc>
        <w:tc>
          <w:tcPr>
            <w:tcW w:w="3060"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711BCF0C"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Overall delivery; reporting; governance</w:t>
            </w:r>
          </w:p>
        </w:tc>
        <w:tc>
          <w:tcPr>
            <w:tcW w:w="1700"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52E2F97E"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£2,500,000</w:t>
            </w:r>
          </w:p>
        </w:tc>
      </w:tr>
      <w:tr w:rsidR="00553D7C" w:rsidRPr="00553D7C" w14:paraId="58AEC213" w14:textId="77777777" w:rsidTr="00C408F0">
        <w:tc>
          <w:tcPr>
            <w:tcW w:w="2000"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18EAC389"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lastRenderedPageBreak/>
              <w:t>Civil &amp; Structural</w:t>
            </w:r>
          </w:p>
        </w:tc>
        <w:tc>
          <w:tcPr>
            <w:tcW w:w="2600"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015C2CC6"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Lead Civil Engineer + 400 site staff</w:t>
            </w:r>
          </w:p>
        </w:tc>
        <w:tc>
          <w:tcPr>
            <w:tcW w:w="3060"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482E5EC7"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Demolition, construction, civil works</w:t>
            </w:r>
          </w:p>
        </w:tc>
        <w:tc>
          <w:tcPr>
            <w:tcW w:w="1700"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35F6D0A3"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£130,000,000</w:t>
            </w:r>
          </w:p>
        </w:tc>
      </w:tr>
      <w:tr w:rsidR="00553D7C" w:rsidRPr="00553D7C" w14:paraId="66D2273C" w14:textId="77777777" w:rsidTr="00C408F0">
        <w:tc>
          <w:tcPr>
            <w:tcW w:w="2000"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435829F8"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Digital Infrastructure</w:t>
            </w:r>
          </w:p>
        </w:tc>
        <w:tc>
          <w:tcPr>
            <w:tcW w:w="2600"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284EEB7B"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IT Project Lead + 12 specialists</w:t>
            </w:r>
          </w:p>
        </w:tc>
        <w:tc>
          <w:tcPr>
            <w:tcW w:w="3060"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76ACA619"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IoT, ticketing, security systems</w:t>
            </w:r>
          </w:p>
        </w:tc>
        <w:tc>
          <w:tcPr>
            <w:tcW w:w="1700"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586CF3CF"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£32,000,000</w:t>
            </w:r>
          </w:p>
        </w:tc>
      </w:tr>
      <w:tr w:rsidR="00553D7C" w:rsidRPr="00553D7C" w14:paraId="4D08B2C4" w14:textId="77777777" w:rsidTr="00C408F0">
        <w:tc>
          <w:tcPr>
            <w:tcW w:w="2000"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27381D3D"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Sustainability</w:t>
            </w:r>
          </w:p>
        </w:tc>
        <w:tc>
          <w:tcPr>
            <w:tcW w:w="2600"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2EC66AFA"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Sustainability Manager + 6 specialists</w:t>
            </w:r>
          </w:p>
        </w:tc>
        <w:tc>
          <w:tcPr>
            <w:tcW w:w="3060"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0D02CD0B"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BREEAM, solar, EV, EIA compliance</w:t>
            </w:r>
          </w:p>
        </w:tc>
        <w:tc>
          <w:tcPr>
            <w:tcW w:w="1700"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3F80D8C4"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£15,000,000</w:t>
            </w:r>
          </w:p>
        </w:tc>
      </w:tr>
      <w:tr w:rsidR="00553D7C" w:rsidRPr="00553D7C" w14:paraId="3218D2E9" w14:textId="77777777" w:rsidTr="00C408F0">
        <w:tc>
          <w:tcPr>
            <w:tcW w:w="2000"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61BEE1B1"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Health &amp; Safety</w:t>
            </w:r>
          </w:p>
        </w:tc>
        <w:tc>
          <w:tcPr>
            <w:tcW w:w="2600"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72E530FE"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H&amp;S Manager + 8 officers</w:t>
            </w:r>
          </w:p>
        </w:tc>
        <w:tc>
          <w:tcPr>
            <w:tcW w:w="3060"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5D957D7A"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CDM compliance; site safety</w:t>
            </w:r>
          </w:p>
        </w:tc>
        <w:tc>
          <w:tcPr>
            <w:tcW w:w="1700"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4AFB9F3D"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£5,000,000</w:t>
            </w:r>
          </w:p>
        </w:tc>
      </w:tr>
      <w:tr w:rsidR="00553D7C" w:rsidRPr="00553D7C" w14:paraId="317B18A5" w14:textId="77777777" w:rsidTr="00C408F0">
        <w:tc>
          <w:tcPr>
            <w:tcW w:w="2000"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7D5FEFC2"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Stakeholder Engagement</w:t>
            </w:r>
          </w:p>
        </w:tc>
        <w:tc>
          <w:tcPr>
            <w:tcW w:w="2600"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647DF1BE"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Comms Lead + 3 officers</w:t>
            </w:r>
          </w:p>
        </w:tc>
        <w:tc>
          <w:tcPr>
            <w:tcW w:w="3060"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4EAFE110"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Community, political, operational liaison</w:t>
            </w:r>
          </w:p>
        </w:tc>
        <w:tc>
          <w:tcPr>
            <w:tcW w:w="1700"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4C59F0E3"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£1,500,000</w:t>
            </w:r>
          </w:p>
        </w:tc>
      </w:tr>
      <w:tr w:rsidR="00553D7C" w:rsidRPr="00553D7C" w14:paraId="18ED8C4F" w14:textId="77777777" w:rsidTr="00C408F0">
        <w:tc>
          <w:tcPr>
            <w:tcW w:w="2000"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5A6D4629"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Contingency Reserve</w:t>
            </w:r>
          </w:p>
        </w:tc>
        <w:tc>
          <w:tcPr>
            <w:tcW w:w="2600"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2D297307"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PMO-controlled</w:t>
            </w:r>
          </w:p>
        </w:tc>
        <w:tc>
          <w:tcPr>
            <w:tcW w:w="3060"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2A2EAF1B"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Unforeseen risks; approved changes only</w:t>
            </w:r>
          </w:p>
        </w:tc>
        <w:tc>
          <w:tcPr>
            <w:tcW w:w="1700" w:type="dxa"/>
            <w:tcBorders>
              <w:top w:val="single" w:sz="4" w:space="0" w:color="AAAAAA"/>
              <w:left w:val="single" w:sz="4" w:space="0" w:color="AAAAAA"/>
              <w:bottom w:val="single" w:sz="4" w:space="0" w:color="AAAAAA"/>
              <w:right w:val="single" w:sz="4" w:space="0" w:color="AAAAAA"/>
            </w:tcBorders>
            <w:shd w:val="clear" w:color="auto" w:fill="D0CECE" w:themeFill="background2" w:themeFillShade="E6"/>
            <w:tcMar>
              <w:top w:w="70" w:type="dxa"/>
              <w:left w:w="100" w:type="dxa"/>
              <w:bottom w:w="70" w:type="dxa"/>
              <w:right w:w="100" w:type="dxa"/>
            </w:tcMar>
          </w:tcPr>
          <w:p w14:paraId="5C00774C"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£22,500,000</w:t>
            </w:r>
          </w:p>
        </w:tc>
      </w:tr>
    </w:tbl>
    <w:p w14:paraId="6C2C632D" w14:textId="1CE6B7F0" w:rsidR="00A114FD" w:rsidRPr="00553D7C" w:rsidRDefault="00DA3002" w:rsidP="0096145E">
      <w:pPr>
        <w:spacing w:before="80" w:after="100" w:line="360" w:lineRule="auto"/>
        <w:jc w:val="both"/>
        <w:rPr>
          <w:rFonts w:ascii="Times New Roman" w:hAnsi="Times New Roman" w:cs="Times New Roman"/>
          <w:color w:val="auto"/>
          <w:sz w:val="24"/>
          <w:szCs w:val="24"/>
        </w:rPr>
      </w:pPr>
      <w:r w:rsidRPr="00553D7C">
        <w:rPr>
          <w:rFonts w:ascii="Times New Roman" w:hAnsi="Times New Roman" w:cs="Times New Roman"/>
          <w:color w:val="auto"/>
          <w:sz w:val="24"/>
          <w:szCs w:val="24"/>
        </w:rPr>
        <w:t>The project manager will be conducting resource leveling based on Earned Value Management (EVM) techniques as he will be able to check Planned Value (PV) against Actual Cost (AC) and Earned Value (EV) at each reporting period (PMI, 2021; Kerzner, 2022). This offers early warning signs when resources are underperforming, and takes action to correct the situation before it gets out of hand.</w:t>
      </w:r>
    </w:p>
    <w:p w14:paraId="7DE5A330" w14:textId="77777777" w:rsidR="00A114FD" w:rsidRPr="00553D7C" w:rsidRDefault="00280F89" w:rsidP="00C80734">
      <w:pPr>
        <w:pStyle w:val="Heading1"/>
        <w:spacing w:before="280" w:after="120"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9. Risk Analysis</w:t>
      </w:r>
    </w:p>
    <w:p w14:paraId="27992E3B" w14:textId="77777777" w:rsidR="00DA3002" w:rsidRPr="00553D7C" w:rsidRDefault="00DA3002" w:rsidP="00DA3002">
      <w:pPr>
        <w:spacing w:before="80" w:after="100" w:line="360" w:lineRule="auto"/>
        <w:jc w:val="both"/>
        <w:rPr>
          <w:rFonts w:ascii="Times New Roman" w:hAnsi="Times New Roman" w:cs="Times New Roman"/>
          <w:color w:val="auto"/>
          <w:sz w:val="24"/>
          <w:szCs w:val="24"/>
        </w:rPr>
      </w:pPr>
      <w:r w:rsidRPr="00553D7C">
        <w:rPr>
          <w:rFonts w:ascii="Times New Roman" w:hAnsi="Times New Roman" w:cs="Times New Roman"/>
          <w:color w:val="auto"/>
          <w:sz w:val="24"/>
          <w:szCs w:val="24"/>
        </w:rPr>
        <w:t>Good risk management is indispensable to the successful implementation of infrastructure projects and empirical evidence shows that large-scale capital projects tend to cost overrun, be subject to schedule slip, and fail to deliver benefits without the proper risk governance (Flyvbjerg, 2017). This project implements the risk management approach as outlined in ISO 31000:2018, which includes risk identification, risk assessment (qualitative and quantitative), risk mitigation planning and monitoring of risks throughout the project lifecycle.</w:t>
      </w:r>
    </w:p>
    <w:p w14:paraId="720E9A2F" w14:textId="2A5A1B87" w:rsidR="00A114FD" w:rsidRPr="00553D7C" w:rsidRDefault="00DA3002" w:rsidP="00DA3002">
      <w:pPr>
        <w:spacing w:before="80" w:after="100" w:line="360" w:lineRule="auto"/>
        <w:jc w:val="both"/>
        <w:rPr>
          <w:rFonts w:ascii="Times New Roman" w:hAnsi="Times New Roman" w:cs="Times New Roman"/>
          <w:color w:val="auto"/>
          <w:sz w:val="24"/>
          <w:szCs w:val="24"/>
        </w:rPr>
      </w:pPr>
      <w:r w:rsidRPr="00553D7C">
        <w:rPr>
          <w:rFonts w:ascii="Times New Roman" w:hAnsi="Times New Roman" w:cs="Times New Roman"/>
          <w:color w:val="auto"/>
          <w:sz w:val="24"/>
          <w:szCs w:val="24"/>
        </w:rPr>
        <w:t>A 5×5 risk probability/impact matrix has been used to define each risk, with a ‘Risk Priority Number’ calculated (RPN = Probability × Impact), which is used for risk prioritisation and allocation of resources for mitigation. The project risk register is given in Table 4.</w:t>
      </w:r>
    </w:p>
    <w:p w14:paraId="175BF16C" w14:textId="77777777" w:rsidR="00AD5EE0" w:rsidRDefault="00AD5EE0" w:rsidP="00C408F0">
      <w:pPr>
        <w:spacing w:before="100" w:after="60" w:line="360" w:lineRule="auto"/>
        <w:jc w:val="center"/>
        <w:rPr>
          <w:rFonts w:ascii="Times New Roman" w:hAnsi="Times New Roman" w:cs="Times New Roman"/>
          <w:b/>
          <w:bCs/>
          <w:i/>
          <w:iCs/>
          <w:color w:val="auto"/>
          <w:sz w:val="24"/>
          <w:szCs w:val="24"/>
        </w:rPr>
      </w:pPr>
    </w:p>
    <w:p w14:paraId="450A6DE5" w14:textId="77777777" w:rsidR="00AD5EE0" w:rsidRDefault="00AD5EE0" w:rsidP="00C408F0">
      <w:pPr>
        <w:spacing w:before="100" w:after="60" w:line="360" w:lineRule="auto"/>
        <w:jc w:val="center"/>
        <w:rPr>
          <w:rFonts w:ascii="Times New Roman" w:hAnsi="Times New Roman" w:cs="Times New Roman"/>
          <w:b/>
          <w:bCs/>
          <w:i/>
          <w:iCs/>
          <w:color w:val="auto"/>
          <w:sz w:val="24"/>
          <w:szCs w:val="24"/>
        </w:rPr>
      </w:pPr>
    </w:p>
    <w:p w14:paraId="7B2AFFB6" w14:textId="77777777" w:rsidR="002F3C08" w:rsidRDefault="002F3C08" w:rsidP="00C408F0">
      <w:pPr>
        <w:spacing w:before="100" w:after="60" w:line="360" w:lineRule="auto"/>
        <w:jc w:val="center"/>
        <w:rPr>
          <w:rFonts w:ascii="Times New Roman" w:hAnsi="Times New Roman" w:cs="Times New Roman"/>
          <w:b/>
          <w:bCs/>
          <w:i/>
          <w:iCs/>
          <w:color w:val="auto"/>
          <w:sz w:val="24"/>
          <w:szCs w:val="24"/>
        </w:rPr>
      </w:pPr>
    </w:p>
    <w:p w14:paraId="26E1A370" w14:textId="77777777" w:rsidR="002F3C08" w:rsidRDefault="002F3C08" w:rsidP="00C408F0">
      <w:pPr>
        <w:spacing w:before="100" w:after="60" w:line="360" w:lineRule="auto"/>
        <w:jc w:val="center"/>
        <w:rPr>
          <w:rFonts w:ascii="Times New Roman" w:hAnsi="Times New Roman" w:cs="Times New Roman"/>
          <w:b/>
          <w:bCs/>
          <w:i/>
          <w:iCs/>
          <w:color w:val="auto"/>
          <w:sz w:val="24"/>
          <w:szCs w:val="24"/>
        </w:rPr>
      </w:pPr>
    </w:p>
    <w:p w14:paraId="353DE167" w14:textId="3BA0E799" w:rsidR="00A114FD" w:rsidRPr="00553D7C" w:rsidRDefault="00280F89" w:rsidP="00C408F0">
      <w:pPr>
        <w:spacing w:before="100" w:after="60" w:line="360" w:lineRule="auto"/>
        <w:jc w:val="center"/>
        <w:rPr>
          <w:rFonts w:ascii="Times New Roman" w:hAnsi="Times New Roman" w:cs="Times New Roman"/>
          <w:color w:val="auto"/>
          <w:sz w:val="24"/>
          <w:szCs w:val="24"/>
        </w:rPr>
      </w:pPr>
      <w:r w:rsidRPr="00553D7C">
        <w:rPr>
          <w:rFonts w:ascii="Times New Roman" w:hAnsi="Times New Roman" w:cs="Times New Roman"/>
          <w:b/>
          <w:bCs/>
          <w:i/>
          <w:iCs/>
          <w:color w:val="auto"/>
          <w:sz w:val="24"/>
          <w:szCs w:val="24"/>
        </w:rPr>
        <w:lastRenderedPageBreak/>
        <w:t>Table 4: Project Risk Register</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655"/>
        <w:gridCol w:w="1921"/>
        <w:gridCol w:w="767"/>
        <w:gridCol w:w="926"/>
        <w:gridCol w:w="674"/>
        <w:gridCol w:w="1054"/>
        <w:gridCol w:w="1883"/>
        <w:gridCol w:w="1480"/>
      </w:tblGrid>
      <w:tr w:rsidR="00553D7C" w:rsidRPr="00553D7C" w14:paraId="1F09ED4B" w14:textId="77777777" w:rsidTr="00C408F0">
        <w:tc>
          <w:tcPr>
            <w:tcW w:w="655"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60" w:type="dxa"/>
              <w:left w:w="80" w:type="dxa"/>
              <w:bottom w:w="60" w:type="dxa"/>
              <w:right w:w="80" w:type="dxa"/>
            </w:tcMar>
          </w:tcPr>
          <w:p w14:paraId="21FD0EA7"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Risk ID</w:t>
            </w:r>
          </w:p>
        </w:tc>
        <w:tc>
          <w:tcPr>
            <w:tcW w:w="1921"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60" w:type="dxa"/>
              <w:left w:w="80" w:type="dxa"/>
              <w:bottom w:w="60" w:type="dxa"/>
              <w:right w:w="80" w:type="dxa"/>
            </w:tcMar>
          </w:tcPr>
          <w:p w14:paraId="0427D52B"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Risk Description</w:t>
            </w:r>
          </w:p>
        </w:tc>
        <w:tc>
          <w:tcPr>
            <w:tcW w:w="767"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60" w:type="dxa"/>
              <w:left w:w="80" w:type="dxa"/>
              <w:bottom w:w="60" w:type="dxa"/>
              <w:right w:w="80" w:type="dxa"/>
            </w:tcMar>
          </w:tcPr>
          <w:p w14:paraId="07298474"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b/>
                <w:bCs/>
                <w:color w:val="auto"/>
                <w:sz w:val="24"/>
                <w:szCs w:val="24"/>
              </w:rPr>
              <w:t>Prob (1–5)</w:t>
            </w:r>
          </w:p>
        </w:tc>
        <w:tc>
          <w:tcPr>
            <w:tcW w:w="926"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60" w:type="dxa"/>
              <w:left w:w="80" w:type="dxa"/>
              <w:bottom w:w="60" w:type="dxa"/>
              <w:right w:w="80" w:type="dxa"/>
            </w:tcMar>
          </w:tcPr>
          <w:p w14:paraId="5ECB0199"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b/>
                <w:bCs/>
                <w:color w:val="auto"/>
                <w:sz w:val="24"/>
                <w:szCs w:val="24"/>
              </w:rPr>
              <w:t>Impact (1–5)</w:t>
            </w:r>
          </w:p>
        </w:tc>
        <w:tc>
          <w:tcPr>
            <w:tcW w:w="674"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60" w:type="dxa"/>
              <w:left w:w="80" w:type="dxa"/>
              <w:bottom w:w="60" w:type="dxa"/>
              <w:right w:w="80" w:type="dxa"/>
            </w:tcMar>
          </w:tcPr>
          <w:p w14:paraId="2D0931E9"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b/>
                <w:bCs/>
                <w:color w:val="auto"/>
                <w:sz w:val="24"/>
                <w:szCs w:val="24"/>
              </w:rPr>
              <w:t>RPN</w:t>
            </w:r>
          </w:p>
        </w:tc>
        <w:tc>
          <w:tcPr>
            <w:tcW w:w="1054"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60" w:type="dxa"/>
              <w:left w:w="80" w:type="dxa"/>
              <w:bottom w:w="60" w:type="dxa"/>
              <w:right w:w="80" w:type="dxa"/>
            </w:tcMar>
          </w:tcPr>
          <w:p w14:paraId="54CC7DA0"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b/>
                <w:bCs/>
                <w:color w:val="auto"/>
                <w:sz w:val="24"/>
                <w:szCs w:val="24"/>
              </w:rPr>
              <w:t>RAG</w:t>
            </w:r>
          </w:p>
        </w:tc>
        <w:tc>
          <w:tcPr>
            <w:tcW w:w="1883"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60" w:type="dxa"/>
              <w:left w:w="80" w:type="dxa"/>
              <w:bottom w:w="60" w:type="dxa"/>
              <w:right w:w="80" w:type="dxa"/>
            </w:tcMar>
          </w:tcPr>
          <w:p w14:paraId="43FC55FD"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Mitigation Strategy</w:t>
            </w:r>
          </w:p>
        </w:tc>
        <w:tc>
          <w:tcPr>
            <w:tcW w:w="1480" w:type="dxa"/>
            <w:tcBorders>
              <w:top w:val="single" w:sz="4" w:space="0" w:color="AAAAAA"/>
              <w:left w:val="single" w:sz="4" w:space="0" w:color="AAAAAA"/>
              <w:bottom w:val="single" w:sz="4" w:space="0" w:color="AAAAAA"/>
              <w:right w:val="single" w:sz="4" w:space="0" w:color="AAAAAA"/>
            </w:tcBorders>
            <w:shd w:val="clear" w:color="auto" w:fill="E7E6E6" w:themeFill="background2"/>
            <w:tcMar>
              <w:top w:w="60" w:type="dxa"/>
              <w:left w:w="80" w:type="dxa"/>
              <w:bottom w:w="60" w:type="dxa"/>
              <w:right w:w="80" w:type="dxa"/>
            </w:tcMar>
          </w:tcPr>
          <w:p w14:paraId="427BB635"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b/>
                <w:bCs/>
                <w:color w:val="auto"/>
                <w:sz w:val="24"/>
                <w:szCs w:val="24"/>
              </w:rPr>
              <w:t>Owner</w:t>
            </w:r>
          </w:p>
        </w:tc>
      </w:tr>
      <w:tr w:rsidR="00553D7C" w:rsidRPr="00553D7C" w14:paraId="3E782005" w14:textId="77777777" w:rsidTr="00DA3002">
        <w:tc>
          <w:tcPr>
            <w:tcW w:w="655"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5AE10826"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R01</w:t>
            </w:r>
          </w:p>
        </w:tc>
        <w:tc>
          <w:tcPr>
            <w:tcW w:w="1921"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06027299"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Significant cost overrun due to material price volatility or unforeseen ground conditions</w:t>
            </w:r>
          </w:p>
        </w:tc>
        <w:tc>
          <w:tcPr>
            <w:tcW w:w="767"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26F3146D"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4</w:t>
            </w:r>
          </w:p>
        </w:tc>
        <w:tc>
          <w:tcPr>
            <w:tcW w:w="926"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56635FF4"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5</w:t>
            </w:r>
          </w:p>
        </w:tc>
        <w:tc>
          <w:tcPr>
            <w:tcW w:w="674"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3D6502FC"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20</w:t>
            </w:r>
          </w:p>
        </w:tc>
        <w:tc>
          <w:tcPr>
            <w:tcW w:w="1054"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6730543D"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b/>
                <w:bCs/>
                <w:color w:val="auto"/>
                <w:sz w:val="24"/>
                <w:szCs w:val="24"/>
              </w:rPr>
              <w:t>RED</w:t>
            </w:r>
          </w:p>
        </w:tc>
        <w:tc>
          <w:tcPr>
            <w:tcW w:w="1883"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441C8812"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10% contingency reserve; EVM monitoring; fixed-price contracts where possible</w:t>
            </w:r>
          </w:p>
        </w:tc>
        <w:tc>
          <w:tcPr>
            <w:tcW w:w="1480"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159CE133"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Project Manager</w:t>
            </w:r>
          </w:p>
        </w:tc>
      </w:tr>
      <w:tr w:rsidR="00553D7C" w:rsidRPr="00553D7C" w14:paraId="64CD5224" w14:textId="77777777" w:rsidTr="00DA3002">
        <w:tc>
          <w:tcPr>
            <w:tcW w:w="655" w:type="dxa"/>
            <w:tcBorders>
              <w:top w:val="single" w:sz="4" w:space="0" w:color="AAAAAA"/>
              <w:left w:val="single" w:sz="4" w:space="0" w:color="AAAAAA"/>
              <w:bottom w:val="single" w:sz="4" w:space="0" w:color="AAAAAA"/>
              <w:right w:val="single" w:sz="4" w:space="0" w:color="AAAAAA"/>
            </w:tcBorders>
            <w:shd w:val="clear" w:color="auto" w:fill="F2F2F2"/>
            <w:tcMar>
              <w:top w:w="60" w:type="dxa"/>
              <w:left w:w="80" w:type="dxa"/>
              <w:bottom w:w="60" w:type="dxa"/>
              <w:right w:w="80" w:type="dxa"/>
            </w:tcMar>
          </w:tcPr>
          <w:p w14:paraId="21712607"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R02</w:t>
            </w:r>
          </w:p>
        </w:tc>
        <w:tc>
          <w:tcPr>
            <w:tcW w:w="1921" w:type="dxa"/>
            <w:tcBorders>
              <w:top w:val="single" w:sz="4" w:space="0" w:color="AAAAAA"/>
              <w:left w:val="single" w:sz="4" w:space="0" w:color="AAAAAA"/>
              <w:bottom w:val="single" w:sz="4" w:space="0" w:color="AAAAAA"/>
              <w:right w:val="single" w:sz="4" w:space="0" w:color="AAAAAA"/>
            </w:tcBorders>
            <w:shd w:val="clear" w:color="auto" w:fill="F2F2F2"/>
            <w:tcMar>
              <w:top w:w="60" w:type="dxa"/>
              <w:left w:w="80" w:type="dxa"/>
              <w:bottom w:w="60" w:type="dxa"/>
              <w:right w:w="80" w:type="dxa"/>
            </w:tcMar>
          </w:tcPr>
          <w:p w14:paraId="0CCC9597"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Construction delays due to adverse weather, supply chain disruption or subcontractor failure</w:t>
            </w:r>
          </w:p>
        </w:tc>
        <w:tc>
          <w:tcPr>
            <w:tcW w:w="767" w:type="dxa"/>
            <w:tcBorders>
              <w:top w:val="single" w:sz="4" w:space="0" w:color="AAAAAA"/>
              <w:left w:val="single" w:sz="4" w:space="0" w:color="AAAAAA"/>
              <w:bottom w:val="single" w:sz="4" w:space="0" w:color="AAAAAA"/>
              <w:right w:val="single" w:sz="4" w:space="0" w:color="AAAAAA"/>
            </w:tcBorders>
            <w:shd w:val="clear" w:color="auto" w:fill="F2F2F2"/>
            <w:tcMar>
              <w:top w:w="60" w:type="dxa"/>
              <w:left w:w="80" w:type="dxa"/>
              <w:bottom w:w="60" w:type="dxa"/>
              <w:right w:w="80" w:type="dxa"/>
            </w:tcMar>
          </w:tcPr>
          <w:p w14:paraId="1F937A6E"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4</w:t>
            </w:r>
          </w:p>
        </w:tc>
        <w:tc>
          <w:tcPr>
            <w:tcW w:w="926" w:type="dxa"/>
            <w:tcBorders>
              <w:top w:val="single" w:sz="4" w:space="0" w:color="AAAAAA"/>
              <w:left w:val="single" w:sz="4" w:space="0" w:color="AAAAAA"/>
              <w:bottom w:val="single" w:sz="4" w:space="0" w:color="AAAAAA"/>
              <w:right w:val="single" w:sz="4" w:space="0" w:color="AAAAAA"/>
            </w:tcBorders>
            <w:shd w:val="clear" w:color="auto" w:fill="F2F2F2"/>
            <w:tcMar>
              <w:top w:w="60" w:type="dxa"/>
              <w:left w:w="80" w:type="dxa"/>
              <w:bottom w:w="60" w:type="dxa"/>
              <w:right w:w="80" w:type="dxa"/>
            </w:tcMar>
          </w:tcPr>
          <w:p w14:paraId="77CC86C1"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4</w:t>
            </w:r>
          </w:p>
        </w:tc>
        <w:tc>
          <w:tcPr>
            <w:tcW w:w="674" w:type="dxa"/>
            <w:tcBorders>
              <w:top w:val="single" w:sz="4" w:space="0" w:color="AAAAAA"/>
              <w:left w:val="single" w:sz="4" w:space="0" w:color="AAAAAA"/>
              <w:bottom w:val="single" w:sz="4" w:space="0" w:color="AAAAAA"/>
              <w:right w:val="single" w:sz="4" w:space="0" w:color="AAAAAA"/>
            </w:tcBorders>
            <w:shd w:val="clear" w:color="auto" w:fill="F2F2F2"/>
            <w:tcMar>
              <w:top w:w="60" w:type="dxa"/>
              <w:left w:w="80" w:type="dxa"/>
              <w:bottom w:w="60" w:type="dxa"/>
              <w:right w:w="80" w:type="dxa"/>
            </w:tcMar>
          </w:tcPr>
          <w:p w14:paraId="7C5A8E2D"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16</w:t>
            </w:r>
          </w:p>
        </w:tc>
        <w:tc>
          <w:tcPr>
            <w:tcW w:w="1054" w:type="dxa"/>
            <w:tcBorders>
              <w:top w:val="single" w:sz="4" w:space="0" w:color="AAAAAA"/>
              <w:left w:val="single" w:sz="4" w:space="0" w:color="AAAAAA"/>
              <w:bottom w:val="single" w:sz="4" w:space="0" w:color="AAAAAA"/>
              <w:right w:val="single" w:sz="4" w:space="0" w:color="AAAAAA"/>
            </w:tcBorders>
            <w:shd w:val="clear" w:color="auto" w:fill="F2F2F2"/>
            <w:tcMar>
              <w:top w:w="60" w:type="dxa"/>
              <w:left w:w="80" w:type="dxa"/>
              <w:bottom w:w="60" w:type="dxa"/>
              <w:right w:w="80" w:type="dxa"/>
            </w:tcMar>
          </w:tcPr>
          <w:p w14:paraId="390D3C20"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b/>
                <w:bCs/>
                <w:color w:val="auto"/>
                <w:sz w:val="24"/>
                <w:szCs w:val="24"/>
              </w:rPr>
              <w:t>RED</w:t>
            </w:r>
          </w:p>
        </w:tc>
        <w:tc>
          <w:tcPr>
            <w:tcW w:w="1883" w:type="dxa"/>
            <w:tcBorders>
              <w:top w:val="single" w:sz="4" w:space="0" w:color="AAAAAA"/>
              <w:left w:val="single" w:sz="4" w:space="0" w:color="AAAAAA"/>
              <w:bottom w:val="single" w:sz="4" w:space="0" w:color="AAAAAA"/>
              <w:right w:val="single" w:sz="4" w:space="0" w:color="AAAAAA"/>
            </w:tcBorders>
            <w:shd w:val="clear" w:color="auto" w:fill="F2F2F2"/>
            <w:tcMar>
              <w:top w:w="60" w:type="dxa"/>
              <w:left w:w="80" w:type="dxa"/>
              <w:bottom w:w="60" w:type="dxa"/>
              <w:right w:w="80" w:type="dxa"/>
            </w:tcMar>
          </w:tcPr>
          <w:p w14:paraId="4BC86121"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Phased delivery plan; float in critical path; alternative supplier register</w:t>
            </w:r>
          </w:p>
        </w:tc>
        <w:tc>
          <w:tcPr>
            <w:tcW w:w="1480" w:type="dxa"/>
            <w:tcBorders>
              <w:top w:val="single" w:sz="4" w:space="0" w:color="AAAAAA"/>
              <w:left w:val="single" w:sz="4" w:space="0" w:color="AAAAAA"/>
              <w:bottom w:val="single" w:sz="4" w:space="0" w:color="AAAAAA"/>
              <w:right w:val="single" w:sz="4" w:space="0" w:color="AAAAAA"/>
            </w:tcBorders>
            <w:shd w:val="clear" w:color="auto" w:fill="F2F2F2"/>
            <w:tcMar>
              <w:top w:w="60" w:type="dxa"/>
              <w:left w:w="80" w:type="dxa"/>
              <w:bottom w:w="60" w:type="dxa"/>
              <w:right w:w="80" w:type="dxa"/>
            </w:tcMar>
          </w:tcPr>
          <w:p w14:paraId="61431018"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Construction Director</w:t>
            </w:r>
          </w:p>
        </w:tc>
      </w:tr>
      <w:tr w:rsidR="00553D7C" w:rsidRPr="00553D7C" w14:paraId="06D7DF64" w14:textId="77777777" w:rsidTr="00DA3002">
        <w:tc>
          <w:tcPr>
            <w:tcW w:w="655"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33D51EB9"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R03</w:t>
            </w:r>
          </w:p>
        </w:tc>
        <w:tc>
          <w:tcPr>
            <w:tcW w:w="1921"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12086B6A"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Stakeholder opposition delaying planning consents or causing political intervention</w:t>
            </w:r>
          </w:p>
        </w:tc>
        <w:tc>
          <w:tcPr>
            <w:tcW w:w="767"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680D6A91"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3</w:t>
            </w:r>
          </w:p>
        </w:tc>
        <w:tc>
          <w:tcPr>
            <w:tcW w:w="926"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65BE2B31"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3</w:t>
            </w:r>
          </w:p>
        </w:tc>
        <w:tc>
          <w:tcPr>
            <w:tcW w:w="674"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4B8BF3EE"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9</w:t>
            </w:r>
          </w:p>
        </w:tc>
        <w:tc>
          <w:tcPr>
            <w:tcW w:w="1054"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5319D856"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b/>
                <w:bCs/>
                <w:color w:val="auto"/>
                <w:sz w:val="24"/>
                <w:szCs w:val="24"/>
              </w:rPr>
              <w:t>AMBER</w:t>
            </w:r>
          </w:p>
        </w:tc>
        <w:tc>
          <w:tcPr>
            <w:tcW w:w="1883"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218D4425"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Proactive engagement plan; political liaison; transparent communications</w:t>
            </w:r>
          </w:p>
        </w:tc>
        <w:tc>
          <w:tcPr>
            <w:tcW w:w="1480"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437BFE4E"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Comms Lead</w:t>
            </w:r>
          </w:p>
        </w:tc>
      </w:tr>
      <w:tr w:rsidR="00553D7C" w:rsidRPr="00553D7C" w14:paraId="3113D728" w14:textId="77777777" w:rsidTr="00DA3002">
        <w:tc>
          <w:tcPr>
            <w:tcW w:w="655" w:type="dxa"/>
            <w:tcBorders>
              <w:top w:val="single" w:sz="4" w:space="0" w:color="AAAAAA"/>
              <w:left w:val="single" w:sz="4" w:space="0" w:color="AAAAAA"/>
              <w:bottom w:val="single" w:sz="4" w:space="0" w:color="AAAAAA"/>
              <w:right w:val="single" w:sz="4" w:space="0" w:color="AAAAAA"/>
            </w:tcBorders>
            <w:shd w:val="clear" w:color="auto" w:fill="F2F2F2"/>
            <w:tcMar>
              <w:top w:w="60" w:type="dxa"/>
              <w:left w:w="80" w:type="dxa"/>
              <w:bottom w:w="60" w:type="dxa"/>
              <w:right w:w="80" w:type="dxa"/>
            </w:tcMar>
          </w:tcPr>
          <w:p w14:paraId="22A1A5C5"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R04</w:t>
            </w:r>
          </w:p>
        </w:tc>
        <w:tc>
          <w:tcPr>
            <w:tcW w:w="1921" w:type="dxa"/>
            <w:tcBorders>
              <w:top w:val="single" w:sz="4" w:space="0" w:color="AAAAAA"/>
              <w:left w:val="single" w:sz="4" w:space="0" w:color="AAAAAA"/>
              <w:bottom w:val="single" w:sz="4" w:space="0" w:color="AAAAAA"/>
              <w:right w:val="single" w:sz="4" w:space="0" w:color="AAAAAA"/>
            </w:tcBorders>
            <w:shd w:val="clear" w:color="auto" w:fill="F2F2F2"/>
            <w:tcMar>
              <w:top w:w="60" w:type="dxa"/>
              <w:left w:w="80" w:type="dxa"/>
              <w:bottom w:w="60" w:type="dxa"/>
              <w:right w:w="80" w:type="dxa"/>
            </w:tcMar>
          </w:tcPr>
          <w:p w14:paraId="2E613103"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Environmental disruption causing regulatory breach or enforcement notice</w:t>
            </w:r>
          </w:p>
        </w:tc>
        <w:tc>
          <w:tcPr>
            <w:tcW w:w="767" w:type="dxa"/>
            <w:tcBorders>
              <w:top w:val="single" w:sz="4" w:space="0" w:color="AAAAAA"/>
              <w:left w:val="single" w:sz="4" w:space="0" w:color="AAAAAA"/>
              <w:bottom w:val="single" w:sz="4" w:space="0" w:color="AAAAAA"/>
              <w:right w:val="single" w:sz="4" w:space="0" w:color="AAAAAA"/>
            </w:tcBorders>
            <w:shd w:val="clear" w:color="auto" w:fill="F2F2F2"/>
            <w:tcMar>
              <w:top w:w="60" w:type="dxa"/>
              <w:left w:w="80" w:type="dxa"/>
              <w:bottom w:w="60" w:type="dxa"/>
              <w:right w:w="80" w:type="dxa"/>
            </w:tcMar>
          </w:tcPr>
          <w:p w14:paraId="61A20DA4"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3</w:t>
            </w:r>
          </w:p>
        </w:tc>
        <w:tc>
          <w:tcPr>
            <w:tcW w:w="926" w:type="dxa"/>
            <w:tcBorders>
              <w:top w:val="single" w:sz="4" w:space="0" w:color="AAAAAA"/>
              <w:left w:val="single" w:sz="4" w:space="0" w:color="AAAAAA"/>
              <w:bottom w:val="single" w:sz="4" w:space="0" w:color="AAAAAA"/>
              <w:right w:val="single" w:sz="4" w:space="0" w:color="AAAAAA"/>
            </w:tcBorders>
            <w:shd w:val="clear" w:color="auto" w:fill="F2F2F2"/>
            <w:tcMar>
              <w:top w:w="60" w:type="dxa"/>
              <w:left w:w="80" w:type="dxa"/>
              <w:bottom w:w="60" w:type="dxa"/>
              <w:right w:w="80" w:type="dxa"/>
            </w:tcMar>
          </w:tcPr>
          <w:p w14:paraId="20F22658"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3</w:t>
            </w:r>
          </w:p>
        </w:tc>
        <w:tc>
          <w:tcPr>
            <w:tcW w:w="674" w:type="dxa"/>
            <w:tcBorders>
              <w:top w:val="single" w:sz="4" w:space="0" w:color="AAAAAA"/>
              <w:left w:val="single" w:sz="4" w:space="0" w:color="AAAAAA"/>
              <w:bottom w:val="single" w:sz="4" w:space="0" w:color="AAAAAA"/>
              <w:right w:val="single" w:sz="4" w:space="0" w:color="AAAAAA"/>
            </w:tcBorders>
            <w:shd w:val="clear" w:color="auto" w:fill="F2F2F2"/>
            <w:tcMar>
              <w:top w:w="60" w:type="dxa"/>
              <w:left w:w="80" w:type="dxa"/>
              <w:bottom w:w="60" w:type="dxa"/>
              <w:right w:w="80" w:type="dxa"/>
            </w:tcMar>
          </w:tcPr>
          <w:p w14:paraId="04B5C8AD"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9</w:t>
            </w:r>
          </w:p>
        </w:tc>
        <w:tc>
          <w:tcPr>
            <w:tcW w:w="1054" w:type="dxa"/>
            <w:tcBorders>
              <w:top w:val="single" w:sz="4" w:space="0" w:color="AAAAAA"/>
              <w:left w:val="single" w:sz="4" w:space="0" w:color="AAAAAA"/>
              <w:bottom w:val="single" w:sz="4" w:space="0" w:color="AAAAAA"/>
              <w:right w:val="single" w:sz="4" w:space="0" w:color="AAAAAA"/>
            </w:tcBorders>
            <w:shd w:val="clear" w:color="auto" w:fill="F2F2F2"/>
            <w:tcMar>
              <w:top w:w="60" w:type="dxa"/>
              <w:left w:w="80" w:type="dxa"/>
              <w:bottom w:w="60" w:type="dxa"/>
              <w:right w:w="80" w:type="dxa"/>
            </w:tcMar>
          </w:tcPr>
          <w:p w14:paraId="4CE04BFF"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b/>
                <w:bCs/>
                <w:color w:val="auto"/>
                <w:sz w:val="24"/>
                <w:szCs w:val="24"/>
              </w:rPr>
              <w:t>AMBER</w:t>
            </w:r>
          </w:p>
        </w:tc>
        <w:tc>
          <w:tcPr>
            <w:tcW w:w="1883" w:type="dxa"/>
            <w:tcBorders>
              <w:top w:val="single" w:sz="4" w:space="0" w:color="AAAAAA"/>
              <w:left w:val="single" w:sz="4" w:space="0" w:color="AAAAAA"/>
              <w:bottom w:val="single" w:sz="4" w:space="0" w:color="AAAAAA"/>
              <w:right w:val="single" w:sz="4" w:space="0" w:color="AAAAAA"/>
            </w:tcBorders>
            <w:shd w:val="clear" w:color="auto" w:fill="F2F2F2"/>
            <w:tcMar>
              <w:top w:w="60" w:type="dxa"/>
              <w:left w:w="80" w:type="dxa"/>
              <w:bottom w:w="60" w:type="dxa"/>
              <w:right w:w="80" w:type="dxa"/>
            </w:tcMar>
          </w:tcPr>
          <w:p w14:paraId="53D0437D"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EIA compliance; real-time noise/dust monitoring; Environment Agency reporting</w:t>
            </w:r>
          </w:p>
        </w:tc>
        <w:tc>
          <w:tcPr>
            <w:tcW w:w="1480" w:type="dxa"/>
            <w:tcBorders>
              <w:top w:val="single" w:sz="4" w:space="0" w:color="AAAAAA"/>
              <w:left w:val="single" w:sz="4" w:space="0" w:color="AAAAAA"/>
              <w:bottom w:val="single" w:sz="4" w:space="0" w:color="AAAAAA"/>
              <w:right w:val="single" w:sz="4" w:space="0" w:color="AAAAAA"/>
            </w:tcBorders>
            <w:shd w:val="clear" w:color="auto" w:fill="F2F2F2"/>
            <w:tcMar>
              <w:top w:w="60" w:type="dxa"/>
              <w:left w:w="80" w:type="dxa"/>
              <w:bottom w:w="60" w:type="dxa"/>
              <w:right w:w="80" w:type="dxa"/>
            </w:tcMar>
          </w:tcPr>
          <w:p w14:paraId="77B9E1AE"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Sustainability Manager</w:t>
            </w:r>
          </w:p>
        </w:tc>
      </w:tr>
      <w:tr w:rsidR="00553D7C" w:rsidRPr="00553D7C" w14:paraId="7A3AD104" w14:textId="77777777" w:rsidTr="00DA3002">
        <w:tc>
          <w:tcPr>
            <w:tcW w:w="655"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6131F89D"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R05</w:t>
            </w:r>
          </w:p>
        </w:tc>
        <w:tc>
          <w:tcPr>
            <w:tcW w:w="1921"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551B8C21"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Digital systems integration failure causing rework and delay</w:t>
            </w:r>
          </w:p>
        </w:tc>
        <w:tc>
          <w:tcPr>
            <w:tcW w:w="767"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1CDBB9D0"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3</w:t>
            </w:r>
          </w:p>
        </w:tc>
        <w:tc>
          <w:tcPr>
            <w:tcW w:w="926"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347422A6"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4</w:t>
            </w:r>
          </w:p>
        </w:tc>
        <w:tc>
          <w:tcPr>
            <w:tcW w:w="674"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66621C16"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12</w:t>
            </w:r>
          </w:p>
        </w:tc>
        <w:tc>
          <w:tcPr>
            <w:tcW w:w="1054"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5CDC5367"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b/>
                <w:bCs/>
                <w:color w:val="auto"/>
                <w:sz w:val="24"/>
                <w:szCs w:val="24"/>
              </w:rPr>
              <w:t>AMBER</w:t>
            </w:r>
          </w:p>
        </w:tc>
        <w:tc>
          <w:tcPr>
            <w:tcW w:w="1883"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0B788757"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Agile sprint methodology; user acceptance testing; IT vendor SLAs</w:t>
            </w:r>
          </w:p>
        </w:tc>
        <w:tc>
          <w:tcPr>
            <w:tcW w:w="1480"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29ECBDD1"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IT Project Lead</w:t>
            </w:r>
          </w:p>
        </w:tc>
      </w:tr>
      <w:tr w:rsidR="00553D7C" w:rsidRPr="00553D7C" w14:paraId="13F11281" w14:textId="77777777" w:rsidTr="00DA3002">
        <w:tc>
          <w:tcPr>
            <w:tcW w:w="655" w:type="dxa"/>
            <w:tcBorders>
              <w:top w:val="single" w:sz="4" w:space="0" w:color="AAAAAA"/>
              <w:left w:val="single" w:sz="4" w:space="0" w:color="AAAAAA"/>
              <w:bottom w:val="single" w:sz="4" w:space="0" w:color="AAAAAA"/>
              <w:right w:val="single" w:sz="4" w:space="0" w:color="AAAAAA"/>
            </w:tcBorders>
            <w:shd w:val="clear" w:color="auto" w:fill="F2F2F2"/>
            <w:tcMar>
              <w:top w:w="60" w:type="dxa"/>
              <w:left w:w="80" w:type="dxa"/>
              <w:bottom w:w="60" w:type="dxa"/>
              <w:right w:w="80" w:type="dxa"/>
            </w:tcMar>
          </w:tcPr>
          <w:p w14:paraId="3D717B57"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lastRenderedPageBreak/>
              <w:t>R06</w:t>
            </w:r>
          </w:p>
        </w:tc>
        <w:tc>
          <w:tcPr>
            <w:tcW w:w="1921" w:type="dxa"/>
            <w:tcBorders>
              <w:top w:val="single" w:sz="4" w:space="0" w:color="AAAAAA"/>
              <w:left w:val="single" w:sz="4" w:space="0" w:color="AAAAAA"/>
              <w:bottom w:val="single" w:sz="4" w:space="0" w:color="AAAAAA"/>
              <w:right w:val="single" w:sz="4" w:space="0" w:color="AAAAAA"/>
            </w:tcBorders>
            <w:shd w:val="clear" w:color="auto" w:fill="F2F2F2"/>
            <w:tcMar>
              <w:top w:w="60" w:type="dxa"/>
              <w:left w:w="80" w:type="dxa"/>
              <w:bottom w:w="60" w:type="dxa"/>
              <w:right w:w="80" w:type="dxa"/>
            </w:tcMar>
          </w:tcPr>
          <w:p w14:paraId="4595A03B"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Health &amp; safety incident causing work stoppage or legal liability</w:t>
            </w:r>
          </w:p>
        </w:tc>
        <w:tc>
          <w:tcPr>
            <w:tcW w:w="767" w:type="dxa"/>
            <w:tcBorders>
              <w:top w:val="single" w:sz="4" w:space="0" w:color="AAAAAA"/>
              <w:left w:val="single" w:sz="4" w:space="0" w:color="AAAAAA"/>
              <w:bottom w:val="single" w:sz="4" w:space="0" w:color="AAAAAA"/>
              <w:right w:val="single" w:sz="4" w:space="0" w:color="AAAAAA"/>
            </w:tcBorders>
            <w:shd w:val="clear" w:color="auto" w:fill="F2F2F2"/>
            <w:tcMar>
              <w:top w:w="60" w:type="dxa"/>
              <w:left w:w="80" w:type="dxa"/>
              <w:bottom w:w="60" w:type="dxa"/>
              <w:right w:w="80" w:type="dxa"/>
            </w:tcMar>
          </w:tcPr>
          <w:p w14:paraId="1830D94B"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2</w:t>
            </w:r>
          </w:p>
        </w:tc>
        <w:tc>
          <w:tcPr>
            <w:tcW w:w="926" w:type="dxa"/>
            <w:tcBorders>
              <w:top w:val="single" w:sz="4" w:space="0" w:color="AAAAAA"/>
              <w:left w:val="single" w:sz="4" w:space="0" w:color="AAAAAA"/>
              <w:bottom w:val="single" w:sz="4" w:space="0" w:color="AAAAAA"/>
              <w:right w:val="single" w:sz="4" w:space="0" w:color="AAAAAA"/>
            </w:tcBorders>
            <w:shd w:val="clear" w:color="auto" w:fill="F2F2F2"/>
            <w:tcMar>
              <w:top w:w="60" w:type="dxa"/>
              <w:left w:w="80" w:type="dxa"/>
              <w:bottom w:w="60" w:type="dxa"/>
              <w:right w:w="80" w:type="dxa"/>
            </w:tcMar>
          </w:tcPr>
          <w:p w14:paraId="250CCE44"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5</w:t>
            </w:r>
          </w:p>
        </w:tc>
        <w:tc>
          <w:tcPr>
            <w:tcW w:w="674" w:type="dxa"/>
            <w:tcBorders>
              <w:top w:val="single" w:sz="4" w:space="0" w:color="AAAAAA"/>
              <w:left w:val="single" w:sz="4" w:space="0" w:color="AAAAAA"/>
              <w:bottom w:val="single" w:sz="4" w:space="0" w:color="AAAAAA"/>
              <w:right w:val="single" w:sz="4" w:space="0" w:color="AAAAAA"/>
            </w:tcBorders>
            <w:shd w:val="clear" w:color="auto" w:fill="F2F2F2"/>
            <w:tcMar>
              <w:top w:w="60" w:type="dxa"/>
              <w:left w:w="80" w:type="dxa"/>
              <w:bottom w:w="60" w:type="dxa"/>
              <w:right w:w="80" w:type="dxa"/>
            </w:tcMar>
          </w:tcPr>
          <w:p w14:paraId="7751CD22"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10</w:t>
            </w:r>
          </w:p>
        </w:tc>
        <w:tc>
          <w:tcPr>
            <w:tcW w:w="1054" w:type="dxa"/>
            <w:tcBorders>
              <w:top w:val="single" w:sz="4" w:space="0" w:color="AAAAAA"/>
              <w:left w:val="single" w:sz="4" w:space="0" w:color="AAAAAA"/>
              <w:bottom w:val="single" w:sz="4" w:space="0" w:color="AAAAAA"/>
              <w:right w:val="single" w:sz="4" w:space="0" w:color="AAAAAA"/>
            </w:tcBorders>
            <w:shd w:val="clear" w:color="auto" w:fill="F2F2F2"/>
            <w:tcMar>
              <w:top w:w="60" w:type="dxa"/>
              <w:left w:w="80" w:type="dxa"/>
              <w:bottom w:w="60" w:type="dxa"/>
              <w:right w:w="80" w:type="dxa"/>
            </w:tcMar>
          </w:tcPr>
          <w:p w14:paraId="183787AB"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b/>
                <w:bCs/>
                <w:color w:val="auto"/>
                <w:sz w:val="24"/>
                <w:szCs w:val="24"/>
              </w:rPr>
              <w:t>AMBER</w:t>
            </w:r>
          </w:p>
        </w:tc>
        <w:tc>
          <w:tcPr>
            <w:tcW w:w="1883" w:type="dxa"/>
            <w:tcBorders>
              <w:top w:val="single" w:sz="4" w:space="0" w:color="AAAAAA"/>
              <w:left w:val="single" w:sz="4" w:space="0" w:color="AAAAAA"/>
              <w:bottom w:val="single" w:sz="4" w:space="0" w:color="AAAAAA"/>
              <w:right w:val="single" w:sz="4" w:space="0" w:color="AAAAAA"/>
            </w:tcBorders>
            <w:shd w:val="clear" w:color="auto" w:fill="F2F2F2"/>
            <w:tcMar>
              <w:top w:w="60" w:type="dxa"/>
              <w:left w:w="80" w:type="dxa"/>
              <w:bottom w:w="60" w:type="dxa"/>
              <w:right w:w="80" w:type="dxa"/>
            </w:tcMar>
          </w:tcPr>
          <w:p w14:paraId="255C5768"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CDM regulations compliance; H&amp;S training; near-miss reporting system</w:t>
            </w:r>
          </w:p>
        </w:tc>
        <w:tc>
          <w:tcPr>
            <w:tcW w:w="1480" w:type="dxa"/>
            <w:tcBorders>
              <w:top w:val="single" w:sz="4" w:space="0" w:color="AAAAAA"/>
              <w:left w:val="single" w:sz="4" w:space="0" w:color="AAAAAA"/>
              <w:bottom w:val="single" w:sz="4" w:space="0" w:color="AAAAAA"/>
              <w:right w:val="single" w:sz="4" w:space="0" w:color="AAAAAA"/>
            </w:tcBorders>
            <w:shd w:val="clear" w:color="auto" w:fill="F2F2F2"/>
            <w:tcMar>
              <w:top w:w="60" w:type="dxa"/>
              <w:left w:w="80" w:type="dxa"/>
              <w:bottom w:w="60" w:type="dxa"/>
              <w:right w:w="80" w:type="dxa"/>
            </w:tcMar>
          </w:tcPr>
          <w:p w14:paraId="6291F1AB"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H&amp;S Manager</w:t>
            </w:r>
          </w:p>
        </w:tc>
      </w:tr>
      <w:tr w:rsidR="00553D7C" w:rsidRPr="00553D7C" w14:paraId="643BCC01" w14:textId="77777777" w:rsidTr="00DA3002">
        <w:tc>
          <w:tcPr>
            <w:tcW w:w="655"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225F8920"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R07</w:t>
            </w:r>
          </w:p>
        </w:tc>
        <w:tc>
          <w:tcPr>
            <w:tcW w:w="1921"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461C552F"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Regulatory non-compliance with accessibility standards</w:t>
            </w:r>
          </w:p>
        </w:tc>
        <w:tc>
          <w:tcPr>
            <w:tcW w:w="767"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47FCCDA1"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2</w:t>
            </w:r>
          </w:p>
        </w:tc>
        <w:tc>
          <w:tcPr>
            <w:tcW w:w="926"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4869865C"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4</w:t>
            </w:r>
          </w:p>
        </w:tc>
        <w:tc>
          <w:tcPr>
            <w:tcW w:w="674"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13544E57"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8</w:t>
            </w:r>
          </w:p>
        </w:tc>
        <w:tc>
          <w:tcPr>
            <w:tcW w:w="1054"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244E2E0F"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b/>
                <w:bCs/>
                <w:color w:val="auto"/>
                <w:sz w:val="24"/>
                <w:szCs w:val="24"/>
              </w:rPr>
              <w:t>GREEN</w:t>
            </w:r>
          </w:p>
        </w:tc>
        <w:tc>
          <w:tcPr>
            <w:tcW w:w="1883"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6649AFBE"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Access consultant embedded in design team; Equality Act 2010 audit</w:t>
            </w:r>
          </w:p>
        </w:tc>
        <w:tc>
          <w:tcPr>
            <w:tcW w:w="1480" w:type="dxa"/>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33E7F200"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Access Consultant</w:t>
            </w:r>
          </w:p>
        </w:tc>
      </w:tr>
      <w:tr w:rsidR="00553D7C" w:rsidRPr="00553D7C" w14:paraId="5313AF1F" w14:textId="77777777" w:rsidTr="00DA3002">
        <w:tc>
          <w:tcPr>
            <w:tcW w:w="655" w:type="dxa"/>
            <w:tcBorders>
              <w:top w:val="single" w:sz="4" w:space="0" w:color="AAAAAA"/>
              <w:left w:val="single" w:sz="4" w:space="0" w:color="AAAAAA"/>
              <w:bottom w:val="single" w:sz="4" w:space="0" w:color="AAAAAA"/>
              <w:right w:val="single" w:sz="4" w:space="0" w:color="AAAAAA"/>
            </w:tcBorders>
            <w:shd w:val="clear" w:color="auto" w:fill="F2F2F2"/>
            <w:tcMar>
              <w:top w:w="60" w:type="dxa"/>
              <w:left w:w="80" w:type="dxa"/>
              <w:bottom w:w="60" w:type="dxa"/>
              <w:right w:w="80" w:type="dxa"/>
            </w:tcMar>
          </w:tcPr>
          <w:p w14:paraId="650E32AE"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R08</w:t>
            </w:r>
          </w:p>
        </w:tc>
        <w:tc>
          <w:tcPr>
            <w:tcW w:w="1921" w:type="dxa"/>
            <w:tcBorders>
              <w:top w:val="single" w:sz="4" w:space="0" w:color="AAAAAA"/>
              <w:left w:val="single" w:sz="4" w:space="0" w:color="AAAAAA"/>
              <w:bottom w:val="single" w:sz="4" w:space="0" w:color="AAAAAA"/>
              <w:right w:val="single" w:sz="4" w:space="0" w:color="AAAAAA"/>
            </w:tcBorders>
            <w:shd w:val="clear" w:color="auto" w:fill="F2F2F2"/>
            <w:tcMar>
              <w:top w:w="60" w:type="dxa"/>
              <w:left w:w="80" w:type="dxa"/>
              <w:bottom w:w="60" w:type="dxa"/>
              <w:right w:w="80" w:type="dxa"/>
            </w:tcMar>
          </w:tcPr>
          <w:p w14:paraId="6CBB21C3"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Scope creep resulting in budget and schedule impact</w:t>
            </w:r>
          </w:p>
        </w:tc>
        <w:tc>
          <w:tcPr>
            <w:tcW w:w="767" w:type="dxa"/>
            <w:tcBorders>
              <w:top w:val="single" w:sz="4" w:space="0" w:color="AAAAAA"/>
              <w:left w:val="single" w:sz="4" w:space="0" w:color="AAAAAA"/>
              <w:bottom w:val="single" w:sz="4" w:space="0" w:color="AAAAAA"/>
              <w:right w:val="single" w:sz="4" w:space="0" w:color="AAAAAA"/>
            </w:tcBorders>
            <w:shd w:val="clear" w:color="auto" w:fill="F2F2F2"/>
            <w:tcMar>
              <w:top w:w="60" w:type="dxa"/>
              <w:left w:w="80" w:type="dxa"/>
              <w:bottom w:w="60" w:type="dxa"/>
              <w:right w:w="80" w:type="dxa"/>
            </w:tcMar>
          </w:tcPr>
          <w:p w14:paraId="620B2CE6"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3</w:t>
            </w:r>
          </w:p>
        </w:tc>
        <w:tc>
          <w:tcPr>
            <w:tcW w:w="926" w:type="dxa"/>
            <w:tcBorders>
              <w:top w:val="single" w:sz="4" w:space="0" w:color="AAAAAA"/>
              <w:left w:val="single" w:sz="4" w:space="0" w:color="AAAAAA"/>
              <w:bottom w:val="single" w:sz="4" w:space="0" w:color="AAAAAA"/>
              <w:right w:val="single" w:sz="4" w:space="0" w:color="AAAAAA"/>
            </w:tcBorders>
            <w:shd w:val="clear" w:color="auto" w:fill="F2F2F2"/>
            <w:tcMar>
              <w:top w:w="60" w:type="dxa"/>
              <w:left w:w="80" w:type="dxa"/>
              <w:bottom w:w="60" w:type="dxa"/>
              <w:right w:w="80" w:type="dxa"/>
            </w:tcMar>
          </w:tcPr>
          <w:p w14:paraId="61C66585"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3</w:t>
            </w:r>
          </w:p>
        </w:tc>
        <w:tc>
          <w:tcPr>
            <w:tcW w:w="674" w:type="dxa"/>
            <w:tcBorders>
              <w:top w:val="single" w:sz="4" w:space="0" w:color="AAAAAA"/>
              <w:left w:val="single" w:sz="4" w:space="0" w:color="AAAAAA"/>
              <w:bottom w:val="single" w:sz="4" w:space="0" w:color="AAAAAA"/>
              <w:right w:val="single" w:sz="4" w:space="0" w:color="AAAAAA"/>
            </w:tcBorders>
            <w:shd w:val="clear" w:color="auto" w:fill="F2F2F2"/>
            <w:tcMar>
              <w:top w:w="60" w:type="dxa"/>
              <w:left w:w="80" w:type="dxa"/>
              <w:bottom w:w="60" w:type="dxa"/>
              <w:right w:w="80" w:type="dxa"/>
            </w:tcMar>
          </w:tcPr>
          <w:p w14:paraId="133183B9"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color w:val="auto"/>
                <w:sz w:val="24"/>
                <w:szCs w:val="24"/>
              </w:rPr>
              <w:t>9</w:t>
            </w:r>
          </w:p>
        </w:tc>
        <w:tc>
          <w:tcPr>
            <w:tcW w:w="1054" w:type="dxa"/>
            <w:tcBorders>
              <w:top w:val="single" w:sz="4" w:space="0" w:color="AAAAAA"/>
              <w:left w:val="single" w:sz="4" w:space="0" w:color="AAAAAA"/>
              <w:bottom w:val="single" w:sz="4" w:space="0" w:color="AAAAAA"/>
              <w:right w:val="single" w:sz="4" w:space="0" w:color="AAAAAA"/>
            </w:tcBorders>
            <w:shd w:val="clear" w:color="auto" w:fill="F2F2F2"/>
            <w:tcMar>
              <w:top w:w="60" w:type="dxa"/>
              <w:left w:w="80" w:type="dxa"/>
              <w:bottom w:w="60" w:type="dxa"/>
              <w:right w:w="80" w:type="dxa"/>
            </w:tcMar>
          </w:tcPr>
          <w:p w14:paraId="6D9712F7" w14:textId="77777777" w:rsidR="00A114FD" w:rsidRPr="00553D7C" w:rsidRDefault="00280F89" w:rsidP="0096145E">
            <w:pPr>
              <w:spacing w:line="360" w:lineRule="auto"/>
              <w:jc w:val="center"/>
              <w:rPr>
                <w:rFonts w:ascii="Times New Roman" w:hAnsi="Times New Roman" w:cs="Times New Roman"/>
                <w:color w:val="auto"/>
                <w:sz w:val="24"/>
                <w:szCs w:val="24"/>
              </w:rPr>
            </w:pPr>
            <w:r w:rsidRPr="00553D7C">
              <w:rPr>
                <w:rFonts w:ascii="Times New Roman" w:hAnsi="Times New Roman" w:cs="Times New Roman"/>
                <w:b/>
                <w:bCs/>
                <w:color w:val="auto"/>
                <w:sz w:val="24"/>
                <w:szCs w:val="24"/>
              </w:rPr>
              <w:t>AMBER</w:t>
            </w:r>
          </w:p>
        </w:tc>
        <w:tc>
          <w:tcPr>
            <w:tcW w:w="1883" w:type="dxa"/>
            <w:tcBorders>
              <w:top w:val="single" w:sz="4" w:space="0" w:color="AAAAAA"/>
              <w:left w:val="single" w:sz="4" w:space="0" w:color="AAAAAA"/>
              <w:bottom w:val="single" w:sz="4" w:space="0" w:color="AAAAAA"/>
              <w:right w:val="single" w:sz="4" w:space="0" w:color="AAAAAA"/>
            </w:tcBorders>
            <w:shd w:val="clear" w:color="auto" w:fill="F2F2F2"/>
            <w:tcMar>
              <w:top w:w="60" w:type="dxa"/>
              <w:left w:w="80" w:type="dxa"/>
              <w:bottom w:w="60" w:type="dxa"/>
              <w:right w:w="80" w:type="dxa"/>
            </w:tcMar>
          </w:tcPr>
          <w:p w14:paraId="57BF87DD"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Formal change control process; Change Authority; baseline scope document</w:t>
            </w:r>
          </w:p>
        </w:tc>
        <w:tc>
          <w:tcPr>
            <w:tcW w:w="1480" w:type="dxa"/>
            <w:tcBorders>
              <w:top w:val="single" w:sz="4" w:space="0" w:color="AAAAAA"/>
              <w:left w:val="single" w:sz="4" w:space="0" w:color="AAAAAA"/>
              <w:bottom w:val="single" w:sz="4" w:space="0" w:color="AAAAAA"/>
              <w:right w:val="single" w:sz="4" w:space="0" w:color="AAAAAA"/>
            </w:tcBorders>
            <w:shd w:val="clear" w:color="auto" w:fill="F2F2F2"/>
            <w:tcMar>
              <w:top w:w="60" w:type="dxa"/>
              <w:left w:w="80" w:type="dxa"/>
              <w:bottom w:w="60" w:type="dxa"/>
              <w:right w:w="80" w:type="dxa"/>
            </w:tcMar>
          </w:tcPr>
          <w:p w14:paraId="69CC061E" w14:textId="77777777" w:rsidR="00A114FD" w:rsidRPr="00553D7C" w:rsidRDefault="00280F89" w:rsidP="0096145E">
            <w:pPr>
              <w:spacing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Project Manager</w:t>
            </w:r>
          </w:p>
        </w:tc>
      </w:tr>
    </w:tbl>
    <w:p w14:paraId="35322CA0" w14:textId="287D5CCB" w:rsidR="00A114FD" w:rsidRPr="00553D7C" w:rsidRDefault="00DA3002" w:rsidP="0096145E">
      <w:pPr>
        <w:spacing w:before="80" w:after="100" w:line="360" w:lineRule="auto"/>
        <w:jc w:val="both"/>
        <w:rPr>
          <w:rFonts w:ascii="Times New Roman" w:hAnsi="Times New Roman" w:cs="Times New Roman"/>
          <w:color w:val="auto"/>
          <w:sz w:val="24"/>
          <w:szCs w:val="24"/>
        </w:rPr>
      </w:pPr>
      <w:r w:rsidRPr="00553D7C">
        <w:rPr>
          <w:rFonts w:ascii="Times New Roman" w:hAnsi="Times New Roman" w:cs="Times New Roman"/>
          <w:color w:val="auto"/>
          <w:sz w:val="24"/>
          <w:szCs w:val="24"/>
        </w:rPr>
        <w:t>A Risk Management Committee will be held monthly, chaired by the Project Manager and review and update the risk register each reporting cycle. Residual risks (risks after mitigation) will be monitored using the risk dashboard in the PMO with escalation procedures established for risks where the RPN value is above 12. This approach is systematic, and supports the guidance from the Association for Project Management (APM, 2019) on proportional risk governance for capital programmes.</w:t>
      </w:r>
    </w:p>
    <w:p w14:paraId="60E6D356" w14:textId="77777777" w:rsidR="00A114FD" w:rsidRPr="00553D7C" w:rsidRDefault="00280F89" w:rsidP="00DA3002">
      <w:pPr>
        <w:pStyle w:val="Heading1"/>
        <w:spacing w:before="280" w:after="120"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10. Conclusion</w:t>
      </w:r>
    </w:p>
    <w:p w14:paraId="32011A4C" w14:textId="77777777" w:rsidR="00DA3002" w:rsidRPr="00553D7C" w:rsidRDefault="00DA3002" w:rsidP="00DA3002">
      <w:pPr>
        <w:spacing w:before="80" w:after="100" w:line="360" w:lineRule="auto"/>
        <w:jc w:val="both"/>
        <w:rPr>
          <w:rFonts w:ascii="Times New Roman" w:hAnsi="Times New Roman" w:cs="Times New Roman"/>
          <w:color w:val="auto"/>
          <w:sz w:val="24"/>
          <w:szCs w:val="24"/>
        </w:rPr>
      </w:pPr>
      <w:r w:rsidRPr="00553D7C">
        <w:rPr>
          <w:rFonts w:ascii="Times New Roman" w:hAnsi="Times New Roman" w:cs="Times New Roman"/>
          <w:color w:val="auto"/>
          <w:sz w:val="24"/>
          <w:szCs w:val="24"/>
        </w:rPr>
        <w:t>This Project Management Plan has provided an extensive, analytically-based plan for the successful delivery of the Central Transport Hub Redevelopment. The plan uses an integrated hybrid methodology incorporating the structured governance of PRINCE2, the scheduling rigor of PMBOK and the iterative responsiveness of Agile to tackle the multi-dimensional complexity of large-scale urban infrastructure regeneration.</w:t>
      </w:r>
    </w:p>
    <w:p w14:paraId="6F5AB344" w14:textId="3626224B" w:rsidR="00DA3002" w:rsidRPr="00553D7C" w:rsidRDefault="00DA3002" w:rsidP="00DA3002">
      <w:pPr>
        <w:spacing w:before="80" w:after="100" w:line="360" w:lineRule="auto"/>
        <w:jc w:val="both"/>
        <w:rPr>
          <w:rFonts w:ascii="Times New Roman" w:hAnsi="Times New Roman" w:cs="Times New Roman"/>
          <w:color w:val="auto"/>
          <w:sz w:val="24"/>
          <w:szCs w:val="24"/>
        </w:rPr>
      </w:pPr>
      <w:r w:rsidRPr="00553D7C">
        <w:rPr>
          <w:rFonts w:ascii="Times New Roman" w:hAnsi="Times New Roman" w:cs="Times New Roman"/>
          <w:color w:val="auto"/>
          <w:sz w:val="24"/>
          <w:szCs w:val="24"/>
        </w:rPr>
        <w:t>The plan shows that the Project makes strategic sense, is technically feasible, and is operationally organized to address the major risks of cost, schedule, and stakeholder resistance. When combined, the application of Earned Value Management, Mendelow's Power-Interest Grid, a quantified Risk Register, and a fully sequenced Gantt Chart arms the project manager with a great toolbox to guide him/her through the project lifecycle and evidence-based decision making.</w:t>
      </w:r>
    </w:p>
    <w:p w14:paraId="1E275C8D" w14:textId="6FFE7AE6" w:rsidR="00A114FD" w:rsidRPr="00553D7C" w:rsidRDefault="00DA3002" w:rsidP="00DA3002">
      <w:pPr>
        <w:spacing w:before="80" w:after="100" w:line="360" w:lineRule="auto"/>
        <w:jc w:val="both"/>
        <w:rPr>
          <w:rFonts w:ascii="Times New Roman" w:hAnsi="Times New Roman" w:cs="Times New Roman"/>
          <w:color w:val="auto"/>
          <w:sz w:val="24"/>
          <w:szCs w:val="24"/>
        </w:rPr>
      </w:pPr>
      <w:r w:rsidRPr="00553D7C">
        <w:rPr>
          <w:rFonts w:ascii="Times New Roman" w:hAnsi="Times New Roman" w:cs="Times New Roman"/>
          <w:color w:val="auto"/>
          <w:sz w:val="24"/>
          <w:szCs w:val="24"/>
        </w:rPr>
        <w:lastRenderedPageBreak/>
        <w:t>Most importantly, the plan acknowledges that successful projects are not just technical, involving time, cost and scope. Creating sustainable project value, stakeholder legitimacy, and aligning the project to strategic intent are essential to project enduement, as noted by Morris and Hough (1987). The Central Transport Hub Redevelopment has the potential to achieve all three – to rebuild essential infrastructure, to boost regional economic growth and to make a tangible contribution towards the UK's net zero targets. The project has good governance, ongoing stakeholder engagement, and adaptive management, setting it up to deliver distinction outcomes.</w:t>
      </w:r>
    </w:p>
    <w:p w14:paraId="5E9FA376" w14:textId="77777777" w:rsidR="00A114FD" w:rsidRPr="00553D7C" w:rsidRDefault="00280F89" w:rsidP="00AD5EE0">
      <w:pPr>
        <w:pStyle w:val="Heading1"/>
        <w:spacing w:before="280" w:after="120" w:line="360" w:lineRule="auto"/>
        <w:rPr>
          <w:rFonts w:ascii="Times New Roman" w:hAnsi="Times New Roman" w:cs="Times New Roman"/>
          <w:color w:val="auto"/>
          <w:sz w:val="24"/>
          <w:szCs w:val="24"/>
        </w:rPr>
      </w:pPr>
      <w:r w:rsidRPr="00553D7C">
        <w:rPr>
          <w:rFonts w:ascii="Times New Roman" w:hAnsi="Times New Roman" w:cs="Times New Roman"/>
          <w:color w:val="auto"/>
          <w:sz w:val="24"/>
          <w:szCs w:val="24"/>
        </w:rPr>
        <w:t>References</w:t>
      </w:r>
    </w:p>
    <w:p w14:paraId="2D4ECE52" w14:textId="77777777" w:rsidR="00A114FD" w:rsidRPr="00553D7C" w:rsidRDefault="00280F89" w:rsidP="0096145E">
      <w:pPr>
        <w:spacing w:before="60" w:after="60" w:line="360" w:lineRule="auto"/>
        <w:ind w:left="720" w:hanging="720"/>
        <w:rPr>
          <w:rFonts w:ascii="Times New Roman" w:hAnsi="Times New Roman" w:cs="Times New Roman"/>
          <w:color w:val="auto"/>
          <w:sz w:val="24"/>
          <w:szCs w:val="24"/>
        </w:rPr>
      </w:pPr>
      <w:r w:rsidRPr="00553D7C">
        <w:rPr>
          <w:rFonts w:ascii="Times New Roman" w:hAnsi="Times New Roman" w:cs="Times New Roman"/>
          <w:color w:val="auto"/>
          <w:sz w:val="24"/>
          <w:szCs w:val="24"/>
        </w:rPr>
        <w:t>Association for Project Management (APM) (2019) APM Body of Knowledge. 7th edn. Princes Risborough: APM.</w:t>
      </w:r>
    </w:p>
    <w:p w14:paraId="434DDB35" w14:textId="77777777" w:rsidR="00A114FD" w:rsidRPr="00553D7C" w:rsidRDefault="00280F89" w:rsidP="0096145E">
      <w:pPr>
        <w:spacing w:before="60" w:after="60" w:line="360" w:lineRule="auto"/>
        <w:ind w:left="720" w:hanging="720"/>
        <w:rPr>
          <w:rFonts w:ascii="Times New Roman" w:hAnsi="Times New Roman" w:cs="Times New Roman"/>
          <w:color w:val="auto"/>
          <w:sz w:val="24"/>
          <w:szCs w:val="24"/>
        </w:rPr>
      </w:pPr>
      <w:r w:rsidRPr="00553D7C">
        <w:rPr>
          <w:rFonts w:ascii="Times New Roman" w:hAnsi="Times New Roman" w:cs="Times New Roman"/>
          <w:color w:val="auto"/>
          <w:sz w:val="24"/>
          <w:szCs w:val="24"/>
        </w:rPr>
        <w:t>Axelos (2023) Managing Successful Projects with PRINCE2. 7th edn. London: The Stationery Office.</w:t>
      </w:r>
    </w:p>
    <w:p w14:paraId="1CDF5BAB" w14:textId="77777777" w:rsidR="00A114FD" w:rsidRPr="00553D7C" w:rsidRDefault="00280F89" w:rsidP="0096145E">
      <w:pPr>
        <w:spacing w:before="60" w:after="60" w:line="360" w:lineRule="auto"/>
        <w:ind w:left="720" w:hanging="720"/>
        <w:rPr>
          <w:rFonts w:ascii="Times New Roman" w:hAnsi="Times New Roman" w:cs="Times New Roman"/>
          <w:color w:val="auto"/>
          <w:sz w:val="24"/>
          <w:szCs w:val="24"/>
        </w:rPr>
      </w:pPr>
      <w:r w:rsidRPr="00553D7C">
        <w:rPr>
          <w:rFonts w:ascii="Times New Roman" w:hAnsi="Times New Roman" w:cs="Times New Roman"/>
          <w:color w:val="auto"/>
          <w:sz w:val="24"/>
          <w:szCs w:val="24"/>
        </w:rPr>
        <w:t>Bourne, L. (2016) Stakeholder Relationship Management: A Maturity Model for Organisational Implementation. Abingdon: Routledge.</w:t>
      </w:r>
    </w:p>
    <w:p w14:paraId="3FCC79AD" w14:textId="77777777" w:rsidR="00A114FD" w:rsidRPr="00553D7C" w:rsidRDefault="00280F89" w:rsidP="0096145E">
      <w:pPr>
        <w:spacing w:before="60" w:after="60" w:line="360" w:lineRule="auto"/>
        <w:ind w:left="720" w:hanging="720"/>
        <w:rPr>
          <w:rFonts w:ascii="Times New Roman" w:hAnsi="Times New Roman" w:cs="Times New Roman"/>
          <w:color w:val="auto"/>
          <w:sz w:val="24"/>
          <w:szCs w:val="24"/>
        </w:rPr>
      </w:pPr>
      <w:r w:rsidRPr="00553D7C">
        <w:rPr>
          <w:rFonts w:ascii="Times New Roman" w:hAnsi="Times New Roman" w:cs="Times New Roman"/>
          <w:color w:val="auto"/>
          <w:sz w:val="24"/>
          <w:szCs w:val="24"/>
        </w:rPr>
        <w:t>Climate Change Act 2008 (c. 27). London: The Stationery Office.</w:t>
      </w:r>
    </w:p>
    <w:p w14:paraId="2264B16C" w14:textId="77777777" w:rsidR="00A114FD" w:rsidRPr="00553D7C" w:rsidRDefault="00280F89" w:rsidP="0096145E">
      <w:pPr>
        <w:spacing w:before="60" w:after="60" w:line="360" w:lineRule="auto"/>
        <w:ind w:left="720" w:hanging="720"/>
        <w:rPr>
          <w:rFonts w:ascii="Times New Roman" w:hAnsi="Times New Roman" w:cs="Times New Roman"/>
          <w:color w:val="auto"/>
          <w:sz w:val="24"/>
          <w:szCs w:val="24"/>
        </w:rPr>
      </w:pPr>
      <w:r w:rsidRPr="00553D7C">
        <w:rPr>
          <w:rFonts w:ascii="Times New Roman" w:hAnsi="Times New Roman" w:cs="Times New Roman"/>
          <w:color w:val="auto"/>
          <w:sz w:val="24"/>
          <w:szCs w:val="24"/>
        </w:rPr>
        <w:t>Deming, W.E. (1986) Out of the Crisis. Cambridge, MA: MIT Press.</w:t>
      </w:r>
    </w:p>
    <w:p w14:paraId="0BF75255" w14:textId="77777777" w:rsidR="00A114FD" w:rsidRPr="00553D7C" w:rsidRDefault="00280F89" w:rsidP="0096145E">
      <w:pPr>
        <w:spacing w:before="60" w:after="60" w:line="360" w:lineRule="auto"/>
        <w:ind w:left="720" w:hanging="720"/>
        <w:rPr>
          <w:rFonts w:ascii="Times New Roman" w:hAnsi="Times New Roman" w:cs="Times New Roman"/>
          <w:color w:val="auto"/>
          <w:sz w:val="24"/>
          <w:szCs w:val="24"/>
        </w:rPr>
      </w:pPr>
      <w:r w:rsidRPr="00553D7C">
        <w:rPr>
          <w:rFonts w:ascii="Times New Roman" w:hAnsi="Times New Roman" w:cs="Times New Roman"/>
          <w:color w:val="auto"/>
          <w:sz w:val="24"/>
          <w:szCs w:val="24"/>
        </w:rPr>
        <w:t>Department for Levelling Up, Housing and Communities (DLUHC) (2022) Levelling Up the United Kingdom: White Paper. London: HMSO.</w:t>
      </w:r>
    </w:p>
    <w:p w14:paraId="2A1E2F0B" w14:textId="77777777" w:rsidR="00A114FD" w:rsidRPr="00553D7C" w:rsidRDefault="00280F89" w:rsidP="0096145E">
      <w:pPr>
        <w:spacing w:before="60" w:after="60" w:line="360" w:lineRule="auto"/>
        <w:ind w:left="720" w:hanging="720"/>
        <w:rPr>
          <w:rFonts w:ascii="Times New Roman" w:hAnsi="Times New Roman" w:cs="Times New Roman"/>
          <w:color w:val="auto"/>
          <w:sz w:val="24"/>
          <w:szCs w:val="24"/>
        </w:rPr>
      </w:pPr>
      <w:r w:rsidRPr="00553D7C">
        <w:rPr>
          <w:rFonts w:ascii="Times New Roman" w:hAnsi="Times New Roman" w:cs="Times New Roman"/>
          <w:color w:val="auto"/>
          <w:sz w:val="24"/>
          <w:szCs w:val="24"/>
        </w:rPr>
        <w:t>Department of Defense (DoD) (2019) Systems Engineering Plan Preparation Guide. Version 3.0. Washington, DC: DoD.</w:t>
      </w:r>
    </w:p>
    <w:p w14:paraId="62FF7A42" w14:textId="77777777" w:rsidR="00A114FD" w:rsidRPr="00553D7C" w:rsidRDefault="00280F89" w:rsidP="0096145E">
      <w:pPr>
        <w:spacing w:before="60" w:after="60" w:line="360" w:lineRule="auto"/>
        <w:ind w:left="720" w:hanging="720"/>
        <w:rPr>
          <w:rFonts w:ascii="Times New Roman" w:hAnsi="Times New Roman" w:cs="Times New Roman"/>
          <w:color w:val="auto"/>
          <w:sz w:val="24"/>
          <w:szCs w:val="24"/>
        </w:rPr>
      </w:pPr>
      <w:r w:rsidRPr="00553D7C">
        <w:rPr>
          <w:rFonts w:ascii="Times New Roman" w:hAnsi="Times New Roman" w:cs="Times New Roman"/>
          <w:color w:val="auto"/>
          <w:sz w:val="24"/>
          <w:szCs w:val="24"/>
        </w:rPr>
        <w:t>Equality Act 2010 (c. 15). London: The Stationery Office.</w:t>
      </w:r>
    </w:p>
    <w:p w14:paraId="7E0217D4" w14:textId="77777777" w:rsidR="00A114FD" w:rsidRPr="00553D7C" w:rsidRDefault="00280F89" w:rsidP="0096145E">
      <w:pPr>
        <w:spacing w:before="60" w:after="60" w:line="360" w:lineRule="auto"/>
        <w:ind w:left="720" w:hanging="720"/>
        <w:rPr>
          <w:rFonts w:ascii="Times New Roman" w:hAnsi="Times New Roman" w:cs="Times New Roman"/>
          <w:color w:val="auto"/>
          <w:sz w:val="24"/>
          <w:szCs w:val="24"/>
        </w:rPr>
      </w:pPr>
      <w:r w:rsidRPr="00553D7C">
        <w:rPr>
          <w:rFonts w:ascii="Times New Roman" w:hAnsi="Times New Roman" w:cs="Times New Roman"/>
          <w:color w:val="auto"/>
          <w:sz w:val="24"/>
          <w:szCs w:val="24"/>
        </w:rPr>
        <w:t>Flyvbjerg, B. (2017) 'Introduction: The iron law of megaproject management', in Flyvbjerg, B. (ed.) The Oxford Handbook of Megaproject Management. Oxford: Oxford University Press, pp. 1–18.</w:t>
      </w:r>
    </w:p>
    <w:p w14:paraId="315928C3" w14:textId="77777777" w:rsidR="00A114FD" w:rsidRPr="00553D7C" w:rsidRDefault="00280F89" w:rsidP="0096145E">
      <w:pPr>
        <w:spacing w:before="60" w:after="60" w:line="360" w:lineRule="auto"/>
        <w:ind w:left="720" w:hanging="720"/>
        <w:rPr>
          <w:rFonts w:ascii="Times New Roman" w:hAnsi="Times New Roman" w:cs="Times New Roman"/>
          <w:color w:val="auto"/>
          <w:sz w:val="24"/>
          <w:szCs w:val="24"/>
        </w:rPr>
      </w:pPr>
      <w:r w:rsidRPr="00553D7C">
        <w:rPr>
          <w:rFonts w:ascii="Times New Roman" w:hAnsi="Times New Roman" w:cs="Times New Roman"/>
          <w:color w:val="auto"/>
          <w:sz w:val="24"/>
          <w:szCs w:val="24"/>
        </w:rPr>
        <w:t xml:space="preserve">Flyvbjerg, B., Bruzelius, N. and </w:t>
      </w:r>
      <w:proofErr w:type="spellStart"/>
      <w:r w:rsidRPr="00553D7C">
        <w:rPr>
          <w:rFonts w:ascii="Times New Roman" w:hAnsi="Times New Roman" w:cs="Times New Roman"/>
          <w:color w:val="auto"/>
          <w:sz w:val="24"/>
          <w:szCs w:val="24"/>
        </w:rPr>
        <w:t>Rothengatter</w:t>
      </w:r>
      <w:proofErr w:type="spellEnd"/>
      <w:r w:rsidRPr="00553D7C">
        <w:rPr>
          <w:rFonts w:ascii="Times New Roman" w:hAnsi="Times New Roman" w:cs="Times New Roman"/>
          <w:color w:val="auto"/>
          <w:sz w:val="24"/>
          <w:szCs w:val="24"/>
        </w:rPr>
        <w:t>, W. (2003) Megaprojects and Risk: An Anatomy of Ambition. Cambridge: Cambridge University Press.</w:t>
      </w:r>
    </w:p>
    <w:p w14:paraId="447D8759" w14:textId="77777777" w:rsidR="00A114FD" w:rsidRPr="00553D7C" w:rsidRDefault="00280F89" w:rsidP="0096145E">
      <w:pPr>
        <w:spacing w:before="60" w:after="60" w:line="360" w:lineRule="auto"/>
        <w:ind w:left="720" w:hanging="720"/>
        <w:rPr>
          <w:rFonts w:ascii="Times New Roman" w:hAnsi="Times New Roman" w:cs="Times New Roman"/>
          <w:color w:val="auto"/>
          <w:sz w:val="24"/>
          <w:szCs w:val="24"/>
        </w:rPr>
      </w:pPr>
      <w:r w:rsidRPr="00553D7C">
        <w:rPr>
          <w:rFonts w:ascii="Times New Roman" w:hAnsi="Times New Roman" w:cs="Times New Roman"/>
          <w:color w:val="auto"/>
          <w:sz w:val="24"/>
          <w:szCs w:val="24"/>
        </w:rPr>
        <w:t>Freeman, R.E. (1984) Strategic Management: A Stakeholder Approach. Boston, MA: Pitman.</w:t>
      </w:r>
    </w:p>
    <w:p w14:paraId="1EBE3840" w14:textId="77777777" w:rsidR="00A114FD" w:rsidRPr="00553D7C" w:rsidRDefault="00280F89" w:rsidP="0096145E">
      <w:pPr>
        <w:spacing w:before="60" w:after="60" w:line="360" w:lineRule="auto"/>
        <w:ind w:left="720" w:hanging="720"/>
        <w:rPr>
          <w:rFonts w:ascii="Times New Roman" w:hAnsi="Times New Roman" w:cs="Times New Roman"/>
          <w:color w:val="auto"/>
          <w:sz w:val="24"/>
          <w:szCs w:val="24"/>
        </w:rPr>
      </w:pPr>
      <w:r w:rsidRPr="00553D7C">
        <w:rPr>
          <w:rFonts w:ascii="Times New Roman" w:hAnsi="Times New Roman" w:cs="Times New Roman"/>
          <w:color w:val="auto"/>
          <w:sz w:val="24"/>
          <w:szCs w:val="24"/>
        </w:rPr>
        <w:t>HM Government (2021) Net Zero Strategy: Build Back Greener. London: HMSO.</w:t>
      </w:r>
    </w:p>
    <w:p w14:paraId="0280BDB4" w14:textId="77777777" w:rsidR="00A114FD" w:rsidRPr="00553D7C" w:rsidRDefault="00280F89" w:rsidP="0096145E">
      <w:pPr>
        <w:spacing w:before="60" w:after="60" w:line="360" w:lineRule="auto"/>
        <w:ind w:left="720" w:hanging="720"/>
        <w:rPr>
          <w:rFonts w:ascii="Times New Roman" w:hAnsi="Times New Roman" w:cs="Times New Roman"/>
          <w:color w:val="auto"/>
          <w:sz w:val="24"/>
          <w:szCs w:val="24"/>
        </w:rPr>
      </w:pPr>
      <w:r w:rsidRPr="00553D7C">
        <w:rPr>
          <w:rFonts w:ascii="Times New Roman" w:hAnsi="Times New Roman" w:cs="Times New Roman"/>
          <w:color w:val="auto"/>
          <w:sz w:val="24"/>
          <w:szCs w:val="24"/>
        </w:rPr>
        <w:t>HM Treasury (2021) National Infrastructure Strategy. London: HMSO.</w:t>
      </w:r>
    </w:p>
    <w:p w14:paraId="1FFA5CB0" w14:textId="77777777" w:rsidR="00A114FD" w:rsidRPr="00553D7C" w:rsidRDefault="00280F89" w:rsidP="0096145E">
      <w:pPr>
        <w:spacing w:before="60" w:after="60" w:line="360" w:lineRule="auto"/>
        <w:ind w:left="720" w:hanging="720"/>
        <w:rPr>
          <w:rFonts w:ascii="Times New Roman" w:hAnsi="Times New Roman" w:cs="Times New Roman"/>
          <w:color w:val="auto"/>
          <w:sz w:val="24"/>
          <w:szCs w:val="24"/>
        </w:rPr>
      </w:pPr>
      <w:r w:rsidRPr="00553D7C">
        <w:rPr>
          <w:rFonts w:ascii="Times New Roman" w:hAnsi="Times New Roman" w:cs="Times New Roman"/>
          <w:color w:val="auto"/>
          <w:sz w:val="24"/>
          <w:szCs w:val="24"/>
        </w:rPr>
        <w:t>HM Treasury (2024) Autumn Budget 2024: Economic and Fiscal Outlook. London: HMSO.</w:t>
      </w:r>
    </w:p>
    <w:p w14:paraId="62C28B8D" w14:textId="77777777" w:rsidR="00A114FD" w:rsidRPr="00553D7C" w:rsidRDefault="00280F89" w:rsidP="0096145E">
      <w:pPr>
        <w:spacing w:before="60" w:after="60" w:line="360" w:lineRule="auto"/>
        <w:ind w:left="720" w:hanging="720"/>
        <w:rPr>
          <w:rFonts w:ascii="Times New Roman" w:hAnsi="Times New Roman" w:cs="Times New Roman"/>
          <w:color w:val="auto"/>
          <w:sz w:val="24"/>
          <w:szCs w:val="24"/>
        </w:rPr>
      </w:pPr>
      <w:r w:rsidRPr="00553D7C">
        <w:rPr>
          <w:rFonts w:ascii="Times New Roman" w:hAnsi="Times New Roman" w:cs="Times New Roman"/>
          <w:color w:val="auto"/>
          <w:sz w:val="24"/>
          <w:szCs w:val="24"/>
        </w:rPr>
        <w:t>Infrastructure and Projects Authority (IPA) (2023) Annual Report on Major Projects 2022–23. London: Cabinet Office.</w:t>
      </w:r>
    </w:p>
    <w:p w14:paraId="5C70993B" w14:textId="77777777" w:rsidR="00A114FD" w:rsidRPr="00553D7C" w:rsidRDefault="00280F89" w:rsidP="0096145E">
      <w:pPr>
        <w:spacing w:before="60" w:after="60" w:line="360" w:lineRule="auto"/>
        <w:ind w:left="720" w:hanging="720"/>
        <w:rPr>
          <w:rFonts w:ascii="Times New Roman" w:hAnsi="Times New Roman" w:cs="Times New Roman"/>
          <w:color w:val="auto"/>
          <w:sz w:val="24"/>
          <w:szCs w:val="24"/>
        </w:rPr>
      </w:pPr>
      <w:r w:rsidRPr="00553D7C">
        <w:rPr>
          <w:rFonts w:ascii="Times New Roman" w:hAnsi="Times New Roman" w:cs="Times New Roman"/>
          <w:color w:val="auto"/>
          <w:sz w:val="24"/>
          <w:szCs w:val="24"/>
        </w:rPr>
        <w:lastRenderedPageBreak/>
        <w:t>International Organisation for Standardisation (ISO) (2018) ISO 31000:2018 Risk Management — Guidelines. Geneva: ISO.</w:t>
      </w:r>
    </w:p>
    <w:p w14:paraId="66B353AF" w14:textId="77777777" w:rsidR="00A114FD" w:rsidRPr="00553D7C" w:rsidRDefault="00280F89" w:rsidP="0096145E">
      <w:pPr>
        <w:spacing w:before="60" w:after="60" w:line="360" w:lineRule="auto"/>
        <w:ind w:left="720" w:hanging="720"/>
        <w:rPr>
          <w:rFonts w:ascii="Times New Roman" w:hAnsi="Times New Roman" w:cs="Times New Roman"/>
          <w:color w:val="auto"/>
          <w:sz w:val="24"/>
          <w:szCs w:val="24"/>
        </w:rPr>
      </w:pPr>
      <w:r w:rsidRPr="00553D7C">
        <w:rPr>
          <w:rFonts w:ascii="Times New Roman" w:hAnsi="Times New Roman" w:cs="Times New Roman"/>
          <w:color w:val="auto"/>
          <w:sz w:val="24"/>
          <w:szCs w:val="24"/>
        </w:rPr>
        <w:t>Jugdev, K. and Müller, R. (2005) 'A retrospective look at our evolving understanding of project success', Project Management Journal, 36(4), pp. 19–31.</w:t>
      </w:r>
    </w:p>
    <w:p w14:paraId="089E45F5" w14:textId="77777777" w:rsidR="00A114FD" w:rsidRPr="00553D7C" w:rsidRDefault="00280F89" w:rsidP="0096145E">
      <w:pPr>
        <w:spacing w:before="60" w:after="60" w:line="360" w:lineRule="auto"/>
        <w:ind w:left="720" w:hanging="720"/>
        <w:rPr>
          <w:rFonts w:ascii="Times New Roman" w:hAnsi="Times New Roman" w:cs="Times New Roman"/>
          <w:color w:val="auto"/>
          <w:sz w:val="24"/>
          <w:szCs w:val="24"/>
        </w:rPr>
      </w:pPr>
      <w:r w:rsidRPr="00553D7C">
        <w:rPr>
          <w:rFonts w:ascii="Times New Roman" w:hAnsi="Times New Roman" w:cs="Times New Roman"/>
          <w:color w:val="auto"/>
          <w:sz w:val="24"/>
          <w:szCs w:val="24"/>
        </w:rPr>
        <w:t>Kerzner, H. (2022) Project Management: A Systems Approach to Planning, Scheduling, and Controlling. 13th edn. Hoboken, NJ: Wiley.</w:t>
      </w:r>
    </w:p>
    <w:p w14:paraId="3AEE7244" w14:textId="77777777" w:rsidR="00A114FD" w:rsidRPr="00553D7C" w:rsidRDefault="00280F89" w:rsidP="0096145E">
      <w:pPr>
        <w:spacing w:before="60" w:after="60" w:line="360" w:lineRule="auto"/>
        <w:ind w:left="720" w:hanging="720"/>
        <w:rPr>
          <w:rFonts w:ascii="Times New Roman" w:hAnsi="Times New Roman" w:cs="Times New Roman"/>
          <w:color w:val="auto"/>
          <w:sz w:val="24"/>
          <w:szCs w:val="24"/>
        </w:rPr>
      </w:pPr>
      <w:r w:rsidRPr="00553D7C">
        <w:rPr>
          <w:rFonts w:ascii="Times New Roman" w:hAnsi="Times New Roman" w:cs="Times New Roman"/>
          <w:color w:val="auto"/>
          <w:sz w:val="24"/>
          <w:szCs w:val="24"/>
        </w:rPr>
        <w:t>Mendelow, A. (1991) 'Environmental scanning: The impact of the stakeholder concept', Proceedings of the 2nd International Conference on Information Systems, Cambridge, MA, pp. 407–418.</w:t>
      </w:r>
    </w:p>
    <w:p w14:paraId="68A25F43" w14:textId="77777777" w:rsidR="00A114FD" w:rsidRPr="00553D7C" w:rsidRDefault="00280F89" w:rsidP="0096145E">
      <w:pPr>
        <w:spacing w:before="60" w:after="60" w:line="360" w:lineRule="auto"/>
        <w:ind w:left="720" w:hanging="720"/>
        <w:rPr>
          <w:rFonts w:ascii="Times New Roman" w:hAnsi="Times New Roman" w:cs="Times New Roman"/>
          <w:color w:val="auto"/>
          <w:sz w:val="24"/>
          <w:szCs w:val="24"/>
        </w:rPr>
      </w:pPr>
      <w:r w:rsidRPr="00553D7C">
        <w:rPr>
          <w:rFonts w:ascii="Times New Roman" w:hAnsi="Times New Roman" w:cs="Times New Roman"/>
          <w:color w:val="auto"/>
          <w:sz w:val="24"/>
          <w:szCs w:val="24"/>
        </w:rPr>
        <w:t>Morris, P.W.G. and Hough, G.H. (1987) The Anatomy of Major Projects: A Study of the Reality of Project Management. Chichester: Wiley.</w:t>
      </w:r>
    </w:p>
    <w:p w14:paraId="382D6EE6" w14:textId="77777777" w:rsidR="00A114FD" w:rsidRPr="00553D7C" w:rsidRDefault="00280F89" w:rsidP="0096145E">
      <w:pPr>
        <w:spacing w:before="60" w:after="60" w:line="360" w:lineRule="auto"/>
        <w:ind w:left="720" w:hanging="720"/>
        <w:rPr>
          <w:rFonts w:ascii="Times New Roman" w:hAnsi="Times New Roman" w:cs="Times New Roman"/>
          <w:color w:val="auto"/>
          <w:sz w:val="24"/>
          <w:szCs w:val="24"/>
        </w:rPr>
      </w:pPr>
      <w:r w:rsidRPr="00553D7C">
        <w:rPr>
          <w:rFonts w:ascii="Times New Roman" w:hAnsi="Times New Roman" w:cs="Times New Roman"/>
          <w:color w:val="auto"/>
          <w:sz w:val="24"/>
          <w:szCs w:val="24"/>
        </w:rPr>
        <w:t>Müller, R. and Turner, J.R. (2010) 'Attitudes and leadership competences for project success', Baltic Journal of Management, 5(3), pp. 307–329.</w:t>
      </w:r>
    </w:p>
    <w:p w14:paraId="42043410" w14:textId="77777777" w:rsidR="00A114FD" w:rsidRPr="00553D7C" w:rsidRDefault="00280F89" w:rsidP="0096145E">
      <w:pPr>
        <w:spacing w:before="60" w:after="60" w:line="360" w:lineRule="auto"/>
        <w:ind w:left="720" w:hanging="720"/>
        <w:rPr>
          <w:rFonts w:ascii="Times New Roman" w:hAnsi="Times New Roman" w:cs="Times New Roman"/>
          <w:color w:val="auto"/>
          <w:sz w:val="24"/>
          <w:szCs w:val="24"/>
        </w:rPr>
      </w:pPr>
      <w:r w:rsidRPr="00553D7C">
        <w:rPr>
          <w:rFonts w:ascii="Times New Roman" w:hAnsi="Times New Roman" w:cs="Times New Roman"/>
          <w:color w:val="auto"/>
          <w:sz w:val="24"/>
          <w:szCs w:val="24"/>
        </w:rPr>
        <w:t>National Infrastructure Commission (NIC) (2020) Rail Needs Assessment for the Midlands and the North: Final Report. London: NIC.</w:t>
      </w:r>
    </w:p>
    <w:p w14:paraId="364E20BB" w14:textId="77777777" w:rsidR="00A114FD" w:rsidRPr="00553D7C" w:rsidRDefault="00280F89" w:rsidP="0096145E">
      <w:pPr>
        <w:spacing w:before="60" w:after="60" w:line="360" w:lineRule="auto"/>
        <w:ind w:left="720" w:hanging="720"/>
        <w:rPr>
          <w:rFonts w:ascii="Times New Roman" w:hAnsi="Times New Roman" w:cs="Times New Roman"/>
          <w:color w:val="auto"/>
          <w:sz w:val="24"/>
          <w:szCs w:val="24"/>
        </w:rPr>
      </w:pPr>
      <w:r w:rsidRPr="00553D7C">
        <w:rPr>
          <w:rFonts w:ascii="Times New Roman" w:hAnsi="Times New Roman" w:cs="Times New Roman"/>
          <w:color w:val="auto"/>
          <w:sz w:val="24"/>
          <w:szCs w:val="24"/>
        </w:rPr>
        <w:t>Project Management Institute (PMI) (2021) A Guide to the Project Management Body of Knowledge (PMBOK® Guide). 7th edn. Newtown Square, PA: PMI.</w:t>
      </w:r>
    </w:p>
    <w:p w14:paraId="6E4A7462" w14:textId="77777777" w:rsidR="00A114FD" w:rsidRPr="00553D7C" w:rsidRDefault="00280F89" w:rsidP="0096145E">
      <w:pPr>
        <w:spacing w:before="60" w:after="60" w:line="360" w:lineRule="auto"/>
        <w:ind w:left="720" w:hanging="720"/>
        <w:rPr>
          <w:rFonts w:ascii="Times New Roman" w:hAnsi="Times New Roman" w:cs="Times New Roman"/>
          <w:color w:val="auto"/>
          <w:sz w:val="24"/>
          <w:szCs w:val="24"/>
        </w:rPr>
      </w:pPr>
      <w:r w:rsidRPr="00553D7C">
        <w:rPr>
          <w:rFonts w:ascii="Times New Roman" w:hAnsi="Times New Roman" w:cs="Times New Roman"/>
          <w:color w:val="auto"/>
          <w:sz w:val="24"/>
          <w:szCs w:val="24"/>
        </w:rPr>
        <w:t>Rolfe, G., Freshwater, D. and Jasper, M. (2001) Critical Reflection for Nursing and the Helping Professions. Basingstoke: Palgrave.</w:t>
      </w:r>
    </w:p>
    <w:p w14:paraId="395FB443" w14:textId="77777777" w:rsidR="00A114FD" w:rsidRPr="00553D7C" w:rsidRDefault="00280F89" w:rsidP="0096145E">
      <w:pPr>
        <w:spacing w:before="60" w:after="60" w:line="360" w:lineRule="auto"/>
        <w:ind w:left="720" w:hanging="720"/>
        <w:rPr>
          <w:rFonts w:ascii="Times New Roman" w:hAnsi="Times New Roman" w:cs="Times New Roman"/>
          <w:color w:val="auto"/>
          <w:sz w:val="24"/>
          <w:szCs w:val="24"/>
        </w:rPr>
      </w:pPr>
      <w:r w:rsidRPr="00553D7C">
        <w:rPr>
          <w:rFonts w:ascii="Times New Roman" w:hAnsi="Times New Roman" w:cs="Times New Roman"/>
          <w:color w:val="auto"/>
          <w:sz w:val="24"/>
          <w:szCs w:val="24"/>
        </w:rPr>
        <w:t>Schön, D.A. (1983) The Reflective Practitioner: How Professionals Think in Action. New York: Basic Books.</w:t>
      </w:r>
    </w:p>
    <w:p w14:paraId="27932E1B" w14:textId="77777777" w:rsidR="00A114FD" w:rsidRPr="00553D7C" w:rsidRDefault="00280F89" w:rsidP="0096145E">
      <w:pPr>
        <w:spacing w:before="60" w:after="60" w:line="360" w:lineRule="auto"/>
        <w:ind w:left="720" w:hanging="720"/>
        <w:rPr>
          <w:rFonts w:ascii="Times New Roman" w:hAnsi="Times New Roman" w:cs="Times New Roman"/>
          <w:color w:val="auto"/>
          <w:sz w:val="24"/>
          <w:szCs w:val="24"/>
        </w:rPr>
      </w:pPr>
      <w:r w:rsidRPr="00553D7C">
        <w:rPr>
          <w:rFonts w:ascii="Times New Roman" w:hAnsi="Times New Roman" w:cs="Times New Roman"/>
          <w:color w:val="auto"/>
          <w:sz w:val="24"/>
          <w:szCs w:val="24"/>
        </w:rPr>
        <w:t>Social Value Act 2012 (c. 3). London: The Stationery Office.</w:t>
      </w:r>
    </w:p>
    <w:p w14:paraId="545C8B63" w14:textId="77777777" w:rsidR="00A114FD" w:rsidRPr="00553D7C" w:rsidRDefault="00280F89" w:rsidP="0096145E">
      <w:pPr>
        <w:spacing w:before="60" w:after="60" w:line="360" w:lineRule="auto"/>
        <w:ind w:left="720" w:hanging="720"/>
        <w:rPr>
          <w:rFonts w:ascii="Times New Roman" w:hAnsi="Times New Roman" w:cs="Times New Roman"/>
          <w:color w:val="auto"/>
          <w:sz w:val="24"/>
          <w:szCs w:val="24"/>
        </w:rPr>
      </w:pPr>
      <w:r w:rsidRPr="00553D7C">
        <w:rPr>
          <w:rFonts w:ascii="Times New Roman" w:hAnsi="Times New Roman" w:cs="Times New Roman"/>
          <w:color w:val="auto"/>
          <w:sz w:val="24"/>
          <w:szCs w:val="24"/>
        </w:rPr>
        <w:t>Turner, J.R. (2014) The Handbook of Project-Based Management. 4th edn. New York: McGraw-Hill.</w:t>
      </w:r>
    </w:p>
    <w:sectPr w:rsidR="00A114FD" w:rsidRPr="00553D7C">
      <w:pgSz w:w="11906" w:h="16838"/>
      <w:pgMar w:top="1080" w:right="1080" w:bottom="1080" w:left="108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FF1A67" w14:textId="77777777" w:rsidR="0042605A" w:rsidRDefault="0042605A">
      <w:r>
        <w:separator/>
      </w:r>
    </w:p>
  </w:endnote>
  <w:endnote w:type="continuationSeparator" w:id="0">
    <w:p w14:paraId="7B666A8A" w14:textId="77777777" w:rsidR="0042605A" w:rsidRDefault="004260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0A3E54" w14:textId="77777777" w:rsidR="0042605A" w:rsidRDefault="0042605A">
      <w:r>
        <w:separator/>
      </w:r>
    </w:p>
  </w:footnote>
  <w:footnote w:type="continuationSeparator" w:id="0">
    <w:p w14:paraId="2FA11713" w14:textId="77777777" w:rsidR="0042605A" w:rsidRDefault="004260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35430CB"/>
    <w:multiLevelType w:val="hybridMultilevel"/>
    <w:tmpl w:val="194CD738"/>
    <w:lvl w:ilvl="0" w:tplc="2746FC8E">
      <w:start w:val="1"/>
      <w:numFmt w:val="bullet"/>
      <w:lvlText w:val="•"/>
      <w:lvlJc w:val="left"/>
      <w:pPr>
        <w:ind w:left="540" w:hanging="360"/>
      </w:pPr>
    </w:lvl>
    <w:lvl w:ilvl="1" w:tplc="9E328F06">
      <w:numFmt w:val="decimal"/>
      <w:lvlText w:val=""/>
      <w:lvlJc w:val="left"/>
    </w:lvl>
    <w:lvl w:ilvl="2" w:tplc="7BEEE936">
      <w:numFmt w:val="decimal"/>
      <w:lvlText w:val=""/>
      <w:lvlJc w:val="left"/>
    </w:lvl>
    <w:lvl w:ilvl="3" w:tplc="7D20DA30">
      <w:numFmt w:val="decimal"/>
      <w:lvlText w:val=""/>
      <w:lvlJc w:val="left"/>
    </w:lvl>
    <w:lvl w:ilvl="4" w:tplc="1F985906">
      <w:numFmt w:val="decimal"/>
      <w:lvlText w:val=""/>
      <w:lvlJc w:val="left"/>
    </w:lvl>
    <w:lvl w:ilvl="5" w:tplc="B0E03112">
      <w:numFmt w:val="decimal"/>
      <w:lvlText w:val=""/>
      <w:lvlJc w:val="left"/>
    </w:lvl>
    <w:lvl w:ilvl="6" w:tplc="FABA546C">
      <w:numFmt w:val="decimal"/>
      <w:lvlText w:val=""/>
      <w:lvlJc w:val="left"/>
    </w:lvl>
    <w:lvl w:ilvl="7" w:tplc="14AC5654">
      <w:numFmt w:val="decimal"/>
      <w:lvlText w:val=""/>
      <w:lvlJc w:val="left"/>
    </w:lvl>
    <w:lvl w:ilvl="8" w:tplc="59743B72">
      <w:numFmt w:val="decimal"/>
      <w:lvlText w:val=""/>
      <w:lvlJc w:val="left"/>
    </w:lvl>
  </w:abstractNum>
  <w:abstractNum w:abstractNumId="1" w15:restartNumberingAfterBreak="0">
    <w:nsid w:val="789F49AD"/>
    <w:multiLevelType w:val="hybridMultilevel"/>
    <w:tmpl w:val="7B6C5B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C035D17"/>
    <w:multiLevelType w:val="hybridMultilevel"/>
    <w:tmpl w:val="13168434"/>
    <w:lvl w:ilvl="0" w:tplc="419418BE">
      <w:start w:val="1"/>
      <w:numFmt w:val="bullet"/>
      <w:lvlText w:val="●"/>
      <w:lvlJc w:val="left"/>
      <w:pPr>
        <w:ind w:left="720" w:hanging="360"/>
      </w:pPr>
    </w:lvl>
    <w:lvl w:ilvl="1" w:tplc="ABAEA5FC">
      <w:start w:val="1"/>
      <w:numFmt w:val="bullet"/>
      <w:lvlText w:val="○"/>
      <w:lvlJc w:val="left"/>
      <w:pPr>
        <w:ind w:left="1440" w:hanging="360"/>
      </w:pPr>
    </w:lvl>
    <w:lvl w:ilvl="2" w:tplc="404E641C">
      <w:start w:val="1"/>
      <w:numFmt w:val="bullet"/>
      <w:lvlText w:val="■"/>
      <w:lvlJc w:val="left"/>
      <w:pPr>
        <w:ind w:left="2160" w:hanging="360"/>
      </w:pPr>
    </w:lvl>
    <w:lvl w:ilvl="3" w:tplc="EF1EEE90">
      <w:start w:val="1"/>
      <w:numFmt w:val="bullet"/>
      <w:lvlText w:val="●"/>
      <w:lvlJc w:val="left"/>
      <w:pPr>
        <w:ind w:left="2880" w:hanging="360"/>
      </w:pPr>
    </w:lvl>
    <w:lvl w:ilvl="4" w:tplc="B5A4C30C">
      <w:start w:val="1"/>
      <w:numFmt w:val="bullet"/>
      <w:lvlText w:val="○"/>
      <w:lvlJc w:val="left"/>
      <w:pPr>
        <w:ind w:left="3600" w:hanging="360"/>
      </w:pPr>
    </w:lvl>
    <w:lvl w:ilvl="5" w:tplc="3C12CE98">
      <w:start w:val="1"/>
      <w:numFmt w:val="bullet"/>
      <w:lvlText w:val="■"/>
      <w:lvlJc w:val="left"/>
      <w:pPr>
        <w:ind w:left="4320" w:hanging="360"/>
      </w:pPr>
    </w:lvl>
    <w:lvl w:ilvl="6" w:tplc="2ADCA0E6">
      <w:start w:val="1"/>
      <w:numFmt w:val="bullet"/>
      <w:lvlText w:val="●"/>
      <w:lvlJc w:val="left"/>
      <w:pPr>
        <w:ind w:left="5040" w:hanging="360"/>
      </w:pPr>
    </w:lvl>
    <w:lvl w:ilvl="7" w:tplc="22E03DCA">
      <w:start w:val="1"/>
      <w:numFmt w:val="bullet"/>
      <w:lvlText w:val="●"/>
      <w:lvlJc w:val="left"/>
      <w:pPr>
        <w:ind w:left="5760" w:hanging="360"/>
      </w:pPr>
    </w:lvl>
    <w:lvl w:ilvl="8" w:tplc="ECE6C7C4">
      <w:start w:val="1"/>
      <w:numFmt w:val="bullet"/>
      <w:lvlText w:val="●"/>
      <w:lvlJc w:val="left"/>
      <w:pPr>
        <w:ind w:left="6480" w:hanging="360"/>
      </w:pPr>
    </w:lvl>
  </w:abstractNum>
  <w:num w:numId="1" w16cid:durableId="1099570795">
    <w:abstractNumId w:val="2"/>
    <w:lvlOverride w:ilvl="0">
      <w:startOverride w:val="1"/>
    </w:lvlOverride>
  </w:num>
  <w:num w:numId="2" w16cid:durableId="1864587738">
    <w:abstractNumId w:val="0"/>
    <w:lvlOverride w:ilvl="0">
      <w:startOverride w:val="1"/>
    </w:lvlOverride>
  </w:num>
  <w:num w:numId="3" w16cid:durableId="16001439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14FD"/>
    <w:rsid w:val="000C3CC9"/>
    <w:rsid w:val="001D48FF"/>
    <w:rsid w:val="001F73E0"/>
    <w:rsid w:val="00280F89"/>
    <w:rsid w:val="002F3C08"/>
    <w:rsid w:val="00403281"/>
    <w:rsid w:val="0042605A"/>
    <w:rsid w:val="00451C4D"/>
    <w:rsid w:val="00553D7C"/>
    <w:rsid w:val="0059225C"/>
    <w:rsid w:val="00751406"/>
    <w:rsid w:val="008275BE"/>
    <w:rsid w:val="00861AB5"/>
    <w:rsid w:val="0096145E"/>
    <w:rsid w:val="009B4ED2"/>
    <w:rsid w:val="009B62E5"/>
    <w:rsid w:val="00A114FD"/>
    <w:rsid w:val="00AD5EE0"/>
    <w:rsid w:val="00B275C6"/>
    <w:rsid w:val="00C408F0"/>
    <w:rsid w:val="00C80734"/>
    <w:rsid w:val="00C976EF"/>
    <w:rsid w:val="00DA3002"/>
    <w:rsid w:val="00E34C57"/>
    <w:rsid w:val="00F23B24"/>
    <w:rsid w:val="00FA1DA7"/>
    <w:rsid w:val="00FA6A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FFC74B"/>
  <w15:docId w15:val="{A4031326-A640-4D16-8871-D107CDF5FB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color w:val="000000"/>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20" w:after="140"/>
      <w:outlineLvl w:val="0"/>
    </w:pPr>
    <w:rPr>
      <w:b/>
      <w:bCs/>
      <w:color w:val="1B3A6B"/>
      <w:sz w:val="36"/>
      <w:szCs w:val="36"/>
    </w:rPr>
  </w:style>
  <w:style w:type="paragraph" w:styleId="Heading2">
    <w:name w:val="heading 2"/>
    <w:uiPriority w:val="9"/>
    <w:unhideWhenUsed/>
    <w:qFormat/>
    <w:pPr>
      <w:spacing w:before="200" w:after="100"/>
      <w:outlineLvl w:val="1"/>
    </w:pPr>
    <w:rPr>
      <w:b/>
      <w:bCs/>
      <w:color w:val="1B3A6B"/>
      <w:sz w:val="28"/>
      <w:szCs w:val="28"/>
    </w:rPr>
  </w:style>
  <w:style w:type="paragraph" w:styleId="Heading3">
    <w:name w:val="heading 3"/>
    <w:uiPriority w:val="9"/>
    <w:semiHidden/>
    <w:unhideWhenUsed/>
    <w:qFormat/>
    <w:pPr>
      <w:spacing w:before="160" w:after="80"/>
      <w:outlineLvl w:val="2"/>
    </w:pPr>
    <w:rPr>
      <w:b/>
      <w:bCs/>
      <w:color w:val="1D7A8A"/>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96145E"/>
    <w:pPr>
      <w:tabs>
        <w:tab w:val="center" w:pos="4680"/>
        <w:tab w:val="right" w:pos="9360"/>
      </w:tabs>
    </w:pPr>
  </w:style>
  <w:style w:type="character" w:customStyle="1" w:styleId="HeaderChar">
    <w:name w:val="Header Char"/>
    <w:basedOn w:val="DefaultParagraphFont"/>
    <w:link w:val="Header"/>
    <w:uiPriority w:val="99"/>
    <w:rsid w:val="0096145E"/>
  </w:style>
  <w:style w:type="paragraph" w:styleId="Footer">
    <w:name w:val="footer"/>
    <w:basedOn w:val="Normal"/>
    <w:link w:val="FooterChar"/>
    <w:uiPriority w:val="99"/>
    <w:unhideWhenUsed/>
    <w:rsid w:val="0096145E"/>
    <w:pPr>
      <w:tabs>
        <w:tab w:val="center" w:pos="4680"/>
        <w:tab w:val="right" w:pos="9360"/>
      </w:tabs>
    </w:pPr>
  </w:style>
  <w:style w:type="character" w:customStyle="1" w:styleId="FooterChar">
    <w:name w:val="Footer Char"/>
    <w:basedOn w:val="DefaultParagraphFont"/>
    <w:link w:val="Footer"/>
    <w:uiPriority w:val="99"/>
    <w:rsid w:val="009614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8deaf43d7c8d42ee8518a4db2749696c">
  <xsd:schema xmlns:xsd="http://www.w3.org/2001/XMLSchema" xmlns:xs="http://www.w3.org/2001/XMLSchema" xmlns:p="http://schemas.microsoft.com/office/2006/metadata/properties" xmlns:ns3="0085e1a2-9cbf-4b92-866b-21f3c89040b6" targetNamespace="http://schemas.microsoft.com/office/2006/metadata/properties" ma:root="true" ma:fieldsID="696a108d860e9f5c45742faaf7937343"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9D276FF6-BC6A-41DA-82E9-2CBB62A363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C2BC9DA-3F62-4B6B-BB2C-F51857F69454}">
  <ds:schemaRefs>
    <ds:schemaRef ds:uri="http://schemas.microsoft.com/sharepoint/v3/contenttype/forms"/>
  </ds:schemaRefs>
</ds:datastoreItem>
</file>

<file path=customXml/itemProps3.xml><?xml version="1.0" encoding="utf-8"?>
<ds:datastoreItem xmlns:ds="http://schemas.openxmlformats.org/officeDocument/2006/customXml" ds:itemID="{72CEE766-97F7-415B-BC17-041F850ADF23}">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3748</Words>
  <Characters>21369</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Un-named</dc:creator>
  <cp:keywords/>
  <dc:description/>
  <cp:lastModifiedBy>Sabine Pindou-Bouanga (2335155)</cp:lastModifiedBy>
  <cp:revision>2</cp:revision>
  <dcterms:created xsi:type="dcterms:W3CDTF">2026-07-27T04:17:00Z</dcterms:created>
  <dcterms:modified xsi:type="dcterms:W3CDTF">2026-07-27T04:17:00Z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