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18956C" w14:textId="77777777" w:rsidR="00C519DD" w:rsidRPr="00DA186E" w:rsidRDefault="00C519DD" w:rsidP="008917F1">
      <w:pPr>
        <w:widowControl w:val="0"/>
        <w:jc w:val="center"/>
        <w:rPr>
          <w:rFonts w:eastAsia="Times New Roman"/>
          <w:b/>
          <w:sz w:val="28"/>
          <w:szCs w:val="28"/>
        </w:rPr>
      </w:pPr>
    </w:p>
    <w:p w14:paraId="5C2910BF" w14:textId="77777777" w:rsidR="00C519DD" w:rsidRPr="00DA186E" w:rsidRDefault="00000000" w:rsidP="008917F1">
      <w:pPr>
        <w:widowControl w:val="0"/>
        <w:jc w:val="center"/>
        <w:rPr>
          <w:rFonts w:eastAsia="Times New Roman"/>
          <w:b/>
          <w:sz w:val="32"/>
          <w:szCs w:val="32"/>
        </w:rPr>
      </w:pPr>
      <w:r w:rsidRPr="00DA186E">
        <w:rPr>
          <w:rFonts w:eastAsia="Times New Roman"/>
          <w:b/>
          <w:sz w:val="32"/>
          <w:szCs w:val="32"/>
        </w:rPr>
        <w:t>BSc (Hons) Health and Social Care</w:t>
      </w:r>
    </w:p>
    <w:p w14:paraId="2E74584A" w14:textId="77777777" w:rsidR="00C519DD" w:rsidRPr="00DA186E" w:rsidRDefault="00C519DD" w:rsidP="008917F1">
      <w:pPr>
        <w:widowControl w:val="0"/>
        <w:jc w:val="center"/>
        <w:rPr>
          <w:rFonts w:eastAsia="Times New Roman"/>
          <w:b/>
          <w:sz w:val="32"/>
          <w:szCs w:val="32"/>
        </w:rPr>
      </w:pPr>
    </w:p>
    <w:p w14:paraId="406BCDBF" w14:textId="77777777" w:rsidR="00C519DD" w:rsidRPr="00DA186E" w:rsidRDefault="00000000" w:rsidP="008917F1">
      <w:pPr>
        <w:widowControl w:val="0"/>
        <w:jc w:val="center"/>
        <w:rPr>
          <w:rFonts w:eastAsia="Times New Roman"/>
          <w:sz w:val="32"/>
          <w:szCs w:val="32"/>
        </w:rPr>
      </w:pPr>
      <w:bookmarkStart w:id="0" w:name="_heading=h.xgam926r05w6" w:colFirst="0" w:colLast="0"/>
      <w:bookmarkEnd w:id="0"/>
      <w:r w:rsidRPr="00DA186E">
        <w:rPr>
          <w:rFonts w:eastAsia="Times New Roman"/>
          <w:b/>
          <w:sz w:val="32"/>
          <w:szCs w:val="32"/>
        </w:rPr>
        <w:t>Module: Introduction to Independent Research Skills (BMHP5019)</w:t>
      </w:r>
    </w:p>
    <w:p w14:paraId="02C10171" w14:textId="77777777" w:rsidR="00C519DD" w:rsidRPr="00DA186E" w:rsidRDefault="00C519DD" w:rsidP="008917F1">
      <w:pPr>
        <w:widowControl w:val="0"/>
        <w:jc w:val="center"/>
        <w:rPr>
          <w:rFonts w:eastAsia="Times New Roman"/>
          <w:b/>
          <w:sz w:val="32"/>
          <w:szCs w:val="32"/>
        </w:rPr>
      </w:pPr>
    </w:p>
    <w:p w14:paraId="4160F27D" w14:textId="77777777" w:rsidR="00C519DD" w:rsidRPr="00DA186E" w:rsidRDefault="00C519DD" w:rsidP="008917F1">
      <w:pPr>
        <w:widowControl w:val="0"/>
        <w:jc w:val="center"/>
        <w:rPr>
          <w:rFonts w:eastAsia="Times New Roman"/>
          <w:b/>
          <w:sz w:val="32"/>
          <w:szCs w:val="32"/>
        </w:rPr>
      </w:pPr>
    </w:p>
    <w:p w14:paraId="3F438638" w14:textId="77777777" w:rsidR="00C519DD" w:rsidRPr="00DA186E" w:rsidRDefault="00000000" w:rsidP="008917F1">
      <w:pPr>
        <w:widowControl w:val="0"/>
        <w:jc w:val="center"/>
        <w:rPr>
          <w:rFonts w:eastAsia="Times New Roman"/>
          <w:b/>
          <w:sz w:val="32"/>
          <w:szCs w:val="32"/>
        </w:rPr>
      </w:pPr>
      <w:r w:rsidRPr="00DA186E">
        <w:rPr>
          <w:rFonts w:eastAsia="Times New Roman"/>
          <w:b/>
          <w:sz w:val="32"/>
          <w:szCs w:val="32"/>
        </w:rPr>
        <w:t>Component: 2</w:t>
      </w:r>
    </w:p>
    <w:p w14:paraId="1C80F6E6" w14:textId="77777777" w:rsidR="00C519DD" w:rsidRPr="00DA186E" w:rsidRDefault="00C519DD" w:rsidP="008917F1">
      <w:pPr>
        <w:widowControl w:val="0"/>
        <w:jc w:val="center"/>
        <w:rPr>
          <w:rFonts w:eastAsia="Times New Roman"/>
          <w:sz w:val="32"/>
          <w:szCs w:val="32"/>
        </w:rPr>
      </w:pPr>
    </w:p>
    <w:p w14:paraId="1A8CA641" w14:textId="77777777" w:rsidR="00C519DD" w:rsidRPr="00DA186E" w:rsidRDefault="00C519DD" w:rsidP="008917F1">
      <w:pPr>
        <w:widowControl w:val="0"/>
        <w:jc w:val="center"/>
        <w:rPr>
          <w:rFonts w:eastAsia="Times New Roman"/>
          <w:b/>
          <w:sz w:val="32"/>
          <w:szCs w:val="32"/>
        </w:rPr>
      </w:pPr>
    </w:p>
    <w:p w14:paraId="7DD457D5" w14:textId="77777777" w:rsidR="00C519DD" w:rsidRPr="00DA186E" w:rsidRDefault="00C519DD" w:rsidP="008917F1">
      <w:pPr>
        <w:widowControl w:val="0"/>
        <w:jc w:val="center"/>
        <w:rPr>
          <w:rFonts w:eastAsia="Times New Roman"/>
          <w:b/>
          <w:sz w:val="32"/>
          <w:szCs w:val="32"/>
        </w:rPr>
      </w:pPr>
    </w:p>
    <w:p w14:paraId="563A8023" w14:textId="0C4822EE" w:rsidR="00C519DD" w:rsidRPr="00614B6A" w:rsidRDefault="00000000" w:rsidP="008917F1">
      <w:pPr>
        <w:widowControl w:val="0"/>
        <w:jc w:val="center"/>
        <w:rPr>
          <w:rFonts w:eastAsia="Times New Roman"/>
          <w:b/>
          <w:bCs/>
          <w:sz w:val="32"/>
          <w:szCs w:val="32"/>
        </w:rPr>
      </w:pPr>
      <w:r w:rsidRPr="00DA186E">
        <w:rPr>
          <w:rFonts w:eastAsia="Times New Roman"/>
          <w:b/>
          <w:sz w:val="32"/>
          <w:szCs w:val="32"/>
        </w:rPr>
        <w:t>Student ID</w:t>
      </w:r>
      <w:r w:rsidRPr="00DA186E">
        <w:rPr>
          <w:rFonts w:eastAsia="Times New Roman"/>
          <w:sz w:val="32"/>
          <w:szCs w:val="32"/>
        </w:rPr>
        <w:t>:</w:t>
      </w:r>
      <w:r w:rsidR="00614B6A" w:rsidRPr="00614B6A">
        <w:rPr>
          <w:rFonts w:eastAsia="Times New Roman"/>
          <w:b/>
          <w:bCs/>
          <w:sz w:val="32"/>
          <w:szCs w:val="32"/>
        </w:rPr>
        <w:t>2020248172</w:t>
      </w:r>
    </w:p>
    <w:p w14:paraId="1D529F00" w14:textId="3915CE0C" w:rsidR="00C519DD" w:rsidRPr="00DA186E" w:rsidRDefault="00000000" w:rsidP="008917F1">
      <w:pPr>
        <w:widowControl w:val="0"/>
        <w:jc w:val="center"/>
        <w:rPr>
          <w:rFonts w:eastAsia="Times New Roman"/>
          <w:sz w:val="32"/>
          <w:szCs w:val="32"/>
        </w:rPr>
      </w:pPr>
      <w:r w:rsidRPr="00DA186E">
        <w:rPr>
          <w:rFonts w:eastAsia="Times New Roman"/>
          <w:b/>
          <w:sz w:val="32"/>
          <w:szCs w:val="32"/>
        </w:rPr>
        <w:t>Student Name</w:t>
      </w:r>
      <w:r w:rsidRPr="00614B6A">
        <w:rPr>
          <w:rFonts w:eastAsia="Times New Roman"/>
          <w:b/>
          <w:bCs/>
          <w:sz w:val="32"/>
          <w:szCs w:val="32"/>
        </w:rPr>
        <w:t>:</w:t>
      </w:r>
      <w:r w:rsidR="002F5A3F">
        <w:rPr>
          <w:rFonts w:eastAsia="Times New Roman"/>
          <w:b/>
          <w:bCs/>
          <w:sz w:val="32"/>
          <w:szCs w:val="32"/>
        </w:rPr>
        <w:t xml:space="preserve"> </w:t>
      </w:r>
      <w:r w:rsidR="00614B6A" w:rsidRPr="00614B6A">
        <w:rPr>
          <w:rFonts w:eastAsia="Times New Roman"/>
          <w:b/>
          <w:bCs/>
          <w:sz w:val="32"/>
          <w:szCs w:val="32"/>
        </w:rPr>
        <w:t>Catalin Anca</w:t>
      </w:r>
    </w:p>
    <w:p w14:paraId="05AA8624" w14:textId="3D5540CE" w:rsidR="00C519DD" w:rsidRPr="002F5A3F" w:rsidRDefault="002F5A3F" w:rsidP="008917F1">
      <w:pPr>
        <w:widowControl w:val="0"/>
        <w:rPr>
          <w:rFonts w:eastAsia="Times New Roman"/>
          <w:b/>
          <w:bCs/>
          <w:sz w:val="32"/>
          <w:szCs w:val="32"/>
        </w:rPr>
      </w:pPr>
      <w:r w:rsidRPr="002F5A3F">
        <w:rPr>
          <w:rFonts w:eastAsia="Times New Roman"/>
          <w:b/>
          <w:bCs/>
          <w:sz w:val="32"/>
          <w:szCs w:val="32"/>
        </w:rPr>
        <w:t xml:space="preserve">                                 Lecture</w:t>
      </w:r>
      <w:r>
        <w:rPr>
          <w:rFonts w:eastAsia="Times New Roman"/>
          <w:b/>
          <w:bCs/>
          <w:sz w:val="32"/>
          <w:szCs w:val="32"/>
        </w:rPr>
        <w:t>r’s</w:t>
      </w:r>
      <w:r w:rsidRPr="002F5A3F">
        <w:rPr>
          <w:rFonts w:eastAsia="Times New Roman"/>
          <w:b/>
          <w:bCs/>
          <w:sz w:val="32"/>
          <w:szCs w:val="32"/>
        </w:rPr>
        <w:t xml:space="preserve"> Name</w:t>
      </w:r>
      <w:r>
        <w:rPr>
          <w:rFonts w:eastAsia="Times New Roman"/>
          <w:b/>
          <w:bCs/>
          <w:sz w:val="32"/>
          <w:szCs w:val="32"/>
        </w:rPr>
        <w:t xml:space="preserve">: </w:t>
      </w:r>
      <w:proofErr w:type="spellStart"/>
      <w:r>
        <w:rPr>
          <w:rFonts w:eastAsia="Times New Roman"/>
          <w:b/>
          <w:bCs/>
          <w:sz w:val="32"/>
          <w:szCs w:val="32"/>
        </w:rPr>
        <w:t>Itse</w:t>
      </w:r>
      <w:proofErr w:type="spellEnd"/>
      <w:r>
        <w:rPr>
          <w:rFonts w:eastAsia="Times New Roman"/>
          <w:b/>
          <w:bCs/>
          <w:sz w:val="32"/>
          <w:szCs w:val="32"/>
        </w:rPr>
        <w:t xml:space="preserve"> Olaoye</w:t>
      </w:r>
    </w:p>
    <w:p w14:paraId="79E8BCF6" w14:textId="77777777" w:rsidR="00C519DD" w:rsidRPr="00DA186E" w:rsidRDefault="00C519DD" w:rsidP="008917F1">
      <w:pPr>
        <w:widowControl w:val="0"/>
        <w:rPr>
          <w:rFonts w:eastAsia="Times New Roman"/>
          <w:b/>
          <w:sz w:val="32"/>
          <w:szCs w:val="32"/>
        </w:rPr>
      </w:pPr>
    </w:p>
    <w:p w14:paraId="70A617CF" w14:textId="77777777" w:rsidR="00C519DD" w:rsidRDefault="00000000" w:rsidP="008917F1">
      <w:pPr>
        <w:widowControl w:val="0"/>
        <w:jc w:val="center"/>
        <w:rPr>
          <w:rFonts w:ascii="Times New Roman" w:eastAsia="Times New Roman" w:hAnsi="Times New Roman" w:cs="Times New Roman"/>
          <w:b/>
          <w:sz w:val="24"/>
          <w:szCs w:val="24"/>
        </w:rPr>
      </w:pPr>
      <w:r w:rsidRPr="00DA186E">
        <w:rPr>
          <w:rFonts w:eastAsia="Times New Roman"/>
          <w:b/>
          <w:sz w:val="32"/>
          <w:szCs w:val="32"/>
        </w:rPr>
        <w:t>Topic: “</w:t>
      </w:r>
      <w:r w:rsidRPr="00DA186E">
        <w:rPr>
          <w:rFonts w:eastAsia="Times New Roman"/>
          <w:b/>
          <w:i/>
          <w:sz w:val="32"/>
          <w:szCs w:val="32"/>
        </w:rPr>
        <w:t>The Role of Social Prescribing in Improving Mental Health Outcomes in the UK”</w:t>
      </w:r>
      <w:r w:rsidRPr="00DA186E">
        <w:rPr>
          <w:rFonts w:ascii="Times New Roman" w:eastAsia="Times New Roman" w:hAnsi="Times New Roman" w:cs="Times New Roman"/>
          <w:b/>
        </w:rPr>
        <w:t xml:space="preserve"> </w:t>
      </w:r>
      <w:r>
        <w:br w:type="page"/>
      </w:r>
    </w:p>
    <w:p w14:paraId="2EEC5683" w14:textId="77777777" w:rsidR="00C519DD" w:rsidRPr="00DA186E" w:rsidRDefault="00000000" w:rsidP="008917F1">
      <w:pPr>
        <w:widowControl w:val="0"/>
        <w:jc w:val="center"/>
        <w:rPr>
          <w:sz w:val="24"/>
          <w:szCs w:val="24"/>
        </w:rPr>
      </w:pPr>
      <w:r w:rsidRPr="00DA186E">
        <w:rPr>
          <w:rFonts w:eastAsia="Times New Roman"/>
          <w:b/>
          <w:sz w:val="24"/>
          <w:szCs w:val="24"/>
        </w:rPr>
        <w:lastRenderedPageBreak/>
        <w:t>Table of Contents</w:t>
      </w:r>
    </w:p>
    <w:sdt>
      <w:sdtPr>
        <w:id w:val="-137961916"/>
        <w:docPartObj>
          <w:docPartGallery w:val="Table of Contents"/>
          <w:docPartUnique/>
        </w:docPartObj>
      </w:sdtPr>
      <w:sdtContent>
        <w:p w14:paraId="3BBFB23D" w14:textId="77777777" w:rsidR="00C519DD" w:rsidRDefault="00C519DD" w:rsidP="008917F1">
          <w:pPr>
            <w:widowControl w:val="0"/>
            <w:tabs>
              <w:tab w:val="right" w:pos="12000"/>
            </w:tabs>
            <w:jc w:val="left"/>
            <w:rPr>
              <w:color w:val="000000"/>
            </w:rPr>
          </w:pPr>
          <w:r>
            <w:fldChar w:fldCharType="begin"/>
          </w:r>
          <w:r>
            <w:instrText xml:space="preserve"> TOC \h \u \z \t "Heading 1,1,Heading 2,2,Heading 3,3,Heading 4,4,Heading 5,5,Heading 6,6,"</w:instrText>
          </w:r>
          <w:r>
            <w:fldChar w:fldCharType="separate"/>
          </w:r>
          <w:hyperlink w:anchor="_heading=h.153n94f942u3">
            <w:r>
              <w:rPr>
                <w:color w:val="000000"/>
              </w:rPr>
              <w:t>Introduction</w:t>
            </w:r>
            <w:r>
              <w:rPr>
                <w:color w:val="000000"/>
              </w:rPr>
              <w:tab/>
              <w:t>3</w:t>
            </w:r>
          </w:hyperlink>
        </w:p>
        <w:p w14:paraId="44258F0C" w14:textId="77777777" w:rsidR="00C519DD" w:rsidRDefault="00C519DD" w:rsidP="008917F1">
          <w:pPr>
            <w:widowControl w:val="0"/>
            <w:tabs>
              <w:tab w:val="right" w:pos="12000"/>
            </w:tabs>
            <w:jc w:val="left"/>
            <w:rPr>
              <w:color w:val="000000"/>
            </w:rPr>
          </w:pPr>
          <w:hyperlink w:anchor="_heading=h.cq4r68vckftg">
            <w:r>
              <w:rPr>
                <w:color w:val="000000"/>
              </w:rPr>
              <w:t>Background</w:t>
            </w:r>
            <w:r>
              <w:rPr>
                <w:color w:val="000000"/>
              </w:rPr>
              <w:tab/>
              <w:t>4</w:t>
            </w:r>
          </w:hyperlink>
        </w:p>
        <w:p w14:paraId="6FEDA4BC" w14:textId="77777777" w:rsidR="00C519DD" w:rsidRDefault="00C519DD" w:rsidP="008917F1">
          <w:pPr>
            <w:widowControl w:val="0"/>
            <w:tabs>
              <w:tab w:val="right" w:pos="12000"/>
            </w:tabs>
            <w:jc w:val="left"/>
            <w:rPr>
              <w:color w:val="000000"/>
            </w:rPr>
          </w:pPr>
          <w:hyperlink w:anchor="_heading=h.dp0rl2siom3i">
            <w:r>
              <w:rPr>
                <w:color w:val="000000"/>
              </w:rPr>
              <w:t>Methods</w:t>
            </w:r>
            <w:r>
              <w:rPr>
                <w:color w:val="000000"/>
              </w:rPr>
              <w:tab/>
              <w:t>4</w:t>
            </w:r>
          </w:hyperlink>
        </w:p>
        <w:p w14:paraId="0AD5B749" w14:textId="77777777" w:rsidR="00C519DD" w:rsidRDefault="00C519DD" w:rsidP="008917F1">
          <w:pPr>
            <w:widowControl w:val="0"/>
            <w:tabs>
              <w:tab w:val="right" w:pos="12000"/>
            </w:tabs>
            <w:jc w:val="left"/>
            <w:rPr>
              <w:color w:val="000000"/>
            </w:rPr>
          </w:pPr>
          <w:hyperlink w:anchor="_heading=h.wn4yhu4q1zmf">
            <w:r>
              <w:rPr>
                <w:color w:val="000000"/>
              </w:rPr>
              <w:t>Results</w:t>
            </w:r>
            <w:r>
              <w:rPr>
                <w:color w:val="000000"/>
              </w:rPr>
              <w:tab/>
              <w:t>8</w:t>
            </w:r>
          </w:hyperlink>
        </w:p>
        <w:p w14:paraId="43E53014" w14:textId="77777777" w:rsidR="00C519DD" w:rsidRDefault="00C519DD" w:rsidP="008917F1">
          <w:pPr>
            <w:widowControl w:val="0"/>
            <w:tabs>
              <w:tab w:val="right" w:pos="12000"/>
            </w:tabs>
            <w:jc w:val="left"/>
            <w:rPr>
              <w:color w:val="000000"/>
            </w:rPr>
          </w:pPr>
          <w:hyperlink w:anchor="_heading=h.w3262wkpmj5q">
            <w:r>
              <w:rPr>
                <w:color w:val="000000"/>
              </w:rPr>
              <w:t>Discussion</w:t>
            </w:r>
            <w:r>
              <w:rPr>
                <w:color w:val="000000"/>
              </w:rPr>
              <w:tab/>
              <w:t>11</w:t>
            </w:r>
          </w:hyperlink>
        </w:p>
        <w:p w14:paraId="4A7250D2" w14:textId="77777777" w:rsidR="00C519DD" w:rsidRDefault="00C519DD" w:rsidP="008917F1">
          <w:pPr>
            <w:widowControl w:val="0"/>
            <w:tabs>
              <w:tab w:val="right" w:pos="12000"/>
            </w:tabs>
            <w:jc w:val="left"/>
            <w:rPr>
              <w:color w:val="000000"/>
            </w:rPr>
          </w:pPr>
          <w:hyperlink w:anchor="_heading=h.8zfq8omchl58">
            <w:r>
              <w:rPr>
                <w:color w:val="000000"/>
              </w:rPr>
              <w:t>Conclusion and recommendation</w:t>
            </w:r>
            <w:r>
              <w:rPr>
                <w:color w:val="000000"/>
              </w:rPr>
              <w:tab/>
              <w:t>13</w:t>
            </w:r>
          </w:hyperlink>
        </w:p>
        <w:p w14:paraId="1E93752A" w14:textId="77777777" w:rsidR="00C519DD" w:rsidRDefault="00C519DD" w:rsidP="008917F1">
          <w:pPr>
            <w:widowControl w:val="0"/>
            <w:tabs>
              <w:tab w:val="right" w:pos="12000"/>
            </w:tabs>
            <w:jc w:val="left"/>
            <w:rPr>
              <w:color w:val="000000"/>
            </w:rPr>
          </w:pPr>
          <w:hyperlink w:anchor="_heading=h.fey9jkswv91x">
            <w:r>
              <w:rPr>
                <w:color w:val="000000"/>
              </w:rPr>
              <w:t>Reference List</w:t>
            </w:r>
            <w:r>
              <w:rPr>
                <w:color w:val="000000"/>
              </w:rPr>
              <w:tab/>
              <w:t>15</w:t>
            </w:r>
          </w:hyperlink>
          <w:r>
            <w:fldChar w:fldCharType="end"/>
          </w:r>
        </w:p>
      </w:sdtContent>
    </w:sdt>
    <w:p w14:paraId="1A027CD0" w14:textId="77777777" w:rsidR="00C519DD" w:rsidRDefault="00C519DD" w:rsidP="008917F1">
      <w:pPr>
        <w:widowControl w:val="0"/>
        <w:rPr>
          <w:sz w:val="24"/>
          <w:szCs w:val="24"/>
        </w:rPr>
      </w:pPr>
    </w:p>
    <w:p w14:paraId="6C7B0603" w14:textId="77777777" w:rsidR="00C519DD" w:rsidRDefault="00000000" w:rsidP="008917F1">
      <w:pPr>
        <w:pStyle w:val="Heading2"/>
        <w:keepNext w:val="0"/>
        <w:keepLines w:val="0"/>
        <w:widowControl w:val="0"/>
        <w:rPr>
          <w:b w:val="0"/>
        </w:rPr>
      </w:pPr>
      <w:bookmarkStart w:id="1" w:name="_heading=h.k243blpzixzh" w:colFirst="0" w:colLast="0"/>
      <w:bookmarkEnd w:id="1"/>
      <w:r>
        <w:br w:type="page"/>
      </w:r>
    </w:p>
    <w:p w14:paraId="46A281BF" w14:textId="77777777" w:rsidR="00C519DD" w:rsidRDefault="00000000" w:rsidP="008917F1">
      <w:pPr>
        <w:pStyle w:val="Heading1"/>
        <w:widowControl w:val="0"/>
      </w:pPr>
      <w:bookmarkStart w:id="2" w:name="_heading=h.153n94f942u3" w:colFirst="0" w:colLast="0"/>
      <w:bookmarkEnd w:id="2"/>
      <w:r>
        <w:lastRenderedPageBreak/>
        <w:t xml:space="preserve">Introduction </w:t>
      </w:r>
    </w:p>
    <w:p w14:paraId="63586283" w14:textId="77777777" w:rsidR="00C519DD" w:rsidRDefault="00000000" w:rsidP="008917F1">
      <w:r>
        <w:t>Social prescribing can be defined as a non-clinical practice where healthcare professionals can refer patients to community-based services and activities aimed at promoting health and well-being. In the United Kingdom, the concept has recently received considerable focus in the form of the NHS Long-Term Plan, which places greater emphasis on holistic care as a means of mitigating the increasing mental health issues. According to the World Health Organization (WHO), mental health is a state of being where one is able to handle ordinary stresses of life, work and productively, besides making contributions to the society he lives in (</w:t>
      </w:r>
      <w:r>
        <w:rPr>
          <w:color w:val="222222"/>
          <w:sz w:val="24"/>
          <w:szCs w:val="24"/>
          <w:highlight w:val="white"/>
        </w:rPr>
        <w:t>WHO, 2025)</w:t>
      </w:r>
      <w:r>
        <w:t>. Social prescribing aims to achieve this by connecting people to social events like sports classes and volunteering, artistic classes and social clubs which aid in recovery and resilience. The reason behind the current study lies in the fact that the prevalence of mental health conditions is on the rise in the UK, and every year one out of every four people has poor mental health. Although there is a focus on policy, there exist obstacles in providing equitable access and long-term sustainability of social prescribing programs. Thus, the question of how such interventions can lead to mental health outcomes and what barriers are associated with their implementation should be examined. The questions that will be discussed during the review. These aims are to examine how social prescribing has influenced mental health, what intervention styles are available and what challenges and best practices can be implemented to improve the resilience and effectiveness of such programs throughout the UK.</w:t>
      </w:r>
    </w:p>
    <w:p w14:paraId="50C82B88" w14:textId="77777777" w:rsidR="00C519DD" w:rsidRDefault="00000000" w:rsidP="008917F1">
      <w:pPr>
        <w:pStyle w:val="Heading1"/>
        <w:widowControl w:val="0"/>
      </w:pPr>
      <w:bookmarkStart w:id="3" w:name="_heading=h.422m9h65emrz" w:colFirst="0" w:colLast="0"/>
      <w:bookmarkEnd w:id="3"/>
      <w:r>
        <w:br w:type="page"/>
      </w:r>
    </w:p>
    <w:p w14:paraId="2A3AE87C" w14:textId="77777777" w:rsidR="00C519DD" w:rsidRDefault="00000000" w:rsidP="008917F1">
      <w:pPr>
        <w:pStyle w:val="Heading1"/>
        <w:widowControl w:val="0"/>
      </w:pPr>
      <w:bookmarkStart w:id="4" w:name="_heading=h.cq4r68vckftg" w:colFirst="0" w:colLast="0"/>
      <w:bookmarkEnd w:id="4"/>
      <w:r>
        <w:lastRenderedPageBreak/>
        <w:t>Background</w:t>
      </w:r>
    </w:p>
    <w:p w14:paraId="30F59BFD" w14:textId="776D909A" w:rsidR="00C519DD" w:rsidRDefault="00000000" w:rsidP="008917F1">
      <w:r>
        <w:t xml:space="preserve">The rise of mental health as a key element of general well-being has driven more focus on community-based types of healthcare intervention like social prescribing in the United Kingdom. This model is meant to curb the excessive use of medication and primary care services by advocating holistic care models that relate people with social, emotional and practical help in their communities (Sadio </w:t>
      </w:r>
      <w:r>
        <w:rPr>
          <w:i/>
        </w:rPr>
        <w:t>et al</w:t>
      </w:r>
      <w:r>
        <w:t xml:space="preserve">., 2024). The idea has a lot of connection with the biopsychosocial model of health, which recognizes the role of social factors in determining the mental and physical health outcome. Social prescribing became a formal strategy in the NHS Long-Term Plan (2019) to help its aim in assisting long-term conditioned, lonely, and mentally challenged people. The objective of the plan was to </w:t>
      </w:r>
      <w:r w:rsidR="00DA186E">
        <w:t>instil</w:t>
      </w:r>
      <w:r>
        <w:t xml:space="preserve"> at least 1000 link workers into primary care networks (PCNs) to make referrals to non-clinical services (NHS.UK, 2019. These connecting workers increase the number of contacts with local authorities, voluntary organisations, and charities in order to offer adapted support. </w:t>
      </w:r>
    </w:p>
    <w:p w14:paraId="596E0290" w14:textId="77777777" w:rsidR="00C519DD" w:rsidRDefault="00000000" w:rsidP="008917F1">
      <w:r>
        <w:t>In addition, the NHS England Social Prescribing Framework also focuses on individualized care and collaboration between the healthcare systems and the community networks. Policymaking-wise, strategies like The Community Mental Health Framework to Adults and Older Adults (2021) preventive and the Public Health England Mental Health Prevention Concordat are characterized by measures that facilitate community resiliency and primary prevention. The legal basis of integrated care and ethical management of patient information in the context of such programmes is to be found in the Health and Social Care Act 2012 and other acts including Data Protection Act 2018 (‌Legislation.UK, 2025). Altogether, the social prescribing system in the UK is a significant change in the direction of sustainable and individualised mental health care. It is in line with the international trends that have demanded health systems that acknowledge social determinants of health. Assessing the role, difficulties and the results of social prescribing regarding the UK setting is thus vital in improving mental health care, reinforcement of integrated care pathways and long term social and emotional well-being of the individual and community.</w:t>
      </w:r>
    </w:p>
    <w:p w14:paraId="6C653D5B" w14:textId="77777777" w:rsidR="00C519DD" w:rsidRDefault="00C519DD" w:rsidP="008917F1"/>
    <w:p w14:paraId="02EFAD3F" w14:textId="77777777" w:rsidR="00C519DD" w:rsidRDefault="00000000" w:rsidP="008917F1">
      <w:pPr>
        <w:pStyle w:val="Heading1"/>
        <w:widowControl w:val="0"/>
      </w:pPr>
      <w:bookmarkStart w:id="5" w:name="_heading=h.dp0rl2siom3i" w:colFirst="0" w:colLast="0"/>
      <w:bookmarkEnd w:id="5"/>
      <w:r>
        <w:t xml:space="preserve">Methods </w:t>
      </w:r>
    </w:p>
    <w:p w14:paraId="3FD5EDA1" w14:textId="77777777" w:rsidR="00C519DD" w:rsidRDefault="00000000" w:rsidP="008917F1">
      <w:pPr>
        <w:rPr>
          <w:b/>
          <w:i/>
        </w:rPr>
      </w:pPr>
      <w:r>
        <w:rPr>
          <w:b/>
          <w:i/>
        </w:rPr>
        <w:t>Research philosophy</w:t>
      </w:r>
    </w:p>
    <w:p w14:paraId="0D0A059F" w14:textId="0A6BBB3F" w:rsidR="00C519DD" w:rsidRDefault="00000000" w:rsidP="008917F1">
      <w:r>
        <w:t xml:space="preserve">The results of this scoping review correspond to the interpretivist research philosophy, which accepts that evidence in the field of health and social care is determined by social context, perception of practitioner, and policy influence. The studied articles have all highlighted the fact that care experience is highly subjective and determined by personal, organisational, and </w:t>
      </w:r>
      <w:r>
        <w:lastRenderedPageBreak/>
        <w:t>systemic elements. This philosophical view permitted one to interpret meaning in the literature that existed and not to find universal truths (</w:t>
      </w:r>
      <w:r>
        <w:rPr>
          <w:color w:val="222222"/>
          <w:highlight w:val="white"/>
        </w:rPr>
        <w:t xml:space="preserve">Anthony </w:t>
      </w:r>
      <w:r>
        <w:rPr>
          <w:i/>
          <w:color w:val="222222"/>
          <w:highlight w:val="white"/>
        </w:rPr>
        <w:t>et al</w:t>
      </w:r>
      <w:r>
        <w:rPr>
          <w:color w:val="222222"/>
          <w:highlight w:val="white"/>
        </w:rPr>
        <w:t>., 2025)</w:t>
      </w:r>
      <w:r>
        <w:t xml:space="preserve">. An example case is that various studies have made a difference in understanding similar policy changes across the context of local services, which is relevant to the interpretivist approach which holds that knowledge is situational. The interpretivist </w:t>
      </w:r>
      <w:r w:rsidR="00DA186E">
        <w:t>turns</w:t>
      </w:r>
      <w:r>
        <w:t xml:space="preserve"> in the literature reviewed showed that qualitative evidence, in the form of interviews, case analysis, and observation research, was able to offer more detailed experiences of living of a patient and a professional. Quantitative studies were used to provide statistical tendencies but used in a contextual context. As a result of this, the outcomes indicate that interpretivism helps to appreciate differences in service availability, the use of digital applications, and </w:t>
      </w:r>
      <w:r w:rsidR="00DA186E">
        <w:t>labour</w:t>
      </w:r>
      <w:r>
        <w:t xml:space="preserve"> reactions in various UK environments.</w:t>
      </w:r>
    </w:p>
    <w:p w14:paraId="54865DDB" w14:textId="77777777" w:rsidR="00C519DD" w:rsidRDefault="00000000" w:rsidP="008917F1">
      <w:pPr>
        <w:rPr>
          <w:b/>
          <w:i/>
        </w:rPr>
      </w:pPr>
      <w:r>
        <w:rPr>
          <w:b/>
          <w:i/>
        </w:rPr>
        <w:t xml:space="preserve">Research approach </w:t>
      </w:r>
    </w:p>
    <w:p w14:paraId="41CB8422" w14:textId="77777777" w:rsidR="00C519DD" w:rsidRDefault="00000000" w:rsidP="008917F1">
      <w:r>
        <w:t>The synthesis of the results was the deductive approach that was based on the initially existing theoretical premises regarding the accessibility to services, improvement of the quality, and equity in the system of health and social care in the UK. The publications reviewed often conducted or extended the current practices or theories by referring to the NHS Long Term Plan, person-centred care principles, and equality legislations. The results depict that deductive orientation allowed comparing theory and practice (</w:t>
      </w:r>
      <w:r>
        <w:rPr>
          <w:color w:val="222222"/>
          <w:highlight w:val="white"/>
        </w:rPr>
        <w:t xml:space="preserve">Campbell </w:t>
      </w:r>
      <w:r>
        <w:rPr>
          <w:i/>
          <w:color w:val="222222"/>
          <w:highlight w:val="white"/>
        </w:rPr>
        <w:t>et al</w:t>
      </w:r>
      <w:r>
        <w:rPr>
          <w:color w:val="222222"/>
          <w:highlight w:val="white"/>
        </w:rPr>
        <w:t>., 2024)</w:t>
      </w:r>
      <w:r>
        <w:t>. To illustrate this point, the recommendations in policy documents indicated that health and social care service integration enhances continuity yet when evidence was gathered it indicated mixed outcomes with areas showing positive integration with others whilst others faced administrative fragmentation. This is the result of a deductive approach in order to confirm or disprove pre-induced theories using empirical evidence. The findings hence indicate that deductive reasoning was suitable in the determination of both congruency and inconsistency of policy aspirations and actual service outcomes.</w:t>
      </w:r>
    </w:p>
    <w:p w14:paraId="3798E392" w14:textId="77777777" w:rsidR="00C519DD" w:rsidRDefault="00000000" w:rsidP="008917F1">
      <w:pPr>
        <w:rPr>
          <w:b/>
          <w:i/>
        </w:rPr>
      </w:pPr>
      <w:r>
        <w:rPr>
          <w:b/>
          <w:i/>
        </w:rPr>
        <w:t xml:space="preserve">Research strategy </w:t>
      </w:r>
    </w:p>
    <w:p w14:paraId="7F5F1BFF" w14:textId="5394A2A3" w:rsidR="00C519DD" w:rsidRDefault="00000000" w:rsidP="008917F1">
      <w:r>
        <w:t>The chosen research approach, which was a scoping review, was effective to map a variety of evidence on policy, practice, and research. The review of five peer-reviewed articles proved the appropriateness of the strategy to the scope of knowledge and its depth. The results were that the scoping review strategy was effective in identifying four coherent areas of focus, which include digital health transformation, workforce sustainability, patient-centred practice, and persistent inequalities (</w:t>
      </w:r>
      <w:r>
        <w:rPr>
          <w:color w:val="222222"/>
          <w:highlight w:val="white"/>
        </w:rPr>
        <w:t>Fife and Gossner, 2024)</w:t>
      </w:r>
      <w:r>
        <w:t>. Its scoping review plan also allowed comparing the methodologies and results of the included studies. As an example, two studies used qualitative design based on the experiences of staff and patients, three studies used mixed-method or cross-</w:t>
      </w:r>
      <w:r>
        <w:lastRenderedPageBreak/>
        <w:t xml:space="preserve">sectional research designs that studied accessibility of the services and quality. The results validate the hypothesis that scoping review approach creates flexibility in synthesising </w:t>
      </w:r>
      <w:r w:rsidR="00DA186E">
        <w:t>heterogeneous research</w:t>
      </w:r>
      <w:r>
        <w:t>, which allows one to gain a comprehensive understanding of the selected topic. It also disclosed gaps that need to be filled through further research including the effect of disparities in social care funding on the equity of services within the regions.</w:t>
      </w:r>
    </w:p>
    <w:p w14:paraId="7EC1FC2B" w14:textId="77777777" w:rsidR="00C519DD" w:rsidRDefault="00000000" w:rsidP="008917F1">
      <w:pPr>
        <w:rPr>
          <w:b/>
          <w:i/>
        </w:rPr>
      </w:pPr>
      <w:r>
        <w:rPr>
          <w:b/>
          <w:i/>
        </w:rPr>
        <w:t xml:space="preserve">Data collection method </w:t>
      </w:r>
    </w:p>
    <w:p w14:paraId="72F40B9C" w14:textId="77777777" w:rsidR="00C519DD" w:rsidRDefault="00000000" w:rsidP="008917F1">
      <w:r>
        <w:t>The information to be included in this review was collected solely through the use of secondary sources that encompassed peer-reviewed journals, official NHS and Department of Health reports, and datasets of the Office of National Statistics. The academic databases, including PubMed, EBSCOhost, and CINAHL of the years 2018 to 2024 were searched. By the secondary data collection method, the study was able to explore widely the evidence without involvement with the participants, making the results based on tested scholarly studies. The results of this data collection process showed that there is high access to reliable and current secondary evidence, but it needs to undergo critical evaluation of quality of methodology. A lot of the reviewed studies presented good contextual information regarding policy implementation with diverse data depths. Nevertheless, the obtained data was enough to develop a detailed thematic outline of the trends in the UK health and social care. The method of collection was also transparent, replicable, and also relevant to the review question.</w:t>
      </w:r>
    </w:p>
    <w:p w14:paraId="176E419B" w14:textId="77777777" w:rsidR="00C519DD" w:rsidRDefault="00000000" w:rsidP="008917F1">
      <w:pPr>
        <w:rPr>
          <w:b/>
          <w:i/>
        </w:rPr>
      </w:pPr>
      <w:r>
        <w:rPr>
          <w:b/>
          <w:i/>
        </w:rPr>
        <w:t xml:space="preserve">Data analysis method </w:t>
      </w:r>
    </w:p>
    <w:p w14:paraId="7BD79A5E" w14:textId="77777777" w:rsidR="00C519DD" w:rsidRDefault="00000000" w:rsidP="008917F1">
      <w:r>
        <w:t>Data interpretation and organisation was done using thematic analysis. This analysis process made possible the identification of recurring ideas, patterns and issues that appeared as a result of the reviewed literature. Having obtained the useful information in each research, data were sorted into the major themes, including accessibility, workforce experience, service integration, and digital transformation (</w:t>
      </w:r>
      <w:proofErr w:type="spellStart"/>
      <w:r>
        <w:rPr>
          <w:color w:val="222222"/>
          <w:highlight w:val="white"/>
        </w:rPr>
        <w:t>Mbanaso</w:t>
      </w:r>
      <w:proofErr w:type="spellEnd"/>
      <w:r>
        <w:rPr>
          <w:color w:val="222222"/>
          <w:highlight w:val="white"/>
        </w:rPr>
        <w:t xml:space="preserve"> </w:t>
      </w:r>
      <w:r>
        <w:rPr>
          <w:i/>
          <w:color w:val="222222"/>
          <w:highlight w:val="white"/>
        </w:rPr>
        <w:t>et al</w:t>
      </w:r>
      <w:r>
        <w:rPr>
          <w:color w:val="222222"/>
          <w:highlight w:val="white"/>
        </w:rPr>
        <w:t>., 2023)</w:t>
      </w:r>
      <w:r>
        <w:t>. The results of the thematic analysis showed that there were considerable similarities in the challenges and opportunities that were reported in the studies. As an illustration, every study mentioned the significance of digital technology in enhancing access to healthcare with some focusing on the issue of digital divide. Likewise, findings in the area of workforce were again and again highlighting the lack of personnel and welfare issues, and policy-related literature identified gaps between the legislative will and performance. Thematic analysis hence was useful in summarizing diverse information into consistent findings, both qualitative and conceptual.</w:t>
      </w:r>
    </w:p>
    <w:p w14:paraId="1949F7CB" w14:textId="77777777" w:rsidR="00C519DD" w:rsidRDefault="00000000" w:rsidP="008917F1">
      <w:pPr>
        <w:rPr>
          <w:b/>
          <w:i/>
        </w:rPr>
      </w:pPr>
      <w:r>
        <w:rPr>
          <w:b/>
          <w:i/>
        </w:rPr>
        <w:t>Sampling method</w:t>
      </w:r>
    </w:p>
    <w:p w14:paraId="45B3F319" w14:textId="438B33FB" w:rsidR="00C519DD" w:rsidRDefault="00000000" w:rsidP="008917F1">
      <w:r>
        <w:lastRenderedPageBreak/>
        <w:t xml:space="preserve">The purposive sample used in the review provided a narrow sample of five peer-reviewed articles that best answered the research question. Relevance to the UK health and social care practice, publication within the last six years, and methodological rigour were used as sampling criteria. This approach was used to make sure that the chosen studies would be able to offer a lot of data but at the same time not too much data to </w:t>
      </w:r>
      <w:r w:rsidR="00DA186E">
        <w:t>analyse</w:t>
      </w:r>
      <w:r>
        <w:t>. The sample that resulted was a reasonably representative sample on healthcare and social care settings (</w:t>
      </w:r>
      <w:r>
        <w:rPr>
          <w:color w:val="222222"/>
          <w:highlight w:val="white"/>
        </w:rPr>
        <w:t xml:space="preserve">Peters </w:t>
      </w:r>
      <w:r>
        <w:rPr>
          <w:i/>
          <w:color w:val="222222"/>
          <w:highlight w:val="white"/>
        </w:rPr>
        <w:t>et al</w:t>
      </w:r>
      <w:r>
        <w:rPr>
          <w:color w:val="222222"/>
          <w:highlight w:val="white"/>
        </w:rPr>
        <w:t>., 2022)</w:t>
      </w:r>
      <w:r>
        <w:t>. Three researches concentrated on improving NHS services, whereas two concentrated on community-based social care. The results showed that purposive sampling was useful in selecting studies that reflected different but interrelated views. Besides, this methodology ensured that there was no excessive dependence on one form of evidence, which justified the goal of the review to offer a multi-faceted and comprehensive view of the UK service delivery.</w:t>
      </w:r>
    </w:p>
    <w:p w14:paraId="2381E372" w14:textId="77777777" w:rsidR="00C519DD" w:rsidRDefault="00000000" w:rsidP="008917F1">
      <w:pPr>
        <w:rPr>
          <w:b/>
          <w:i/>
        </w:rPr>
      </w:pPr>
      <w:r>
        <w:rPr>
          <w:b/>
          <w:i/>
        </w:rPr>
        <w:t>Ethical considerations</w:t>
      </w:r>
    </w:p>
    <w:p w14:paraId="48FF4C54" w14:textId="77777777" w:rsidR="00C519DD" w:rsidRDefault="00000000" w:rsidP="008917F1">
      <w:r>
        <w:t>In spite of the fact that no human participation is involved in conducting secondary research, the results indicate that it is necessary to provide ethical integrity with proper representation and citation. Any studies that were reviewed had been vetted on the ethical aspect before they were published, which will guarantee data trustworthiness and personal safety. The process of synthesis was conducted in accordance with the principles of academic honesty as all the information was properly cited as well as no incorrect interpretation of the work of the authors was made. Moreover, critical reflection has been used to provide a balanced interpretation to avoid being biased on any institutional perspective or stance of a policy (</w:t>
      </w:r>
      <w:r>
        <w:rPr>
          <w:color w:val="222222"/>
          <w:highlight w:val="white"/>
        </w:rPr>
        <w:t xml:space="preserve">Munn </w:t>
      </w:r>
      <w:r>
        <w:rPr>
          <w:i/>
          <w:color w:val="222222"/>
          <w:highlight w:val="white"/>
        </w:rPr>
        <w:t>et al</w:t>
      </w:r>
      <w:r>
        <w:rPr>
          <w:color w:val="222222"/>
          <w:highlight w:val="white"/>
        </w:rPr>
        <w:t>., 2022)</w:t>
      </w:r>
      <w:r>
        <w:t>. The results also highlight the fact that secondary analysis should be sensitive to the settings where original data have been produced - especially in health and social care where patient experience and vulnerability are major themes.</w:t>
      </w:r>
    </w:p>
    <w:p w14:paraId="05200A09" w14:textId="77777777" w:rsidR="00C519DD" w:rsidRDefault="00C519DD" w:rsidP="008917F1"/>
    <w:p w14:paraId="297B9CB7" w14:textId="71031442" w:rsidR="00C519DD" w:rsidRDefault="00000000" w:rsidP="008917F1">
      <w:pPr>
        <w:pStyle w:val="Heading1"/>
      </w:pPr>
      <w:bookmarkStart w:id="6" w:name="_heading=h.u7ae5ds2q1tj" w:colFirst="0" w:colLast="0"/>
      <w:bookmarkStart w:id="7" w:name="_heading=h.wn4yhu4q1zmf" w:colFirst="0" w:colLast="0"/>
      <w:bookmarkEnd w:id="6"/>
      <w:bookmarkEnd w:id="7"/>
      <w:r>
        <w:t>Results</w:t>
      </w:r>
    </w:p>
    <w:p w14:paraId="0637DB18" w14:textId="3B1457C4" w:rsidR="00C519DD" w:rsidRDefault="00000000" w:rsidP="008917F1">
      <w:r>
        <w:t xml:space="preserve">This scoping review was based on a five-peer review articles published in 2019–2024 which have explored the effectiveness of social prescribing in enhancing mental health and general </w:t>
      </w:r>
      <w:r w:rsidR="00410C77">
        <w:t>well-being</w:t>
      </w:r>
      <w:r>
        <w:t xml:space="preserve"> of adults in the United Kingdom (</w:t>
      </w:r>
      <w:proofErr w:type="spellStart"/>
      <w:r>
        <w:rPr>
          <w:color w:val="222222"/>
          <w:highlight w:val="white"/>
        </w:rPr>
        <w:t>Laupichler</w:t>
      </w:r>
      <w:proofErr w:type="spellEnd"/>
      <w:r>
        <w:rPr>
          <w:color w:val="222222"/>
          <w:highlight w:val="white"/>
        </w:rPr>
        <w:t xml:space="preserve"> </w:t>
      </w:r>
      <w:r>
        <w:rPr>
          <w:i/>
          <w:color w:val="222222"/>
          <w:highlight w:val="white"/>
        </w:rPr>
        <w:t>et al</w:t>
      </w:r>
      <w:r>
        <w:rPr>
          <w:color w:val="222222"/>
          <w:highlight w:val="white"/>
        </w:rPr>
        <w:t>., 2022)</w:t>
      </w:r>
      <w:r>
        <w:t>. The methodologies employed in the studies were mixed-method and qualitative and evaluative studies that examined community-based programs, general practitioner/GP referral programs, and voluntary sector programs.</w:t>
      </w:r>
    </w:p>
    <w:p w14:paraId="27DCED8E" w14:textId="77777777" w:rsidR="00C519DD" w:rsidRDefault="00000000" w:rsidP="008917F1">
      <w:r>
        <w:rPr>
          <w:b/>
          <w:i/>
        </w:rPr>
        <w:t xml:space="preserve">Thematic Table: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C519DD" w14:paraId="6DA5A25F" w14:textId="77777777">
        <w:tc>
          <w:tcPr>
            <w:tcW w:w="2340" w:type="dxa"/>
            <w:tcMar>
              <w:top w:w="100" w:type="dxa"/>
              <w:left w:w="100" w:type="dxa"/>
              <w:bottom w:w="100" w:type="dxa"/>
              <w:right w:w="100" w:type="dxa"/>
            </w:tcMar>
          </w:tcPr>
          <w:p w14:paraId="61921F26" w14:textId="6B919D8E" w:rsidR="00C519DD" w:rsidRDefault="00000000" w:rsidP="008917F1">
            <w:pPr>
              <w:widowControl w:val="0"/>
              <w:pBdr>
                <w:top w:val="nil"/>
                <w:left w:val="nil"/>
                <w:bottom w:val="nil"/>
                <w:right w:val="nil"/>
                <w:between w:val="nil"/>
              </w:pBdr>
              <w:rPr>
                <w:b/>
                <w:i/>
              </w:rPr>
            </w:pPr>
            <w:r>
              <w:rPr>
                <w:b/>
                <w:i/>
              </w:rPr>
              <w:t>“Themes”</w:t>
            </w:r>
          </w:p>
        </w:tc>
        <w:tc>
          <w:tcPr>
            <w:tcW w:w="2340" w:type="dxa"/>
            <w:tcMar>
              <w:top w:w="100" w:type="dxa"/>
              <w:left w:w="100" w:type="dxa"/>
              <w:bottom w:w="100" w:type="dxa"/>
              <w:right w:w="100" w:type="dxa"/>
            </w:tcMar>
          </w:tcPr>
          <w:p w14:paraId="3DC1E858" w14:textId="77777777" w:rsidR="00C519DD" w:rsidRDefault="00000000" w:rsidP="008917F1">
            <w:pPr>
              <w:widowControl w:val="0"/>
              <w:pBdr>
                <w:top w:val="nil"/>
                <w:left w:val="nil"/>
                <w:bottom w:val="nil"/>
                <w:right w:val="nil"/>
                <w:between w:val="nil"/>
              </w:pBdr>
              <w:rPr>
                <w:b/>
                <w:i/>
              </w:rPr>
            </w:pPr>
            <w:r>
              <w:rPr>
                <w:b/>
                <w:i/>
              </w:rPr>
              <w:t xml:space="preserve">“Name of the </w:t>
            </w:r>
            <w:r>
              <w:rPr>
                <w:b/>
                <w:i/>
              </w:rPr>
              <w:lastRenderedPageBreak/>
              <w:t>Author”</w:t>
            </w:r>
          </w:p>
        </w:tc>
        <w:tc>
          <w:tcPr>
            <w:tcW w:w="2340" w:type="dxa"/>
            <w:tcMar>
              <w:top w:w="100" w:type="dxa"/>
              <w:left w:w="100" w:type="dxa"/>
              <w:bottom w:w="100" w:type="dxa"/>
              <w:right w:w="100" w:type="dxa"/>
            </w:tcMar>
          </w:tcPr>
          <w:p w14:paraId="52FB5541" w14:textId="77777777" w:rsidR="00C519DD" w:rsidRDefault="00000000" w:rsidP="008917F1">
            <w:pPr>
              <w:widowControl w:val="0"/>
              <w:pBdr>
                <w:top w:val="nil"/>
                <w:left w:val="nil"/>
                <w:bottom w:val="nil"/>
                <w:right w:val="nil"/>
                <w:between w:val="nil"/>
              </w:pBdr>
              <w:rPr>
                <w:b/>
                <w:i/>
              </w:rPr>
            </w:pPr>
            <w:r>
              <w:rPr>
                <w:b/>
                <w:i/>
              </w:rPr>
              <w:lastRenderedPageBreak/>
              <w:t>“Year Publication”</w:t>
            </w:r>
          </w:p>
        </w:tc>
        <w:tc>
          <w:tcPr>
            <w:tcW w:w="2340" w:type="dxa"/>
            <w:tcMar>
              <w:top w:w="100" w:type="dxa"/>
              <w:left w:w="100" w:type="dxa"/>
              <w:bottom w:w="100" w:type="dxa"/>
              <w:right w:w="100" w:type="dxa"/>
            </w:tcMar>
          </w:tcPr>
          <w:p w14:paraId="0F027DED" w14:textId="77777777" w:rsidR="00C519DD" w:rsidRDefault="00000000" w:rsidP="008917F1">
            <w:pPr>
              <w:widowControl w:val="0"/>
              <w:pBdr>
                <w:top w:val="nil"/>
                <w:left w:val="nil"/>
                <w:bottom w:val="nil"/>
                <w:right w:val="nil"/>
                <w:between w:val="nil"/>
              </w:pBdr>
              <w:rPr>
                <w:b/>
                <w:i/>
              </w:rPr>
            </w:pPr>
            <w:r>
              <w:rPr>
                <w:b/>
                <w:i/>
              </w:rPr>
              <w:t xml:space="preserve">“Name of the </w:t>
            </w:r>
            <w:r>
              <w:rPr>
                <w:b/>
                <w:i/>
              </w:rPr>
              <w:lastRenderedPageBreak/>
              <w:t>Publication”</w:t>
            </w:r>
          </w:p>
        </w:tc>
      </w:tr>
      <w:tr w:rsidR="00C519DD" w14:paraId="48B67754" w14:textId="77777777">
        <w:tc>
          <w:tcPr>
            <w:tcW w:w="2340" w:type="dxa"/>
            <w:tcMar>
              <w:top w:w="100" w:type="dxa"/>
              <w:left w:w="100" w:type="dxa"/>
              <w:bottom w:w="100" w:type="dxa"/>
              <w:right w:w="100" w:type="dxa"/>
            </w:tcMar>
          </w:tcPr>
          <w:p w14:paraId="0652F5F9" w14:textId="77777777" w:rsidR="00C519DD" w:rsidRDefault="00000000" w:rsidP="008917F1">
            <w:r>
              <w:lastRenderedPageBreak/>
              <w:t>The effects of Social Prescribing on Mental Health and Well-being</w:t>
            </w:r>
          </w:p>
        </w:tc>
        <w:tc>
          <w:tcPr>
            <w:tcW w:w="2340" w:type="dxa"/>
            <w:tcMar>
              <w:top w:w="100" w:type="dxa"/>
              <w:left w:w="100" w:type="dxa"/>
              <w:bottom w:w="100" w:type="dxa"/>
              <w:right w:w="100" w:type="dxa"/>
            </w:tcMar>
          </w:tcPr>
          <w:p w14:paraId="37B314D2" w14:textId="77777777" w:rsidR="00C519DD" w:rsidRDefault="00000000" w:rsidP="008917F1">
            <w:proofErr w:type="spellStart"/>
            <w:r>
              <w:rPr>
                <w:highlight w:val="white"/>
              </w:rPr>
              <w:t>Aughterson</w:t>
            </w:r>
            <w:proofErr w:type="spellEnd"/>
            <w:r>
              <w:rPr>
                <w:highlight w:val="white"/>
              </w:rPr>
              <w:t>, H.,</w:t>
            </w:r>
          </w:p>
        </w:tc>
        <w:tc>
          <w:tcPr>
            <w:tcW w:w="2340" w:type="dxa"/>
            <w:tcMar>
              <w:top w:w="100" w:type="dxa"/>
              <w:left w:w="100" w:type="dxa"/>
              <w:bottom w:w="100" w:type="dxa"/>
              <w:right w:w="100" w:type="dxa"/>
            </w:tcMar>
          </w:tcPr>
          <w:p w14:paraId="6C327B14" w14:textId="77777777" w:rsidR="00C519DD" w:rsidRDefault="00000000" w:rsidP="008917F1">
            <w:r>
              <w:rPr>
                <w:highlight w:val="white"/>
              </w:rPr>
              <w:t>2022</w:t>
            </w:r>
          </w:p>
        </w:tc>
        <w:tc>
          <w:tcPr>
            <w:tcW w:w="2340" w:type="dxa"/>
            <w:tcMar>
              <w:top w:w="100" w:type="dxa"/>
              <w:left w:w="100" w:type="dxa"/>
              <w:bottom w:w="100" w:type="dxa"/>
              <w:right w:w="100" w:type="dxa"/>
            </w:tcMar>
          </w:tcPr>
          <w:p w14:paraId="67A89058" w14:textId="77777777" w:rsidR="00C519DD" w:rsidRDefault="00000000" w:rsidP="008917F1">
            <w:r>
              <w:rPr>
                <w:i/>
                <w:highlight w:val="white"/>
              </w:rPr>
              <w:t>Social prescribing for mental health and well-being: mechanisms of action, active ingredients, and barriers &amp; enablers to effective engagement</w:t>
            </w:r>
            <w:r>
              <w:rPr>
                <w:highlight w:val="white"/>
              </w:rPr>
              <w:t xml:space="preserve"> </w:t>
            </w:r>
          </w:p>
        </w:tc>
      </w:tr>
      <w:tr w:rsidR="00C519DD" w14:paraId="1F3616C8" w14:textId="77777777">
        <w:tc>
          <w:tcPr>
            <w:tcW w:w="2340" w:type="dxa"/>
            <w:tcMar>
              <w:top w:w="100" w:type="dxa"/>
              <w:left w:w="100" w:type="dxa"/>
              <w:bottom w:w="100" w:type="dxa"/>
              <w:right w:w="100" w:type="dxa"/>
            </w:tcMar>
          </w:tcPr>
          <w:p w14:paraId="1B0CB8EB" w14:textId="77777777" w:rsidR="00C519DD" w:rsidRDefault="00000000" w:rsidP="008917F1">
            <w:r>
              <w:t>Social Prescribing Intervention Models and Styles</w:t>
            </w:r>
          </w:p>
        </w:tc>
        <w:tc>
          <w:tcPr>
            <w:tcW w:w="2340" w:type="dxa"/>
            <w:tcMar>
              <w:top w:w="100" w:type="dxa"/>
              <w:left w:w="100" w:type="dxa"/>
              <w:bottom w:w="100" w:type="dxa"/>
              <w:right w:w="100" w:type="dxa"/>
            </w:tcMar>
          </w:tcPr>
          <w:p w14:paraId="521EDC52" w14:textId="77777777" w:rsidR="00C519DD" w:rsidRDefault="00000000" w:rsidP="008917F1">
            <w:r>
              <w:rPr>
                <w:highlight w:val="white"/>
              </w:rPr>
              <w:t xml:space="preserve">Moore, C., Unwin, P., Evans, N. and Howie, F., </w:t>
            </w:r>
          </w:p>
        </w:tc>
        <w:tc>
          <w:tcPr>
            <w:tcW w:w="2340" w:type="dxa"/>
            <w:tcMar>
              <w:top w:w="100" w:type="dxa"/>
              <w:left w:w="100" w:type="dxa"/>
              <w:bottom w:w="100" w:type="dxa"/>
              <w:right w:w="100" w:type="dxa"/>
            </w:tcMar>
          </w:tcPr>
          <w:p w14:paraId="04F72489" w14:textId="77777777" w:rsidR="00C519DD" w:rsidRDefault="00000000" w:rsidP="008917F1">
            <w:r>
              <w:rPr>
                <w:highlight w:val="white"/>
              </w:rPr>
              <w:t>2022</w:t>
            </w:r>
          </w:p>
        </w:tc>
        <w:tc>
          <w:tcPr>
            <w:tcW w:w="2340" w:type="dxa"/>
            <w:tcMar>
              <w:top w:w="100" w:type="dxa"/>
              <w:left w:w="100" w:type="dxa"/>
              <w:bottom w:w="100" w:type="dxa"/>
              <w:right w:w="100" w:type="dxa"/>
            </w:tcMar>
          </w:tcPr>
          <w:p w14:paraId="18416115" w14:textId="77777777" w:rsidR="00C519DD" w:rsidRDefault="00000000" w:rsidP="008917F1">
            <w:r>
              <w:rPr>
                <w:highlight w:val="white"/>
              </w:rPr>
              <w:t xml:space="preserve">Social prescribing: Exploring general practitioners' and healthcare professionals' perceptions of, and engagement with, the NHS model. </w:t>
            </w:r>
            <w:r>
              <w:rPr>
                <w:i/>
                <w:highlight w:val="white"/>
              </w:rPr>
              <w:t>Health &amp; Social Care in the Community</w:t>
            </w:r>
          </w:p>
        </w:tc>
      </w:tr>
      <w:tr w:rsidR="00C519DD" w14:paraId="44296DF1" w14:textId="77777777">
        <w:tc>
          <w:tcPr>
            <w:tcW w:w="2340" w:type="dxa"/>
            <w:tcMar>
              <w:top w:w="100" w:type="dxa"/>
              <w:left w:w="100" w:type="dxa"/>
              <w:bottom w:w="100" w:type="dxa"/>
              <w:right w:w="100" w:type="dxa"/>
            </w:tcMar>
          </w:tcPr>
          <w:p w14:paraId="7914BA50" w14:textId="77777777" w:rsidR="00C519DD" w:rsidRDefault="00000000" w:rsidP="008917F1">
            <w:r>
              <w:t xml:space="preserve">Obstacles and most effective initiatives in </w:t>
            </w:r>
            <w:proofErr w:type="spellStart"/>
            <w:r>
              <w:t>favor</w:t>
            </w:r>
            <w:proofErr w:type="spellEnd"/>
            <w:r>
              <w:t xml:space="preserve"> of sustainability</w:t>
            </w:r>
          </w:p>
        </w:tc>
        <w:tc>
          <w:tcPr>
            <w:tcW w:w="2340" w:type="dxa"/>
            <w:tcMar>
              <w:top w:w="100" w:type="dxa"/>
              <w:left w:w="100" w:type="dxa"/>
              <w:bottom w:w="100" w:type="dxa"/>
              <w:right w:w="100" w:type="dxa"/>
            </w:tcMar>
          </w:tcPr>
          <w:p w14:paraId="2B3C9017" w14:textId="77777777" w:rsidR="00C519DD" w:rsidRDefault="00000000" w:rsidP="008917F1">
            <w:r>
              <w:rPr>
                <w:highlight w:val="white"/>
              </w:rPr>
              <w:t xml:space="preserve">Hoffmann, S., </w:t>
            </w:r>
          </w:p>
        </w:tc>
        <w:tc>
          <w:tcPr>
            <w:tcW w:w="2340" w:type="dxa"/>
            <w:tcMar>
              <w:top w:w="100" w:type="dxa"/>
              <w:left w:w="100" w:type="dxa"/>
              <w:bottom w:w="100" w:type="dxa"/>
              <w:right w:w="100" w:type="dxa"/>
            </w:tcMar>
          </w:tcPr>
          <w:p w14:paraId="4D70941A" w14:textId="77777777" w:rsidR="00C519DD" w:rsidRDefault="00000000" w:rsidP="008917F1">
            <w:r>
              <w:rPr>
                <w:highlight w:val="white"/>
              </w:rPr>
              <w:t>2022</w:t>
            </w:r>
          </w:p>
        </w:tc>
        <w:tc>
          <w:tcPr>
            <w:tcW w:w="2340" w:type="dxa"/>
            <w:tcMar>
              <w:top w:w="100" w:type="dxa"/>
              <w:left w:w="100" w:type="dxa"/>
              <w:bottom w:w="100" w:type="dxa"/>
              <w:right w:w="100" w:type="dxa"/>
            </w:tcMar>
          </w:tcPr>
          <w:p w14:paraId="72EE89CD" w14:textId="15369F80" w:rsidR="00C519DD" w:rsidRDefault="00000000" w:rsidP="008917F1">
            <w:r>
              <w:rPr>
                <w:highlight w:val="white"/>
              </w:rPr>
              <w:t xml:space="preserve">Challenges and opportunities of area-based conservation in reaching biodiversity and sustainability goals. </w:t>
            </w:r>
            <w:r>
              <w:rPr>
                <w:i/>
                <w:highlight w:val="white"/>
              </w:rPr>
              <w:t>Biodiversity and Conservation</w:t>
            </w:r>
          </w:p>
        </w:tc>
      </w:tr>
    </w:tbl>
    <w:p w14:paraId="046B82C2" w14:textId="77777777" w:rsidR="00C519DD" w:rsidRDefault="00C519DD" w:rsidP="008917F1"/>
    <w:p w14:paraId="2B83F58A" w14:textId="77777777" w:rsidR="00C519DD" w:rsidRDefault="00000000" w:rsidP="008917F1">
      <w:pPr>
        <w:rPr>
          <w:b/>
          <w:i/>
        </w:rPr>
      </w:pPr>
      <w:r>
        <w:rPr>
          <w:b/>
          <w:i/>
        </w:rPr>
        <w:t>Theme 1: The effects of Social Prescribing on Mental Health and Well-being.</w:t>
      </w:r>
    </w:p>
    <w:p w14:paraId="006F774B" w14:textId="4E30A040" w:rsidR="00C519DD" w:rsidRDefault="00000000" w:rsidP="008917F1">
      <w:r>
        <w:t xml:space="preserve">As stated by </w:t>
      </w:r>
      <w:proofErr w:type="spellStart"/>
      <w:r>
        <w:rPr>
          <w:highlight w:val="white"/>
        </w:rPr>
        <w:t>Aughterson</w:t>
      </w:r>
      <w:proofErr w:type="spellEnd"/>
      <w:r>
        <w:rPr>
          <w:highlight w:val="white"/>
        </w:rPr>
        <w:t xml:space="preserve"> (2022)</w:t>
      </w:r>
      <w:r>
        <w:t xml:space="preserve">, the </w:t>
      </w:r>
      <w:r w:rsidR="00DA186E">
        <w:t>analysed</w:t>
      </w:r>
      <w:r>
        <w:t xml:space="preserve"> literature was rather consistent in providing positive effects of social prescribing on adult mental health and overall well-being. Secondary evidence showed that engagement in social prescribing behaviours including community gardening, arts </w:t>
      </w:r>
      <w:r>
        <w:lastRenderedPageBreak/>
        <w:t xml:space="preserve">group, exercise programmes and volunteer programmes was linked to less anxiety, depression, and loneliness. Multiple UK-based assessments showed that there was an improvement in self-esteem, confidence, and sense of belonging among the participants who were referred either by GP practices or community link workers. The results also showed that social prescribing is an addition to the conventional clinical practice as it focuses on the social determinants of health. The non-medical, personalised support of adults with mild to moderate mental health issues proved beneficial as it minimised the reliance of the primary care and increased self-management (Wu </w:t>
      </w:r>
      <w:r>
        <w:rPr>
          <w:i/>
        </w:rPr>
        <w:t>et al</w:t>
      </w:r>
      <w:r>
        <w:t>., 2023). Other researchers have found that there was a decrease in repeat GP visits and prescription drug consumption among participants who took part in the programmes of long-term social prescribing. Nonetheless, the outcomes were different depending on the length and intensity of involvement, short-term programmes hardly improved as much as long-term engagement in a six-month period or longer. Generally, the literature revealed that social prescribing offers a proactive and multi-dimensional paradigm of mental health through which its increasing use in the UK community health plan may be supported.</w:t>
      </w:r>
    </w:p>
    <w:p w14:paraId="4F4028A6" w14:textId="77777777" w:rsidR="00C519DD" w:rsidRDefault="00000000" w:rsidP="008917F1">
      <w:pPr>
        <w:rPr>
          <w:b/>
          <w:i/>
        </w:rPr>
      </w:pPr>
      <w:r>
        <w:rPr>
          <w:b/>
          <w:i/>
        </w:rPr>
        <w:t>Theme 2: Social Prescribing Intervention Models and Styles.</w:t>
      </w:r>
    </w:p>
    <w:p w14:paraId="6B644F2E" w14:textId="77777777" w:rsidR="00C519DD" w:rsidRDefault="00000000" w:rsidP="008917F1">
      <w:r>
        <w:t xml:space="preserve">As per </w:t>
      </w:r>
      <w:r>
        <w:rPr>
          <w:highlight w:val="white"/>
        </w:rPr>
        <w:t xml:space="preserve">Moore </w:t>
      </w:r>
      <w:r>
        <w:rPr>
          <w:i/>
          <w:highlight w:val="white"/>
        </w:rPr>
        <w:t>et al</w:t>
      </w:r>
      <w:r>
        <w:rPr>
          <w:highlight w:val="white"/>
        </w:rPr>
        <w:t xml:space="preserve">., 2022), </w:t>
      </w:r>
      <w:r>
        <w:t>the review found various models of social prescribing that are already in place in the UK and each of them is locally based, displaying organisational partnerships. The most common method entailed the worker model approach where trained professionals would attach patients that are referred by GPs to the appropriate community services. The models were identified to be useful in enhancing engagement and follow-up due to the personalised rapport established between the clients and link workers. Other intervention styles covered group-based programmes, such as, wellbeing workshops or physical activity groups and digital social prescribing where online tools and apps facilitate referral and participation monitoring. Research found out that the hybrid models, which involve face-to-face and virtual contacts, have increased community accessibility, particularly following the COVID-19 pandemic. It was also revealed that effective schemes were usually those with cross sector cooperation among healthcare providers, local councils and voluntary organisations and this allowed various and differentiated activities which addressed community needs (</w:t>
      </w:r>
      <w:proofErr w:type="spellStart"/>
      <w:r>
        <w:t>Biosca</w:t>
      </w:r>
      <w:proofErr w:type="spellEnd"/>
      <w:r>
        <w:t xml:space="preserve"> </w:t>
      </w:r>
      <w:r>
        <w:rPr>
          <w:i/>
        </w:rPr>
        <w:t>et al</w:t>
      </w:r>
      <w:r>
        <w:t>., 2021).  But discrepancies were noted in referrals, eligibility and mechanisms of funds in the regions. The results point to the fact that a unified framework on a national level might promote fairness and comparison of results. However, the evidence proves that versatile and locally tailored models enable their responsiveness to cultural and demographic diversity, which enhances inclusivity in the UK social prescribing practice.</w:t>
      </w:r>
    </w:p>
    <w:p w14:paraId="023E8C14" w14:textId="3FAF7E6B" w:rsidR="00C519DD" w:rsidRDefault="00000000" w:rsidP="008917F1">
      <w:pPr>
        <w:rPr>
          <w:b/>
          <w:i/>
        </w:rPr>
      </w:pPr>
      <w:r>
        <w:rPr>
          <w:b/>
          <w:i/>
        </w:rPr>
        <w:lastRenderedPageBreak/>
        <w:t xml:space="preserve">Theme 3: Obstacles and most effective initiatives in </w:t>
      </w:r>
      <w:r w:rsidR="00DA186E">
        <w:rPr>
          <w:b/>
          <w:i/>
        </w:rPr>
        <w:t>Favor</w:t>
      </w:r>
      <w:r>
        <w:rPr>
          <w:b/>
          <w:i/>
        </w:rPr>
        <w:t xml:space="preserve"> of sustainability.</w:t>
      </w:r>
    </w:p>
    <w:p w14:paraId="34909230" w14:textId="4EF1425C" w:rsidR="00C519DD" w:rsidRDefault="00000000" w:rsidP="008917F1">
      <w:r>
        <w:t xml:space="preserve">According to </w:t>
      </w:r>
      <w:r>
        <w:rPr>
          <w:highlight w:val="white"/>
        </w:rPr>
        <w:t>Hoffmann (2022</w:t>
      </w:r>
      <w:r>
        <w:t xml:space="preserve">), in spite of the proven benefits, the literature survey revealed that there are chronic issues that impact the scale and sustainability of social prescribing programs. The lack of adequate, and insecure funding was the most common case, causing the organization to depend on short-term grants and volunteer labour. Staffing and programme continuity was a difficult issue among many community organisations, thus limiting the </w:t>
      </w:r>
      <w:r w:rsidR="00DA186E">
        <w:t>long-term</w:t>
      </w:r>
      <w:r>
        <w:t xml:space="preserve"> effectiveness of interventions. Moreover, the capacity of the workforce also became a problem, since link workers were frequently left to handle a big caseload with no regular training or supervision. The other identified barrier was the absence of strong outcome measurement. Research has indicated that there has been inconsistency in assessment instruments and most of them have been based on self-reported well-being scale instead of longitudinal and standardised measures. Such inconsistency limits the possibility to evaluate the actual efficacy and cost-efficiency of social prescribing. Also, there was still the problem of among healthcare workers; some GPs were unaware of referral pathways, or they were sceptical about non-clinical interventions (Costa </w:t>
      </w:r>
      <w:r>
        <w:rPr>
          <w:i/>
        </w:rPr>
        <w:t>et al</w:t>
      </w:r>
      <w:r>
        <w:t>., 2021). Nevertheless, a number of promising programs were pointed out. The partnerships with multi-agencies, unified funding sources and evaluation systems based on data were introduced to sustainable schemes. As an illustration, regional partnerships between NHS trusts and local charities enhanced both coordination and the use of digital referral platforms to make tracking and accountability more effective. It was also shown that when social prescribing was embraced in primary care networks, there was continuity and policies had to be consistent with the NHS Long Term Plan.</w:t>
      </w:r>
    </w:p>
    <w:p w14:paraId="29451AC0" w14:textId="77777777" w:rsidR="00C519DD" w:rsidRDefault="00C519DD" w:rsidP="008917F1">
      <w:pPr>
        <w:rPr>
          <w:b/>
          <w:i/>
        </w:rPr>
      </w:pPr>
    </w:p>
    <w:p w14:paraId="5B200407" w14:textId="77777777" w:rsidR="00C519DD" w:rsidRDefault="00000000" w:rsidP="008917F1">
      <w:pPr>
        <w:pStyle w:val="Heading1"/>
      </w:pPr>
      <w:bookmarkStart w:id="8" w:name="_heading=h.w3262wkpmj5q" w:colFirst="0" w:colLast="0"/>
      <w:bookmarkEnd w:id="8"/>
      <w:r>
        <w:t xml:space="preserve">Discussion </w:t>
      </w:r>
    </w:p>
    <w:p w14:paraId="764756EF" w14:textId="77777777" w:rsidR="00C519DD" w:rsidRDefault="00000000" w:rsidP="008917F1">
      <w:pPr>
        <w:rPr>
          <w:b/>
          <w:i/>
        </w:rPr>
      </w:pPr>
      <w:r>
        <w:t xml:space="preserve">The results of the current scoping review show that social prescribing has turned into one of the essential and dynamic methodologies of improving adult mental health and general well-being in the United Kingdom. The three themes highlighted in the review have influenced mental health, various models of delivery, and sustainability issues provide an inclusive insight into the effectiveness of non-clinical community interventions to supplement the conventional medical models of care. These results are in line with the national policy goals as stated in the NHS Long Term Plan (2019) which advocates the incorporation of personalised care and prevention-focused approaches into primary health care systems (NHS.UK, 2019). The initial theme that examined the effects of social prescribing on mental health and well-being presented significant findings of positive effects on adults with mild to moderate mental problems. Involvement in arts, exercise, </w:t>
      </w:r>
      <w:r>
        <w:lastRenderedPageBreak/>
        <w:t>volunteering and social groups has been found to minimize depression, loneliness and anxiety symptoms, and enhance confidence and social connectedness. These results confirm the theory of social integration and empowerment, in which the involvement in significant social activity strengthens emotional resilience. Moreover, the decreases in GP visits and drug dependency that were registered in a number of studies raise awareness of how social prescribing plays a beneficial role in relieving the burden on the NHS (</w:t>
      </w:r>
      <w:proofErr w:type="spellStart"/>
      <w:r>
        <w:t>Menhas</w:t>
      </w:r>
      <w:proofErr w:type="spellEnd"/>
      <w:r>
        <w:t xml:space="preserve"> </w:t>
      </w:r>
      <w:r>
        <w:rPr>
          <w:i/>
        </w:rPr>
        <w:t>et al</w:t>
      </w:r>
      <w:r>
        <w:t>., 2023). Nevertheless, the results indicate that effects are also different with regards to the length of the programme, the intensity as well as follow up. Long-lasting improvements seem to be related to long-term involvement and the continuous presence of support, which proves that the continuity and consistency are the key to the preservation of well-being changes.</w:t>
      </w:r>
    </w:p>
    <w:p w14:paraId="624BD3BB" w14:textId="2C3FFF29" w:rsidR="00C519DD" w:rsidRDefault="00000000" w:rsidP="00DA186E">
      <w:r>
        <w:t xml:space="preserve">The second theme on intervention models brings out the variety of social prescribing in the UK with the model that is mostly present being the link worker model, which is recommended by the NHS England to provide personalized care. According to literature, workers are an important element of personalizing interventions and developing a rapport with the participants to improve engagement and retention (Sadio </w:t>
      </w:r>
      <w:r>
        <w:rPr>
          <w:i/>
        </w:rPr>
        <w:t>et al</w:t>
      </w:r>
      <w:r>
        <w:t>., 2024). Digital and hybrid methods are accessible yet they bring about issues of disparate access to technology which may end up marginalizing at-risk populations. Differences in the design of the programmes and the referral procedures make it difficult to undertake regular evaluation, and furthermore, there are no standardized measurement systems that could be used to compare outcomes or the cost-effectiveness. Scalability and value assessment of social prescribing are also challenged by this problem since it can inhibit the ability of policymakers to find effective interventions. Systemic problems, especially in terms of funding and workforce issues are barriers to the full potential of social prescribing. Voluntary organizations are not reliable in terms of funding and restrict long-term planning, whereas workers experience high caseloads and do not have professional recognition and support. Nevertheless, there are promising projects like service integration using primary care networks and digital referral systems. They are consistent with the national health strategies that encourage intersectoral collaboration. As it has been proposed, social prescribing ought to be better institutionalized into the frameworks of policies to make it an important element of community-based mental health services.</w:t>
      </w:r>
      <w:bookmarkStart w:id="9" w:name="_heading=h.affawerlqyva" w:colFirst="0" w:colLast="0"/>
      <w:bookmarkEnd w:id="9"/>
      <w:r>
        <w:br w:type="page"/>
      </w:r>
    </w:p>
    <w:p w14:paraId="1206940A" w14:textId="77777777" w:rsidR="00C519DD" w:rsidRDefault="00000000" w:rsidP="008917F1">
      <w:pPr>
        <w:pStyle w:val="Heading1"/>
        <w:widowControl w:val="0"/>
      </w:pPr>
      <w:bookmarkStart w:id="10" w:name="_heading=h.8zfq8omchl58" w:colFirst="0" w:colLast="0"/>
      <w:bookmarkEnd w:id="10"/>
      <w:r>
        <w:lastRenderedPageBreak/>
        <w:t xml:space="preserve">Conclusion and recommendation </w:t>
      </w:r>
    </w:p>
    <w:p w14:paraId="2169F4B7" w14:textId="77777777" w:rsidR="00C519DD" w:rsidRDefault="00000000" w:rsidP="008917F1">
      <w:r>
        <w:t>The review finds that social prescribing is a major intervention to improve the mental health outcomes of adults in the United Kingdom through provision of holistic, non-clinical interventions which complement the conventional medical treatments. It has been proved that well-being, confidence, and social connectedness are improved and there is less dependence on services provided by GP and medication. Nevertheless, the lack of standardisation, inconsistent funding, workforce strain, and disparities in accessibility are some of the challenges that impede the factor of long-term sustainability. Promoting social prescribing requires a coordinated effort involving healthcare systems, voluntary organisations and networks. It is important to have an increase in the policy integration and uniform evaluation systems in order to make sure that people receive equal access and can attain measurable results. On the whole, social prescribing represents a person-centred, preventive model, which conforms to the vision of integrated care of the NHS. On-going investment, systematic review and enhanced enlightenment of the practitioners will enable it to maximise its contribution in enhancing mental health and creating resilient and connected communities throughout the UK.</w:t>
      </w:r>
    </w:p>
    <w:p w14:paraId="78DDC2FB" w14:textId="77777777" w:rsidR="00C519DD" w:rsidRDefault="00000000" w:rsidP="008917F1">
      <w:pPr>
        <w:rPr>
          <w:b/>
          <w:i/>
        </w:rPr>
      </w:pPr>
      <w:r>
        <w:rPr>
          <w:b/>
          <w:i/>
        </w:rPr>
        <w:t>Recommendation</w:t>
      </w:r>
    </w:p>
    <w:p w14:paraId="6E8E015B" w14:textId="77777777" w:rsidR="00C519DD" w:rsidRDefault="00000000" w:rsidP="008917F1">
      <w:pPr>
        <w:numPr>
          <w:ilvl w:val="0"/>
          <w:numId w:val="1"/>
        </w:numPr>
      </w:pPr>
      <w:r>
        <w:t>The UK government and NHS England should focus on long-term funding mechanisms to guarantee the sustainability of the social prescribing schemes. Existing dependence on short time grants inhibits continuity and innovation. A consistent investment would enable voluntary and community organisations to be able to plan strategically, staff them with trained link workers and measure the results of their efforts over the long term to ensure that services are delivered throughout the regions in a similar way.</w:t>
      </w:r>
    </w:p>
    <w:p w14:paraId="58D6E8BB" w14:textId="77777777" w:rsidR="00C519DD" w:rsidRDefault="00000000" w:rsidP="008917F1">
      <w:pPr>
        <w:numPr>
          <w:ilvl w:val="0"/>
          <w:numId w:val="1"/>
        </w:numPr>
      </w:pPr>
      <w:r>
        <w:t>It is important to set up national assessment structures and outcome measurement instruments to understand the effectiveness and cost-efficiency of social prescribing. Standardised data collection would enable policymakers to determine what works and identify ways of allocating resources in a more effective manner. This would also enhance accountability and the ability to make evidence-based decisions in mental health policy.</w:t>
      </w:r>
    </w:p>
    <w:p w14:paraId="47AB44B2" w14:textId="77777777" w:rsidR="00C519DD" w:rsidRDefault="00000000" w:rsidP="008917F1">
      <w:pPr>
        <w:numPr>
          <w:ilvl w:val="0"/>
          <w:numId w:val="1"/>
        </w:numPr>
      </w:pPr>
      <w:r>
        <w:t>Link workers and healthcare professionals require further training and professional development that would enhance the quality of the provided services (</w:t>
      </w:r>
      <w:r>
        <w:rPr>
          <w:color w:val="222222"/>
          <w:highlight w:val="white"/>
        </w:rPr>
        <w:t xml:space="preserve">Pollock </w:t>
      </w:r>
      <w:r>
        <w:rPr>
          <w:i/>
          <w:color w:val="222222"/>
          <w:highlight w:val="white"/>
        </w:rPr>
        <w:t>et al</w:t>
      </w:r>
      <w:r>
        <w:rPr>
          <w:color w:val="222222"/>
          <w:highlight w:val="white"/>
        </w:rPr>
        <w:t>., 2023)</w:t>
      </w:r>
      <w:r>
        <w:t>. Offering mental health support, data management and community engagement training would enhance workforce capacity and encourage uniformity in care.</w:t>
      </w:r>
    </w:p>
    <w:p w14:paraId="7CDAA0BB" w14:textId="7F279304" w:rsidR="00C519DD" w:rsidRDefault="00000000" w:rsidP="008917F1">
      <w:pPr>
        <w:numPr>
          <w:ilvl w:val="0"/>
          <w:numId w:val="1"/>
        </w:numPr>
      </w:pPr>
      <w:r>
        <w:t xml:space="preserve">Future studies must be done on longitudinal and comparative research investigating mental health advantages of social prescribing in various populations in the long term. </w:t>
      </w:r>
      <w:r>
        <w:lastRenderedPageBreak/>
        <w:t>This would assist in recognizing the interventions that are most effective to certain demographic groups and help to perfect the national model of social prescribing. The increase in research on the digital and hybrid models would also help to see how barrier to accessibility can be overcome so that everyone, without regard to their socioeconomic background and geographic placement, can gain equally in the holistic approach to mental health care in the UK.</w:t>
      </w:r>
      <w:r>
        <w:br w:type="page"/>
      </w:r>
    </w:p>
    <w:p w14:paraId="6A552DC7" w14:textId="77777777" w:rsidR="00C519DD" w:rsidRDefault="00000000" w:rsidP="008917F1">
      <w:pPr>
        <w:pStyle w:val="Heading1"/>
      </w:pPr>
      <w:bookmarkStart w:id="11" w:name="_heading=h.fey9jkswv91x" w:colFirst="0" w:colLast="0"/>
      <w:bookmarkEnd w:id="11"/>
      <w:r>
        <w:lastRenderedPageBreak/>
        <w:t>Reference List</w:t>
      </w:r>
    </w:p>
    <w:p w14:paraId="40D64237" w14:textId="77777777" w:rsidR="008917F1" w:rsidRDefault="008917F1" w:rsidP="008917F1">
      <w:pPr>
        <w:rPr>
          <w:color w:val="222222"/>
          <w:highlight w:val="white"/>
        </w:rPr>
      </w:pPr>
      <w:r>
        <w:rPr>
          <w:color w:val="222222"/>
          <w:highlight w:val="white"/>
        </w:rPr>
        <w:t xml:space="preserve">‌Anthony, B., Davies, J., </w:t>
      </w:r>
      <w:proofErr w:type="spellStart"/>
      <w:r>
        <w:rPr>
          <w:color w:val="222222"/>
          <w:highlight w:val="white"/>
        </w:rPr>
        <w:t>Pisavadia</w:t>
      </w:r>
      <w:proofErr w:type="spellEnd"/>
      <w:r>
        <w:rPr>
          <w:color w:val="222222"/>
          <w:highlight w:val="white"/>
        </w:rPr>
        <w:t xml:space="preserve">, K., Roberts, S., Flynn, G., Varghese, L., Granger, R., Montgomery, M., Rosi, R., Gillen, E. and </w:t>
      </w:r>
      <w:proofErr w:type="spellStart"/>
      <w:r>
        <w:rPr>
          <w:color w:val="222222"/>
          <w:highlight w:val="white"/>
        </w:rPr>
        <w:t>Hounsome</w:t>
      </w:r>
      <w:proofErr w:type="spellEnd"/>
      <w:r>
        <w:rPr>
          <w:color w:val="222222"/>
          <w:highlight w:val="white"/>
        </w:rPr>
        <w:t xml:space="preserve">, J., 2025. What is the effectiveness and cost-effectiveness of at-home time-limited reablement service for improving an individual’s independence and health outcomes and reducing the need for long term care: a rapid review. </w:t>
      </w:r>
      <w:proofErr w:type="spellStart"/>
      <w:r>
        <w:rPr>
          <w:i/>
          <w:color w:val="222222"/>
          <w:highlight w:val="white"/>
        </w:rPr>
        <w:t>medRxiv</w:t>
      </w:r>
      <w:proofErr w:type="spellEnd"/>
      <w:r>
        <w:rPr>
          <w:color w:val="222222"/>
          <w:highlight w:val="white"/>
        </w:rPr>
        <w:t>, pp.2025-06.</w:t>
      </w:r>
    </w:p>
    <w:p w14:paraId="76B70EBF" w14:textId="77777777" w:rsidR="008917F1" w:rsidRDefault="008917F1" w:rsidP="008917F1">
      <w:proofErr w:type="spellStart"/>
      <w:r>
        <w:rPr>
          <w:highlight w:val="white"/>
        </w:rPr>
        <w:t>Aughterson</w:t>
      </w:r>
      <w:proofErr w:type="spellEnd"/>
      <w:r>
        <w:rPr>
          <w:highlight w:val="white"/>
        </w:rPr>
        <w:t xml:space="preserve">, H., 2022. </w:t>
      </w:r>
      <w:r>
        <w:rPr>
          <w:i/>
          <w:highlight w:val="white"/>
        </w:rPr>
        <w:t>Social prescribing for mental health and well-being: mechanisms of action, active ingredients, and barriers &amp; enablers to effective engagement</w:t>
      </w:r>
      <w:r>
        <w:rPr>
          <w:highlight w:val="white"/>
        </w:rPr>
        <w:t xml:space="preserve"> (Doctoral dissertation, UCL (University College London)).</w:t>
      </w:r>
    </w:p>
    <w:p w14:paraId="67BD9C43" w14:textId="77777777" w:rsidR="008917F1" w:rsidRDefault="008917F1" w:rsidP="008917F1">
      <w:proofErr w:type="spellStart"/>
      <w:r>
        <w:t>Biosca</w:t>
      </w:r>
      <w:proofErr w:type="spellEnd"/>
      <w:r>
        <w:t xml:space="preserve">, O., Baker, R., Donaldson, C., McHugh, N., Morgan, A., Bala, A., </w:t>
      </w:r>
      <w:proofErr w:type="spellStart"/>
      <w:r>
        <w:t>Bellazzecca</w:t>
      </w:r>
      <w:proofErr w:type="spellEnd"/>
      <w:r>
        <w:t xml:space="preserve">, E., </w:t>
      </w:r>
      <w:proofErr w:type="spellStart"/>
      <w:r>
        <w:t>Mojarrieta</w:t>
      </w:r>
      <w:proofErr w:type="spellEnd"/>
      <w:r>
        <w:t xml:space="preserve">, M., White, G. and Morduch, J., 2021. Managing finances and multiple long-term conditions: eliciting the perspectives of individuals living on low incomes. </w:t>
      </w:r>
      <w:r>
        <w:rPr>
          <w:i/>
        </w:rPr>
        <w:t>London, UK: GCU London</w:t>
      </w:r>
      <w:r>
        <w:t>.</w:t>
      </w:r>
    </w:p>
    <w:p w14:paraId="70209F50" w14:textId="77777777" w:rsidR="008917F1" w:rsidRDefault="008917F1" w:rsidP="008917F1">
      <w:pPr>
        <w:rPr>
          <w:color w:val="222222"/>
          <w:highlight w:val="white"/>
        </w:rPr>
      </w:pPr>
      <w:r>
        <w:rPr>
          <w:color w:val="222222"/>
          <w:highlight w:val="white"/>
        </w:rPr>
        <w:t xml:space="preserve">Campbell, F., Whear, R., Rogers, M., Sutton, A., Barlow, J., Booth, A., Tattersall, A., Wolstenholme, L. and Thompson‐Coon, J., 2024. What is the effect of intergenerational activities on the wellbeing and mental health of children and young </w:t>
      </w:r>
      <w:proofErr w:type="gramStart"/>
      <w:r>
        <w:rPr>
          <w:color w:val="222222"/>
          <w:highlight w:val="white"/>
        </w:rPr>
        <w:t>people?:</w:t>
      </w:r>
      <w:proofErr w:type="gramEnd"/>
      <w:r>
        <w:rPr>
          <w:color w:val="222222"/>
          <w:highlight w:val="white"/>
        </w:rPr>
        <w:t xml:space="preserve"> A systematic review. </w:t>
      </w:r>
      <w:r>
        <w:rPr>
          <w:i/>
          <w:color w:val="222222"/>
          <w:highlight w:val="white"/>
        </w:rPr>
        <w:t>Campbell Systematic Reviews</w:t>
      </w:r>
      <w:r>
        <w:rPr>
          <w:color w:val="222222"/>
          <w:highlight w:val="white"/>
        </w:rPr>
        <w:t xml:space="preserve">, </w:t>
      </w:r>
      <w:r>
        <w:rPr>
          <w:i/>
          <w:color w:val="222222"/>
          <w:highlight w:val="white"/>
        </w:rPr>
        <w:t>20</w:t>
      </w:r>
      <w:r>
        <w:rPr>
          <w:color w:val="222222"/>
          <w:highlight w:val="white"/>
        </w:rPr>
        <w:t>(3), p.e1429.</w:t>
      </w:r>
    </w:p>
    <w:p w14:paraId="2E8CAC43" w14:textId="77777777" w:rsidR="008917F1" w:rsidRDefault="008917F1" w:rsidP="008917F1">
      <w:r>
        <w:t xml:space="preserve">Costa, A., Sousa, C.J., Seabra, P.R.C., </w:t>
      </w:r>
      <w:proofErr w:type="spellStart"/>
      <w:r>
        <w:t>Virgolino</w:t>
      </w:r>
      <w:proofErr w:type="spellEnd"/>
      <w:r>
        <w:t xml:space="preserve">, A., Santos, O., Lopes, J., Henriques, A., Nogueira, P. and </w:t>
      </w:r>
      <w:proofErr w:type="spellStart"/>
      <w:r>
        <w:t>Alarcão</w:t>
      </w:r>
      <w:proofErr w:type="spellEnd"/>
      <w:r>
        <w:t xml:space="preserve">, V., 2021. Effectiveness of social prescribing programs in the primary health-care context: a systematic literature review. </w:t>
      </w:r>
      <w:r>
        <w:rPr>
          <w:i/>
        </w:rPr>
        <w:t>Sustainability</w:t>
      </w:r>
      <w:r>
        <w:t xml:space="preserve">, </w:t>
      </w:r>
      <w:r>
        <w:rPr>
          <w:i/>
        </w:rPr>
        <w:t>13</w:t>
      </w:r>
      <w:r>
        <w:t>(5), p.2731.</w:t>
      </w:r>
    </w:p>
    <w:p w14:paraId="65B944E7" w14:textId="77777777" w:rsidR="008917F1" w:rsidRDefault="008917F1" w:rsidP="008917F1">
      <w:pPr>
        <w:rPr>
          <w:color w:val="222222"/>
          <w:highlight w:val="white"/>
        </w:rPr>
      </w:pPr>
      <w:r>
        <w:rPr>
          <w:color w:val="222222"/>
          <w:highlight w:val="white"/>
        </w:rPr>
        <w:t xml:space="preserve">Fife, S.T. and Gossner, J.D., 2024. Deductive qualitative analysis: Evaluating, expanding, and refining theory. </w:t>
      </w:r>
      <w:r>
        <w:rPr>
          <w:i/>
          <w:color w:val="222222"/>
          <w:highlight w:val="white"/>
        </w:rPr>
        <w:t>International Journal of Qualitative Methods</w:t>
      </w:r>
      <w:r>
        <w:rPr>
          <w:color w:val="222222"/>
          <w:highlight w:val="white"/>
        </w:rPr>
        <w:t xml:space="preserve">, </w:t>
      </w:r>
      <w:r>
        <w:rPr>
          <w:i/>
          <w:color w:val="222222"/>
          <w:highlight w:val="white"/>
        </w:rPr>
        <w:t>23</w:t>
      </w:r>
      <w:r>
        <w:rPr>
          <w:color w:val="222222"/>
          <w:highlight w:val="white"/>
        </w:rPr>
        <w:t>, p.16094069241244856.</w:t>
      </w:r>
    </w:p>
    <w:p w14:paraId="0F954576" w14:textId="77777777" w:rsidR="008917F1" w:rsidRDefault="008917F1" w:rsidP="008917F1">
      <w:pPr>
        <w:rPr>
          <w:highlight w:val="white"/>
        </w:rPr>
      </w:pPr>
      <w:r>
        <w:rPr>
          <w:highlight w:val="white"/>
        </w:rPr>
        <w:t xml:space="preserve">Hoffmann, S., 2022. Challenges and opportunities of area-based conservation in reaching biodiversity and sustainability goals. </w:t>
      </w:r>
      <w:r>
        <w:rPr>
          <w:i/>
          <w:highlight w:val="white"/>
        </w:rPr>
        <w:t>Biodiversity and Conservation</w:t>
      </w:r>
      <w:r>
        <w:rPr>
          <w:highlight w:val="white"/>
        </w:rPr>
        <w:t xml:space="preserve">, </w:t>
      </w:r>
      <w:r>
        <w:rPr>
          <w:i/>
          <w:highlight w:val="white"/>
        </w:rPr>
        <w:t>31</w:t>
      </w:r>
      <w:r>
        <w:rPr>
          <w:highlight w:val="white"/>
        </w:rPr>
        <w:t>(2), pp.325-352.</w:t>
      </w:r>
    </w:p>
    <w:p w14:paraId="6C9676CA" w14:textId="77777777" w:rsidR="008917F1" w:rsidRDefault="008917F1" w:rsidP="008917F1">
      <w:pPr>
        <w:rPr>
          <w:color w:val="222222"/>
          <w:highlight w:val="white"/>
        </w:rPr>
      </w:pPr>
      <w:proofErr w:type="spellStart"/>
      <w:r>
        <w:rPr>
          <w:color w:val="222222"/>
          <w:highlight w:val="white"/>
        </w:rPr>
        <w:t>Laupichler</w:t>
      </w:r>
      <w:proofErr w:type="spellEnd"/>
      <w:r>
        <w:rPr>
          <w:color w:val="222222"/>
          <w:highlight w:val="white"/>
        </w:rPr>
        <w:t xml:space="preserve">, M.C., Aster, A., </w:t>
      </w:r>
      <w:proofErr w:type="spellStart"/>
      <w:r>
        <w:rPr>
          <w:color w:val="222222"/>
          <w:highlight w:val="white"/>
        </w:rPr>
        <w:t>Schirch</w:t>
      </w:r>
      <w:proofErr w:type="spellEnd"/>
      <w:r>
        <w:rPr>
          <w:color w:val="222222"/>
          <w:highlight w:val="white"/>
        </w:rPr>
        <w:t xml:space="preserve">, J. and Raupach, T., 2022. Artificial intelligence literacy in higher and adult education: A scoping literature review. </w:t>
      </w:r>
      <w:r>
        <w:rPr>
          <w:i/>
          <w:color w:val="222222"/>
          <w:highlight w:val="white"/>
        </w:rPr>
        <w:t>Computers and Education: Artificial Intelligence</w:t>
      </w:r>
      <w:r>
        <w:rPr>
          <w:color w:val="222222"/>
          <w:highlight w:val="white"/>
        </w:rPr>
        <w:t xml:space="preserve">, </w:t>
      </w:r>
      <w:r>
        <w:rPr>
          <w:i/>
          <w:color w:val="222222"/>
          <w:highlight w:val="white"/>
        </w:rPr>
        <w:t>3</w:t>
      </w:r>
      <w:r>
        <w:rPr>
          <w:color w:val="222222"/>
          <w:highlight w:val="white"/>
        </w:rPr>
        <w:t>, p.100101.</w:t>
      </w:r>
    </w:p>
    <w:p w14:paraId="635802B1" w14:textId="77777777" w:rsidR="008917F1" w:rsidRDefault="008917F1" w:rsidP="008917F1">
      <w:r>
        <w:t xml:space="preserve">‌Legislation.UK. (2025). </w:t>
      </w:r>
      <w:r>
        <w:rPr>
          <w:i/>
        </w:rPr>
        <w:t>Data Protection Act 2018</w:t>
      </w:r>
      <w:r>
        <w:t>. [online] Available at: https://www.legislation.gov.uk/ukpga/2018/12/contents [Accessed 3 Nov. 2025].</w:t>
      </w:r>
    </w:p>
    <w:p w14:paraId="426C1BF0" w14:textId="77777777" w:rsidR="008917F1" w:rsidRDefault="008917F1" w:rsidP="008917F1">
      <w:pPr>
        <w:rPr>
          <w:color w:val="222222"/>
          <w:highlight w:val="white"/>
        </w:rPr>
      </w:pPr>
      <w:proofErr w:type="spellStart"/>
      <w:r>
        <w:rPr>
          <w:color w:val="222222"/>
          <w:highlight w:val="white"/>
        </w:rPr>
        <w:t>Mbanaso</w:t>
      </w:r>
      <w:proofErr w:type="spellEnd"/>
      <w:r>
        <w:rPr>
          <w:color w:val="222222"/>
          <w:highlight w:val="white"/>
        </w:rPr>
        <w:t xml:space="preserve">, U.M., Abrahams, L. and Okafor, K.C., 2023. Research philosophy, design and methodology. In </w:t>
      </w:r>
      <w:r>
        <w:rPr>
          <w:i/>
          <w:color w:val="222222"/>
          <w:highlight w:val="white"/>
        </w:rPr>
        <w:t>Research Techniques for Computer Science, Information Systems and Cybersecurity</w:t>
      </w:r>
      <w:r>
        <w:rPr>
          <w:color w:val="222222"/>
          <w:highlight w:val="white"/>
        </w:rPr>
        <w:t xml:space="preserve"> (pp. 81-113). Cham: Springer Nature Switzerland.</w:t>
      </w:r>
    </w:p>
    <w:p w14:paraId="4878A5A5" w14:textId="77777777" w:rsidR="008917F1" w:rsidRDefault="008917F1" w:rsidP="008917F1">
      <w:proofErr w:type="spellStart"/>
      <w:r>
        <w:lastRenderedPageBreak/>
        <w:t>Menhas</w:t>
      </w:r>
      <w:proofErr w:type="spellEnd"/>
      <w:r>
        <w:t xml:space="preserve">, R., Yang, L. and Danish Nisar, R., 2023. Community-based social healthcare practices in China for healthy aging: a social prescription perspective analysis. </w:t>
      </w:r>
      <w:r>
        <w:rPr>
          <w:i/>
        </w:rPr>
        <w:t>Frontiers in Public Health</w:t>
      </w:r>
      <w:r>
        <w:t xml:space="preserve">, </w:t>
      </w:r>
      <w:r>
        <w:rPr>
          <w:i/>
        </w:rPr>
        <w:t>11</w:t>
      </w:r>
      <w:r>
        <w:t>, p.1252157.</w:t>
      </w:r>
    </w:p>
    <w:p w14:paraId="57779484" w14:textId="77777777" w:rsidR="008917F1" w:rsidRDefault="008917F1" w:rsidP="008917F1">
      <w:r>
        <w:rPr>
          <w:highlight w:val="white"/>
        </w:rPr>
        <w:t xml:space="preserve">Moore, C., Unwin, P., Evans, N. and Howie, F., 2022. Social prescribing: Exploring general practitioners' and healthcare professionals' perceptions of, and engagement with, the NHS model. </w:t>
      </w:r>
      <w:r>
        <w:rPr>
          <w:i/>
          <w:highlight w:val="white"/>
        </w:rPr>
        <w:t>Health &amp; Social Care in the Community</w:t>
      </w:r>
      <w:r>
        <w:rPr>
          <w:highlight w:val="white"/>
        </w:rPr>
        <w:t xml:space="preserve">, </w:t>
      </w:r>
      <w:r>
        <w:rPr>
          <w:i/>
          <w:highlight w:val="white"/>
        </w:rPr>
        <w:t>30</w:t>
      </w:r>
      <w:r>
        <w:rPr>
          <w:highlight w:val="white"/>
        </w:rPr>
        <w:t xml:space="preserve">(6), </w:t>
      </w:r>
      <w:proofErr w:type="gramStart"/>
      <w:r>
        <w:rPr>
          <w:highlight w:val="white"/>
        </w:rPr>
        <w:t>pp.e</w:t>
      </w:r>
      <w:proofErr w:type="gramEnd"/>
      <w:r>
        <w:rPr>
          <w:highlight w:val="white"/>
        </w:rPr>
        <w:t>5176-e5185.</w:t>
      </w:r>
    </w:p>
    <w:p w14:paraId="2189632C" w14:textId="77777777" w:rsidR="008917F1" w:rsidRDefault="008917F1" w:rsidP="008917F1">
      <w:pPr>
        <w:rPr>
          <w:color w:val="222222"/>
          <w:highlight w:val="white"/>
        </w:rPr>
      </w:pPr>
      <w:r>
        <w:rPr>
          <w:color w:val="222222"/>
          <w:highlight w:val="white"/>
        </w:rPr>
        <w:t xml:space="preserve">Munn, Z., Pollock, D., Khalil, H., Alexander, L., </w:t>
      </w:r>
      <w:proofErr w:type="spellStart"/>
      <w:r>
        <w:rPr>
          <w:color w:val="222222"/>
          <w:highlight w:val="white"/>
        </w:rPr>
        <w:t>Mclnerney</w:t>
      </w:r>
      <w:proofErr w:type="spellEnd"/>
      <w:r>
        <w:rPr>
          <w:color w:val="222222"/>
          <w:highlight w:val="white"/>
        </w:rPr>
        <w:t xml:space="preserve">, P., Godfrey, C.M., Peters, M. and </w:t>
      </w:r>
      <w:proofErr w:type="spellStart"/>
      <w:r>
        <w:rPr>
          <w:color w:val="222222"/>
          <w:highlight w:val="white"/>
        </w:rPr>
        <w:t>Tricco</w:t>
      </w:r>
      <w:proofErr w:type="spellEnd"/>
      <w:r>
        <w:rPr>
          <w:color w:val="222222"/>
          <w:highlight w:val="white"/>
        </w:rPr>
        <w:t xml:space="preserve">, A.C., 2022. What are scoping reviews? Providing a formal definition of scoping reviews as a type of evidence synthesis. </w:t>
      </w:r>
      <w:r>
        <w:rPr>
          <w:i/>
          <w:color w:val="222222"/>
          <w:highlight w:val="white"/>
        </w:rPr>
        <w:t>JBI evidence synthesis</w:t>
      </w:r>
      <w:r>
        <w:rPr>
          <w:color w:val="222222"/>
          <w:highlight w:val="white"/>
        </w:rPr>
        <w:t xml:space="preserve">, </w:t>
      </w:r>
      <w:r>
        <w:rPr>
          <w:i/>
          <w:color w:val="222222"/>
          <w:highlight w:val="white"/>
        </w:rPr>
        <w:t>20</w:t>
      </w:r>
      <w:r>
        <w:rPr>
          <w:color w:val="222222"/>
          <w:highlight w:val="white"/>
        </w:rPr>
        <w:t>(4), pp.950-952.</w:t>
      </w:r>
    </w:p>
    <w:p w14:paraId="2EAE52F2" w14:textId="77777777" w:rsidR="008917F1" w:rsidRDefault="008917F1" w:rsidP="008917F1">
      <w:r>
        <w:t xml:space="preserve">NHS.UK. (2019). </w:t>
      </w:r>
      <w:r>
        <w:rPr>
          <w:i/>
        </w:rPr>
        <w:t>NHS England» The community mental health framework for adults and older adults</w:t>
      </w:r>
      <w:r>
        <w:t>. [online] Available at: https://www.england.nhs.uk/publication/the-community-mental-health-framework-for-adults-and-older-adults/ [Accessed 3 Nov. 2025].</w:t>
      </w:r>
    </w:p>
    <w:p w14:paraId="70B0DE16" w14:textId="77777777" w:rsidR="008917F1" w:rsidRDefault="008917F1" w:rsidP="008917F1">
      <w:pPr>
        <w:rPr>
          <w:color w:val="222222"/>
          <w:highlight w:val="white"/>
        </w:rPr>
      </w:pPr>
      <w:r>
        <w:rPr>
          <w:color w:val="222222"/>
          <w:highlight w:val="white"/>
        </w:rPr>
        <w:t xml:space="preserve">Peters, M.D., Godfrey, C., McInerney, P., Khalil, H., Larsen, P., Marnie, C., Pollock, D., </w:t>
      </w:r>
      <w:proofErr w:type="spellStart"/>
      <w:r>
        <w:rPr>
          <w:color w:val="222222"/>
          <w:highlight w:val="white"/>
        </w:rPr>
        <w:t>Tricco</w:t>
      </w:r>
      <w:proofErr w:type="spellEnd"/>
      <w:r>
        <w:rPr>
          <w:color w:val="222222"/>
          <w:highlight w:val="white"/>
        </w:rPr>
        <w:t xml:space="preserve">, A.C. and Munn, Z., 2022. Best practice guidance and reporting items for the development of scoping review protocols. </w:t>
      </w:r>
      <w:r>
        <w:rPr>
          <w:i/>
          <w:color w:val="222222"/>
          <w:highlight w:val="white"/>
        </w:rPr>
        <w:t>JBI evidence synthesis</w:t>
      </w:r>
      <w:r>
        <w:rPr>
          <w:color w:val="222222"/>
          <w:highlight w:val="white"/>
        </w:rPr>
        <w:t xml:space="preserve">, </w:t>
      </w:r>
      <w:r>
        <w:rPr>
          <w:i/>
          <w:color w:val="222222"/>
          <w:highlight w:val="white"/>
        </w:rPr>
        <w:t>20</w:t>
      </w:r>
      <w:r>
        <w:rPr>
          <w:color w:val="222222"/>
          <w:highlight w:val="white"/>
        </w:rPr>
        <w:t>(4), pp.953-968.</w:t>
      </w:r>
    </w:p>
    <w:p w14:paraId="4C44D978" w14:textId="77777777" w:rsidR="008917F1" w:rsidRDefault="008917F1" w:rsidP="008917F1">
      <w:pPr>
        <w:rPr>
          <w:color w:val="222222"/>
          <w:highlight w:val="white"/>
        </w:rPr>
      </w:pPr>
      <w:r>
        <w:rPr>
          <w:color w:val="222222"/>
          <w:highlight w:val="white"/>
        </w:rPr>
        <w:t xml:space="preserve">Pollock, D., Peters, M.D., Khalil, H., McInerney, P., Alexander, L., </w:t>
      </w:r>
      <w:proofErr w:type="spellStart"/>
      <w:r>
        <w:rPr>
          <w:color w:val="222222"/>
          <w:highlight w:val="white"/>
        </w:rPr>
        <w:t>Tricco</w:t>
      </w:r>
      <w:proofErr w:type="spellEnd"/>
      <w:r>
        <w:rPr>
          <w:color w:val="222222"/>
          <w:highlight w:val="white"/>
        </w:rPr>
        <w:t xml:space="preserve">, A.C., Evans, C., de Moraes, É.B., Godfrey, C.M., Pieper, D. and Saran, A., 2023. Recommendations for the extraction, analysis, and presentation of results in scoping reviews. </w:t>
      </w:r>
      <w:r>
        <w:rPr>
          <w:i/>
          <w:color w:val="222222"/>
          <w:highlight w:val="white"/>
        </w:rPr>
        <w:t>JBI evidence synthesis</w:t>
      </w:r>
      <w:r>
        <w:rPr>
          <w:color w:val="222222"/>
          <w:highlight w:val="white"/>
        </w:rPr>
        <w:t xml:space="preserve">, </w:t>
      </w:r>
      <w:r>
        <w:rPr>
          <w:i/>
          <w:color w:val="222222"/>
          <w:highlight w:val="white"/>
        </w:rPr>
        <w:t>21</w:t>
      </w:r>
      <w:r>
        <w:rPr>
          <w:color w:val="222222"/>
          <w:highlight w:val="white"/>
        </w:rPr>
        <w:t>(3), pp.520-532.</w:t>
      </w:r>
    </w:p>
    <w:p w14:paraId="0857A498" w14:textId="77777777" w:rsidR="008917F1" w:rsidRDefault="008917F1" w:rsidP="008917F1">
      <w:r>
        <w:t xml:space="preserve">Sadio, R., Henriques, A., Nogueira, P. and Costa, A., 2024. Social prescription for the elderly: a community-based scoping review. </w:t>
      </w:r>
      <w:r>
        <w:rPr>
          <w:i/>
        </w:rPr>
        <w:t>Primary Health Care Research &amp; Development</w:t>
      </w:r>
      <w:r>
        <w:t xml:space="preserve">, </w:t>
      </w:r>
      <w:r>
        <w:rPr>
          <w:i/>
        </w:rPr>
        <w:t>25</w:t>
      </w:r>
      <w:r>
        <w:t>, p.e46.</w:t>
      </w:r>
    </w:p>
    <w:p w14:paraId="25520016" w14:textId="77777777" w:rsidR="008917F1" w:rsidRDefault="008917F1" w:rsidP="008917F1">
      <w:pPr>
        <w:rPr>
          <w:color w:val="222222"/>
          <w:highlight w:val="white"/>
        </w:rPr>
      </w:pPr>
      <w:r>
        <w:rPr>
          <w:color w:val="222222"/>
          <w:highlight w:val="white"/>
        </w:rPr>
        <w:t xml:space="preserve">WHO (2025). </w:t>
      </w:r>
      <w:r>
        <w:rPr>
          <w:i/>
          <w:color w:val="222222"/>
          <w:highlight w:val="white"/>
        </w:rPr>
        <w:t>Mental health</w:t>
      </w:r>
      <w:r>
        <w:rPr>
          <w:color w:val="222222"/>
          <w:highlight w:val="white"/>
        </w:rPr>
        <w:t>. [online] Who.int. Available at: https://www.who.int/news-room/fact-sheets/detail/mental-health-strengthening-our-response [Accessed 3 Nov. 2025].</w:t>
      </w:r>
    </w:p>
    <w:p w14:paraId="674D10CA" w14:textId="4C77338D" w:rsidR="00C519DD" w:rsidRDefault="008917F1" w:rsidP="008917F1">
      <w:r>
        <w:t xml:space="preserve">Wu, Q., Chen, B. and Zhu, J., 2023. Insights from COVID-19: reflecting on the promotion of long-term health policies in China. </w:t>
      </w:r>
      <w:r>
        <w:rPr>
          <w:i/>
        </w:rPr>
        <w:t>International Journal of Environmental Research and Public Health</w:t>
      </w:r>
      <w:r>
        <w:t xml:space="preserve">, </w:t>
      </w:r>
      <w:r>
        <w:rPr>
          <w:i/>
        </w:rPr>
        <w:t>20</w:t>
      </w:r>
      <w:r>
        <w:t>(4), p.2889.</w:t>
      </w:r>
    </w:p>
    <w:sectPr w:rsidR="00C519DD">
      <w:headerReference w:type="default"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470045" w14:textId="77777777" w:rsidR="001B28FF" w:rsidRDefault="001B28FF">
      <w:pPr>
        <w:spacing w:line="240" w:lineRule="auto"/>
      </w:pPr>
      <w:r>
        <w:separator/>
      </w:r>
    </w:p>
  </w:endnote>
  <w:endnote w:type="continuationSeparator" w:id="0">
    <w:p w14:paraId="6C7D433F" w14:textId="77777777" w:rsidR="001B28FF" w:rsidRDefault="001B28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8A0D824-35AD-4BA9-BA54-6A5D9339C41A}"/>
  </w:font>
  <w:font w:name="Cambria">
    <w:panose1 w:val="02040503050406030204"/>
    <w:charset w:val="00"/>
    <w:family w:val="roman"/>
    <w:pitch w:val="variable"/>
    <w:sig w:usb0="E00006FF" w:usb1="420024FF" w:usb2="02000000" w:usb3="00000000" w:csb0="0000019F" w:csb1="00000000"/>
    <w:embedRegular r:id="rId2" w:fontKey="{243A0CF0-A59B-4D6C-9B7C-C60AE3380C6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21553B" w14:textId="77777777" w:rsidR="00C519DD" w:rsidRDefault="00000000">
    <w:pPr>
      <w:jc w:val="right"/>
    </w:pPr>
    <w:r>
      <w:fldChar w:fldCharType="begin"/>
    </w:r>
    <w:r>
      <w:instrText>PAGE</w:instrText>
    </w:r>
    <w:r>
      <w:fldChar w:fldCharType="separate"/>
    </w:r>
    <w:r w:rsidR="008917F1">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7D006" w14:textId="77777777" w:rsidR="001B28FF" w:rsidRDefault="001B28FF">
      <w:pPr>
        <w:spacing w:line="240" w:lineRule="auto"/>
      </w:pPr>
      <w:r>
        <w:separator/>
      </w:r>
    </w:p>
  </w:footnote>
  <w:footnote w:type="continuationSeparator" w:id="0">
    <w:p w14:paraId="56D69336" w14:textId="77777777" w:rsidR="001B28FF" w:rsidRDefault="001B28F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08345" w14:textId="7C0CE7C9" w:rsidR="00946963" w:rsidRDefault="00946963">
    <w:pPr>
      <w:pStyle w:val="Header"/>
    </w:pPr>
    <w:r>
      <w:rPr>
        <w:noProof/>
      </w:rPr>
      <w:drawing>
        <wp:inline distT="0" distB="0" distL="0" distR="0" wp14:anchorId="1625129E" wp14:editId="2747EFF9">
          <wp:extent cx="1343025" cy="619125"/>
          <wp:effectExtent l="0" t="0" r="9525" b="9525"/>
          <wp:docPr id="870168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168393" name=""/>
                  <pic:cNvPicPr/>
                </pic:nvPicPr>
                <pic:blipFill>
                  <a:blip r:embed="rId1"/>
                  <a:stretch>
                    <a:fillRect/>
                  </a:stretch>
                </pic:blipFill>
                <pic:spPr>
                  <a:xfrm>
                    <a:off x="0" y="0"/>
                    <a:ext cx="1343025" cy="61912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7713D"/>
    <w:multiLevelType w:val="multilevel"/>
    <w:tmpl w:val="53E60E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99330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19DD"/>
    <w:rsid w:val="001B28FF"/>
    <w:rsid w:val="00264CC3"/>
    <w:rsid w:val="002F5A3F"/>
    <w:rsid w:val="00410C77"/>
    <w:rsid w:val="00447E27"/>
    <w:rsid w:val="00607039"/>
    <w:rsid w:val="00614B6A"/>
    <w:rsid w:val="00771AA0"/>
    <w:rsid w:val="0085005C"/>
    <w:rsid w:val="008917F1"/>
    <w:rsid w:val="008E39A0"/>
    <w:rsid w:val="00946963"/>
    <w:rsid w:val="00A06260"/>
    <w:rsid w:val="00C519DD"/>
    <w:rsid w:val="00DA1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047AB0"/>
  <w15:docId w15:val="{599881B6-E4F7-4C26-B688-2E5CCEC5E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Pr>
  </w:style>
  <w:style w:type="paragraph" w:styleId="Header">
    <w:name w:val="header"/>
    <w:basedOn w:val="Normal"/>
    <w:link w:val="HeaderChar"/>
    <w:uiPriority w:val="99"/>
    <w:unhideWhenUsed/>
    <w:rsid w:val="00946963"/>
    <w:pPr>
      <w:tabs>
        <w:tab w:val="center" w:pos="4513"/>
        <w:tab w:val="right" w:pos="9026"/>
      </w:tabs>
      <w:spacing w:line="240" w:lineRule="auto"/>
    </w:pPr>
  </w:style>
  <w:style w:type="character" w:customStyle="1" w:styleId="HeaderChar">
    <w:name w:val="Header Char"/>
    <w:basedOn w:val="DefaultParagraphFont"/>
    <w:link w:val="Header"/>
    <w:uiPriority w:val="99"/>
    <w:rsid w:val="00946963"/>
  </w:style>
  <w:style w:type="paragraph" w:styleId="Footer">
    <w:name w:val="footer"/>
    <w:basedOn w:val="Normal"/>
    <w:link w:val="FooterChar"/>
    <w:uiPriority w:val="99"/>
    <w:unhideWhenUsed/>
    <w:rsid w:val="00946963"/>
    <w:pPr>
      <w:tabs>
        <w:tab w:val="center" w:pos="4513"/>
        <w:tab w:val="right" w:pos="9026"/>
      </w:tabs>
      <w:spacing w:line="240" w:lineRule="auto"/>
    </w:pPr>
  </w:style>
  <w:style w:type="character" w:customStyle="1" w:styleId="FooterChar">
    <w:name w:val="Footer Char"/>
    <w:basedOn w:val="DefaultParagraphFont"/>
    <w:link w:val="Footer"/>
    <w:uiPriority w:val="99"/>
    <w:rsid w:val="009469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qBuL3gzuJ2d09rbYmJJmuhd4Bw==">CgMxLjAaHwoBMBIaChgICVIUChJ0YWJsZS4yNTNyMHdmbHNua2EyDmgueGdhbTkyNnIwNXc2Mg5oLmsyNDNibHB6aXh6aDIOaC4xNTNuOTRmOTQydTMyDmguNDIybTloNjVlbXJ6Mg5oLmNxNHI2OHZja2Z0ZzIOaC5kcDBybDJzaW9tM2kyDmgudTdhZTVkczJxMXRqMg5oLnduNHlodTRxMXptZjIOaC53MzI2MndrcG1qNXEyDmguYWZmYXdlcmxxeXZhMg5oLjh6ZnE4b21jaGw1ODIOaC5mZXk5amtzd3Y5MXg4AHIhMURIb3llcmtCakpKd1dacmxtT1pfb2VSOGU0UUJqaGx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15</Pages>
  <Words>4422</Words>
  <Characters>26361</Characters>
  <Application>Microsoft Office Word</Application>
  <DocSecurity>0</DocSecurity>
  <Lines>432</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Catalin Anca</dc:creator>
  <cp:lastModifiedBy>Catalin Anca</cp:lastModifiedBy>
  <cp:revision>2</cp:revision>
  <dcterms:created xsi:type="dcterms:W3CDTF">2025-11-20T15:51:00Z</dcterms:created>
  <dcterms:modified xsi:type="dcterms:W3CDTF">2025-11-20T15:51:00Z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14b63319-b81a-4be5-8244-f3752201fb06</vt:lpwstr>
  </property>
</Properties>
</file>