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3009F44A" w14:textId="7B80921D" w:rsidR="00063B4C" w:rsidRPr="00063B4C" w:rsidRDefault="00063B4C" w:rsidP="008D125D">
      <w:pPr>
        <w:spacing w:line="813" w:lineRule="exact"/>
        <w:jc w:val="left"/>
        <w:rPr>
          <w:rFonts w:cs="Arial"/>
          <w:sz w:val="60"/>
          <w:szCs w:val="60"/>
        </w:rPr>
      </w:pPr>
      <w:r w:rsidRPr="00063B4C">
        <w:rPr>
          <w:rFonts w:cs="Arial"/>
          <w:sz w:val="60"/>
          <w:szCs w:val="60"/>
        </w:rPr>
        <w:t>BSc (Hons) Health and Social Care</w:t>
      </w:r>
      <w:r w:rsidR="00E74F11">
        <w:rPr>
          <w:rFonts w:cs="Arial"/>
          <w:sz w:val="60"/>
          <w:szCs w:val="60"/>
        </w:rPr>
        <w:t xml:space="preserve"> L</w:t>
      </w:r>
      <w:r w:rsidR="008D125D">
        <w:rPr>
          <w:rFonts w:cs="Arial"/>
          <w:sz w:val="60"/>
          <w:szCs w:val="60"/>
        </w:rPr>
        <w:t xml:space="preserve">evel </w:t>
      </w:r>
      <w:r w:rsidR="00E74F11">
        <w:rPr>
          <w:rFonts w:cs="Arial"/>
          <w:sz w:val="60"/>
          <w:szCs w:val="60"/>
        </w:rPr>
        <w:t>6</w:t>
      </w:r>
      <w:r w:rsidRPr="00063B4C">
        <w:rPr>
          <w:rFonts w:cs="Arial"/>
          <w:sz w:val="60"/>
          <w:szCs w:val="60"/>
        </w:rPr>
        <w:br/>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3492E4C4" w14:textId="45AA03BC" w:rsidR="00604A87" w:rsidRPr="00CC2787" w:rsidRDefault="00604A87" w:rsidP="00604A87">
      <w:pPr>
        <w:rPr>
          <w:rFonts w:eastAsia="Times New Roman" w:cs="Arial"/>
          <w:b/>
          <w:sz w:val="28"/>
          <w:szCs w:val="28"/>
          <w:u w:val="single"/>
        </w:rPr>
      </w:pPr>
      <w:r w:rsidRPr="00CC2787">
        <w:rPr>
          <w:rFonts w:eastAsia="Times New Roman" w:cs="Arial"/>
          <w:b/>
          <w:sz w:val="28"/>
          <w:szCs w:val="28"/>
          <w:u w:val="single"/>
        </w:rPr>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3AFBA591" w:rsidR="00604A87" w:rsidRPr="00604A87" w:rsidRDefault="00604A87" w:rsidP="00604A87">
      <w:pPr>
        <w:rPr>
          <w:rFonts w:eastAsia="Times New Roman" w:cs="Arial"/>
        </w:rPr>
      </w:pPr>
      <w:r w:rsidRPr="00777A7B">
        <w:rPr>
          <w:rFonts w:eastAsia="Times New Roman" w:cs="Arial"/>
          <w:b/>
          <w:bCs/>
        </w:rPr>
        <w:t>Signed</w:t>
      </w:r>
      <w:r w:rsidR="00777A7B" w:rsidRPr="00777A7B">
        <w:rPr>
          <w:rFonts w:eastAsia="Times New Roman" w:cs="Arial"/>
          <w:b/>
          <w:bCs/>
        </w:rPr>
        <w:t>:</w:t>
      </w:r>
      <w:r w:rsidR="00777A7B">
        <w:rPr>
          <w:rFonts w:eastAsia="Times New Roman" w:cs="Arial"/>
        </w:rPr>
        <w:t xml:space="preserve"> Salhma Parveen</w:t>
      </w:r>
    </w:p>
    <w:p w14:paraId="16B6CB34" w14:textId="6D68BAFF" w:rsidR="00604A87" w:rsidRPr="00604A87" w:rsidRDefault="00604A87" w:rsidP="00604A87">
      <w:pPr>
        <w:rPr>
          <w:rFonts w:eastAsia="Times New Roman" w:cs="Arial"/>
        </w:rPr>
      </w:pPr>
      <w:r w:rsidRPr="00777A7B">
        <w:rPr>
          <w:rFonts w:eastAsia="Times New Roman" w:cs="Arial"/>
          <w:b/>
          <w:bCs/>
        </w:rPr>
        <w:t>Date</w:t>
      </w:r>
      <w:r w:rsidR="00777A7B" w:rsidRPr="00777A7B">
        <w:rPr>
          <w:rFonts w:eastAsia="Times New Roman" w:cs="Arial"/>
          <w:b/>
          <w:bCs/>
        </w:rPr>
        <w:t>:</w:t>
      </w:r>
      <w:r w:rsidR="00777A7B">
        <w:rPr>
          <w:rFonts w:eastAsia="Times New Roman" w:cs="Arial"/>
        </w:rPr>
        <w:t xml:space="preserve"> 26/07/2026</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97B197D" w:rsidR="00604A87" w:rsidRPr="00604A87" w:rsidRDefault="00604A87" w:rsidP="00604A87">
      <w:pPr>
        <w:rPr>
          <w:rFonts w:eastAsia="Times New Roman" w:cs="Arial"/>
        </w:rPr>
      </w:pPr>
      <w:r w:rsidRPr="00777A7B">
        <w:rPr>
          <w:rFonts w:eastAsia="Times New Roman" w:cs="Arial"/>
          <w:b/>
          <w:bCs/>
        </w:rPr>
        <w:t>Signed</w:t>
      </w:r>
      <w:r w:rsidR="00777A7B" w:rsidRPr="00777A7B">
        <w:rPr>
          <w:rFonts w:eastAsia="Times New Roman" w:cs="Arial"/>
          <w:b/>
          <w:bCs/>
        </w:rPr>
        <w:t>:</w:t>
      </w:r>
      <w:r w:rsidR="00777A7B">
        <w:rPr>
          <w:rFonts w:eastAsia="Times New Roman" w:cs="Arial"/>
        </w:rPr>
        <w:t xml:space="preserve"> Salhma Parveen</w:t>
      </w:r>
    </w:p>
    <w:p w14:paraId="21F5E413" w14:textId="199BBC25" w:rsidR="00604A87" w:rsidRPr="00604A87" w:rsidRDefault="00604A87" w:rsidP="00604A87">
      <w:pPr>
        <w:rPr>
          <w:rFonts w:eastAsia="Times New Roman" w:cs="Arial"/>
        </w:rPr>
      </w:pPr>
      <w:r w:rsidRPr="00777A7B">
        <w:rPr>
          <w:rFonts w:eastAsia="Times New Roman" w:cs="Arial"/>
          <w:b/>
          <w:bCs/>
        </w:rPr>
        <w:t>Date</w:t>
      </w:r>
      <w:r w:rsidR="00777A7B" w:rsidRPr="00777A7B">
        <w:rPr>
          <w:rFonts w:eastAsia="Times New Roman" w:cs="Arial"/>
          <w:b/>
          <w:bCs/>
        </w:rPr>
        <w:t>:</w:t>
      </w:r>
      <w:r w:rsidR="00777A7B">
        <w:rPr>
          <w:rFonts w:eastAsia="Times New Roman" w:cs="Arial"/>
        </w:rPr>
        <w:t xml:space="preserve"> 26/07/2026</w:t>
      </w:r>
    </w:p>
    <w:p w14:paraId="2510A0DC" w14:textId="77777777" w:rsidR="00EC79FC" w:rsidRDefault="00EC79FC" w:rsidP="00604A87">
      <w:pPr>
        <w:rPr>
          <w:rFonts w:eastAsia="Times New Roman" w:cs="Arial"/>
          <w:b/>
        </w:rPr>
      </w:pPr>
    </w:p>
    <w:p w14:paraId="713B64B9" w14:textId="70D48C20"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7BED3C6D" w:rsidR="00604A87" w:rsidRPr="00604A87" w:rsidRDefault="00604A87" w:rsidP="00604A87">
      <w:pPr>
        <w:rPr>
          <w:rFonts w:eastAsia="Times New Roman" w:cs="Arial"/>
        </w:rPr>
      </w:pPr>
      <w:r w:rsidRPr="00777A7B">
        <w:rPr>
          <w:rFonts w:eastAsia="Times New Roman" w:cs="Arial"/>
          <w:b/>
          <w:bCs/>
        </w:rPr>
        <w:t>Signe</w:t>
      </w:r>
      <w:r w:rsidR="00777A7B" w:rsidRPr="00777A7B">
        <w:rPr>
          <w:rFonts w:eastAsia="Times New Roman" w:cs="Arial"/>
          <w:b/>
          <w:bCs/>
        </w:rPr>
        <w:t>d:</w:t>
      </w:r>
      <w:r w:rsidR="00777A7B">
        <w:rPr>
          <w:rFonts w:eastAsia="Times New Roman" w:cs="Arial"/>
        </w:rPr>
        <w:t xml:space="preserve"> Salhma Parveen</w:t>
      </w:r>
    </w:p>
    <w:p w14:paraId="1CB40FFB" w14:textId="49B657DF" w:rsidR="00604A87" w:rsidRPr="00604A87" w:rsidRDefault="00604A87" w:rsidP="00604A87">
      <w:pPr>
        <w:rPr>
          <w:rFonts w:eastAsia="Times New Roman" w:cs="Arial"/>
        </w:rPr>
      </w:pPr>
      <w:r w:rsidRPr="00777A7B">
        <w:rPr>
          <w:rFonts w:eastAsia="Times New Roman" w:cs="Arial"/>
          <w:b/>
          <w:bCs/>
        </w:rPr>
        <w:t>Date</w:t>
      </w:r>
      <w:r w:rsidR="00777A7B" w:rsidRPr="00777A7B">
        <w:rPr>
          <w:rFonts w:eastAsia="Times New Roman" w:cs="Arial"/>
          <w:b/>
          <w:bCs/>
        </w:rPr>
        <w:t>:</w:t>
      </w:r>
      <w:r w:rsidR="00777A7B">
        <w:rPr>
          <w:rFonts w:eastAsia="Times New Roman" w:cs="Arial"/>
        </w:rPr>
        <w:t xml:space="preserve"> 26/07/2026</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4E558D1E" w14:textId="628E1AD2" w:rsidR="00FE4E9B" w:rsidRPr="00604A87" w:rsidRDefault="00604A87" w:rsidP="00604A87">
      <w:pPr>
        <w:rPr>
          <w:rFonts w:eastAsia="Times New Roman" w:cs="Arial"/>
        </w:rPr>
      </w:pPr>
      <w:r w:rsidRPr="00FE4E9B">
        <w:rPr>
          <w:rFonts w:eastAsia="Times New Roman" w:cs="Arial"/>
          <w:b/>
          <w:bCs/>
        </w:rPr>
        <w:t>Signed</w:t>
      </w:r>
      <w:r w:rsidR="00FE4E9B" w:rsidRPr="00FE4E9B">
        <w:rPr>
          <w:rFonts w:eastAsia="Times New Roman" w:cs="Arial"/>
          <w:b/>
          <w:bCs/>
        </w:rPr>
        <w:t xml:space="preserve">: </w:t>
      </w:r>
      <w:r w:rsidR="00FE4E9B">
        <w:rPr>
          <w:rFonts w:eastAsia="Times New Roman" w:cs="Arial"/>
        </w:rPr>
        <w:t>Salhma Parveen</w:t>
      </w:r>
    </w:p>
    <w:p w14:paraId="021196D1" w14:textId="6C39A2B2"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FE4E9B">
        <w:rPr>
          <w:rFonts w:eastAsia="Times New Roman" w:cs="Arial"/>
          <w:b/>
          <w:bCs/>
        </w:rPr>
        <w:t>Date</w:t>
      </w:r>
      <w:r w:rsidR="00FE4E9B" w:rsidRPr="00FE4E9B">
        <w:rPr>
          <w:rFonts w:eastAsia="Times New Roman" w:cs="Arial"/>
          <w:b/>
          <w:bCs/>
        </w:rPr>
        <w:t>:</w:t>
      </w:r>
      <w:r w:rsidR="00FE4E9B">
        <w:rPr>
          <w:rFonts w:eastAsia="Times New Roman" w:cs="Arial"/>
        </w:rPr>
        <w:t xml:space="preserve"> 26/07/2026</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48D9B1AD" w:rsidR="00604A87" w:rsidRPr="00604A87" w:rsidRDefault="00604A87" w:rsidP="00604A87">
      <w:pPr>
        <w:rPr>
          <w:rFonts w:eastAsia="Times New Roman" w:cs="Arial"/>
        </w:rPr>
      </w:pPr>
      <w:r w:rsidRPr="00FE4E9B">
        <w:rPr>
          <w:rFonts w:eastAsia="Times New Roman" w:cs="Arial"/>
          <w:b/>
          <w:bCs/>
        </w:rPr>
        <w:t>Signe</w:t>
      </w:r>
      <w:r w:rsidR="00FE4E9B" w:rsidRPr="00FE4E9B">
        <w:rPr>
          <w:rFonts w:eastAsia="Times New Roman" w:cs="Arial"/>
          <w:b/>
          <w:bCs/>
        </w:rPr>
        <w:t>d:</w:t>
      </w:r>
      <w:r w:rsidR="00FE4E9B">
        <w:rPr>
          <w:rFonts w:eastAsia="Times New Roman" w:cs="Arial"/>
        </w:rPr>
        <w:t xml:space="preserve"> Salhma Parveen</w:t>
      </w:r>
    </w:p>
    <w:p w14:paraId="2BDDE109" w14:textId="7AEE573E"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FE4E9B">
        <w:rPr>
          <w:rFonts w:eastAsia="Times New Roman" w:cs="Arial"/>
          <w:b/>
          <w:bCs/>
        </w:rPr>
        <w:t>Date</w:t>
      </w:r>
      <w:r w:rsidR="00FE4E9B" w:rsidRPr="00FE4E9B">
        <w:rPr>
          <w:rFonts w:eastAsia="Times New Roman" w:cs="Arial"/>
          <w:b/>
          <w:bCs/>
        </w:rPr>
        <w:t>:</w:t>
      </w:r>
      <w:r w:rsidR="00FE4E9B">
        <w:rPr>
          <w:rFonts w:eastAsia="Times New Roman" w:cs="Arial"/>
        </w:rPr>
        <w:t xml:space="preserve"> 26/07/2026</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F12B223" w14:textId="77777777" w:rsidR="0056150D" w:rsidRDefault="0056150D" w:rsidP="00EC79FC">
      <w:pPr>
        <w:ind w:left="720"/>
        <w:rPr>
          <w:rFonts w:ascii="Arial" w:hAnsi="Arial" w:cs="Arial"/>
          <w:b/>
          <w:bCs/>
          <w:sz w:val="44"/>
          <w:szCs w:val="44"/>
        </w:rPr>
      </w:pPr>
    </w:p>
    <w:p w14:paraId="076D1E3E" w14:textId="39899B2C" w:rsidR="00EC79FC" w:rsidRPr="00E166E1" w:rsidRDefault="00EC79FC" w:rsidP="00EC79FC">
      <w:pPr>
        <w:ind w:left="720"/>
        <w:rPr>
          <w:rFonts w:ascii="Arial" w:hAnsi="Arial" w:cs="Arial"/>
          <w:sz w:val="44"/>
          <w:szCs w:val="44"/>
        </w:rPr>
      </w:pPr>
      <w:r w:rsidRPr="00E166E1">
        <w:rPr>
          <w:rFonts w:ascii="Arial" w:hAnsi="Arial" w:cs="Arial"/>
          <w:b/>
          <w:bCs/>
          <w:sz w:val="44"/>
          <w:szCs w:val="44"/>
        </w:rPr>
        <w:lastRenderedPageBreak/>
        <w:t>Programme Title:</w:t>
      </w:r>
      <w:r w:rsidRPr="00E166E1">
        <w:rPr>
          <w:rFonts w:ascii="Arial" w:hAnsi="Arial" w:cs="Arial"/>
          <w:sz w:val="44"/>
          <w:szCs w:val="44"/>
        </w:rPr>
        <w:t xml:space="preserve"> Adverse Childhood Experiences </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66147AD0" w:rsidR="00995444" w:rsidRDefault="00260564" w:rsidP="002605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sz w:val="56"/>
          <w:szCs w:val="56"/>
        </w:rPr>
      </w:pPr>
      <w:r>
        <w:rPr>
          <w:rFonts w:eastAsia="Arial Unicode MS" w:cs="Arial"/>
          <w:b/>
          <w:sz w:val="56"/>
          <w:szCs w:val="56"/>
        </w:rPr>
        <w:t>Salhma Parveen</w:t>
      </w:r>
    </w:p>
    <w:p w14:paraId="51F462ED" w14:textId="51EC66D7" w:rsidR="00260564" w:rsidRDefault="00260564" w:rsidP="002605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sz w:val="56"/>
          <w:szCs w:val="56"/>
        </w:rPr>
      </w:pPr>
      <w:r>
        <w:rPr>
          <w:rFonts w:eastAsia="Arial Unicode MS" w:cs="Arial"/>
          <w:b/>
          <w:sz w:val="56"/>
          <w:szCs w:val="56"/>
        </w:rPr>
        <w:t>2315839</w:t>
      </w:r>
    </w:p>
    <w:p w14:paraId="220595CD" w14:textId="2BBE2455" w:rsidR="00260564" w:rsidRPr="00995444" w:rsidRDefault="00260564" w:rsidP="002605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sz w:val="56"/>
          <w:szCs w:val="56"/>
        </w:rPr>
      </w:pPr>
      <w:r>
        <w:rPr>
          <w:rFonts w:eastAsia="Arial Unicode MS" w:cs="Arial"/>
          <w:b/>
          <w:sz w:val="56"/>
          <w:szCs w:val="56"/>
        </w:rPr>
        <w:t>Lecturer: Chloe Harries</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726DA71E" w14:textId="77777777" w:rsidR="0056150D" w:rsidRDefault="0056150D"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u w:val="single"/>
        </w:rPr>
      </w:pPr>
    </w:p>
    <w:p w14:paraId="6F808F91" w14:textId="77777777" w:rsidR="0056150D" w:rsidRDefault="0056150D"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u w:val="single"/>
        </w:rPr>
      </w:pPr>
    </w:p>
    <w:p w14:paraId="40E0910B" w14:textId="77777777" w:rsidR="0056150D" w:rsidRDefault="0056150D"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u w:val="single"/>
        </w:rPr>
      </w:pPr>
    </w:p>
    <w:p w14:paraId="0F4A849F" w14:textId="321092E8"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5D496B">
        <w:rPr>
          <w:rFonts w:eastAsia="Arial Unicode MS" w:cs="Arial"/>
          <w:b/>
          <w:sz w:val="28"/>
          <w:szCs w:val="28"/>
          <w:u w:val="single"/>
        </w:rPr>
        <w:lastRenderedPageBreak/>
        <w:t>ACKNOWLEDGEMENTS</w:t>
      </w:r>
      <w:r w:rsidRPr="005D496B">
        <w:rPr>
          <w:rFonts w:eastAsia="Arial Unicode MS" w:cs="Arial"/>
          <w:b/>
          <w:u w:val="single"/>
        </w:rPr>
        <w:t xml:space="preserve"> </w:t>
      </w:r>
    </w:p>
    <w:p w14:paraId="431F3440" w14:textId="77777777" w:rsidR="005D496B" w:rsidRPr="005D496B" w:rsidRDefault="005D496B" w:rsidP="005D496B">
      <w:pPr>
        <w:rPr>
          <w:rFonts w:eastAsia="Times New Roman" w:cs="Arial"/>
          <w:color w:val="333333"/>
          <w:kern w:val="0"/>
          <w:lang w:eastAsia="en-GB"/>
          <w14:ligatures w14:val="none"/>
        </w:rPr>
      </w:pPr>
      <w:r w:rsidRPr="005D496B">
        <w:rPr>
          <w:rFonts w:eastAsia="Times New Roman" w:cs="Arial"/>
          <w:color w:val="333333"/>
          <w:kern w:val="0"/>
          <w:lang w:eastAsia="en-GB"/>
          <w14:ligatures w14:val="none"/>
        </w:rPr>
        <w:t xml:space="preserve">I would like to express my sincere gratitude to </w:t>
      </w:r>
      <w:r w:rsidRPr="005D496B">
        <w:rPr>
          <w:rFonts w:eastAsia="Times New Roman" w:cs="Arial"/>
          <w:b/>
          <w:bCs/>
          <w:color w:val="333333"/>
          <w:kern w:val="0"/>
          <w:lang w:eastAsia="en-GB"/>
          <w14:ligatures w14:val="none"/>
        </w:rPr>
        <w:t>Chloe Harries</w:t>
      </w:r>
      <w:r w:rsidRPr="005D496B">
        <w:rPr>
          <w:rFonts w:eastAsia="Times New Roman" w:cs="Arial"/>
          <w:color w:val="333333"/>
          <w:kern w:val="0"/>
          <w:lang w:eastAsia="en-GB"/>
          <w14:ligatures w14:val="none"/>
        </w:rPr>
        <w:t xml:space="preserve"> for her invaluable guidance, constructive feedback, patience, and encouragement throughout the completion of this dissertation. Her expertise and support have played a significant role in shaping this research and have been greatly appreciated.</w:t>
      </w:r>
    </w:p>
    <w:p w14:paraId="1F245637" w14:textId="77777777" w:rsidR="005D496B" w:rsidRPr="005D496B" w:rsidRDefault="005D496B" w:rsidP="005D496B">
      <w:pPr>
        <w:rPr>
          <w:rFonts w:eastAsia="Times New Roman" w:cs="Arial"/>
          <w:color w:val="333333"/>
          <w:kern w:val="0"/>
          <w:lang w:eastAsia="en-GB"/>
          <w14:ligatures w14:val="none"/>
        </w:rPr>
      </w:pPr>
      <w:r w:rsidRPr="005D496B">
        <w:rPr>
          <w:rFonts w:eastAsia="Times New Roman" w:cs="Arial"/>
          <w:color w:val="333333"/>
          <w:kern w:val="0"/>
          <w:lang w:eastAsia="en-GB"/>
          <w14:ligatures w14:val="none"/>
        </w:rPr>
        <w:t xml:space="preserve">I would also like to thank the academic staff at the </w:t>
      </w:r>
      <w:r w:rsidRPr="005D496B">
        <w:rPr>
          <w:rFonts w:eastAsia="Times New Roman" w:cs="Arial"/>
          <w:b/>
          <w:bCs/>
          <w:color w:val="333333"/>
          <w:kern w:val="0"/>
          <w:lang w:eastAsia="en-GB"/>
          <w14:ligatures w14:val="none"/>
        </w:rPr>
        <w:t>University of Wales Trinity Saint David, Birmingham Campus</w:t>
      </w:r>
      <w:r w:rsidRPr="005D496B">
        <w:rPr>
          <w:rFonts w:eastAsia="Times New Roman" w:cs="Arial"/>
          <w:color w:val="333333"/>
          <w:kern w:val="0"/>
          <w:lang w:eastAsia="en-GB"/>
          <w14:ligatures w14:val="none"/>
        </w:rPr>
        <w:t>, for the knowledge, guidance, and support they have provided throughout my Health and Social Care degree. My thanks also go to the library staff for their assistance in accessing the academic resources that supported this research.</w:t>
      </w:r>
    </w:p>
    <w:p w14:paraId="500C4316" w14:textId="77777777" w:rsidR="005D496B" w:rsidRPr="005D496B" w:rsidRDefault="005D496B" w:rsidP="005D496B">
      <w:pPr>
        <w:rPr>
          <w:rFonts w:eastAsia="Times New Roman" w:cs="Arial"/>
          <w:color w:val="333333"/>
          <w:kern w:val="0"/>
          <w:lang w:eastAsia="en-GB"/>
          <w14:ligatures w14:val="none"/>
        </w:rPr>
      </w:pPr>
      <w:r w:rsidRPr="005D496B">
        <w:rPr>
          <w:rFonts w:eastAsia="Times New Roman" w:cs="Arial"/>
          <w:color w:val="333333"/>
          <w:kern w:val="0"/>
          <w:lang w:eastAsia="en-GB"/>
          <w14:ligatures w14:val="none"/>
        </w:rPr>
        <w:t>A heartfelt thank you goes to my husband, children, parents, family, and friends for their unwavering love, patience, encouragement, and understanding throughout my studies. Their constant belief in me gave me the strength and motivation to persevere during the most challenging moments of this journey.</w:t>
      </w:r>
    </w:p>
    <w:p w14:paraId="01768B4C" w14:textId="77777777" w:rsidR="005D496B" w:rsidRPr="005D496B" w:rsidRDefault="005D496B" w:rsidP="005D496B">
      <w:pPr>
        <w:rPr>
          <w:rFonts w:eastAsia="Times New Roman" w:cs="Arial"/>
          <w:color w:val="333333"/>
          <w:kern w:val="0"/>
          <w:lang w:eastAsia="en-GB"/>
          <w14:ligatures w14:val="none"/>
        </w:rPr>
      </w:pPr>
      <w:r w:rsidRPr="005D496B">
        <w:rPr>
          <w:rFonts w:eastAsia="Times New Roman" w:cs="Arial"/>
          <w:color w:val="333333"/>
          <w:kern w:val="0"/>
          <w:lang w:eastAsia="en-GB"/>
          <w14:ligatures w14:val="none"/>
        </w:rPr>
        <w:t>Finally, I dedicate this dissertation to individuals who have experienced Adverse Childhood Experiences and to the professionals who work tirelessly to improve the lives, mental health, and wellbeing of children, young people, and families across the United Kingdom. It is my hope that this research contributes, in a small way, to raising awareness of the long-term impact of childhood adversity and the importance of early intervention and trauma-informed care.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Pr="009240D1" w:rsidRDefault="0073280B" w:rsidP="009240D1">
      <w:pPr>
        <w:rPr>
          <w:rFonts w:ascii="Arial" w:hAnsi="Arial" w:cs="Arial"/>
          <w:bCs/>
        </w:rPr>
      </w:pPr>
    </w:p>
    <w:p w14:paraId="16D78A60" w14:textId="77777777" w:rsidR="0073280B" w:rsidRPr="009240D1" w:rsidRDefault="0073280B" w:rsidP="009240D1">
      <w:pPr>
        <w:rPr>
          <w:rFonts w:ascii="Arial" w:hAnsi="Arial" w:cs="Arial"/>
          <w:bCs/>
        </w:rPr>
      </w:pPr>
    </w:p>
    <w:p w14:paraId="1558F9C7" w14:textId="77777777" w:rsidR="009240D1" w:rsidRPr="009240D1" w:rsidRDefault="009240D1" w:rsidP="009240D1">
      <w:pPr>
        <w:rPr>
          <w:rFonts w:ascii="Arial" w:eastAsia="Arial Unicode MS" w:hAnsi="Arial" w:cs="Arial"/>
          <w:b/>
          <w:sz w:val="32"/>
          <w:szCs w:val="32"/>
          <w:u w:val="single"/>
        </w:rPr>
      </w:pPr>
      <w:r w:rsidRPr="009240D1">
        <w:rPr>
          <w:rFonts w:ascii="Arial" w:eastAsia="Arial Unicode MS" w:hAnsi="Arial" w:cs="Arial"/>
          <w:b/>
          <w:sz w:val="32"/>
          <w:szCs w:val="32"/>
          <w:u w:val="single"/>
        </w:rPr>
        <w:t>ABSTRACT</w:t>
      </w:r>
    </w:p>
    <w:p w14:paraId="1172F8D3" w14:textId="18CD8C79" w:rsidR="009240D1" w:rsidRPr="009240D1" w:rsidRDefault="009240D1" w:rsidP="009240D1">
      <w:pPr>
        <w:rPr>
          <w:rFonts w:ascii="Arial" w:eastAsia="Arial Unicode MS" w:hAnsi="Arial" w:cs="Arial"/>
          <w:bCs/>
        </w:rPr>
      </w:pPr>
      <w:r w:rsidRPr="009240D1">
        <w:rPr>
          <w:rFonts w:ascii="Arial" w:eastAsia="Arial Unicode MS" w:hAnsi="Arial" w:cs="Arial"/>
          <w:bCs/>
        </w:rPr>
        <w:t>This dissertation examines the relationship between Adverse Childhood Experiences (ACEs) and mental health outcomes across the United Kingdom, with a specific focus on the West Midlands region. Drawing on a systematic review of 29 secondary sources, including national epidemiological studies, devolved government reports, and local service data, the analysis confirms a strong, consistent dose</w:t>
      </w:r>
      <w:r w:rsidRPr="009240D1">
        <w:rPr>
          <w:rFonts w:ascii="Arial" w:eastAsia="Arial Unicode MS" w:hAnsi="Arial" w:cs="Arial"/>
          <w:bCs/>
        </w:rPr>
        <w:noBreakHyphen/>
        <w:t>response association: as the number of childhood adversities increases, so too does the likelihood and severity of depression, anxiety, self</w:t>
      </w:r>
      <w:r w:rsidRPr="009240D1">
        <w:rPr>
          <w:rFonts w:ascii="Arial" w:eastAsia="Arial Unicode MS" w:hAnsi="Arial" w:cs="Arial"/>
          <w:bCs/>
        </w:rPr>
        <w:noBreakHyphen/>
        <w:t>harm, and post</w:t>
      </w:r>
      <w:r w:rsidRPr="009240D1">
        <w:rPr>
          <w:rFonts w:ascii="Arial" w:eastAsia="Arial Unicode MS" w:hAnsi="Arial" w:cs="Arial"/>
          <w:bCs/>
        </w:rPr>
        <w:noBreakHyphen/>
        <w:t>traumatic stress symptoms. While cross</w:t>
      </w:r>
      <w:r w:rsidRPr="009240D1">
        <w:rPr>
          <w:rFonts w:ascii="Arial" w:eastAsia="Arial Unicode MS" w:hAnsi="Arial" w:cs="Arial"/>
          <w:bCs/>
        </w:rPr>
        <w:noBreakHyphen/>
        <w:t xml:space="preserve">sectional designs limit definitive causal claims, </w:t>
      </w:r>
      <w:r w:rsidR="00F56BBE" w:rsidRPr="00F56BBE">
        <w:rPr>
          <w:rFonts w:ascii="Arial" w:eastAsia="Arial Unicode MS" w:hAnsi="Arial" w:cs="Arial"/>
          <w:bCs/>
        </w:rPr>
        <w:t>"...the evidence indicates that early adversity is a major contributor to mental health inequality."</w:t>
      </w:r>
      <w:r w:rsidRPr="009240D1">
        <w:rPr>
          <w:rFonts w:ascii="Arial" w:eastAsia="Arial Unicode MS" w:hAnsi="Arial" w:cs="Arial"/>
          <w:bCs/>
        </w:rPr>
        <w:t xml:space="preserve"> The review also finds that adverse outcomes are not inevitable; supportive relationships and access to resources act as powerful protective buffers, yet these are least available to those facing the highest levels of socioeconomic disadvantage. Trauma</w:t>
      </w:r>
      <w:r w:rsidRPr="009240D1">
        <w:rPr>
          <w:rFonts w:ascii="Arial" w:eastAsia="Arial Unicode MS" w:hAnsi="Arial" w:cs="Arial"/>
          <w:bCs/>
        </w:rPr>
        <w:noBreakHyphen/>
        <w:t>informed practice offers a proven framework for improving service engagement and reducing re</w:t>
      </w:r>
      <w:r w:rsidRPr="009240D1">
        <w:rPr>
          <w:rFonts w:ascii="Arial" w:eastAsia="Arial Unicode MS" w:hAnsi="Arial" w:cs="Arial"/>
          <w:bCs/>
        </w:rPr>
        <w:noBreakHyphen/>
        <w:t>traumatisation, but implementation remains fragmented, uneven, and constrained by funding gaps, workforce pressures, and structural barriers. The findings indicate that addressing ACEs effectively requires more than clinical intervention — it demands a whole</w:t>
      </w:r>
      <w:r w:rsidRPr="009240D1">
        <w:rPr>
          <w:rFonts w:ascii="Arial" w:eastAsia="Arial Unicode MS" w:hAnsi="Arial" w:cs="Arial"/>
          <w:bCs/>
        </w:rPr>
        <w:noBreakHyphen/>
        <w:t>system approach that unites service redesign with coordinated action across housing, employment, education, and social policy. The dissertation concludes with targeted recommendations for national and regional policy, service delivery, and future research, emphasising that responding to ACEs is both a public health priority and a matter of social justice.</w:t>
      </w:r>
    </w:p>
    <w:p w14:paraId="15BFA27A" w14:textId="49FBF17F" w:rsidR="00804B94" w:rsidRPr="00622EDC" w:rsidRDefault="00804B94" w:rsidP="00B23C27">
      <w:pPr>
        <w:pStyle w:val="Heading1"/>
        <w:spacing w:line="360" w:lineRule="auto"/>
        <w:ind w:left="0"/>
        <w:rPr>
          <w:rFonts w:ascii="Aptos" w:hAnsi="Aptos"/>
          <w:u w:val="single"/>
        </w:rPr>
      </w:pPr>
      <w:r w:rsidRPr="00622EDC">
        <w:rPr>
          <w:rFonts w:ascii="Aptos" w:hAnsi="Aptos"/>
          <w:u w:val="single"/>
        </w:rPr>
        <w:lastRenderedPageBreak/>
        <w:t>Table of Contents</w:t>
      </w:r>
    </w:p>
    <w:p w14:paraId="756C3EE0" w14:textId="122CFD0B" w:rsidR="00804B94" w:rsidRPr="007D0926" w:rsidRDefault="00ED4DA3">
      <w:pPr>
        <w:rPr>
          <w:rFonts w:ascii="Arial" w:hAnsi="Arial" w:cs="Arial"/>
        </w:rPr>
      </w:pPr>
      <w:r w:rsidRPr="007D0926">
        <w:rPr>
          <w:rFonts w:ascii="Arial" w:hAnsi="Arial" w:cs="Arial"/>
        </w:rPr>
        <w:t>Chapter 1………………………………………………………</w:t>
      </w:r>
      <w:r w:rsidR="007D0926" w:rsidRPr="007D0926">
        <w:rPr>
          <w:rFonts w:ascii="Arial" w:hAnsi="Arial" w:cs="Arial"/>
        </w:rPr>
        <w:t>…. pgs.</w:t>
      </w:r>
      <w:r w:rsidRPr="007D0926">
        <w:rPr>
          <w:rFonts w:ascii="Arial" w:hAnsi="Arial" w:cs="Arial"/>
        </w:rPr>
        <w:t>6110.</w:t>
      </w:r>
    </w:p>
    <w:p w14:paraId="42780F97" w14:textId="77777777" w:rsidR="00ED4DA3" w:rsidRPr="007D0926" w:rsidRDefault="00ED4DA3">
      <w:pPr>
        <w:rPr>
          <w:rFonts w:ascii="Arial" w:hAnsi="Arial" w:cs="Arial"/>
        </w:rPr>
      </w:pPr>
    </w:p>
    <w:p w14:paraId="3E0AC805" w14:textId="1E233AE4" w:rsidR="00ED4DA3" w:rsidRPr="007D0926" w:rsidRDefault="00ED4DA3">
      <w:pPr>
        <w:rPr>
          <w:rFonts w:ascii="Arial" w:hAnsi="Arial" w:cs="Arial"/>
        </w:rPr>
      </w:pPr>
      <w:r w:rsidRPr="007D0926">
        <w:rPr>
          <w:rFonts w:ascii="Arial" w:hAnsi="Arial" w:cs="Arial"/>
        </w:rPr>
        <w:t>Chapter 2………………………………………………………</w:t>
      </w:r>
      <w:r w:rsidR="007D0926" w:rsidRPr="007D0926">
        <w:rPr>
          <w:rFonts w:ascii="Arial" w:hAnsi="Arial" w:cs="Arial"/>
        </w:rPr>
        <w:t>…...</w:t>
      </w:r>
      <w:r w:rsidRPr="007D0926">
        <w:rPr>
          <w:rFonts w:ascii="Arial" w:hAnsi="Arial" w:cs="Arial"/>
        </w:rPr>
        <w:t>p.gs 10-</w:t>
      </w:r>
      <w:r w:rsidR="00137723" w:rsidRPr="007D0926">
        <w:rPr>
          <w:rFonts w:ascii="Arial" w:hAnsi="Arial" w:cs="Arial"/>
        </w:rPr>
        <w:t>21</w:t>
      </w:r>
    </w:p>
    <w:p w14:paraId="07B2432D" w14:textId="77777777" w:rsidR="00ED4DA3" w:rsidRDefault="00ED4DA3"/>
    <w:p w14:paraId="75C3CB97" w14:textId="19C427C1" w:rsidR="00ED4DA3" w:rsidRPr="007D0926" w:rsidRDefault="00ED4DA3">
      <w:pPr>
        <w:rPr>
          <w:rFonts w:ascii="Arial" w:hAnsi="Arial" w:cs="Arial"/>
        </w:rPr>
      </w:pPr>
      <w:r w:rsidRPr="007D0926">
        <w:rPr>
          <w:rFonts w:ascii="Arial" w:hAnsi="Arial" w:cs="Arial"/>
        </w:rPr>
        <w:t>Chapter 3……………………………………………………………</w:t>
      </w:r>
      <w:r w:rsidR="00137723" w:rsidRPr="007D0926">
        <w:rPr>
          <w:rFonts w:ascii="Arial" w:hAnsi="Arial" w:cs="Arial"/>
        </w:rPr>
        <w:t>pgs. 22-26</w:t>
      </w:r>
    </w:p>
    <w:p w14:paraId="11A3FC0A" w14:textId="77777777" w:rsidR="00ED4DA3" w:rsidRPr="007D0926" w:rsidRDefault="00ED4DA3">
      <w:pPr>
        <w:rPr>
          <w:rFonts w:ascii="Arial" w:hAnsi="Arial" w:cs="Arial"/>
        </w:rPr>
      </w:pPr>
    </w:p>
    <w:p w14:paraId="798167E0" w14:textId="50FF57FE" w:rsidR="00ED4DA3" w:rsidRPr="007D0926" w:rsidRDefault="00ED4DA3">
      <w:pPr>
        <w:rPr>
          <w:rFonts w:ascii="Arial" w:hAnsi="Arial" w:cs="Arial"/>
        </w:rPr>
      </w:pPr>
      <w:r w:rsidRPr="007D0926">
        <w:rPr>
          <w:rFonts w:ascii="Arial" w:hAnsi="Arial" w:cs="Arial"/>
        </w:rPr>
        <w:t>Chapter 4…………………………………………………………</w:t>
      </w:r>
      <w:r w:rsidR="007D0926" w:rsidRPr="007D0926">
        <w:rPr>
          <w:rFonts w:ascii="Arial" w:hAnsi="Arial" w:cs="Arial"/>
        </w:rPr>
        <w:t>…. pgs.</w:t>
      </w:r>
      <w:r w:rsidR="00137723" w:rsidRPr="007D0926">
        <w:rPr>
          <w:rFonts w:ascii="Arial" w:hAnsi="Arial" w:cs="Arial"/>
        </w:rPr>
        <w:t xml:space="preserve"> 26-34</w:t>
      </w:r>
    </w:p>
    <w:p w14:paraId="188DDF9A" w14:textId="2F3CC56C" w:rsidR="00ED4DA3" w:rsidRPr="007D0926" w:rsidRDefault="00ED4DA3">
      <w:pPr>
        <w:rPr>
          <w:rFonts w:ascii="Arial" w:hAnsi="Arial" w:cs="Arial"/>
        </w:rPr>
      </w:pPr>
    </w:p>
    <w:p w14:paraId="3033FDF1" w14:textId="12CC7BEF" w:rsidR="00ED4DA3" w:rsidRPr="007D0926" w:rsidRDefault="00ED4DA3">
      <w:pPr>
        <w:rPr>
          <w:rFonts w:ascii="Arial" w:hAnsi="Arial" w:cs="Arial"/>
        </w:rPr>
      </w:pPr>
      <w:r w:rsidRPr="007D0926">
        <w:rPr>
          <w:rFonts w:ascii="Arial" w:hAnsi="Arial" w:cs="Arial"/>
        </w:rPr>
        <w:t>Chapter 5…………………………………………………………</w:t>
      </w:r>
      <w:proofErr w:type="gramStart"/>
      <w:r w:rsidR="007D0926" w:rsidRPr="007D0926">
        <w:rPr>
          <w:rFonts w:ascii="Arial" w:hAnsi="Arial" w:cs="Arial"/>
        </w:rPr>
        <w:t>….</w:t>
      </w:r>
      <w:r w:rsidR="00137723" w:rsidRPr="007D0926">
        <w:rPr>
          <w:rFonts w:ascii="Arial" w:hAnsi="Arial" w:cs="Arial"/>
        </w:rPr>
        <w:t>pgs.</w:t>
      </w:r>
      <w:proofErr w:type="gramEnd"/>
      <w:r w:rsidR="00137723" w:rsidRPr="007D0926">
        <w:rPr>
          <w:rFonts w:ascii="Arial" w:hAnsi="Arial" w:cs="Arial"/>
        </w:rPr>
        <w:t xml:space="preserve"> </w:t>
      </w:r>
      <w:r w:rsidR="007D0926" w:rsidRPr="007D0926">
        <w:rPr>
          <w:rFonts w:ascii="Arial" w:hAnsi="Arial" w:cs="Arial"/>
        </w:rPr>
        <w:t>34-39</w:t>
      </w:r>
    </w:p>
    <w:p w14:paraId="69F84022" w14:textId="77777777" w:rsidR="00ED4DA3" w:rsidRPr="007D0926" w:rsidRDefault="00ED4DA3">
      <w:pPr>
        <w:rPr>
          <w:rFonts w:ascii="Arial" w:hAnsi="Arial" w:cs="Arial"/>
        </w:rPr>
      </w:pPr>
    </w:p>
    <w:p w14:paraId="5644CCBF" w14:textId="1FC57954" w:rsidR="00ED4DA3" w:rsidRPr="007D0926" w:rsidRDefault="00ED4DA3">
      <w:pPr>
        <w:rPr>
          <w:rFonts w:ascii="Arial" w:hAnsi="Arial" w:cs="Arial"/>
        </w:rPr>
      </w:pPr>
      <w:r w:rsidRPr="007D0926">
        <w:rPr>
          <w:rFonts w:ascii="Arial" w:hAnsi="Arial" w:cs="Arial"/>
        </w:rPr>
        <w:t>References…………………………………………………………</w:t>
      </w:r>
      <w:r w:rsidR="007D0926" w:rsidRPr="007D0926">
        <w:rPr>
          <w:rFonts w:ascii="Arial" w:hAnsi="Arial" w:cs="Arial"/>
        </w:rPr>
        <w:t>…. pgs.</w:t>
      </w:r>
      <w:r w:rsidR="00137723" w:rsidRPr="007D0926">
        <w:rPr>
          <w:rFonts w:ascii="Arial" w:hAnsi="Arial" w:cs="Arial"/>
        </w:rPr>
        <w:t xml:space="preserve"> </w:t>
      </w:r>
      <w:r w:rsidR="007D0926" w:rsidRPr="007D0926">
        <w:rPr>
          <w:rFonts w:ascii="Arial" w:hAnsi="Arial" w:cs="Arial"/>
        </w:rPr>
        <w:t>39-43</w:t>
      </w:r>
    </w:p>
    <w:p w14:paraId="4E1BBD62" w14:textId="77777777" w:rsidR="00ED4DA3" w:rsidRPr="007D0926" w:rsidRDefault="00ED4DA3">
      <w:pPr>
        <w:rPr>
          <w:rFonts w:ascii="Arial" w:hAnsi="Arial" w:cs="Arial"/>
        </w:rPr>
      </w:pPr>
    </w:p>
    <w:p w14:paraId="5A9CD80B" w14:textId="20377B7C" w:rsidR="00ED4DA3" w:rsidRPr="007D0926" w:rsidRDefault="007D0926">
      <w:pPr>
        <w:rPr>
          <w:rFonts w:ascii="Arial" w:hAnsi="Arial" w:cs="Arial"/>
        </w:rPr>
      </w:pPr>
      <w:r w:rsidRPr="007D0926">
        <w:rPr>
          <w:rFonts w:ascii="Arial" w:hAnsi="Arial" w:cs="Arial"/>
        </w:rPr>
        <w:t>Appendices</w:t>
      </w:r>
      <w:r w:rsidR="00ED4DA3" w:rsidRPr="007D0926">
        <w:rPr>
          <w:rFonts w:ascii="Arial" w:hAnsi="Arial" w:cs="Arial"/>
        </w:rPr>
        <w:t>………………………………………………………………</w:t>
      </w:r>
      <w:r w:rsidRPr="007D0926">
        <w:rPr>
          <w:rFonts w:ascii="Arial" w:hAnsi="Arial" w:cs="Arial"/>
        </w:rPr>
        <w:t>…. pgs. 43-47</w:t>
      </w:r>
    </w:p>
    <w:p w14:paraId="3EF52184" w14:textId="77777777" w:rsidR="00804B94" w:rsidRPr="007D0926" w:rsidRDefault="00804B94">
      <w:pPr>
        <w:rPr>
          <w:rFonts w:ascii="Arial" w:hAnsi="Arial" w:cs="Arial"/>
        </w:rPr>
      </w:pPr>
    </w:p>
    <w:p w14:paraId="52F0D83D" w14:textId="77777777" w:rsidR="00804B94" w:rsidRPr="007D0926" w:rsidRDefault="00804B94">
      <w:pPr>
        <w:rPr>
          <w:rFonts w:ascii="Arial" w:hAnsi="Arial" w:cs="Arial"/>
        </w:rPr>
      </w:pPr>
    </w:p>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bookmarkStart w:id="0" w:name="OLE_LINK16"/>
    </w:p>
    <w:p w14:paraId="7FC109E3" w14:textId="77777777" w:rsidR="0056150D" w:rsidRDefault="0056150D" w:rsidP="00EF6341">
      <w:pPr>
        <w:pStyle w:val="Heading1"/>
        <w:spacing w:line="360" w:lineRule="auto"/>
        <w:ind w:left="0"/>
        <w:rPr>
          <w:rFonts w:ascii="Aptos" w:hAnsi="Aptos"/>
          <w:u w:val="single"/>
        </w:rPr>
      </w:pPr>
      <w:bookmarkStart w:id="1" w:name="OLE_LINK17"/>
    </w:p>
    <w:p w14:paraId="58452D18" w14:textId="022926C5" w:rsidR="00730C3C" w:rsidRPr="0031547A" w:rsidRDefault="00730C3C" w:rsidP="00EF6341">
      <w:pPr>
        <w:pStyle w:val="Heading1"/>
        <w:spacing w:line="360" w:lineRule="auto"/>
        <w:ind w:left="0"/>
        <w:rPr>
          <w:rFonts w:ascii="Aptos" w:hAnsi="Aptos"/>
          <w:b w:val="0"/>
          <w:u w:val="single"/>
        </w:rPr>
      </w:pPr>
      <w:bookmarkStart w:id="2" w:name="OLE_LINK14"/>
      <w:bookmarkStart w:id="3" w:name="OLE_LINK15"/>
      <w:bookmarkStart w:id="4" w:name="OLE_LINK19"/>
      <w:r w:rsidRPr="0031547A">
        <w:rPr>
          <w:rFonts w:ascii="Aptos" w:hAnsi="Aptos"/>
          <w:u w:val="single"/>
        </w:rPr>
        <w:lastRenderedPageBreak/>
        <w:t xml:space="preserve">CHAPTER 1: Introduction </w:t>
      </w:r>
    </w:p>
    <w:p w14:paraId="69941E5D" w14:textId="77777777" w:rsidR="00EF6341" w:rsidRPr="0031547A" w:rsidRDefault="00EF6341" w:rsidP="00EF6341">
      <w:pPr>
        <w:pStyle w:val="BodyText"/>
        <w:spacing w:line="360" w:lineRule="auto"/>
        <w:rPr>
          <w:rFonts w:ascii="Aptos" w:hAnsi="Aptos"/>
          <w:u w:val="single"/>
        </w:rPr>
      </w:pPr>
    </w:p>
    <w:p w14:paraId="7EB24CC9" w14:textId="459FDBAF" w:rsidR="00BD2909" w:rsidRPr="00A5171F" w:rsidRDefault="00BD2909" w:rsidP="00A5171F">
      <w:pPr>
        <w:pStyle w:val="paragraph"/>
        <w:spacing w:before="0" w:beforeAutospacing="0" w:after="0" w:afterAutospacing="0" w:line="360" w:lineRule="auto"/>
        <w:jc w:val="both"/>
        <w:textAlignment w:val="baseline"/>
        <w:rPr>
          <w:rFonts w:ascii="Arial" w:hAnsi="Arial" w:cs="Arial"/>
          <w:b/>
          <w:bCs/>
          <w:color w:val="0F4761"/>
          <w:sz w:val="22"/>
          <w:szCs w:val="22"/>
        </w:rPr>
      </w:pPr>
      <w:bookmarkStart w:id="5" w:name="OLE_LINK4"/>
      <w:bookmarkStart w:id="6" w:name="OLE_LINK20"/>
      <w:r w:rsidRPr="00A5171F">
        <w:rPr>
          <w:rStyle w:val="normaltextrun"/>
          <w:rFonts w:ascii="Arial" w:hAnsi="Arial" w:cs="Arial"/>
          <w:b/>
          <w:bCs/>
          <w:color w:val="0F4761"/>
          <w:sz w:val="22"/>
          <w:szCs w:val="22"/>
        </w:rPr>
        <w:t xml:space="preserve">1.1 Introduction </w:t>
      </w:r>
    </w:p>
    <w:p w14:paraId="1A292249" w14:textId="77777777" w:rsidR="005720E8" w:rsidRPr="00A5171F" w:rsidRDefault="005720E8" w:rsidP="00A5171F">
      <w:pPr>
        <w:ind w:left="720"/>
        <w:rPr>
          <w:rFonts w:ascii="Arial" w:hAnsi="Arial" w:cs="Arial"/>
        </w:rPr>
      </w:pPr>
      <w:r w:rsidRPr="00A5171F">
        <w:rPr>
          <w:rFonts w:ascii="Arial" w:hAnsi="Arial" w:cs="Arial"/>
        </w:rPr>
        <w:t>Adverse Childhood Experiences (ACEs) are harmful, potentially traumatic events occurring before the age of 18, including physical or emotional abuse, neglect, domestic violence, parental substance misuse or mental illness, and household breakdown (Public Health Wales, 2015). Research consistently demonstrates that ACEs have long-term detrimental effects across physical health, mental wellbeing, educational attainment, social relationships, and life opportunities (Bellis et al., 2015). Within the UK, ACEs are now recognised as a significant public health concern, strongly associated with negative outcomes such as depression, anxiety, self-harm, and chronic physical conditions (NHS England, 2022).</w:t>
      </w:r>
    </w:p>
    <w:p w14:paraId="371512E7" w14:textId="77777777" w:rsidR="005720E8" w:rsidRPr="00A5171F" w:rsidRDefault="005720E8" w:rsidP="00A5171F">
      <w:pPr>
        <w:ind w:left="720"/>
        <w:rPr>
          <w:rFonts w:ascii="Arial" w:hAnsi="Arial" w:cs="Arial"/>
        </w:rPr>
      </w:pPr>
      <w:r w:rsidRPr="00A5171F">
        <w:rPr>
          <w:rFonts w:ascii="Arial" w:hAnsi="Arial" w:cs="Arial"/>
        </w:rPr>
        <w:t>This dissertation examines how ACEs influence adult mental health outcomes across the UK and evaluates the role of trauma-informed approaches in improving health and social care practice. Individuals exposed to multiple ACEs are significantly more likely to experience poorer health, lower life satisfaction, and reduced quality of life compared to those with no such experiences (Public Health Scotland, 2021). While awareness of ACEs has grown considerably, substantial variation remains in how they are identified, assessed, and addressed across UK nations and service sectors. This chapter defines key terms, outlines current context, establishes the research rationale, and sets out the study’s aim and objectives. Chapter 2 will then explore the historical, theoretical, international, and national evidence base in greater depth.</w:t>
      </w:r>
    </w:p>
    <w:p w14:paraId="18072CD8" w14:textId="77777777" w:rsidR="00BD2909" w:rsidRPr="00A5171F" w:rsidRDefault="00BD2909" w:rsidP="00A5171F">
      <w:pPr>
        <w:pStyle w:val="paragraph"/>
        <w:spacing w:before="0" w:beforeAutospacing="0" w:after="0" w:afterAutospacing="0" w:line="360" w:lineRule="auto"/>
        <w:jc w:val="both"/>
        <w:textAlignment w:val="baseline"/>
        <w:rPr>
          <w:rFonts w:ascii="Arial" w:hAnsi="Arial" w:cs="Arial"/>
          <w:sz w:val="22"/>
          <w:szCs w:val="22"/>
        </w:rPr>
      </w:pPr>
      <w:r w:rsidRPr="00A5171F">
        <w:rPr>
          <w:rStyle w:val="eop"/>
          <w:rFonts w:ascii="Arial" w:hAnsi="Arial" w:cs="Arial"/>
          <w:sz w:val="22"/>
          <w:szCs w:val="22"/>
        </w:rPr>
        <w:t> </w:t>
      </w:r>
    </w:p>
    <w:p w14:paraId="66501BF4" w14:textId="73840409" w:rsidR="00BD2909" w:rsidRPr="00A5171F" w:rsidRDefault="00BD2909" w:rsidP="00A5171F">
      <w:pPr>
        <w:pStyle w:val="paragraph"/>
        <w:spacing w:before="0" w:beforeAutospacing="0" w:after="0" w:afterAutospacing="0" w:line="360" w:lineRule="auto"/>
        <w:jc w:val="both"/>
        <w:textAlignment w:val="baseline"/>
        <w:rPr>
          <w:rFonts w:ascii="Arial" w:hAnsi="Arial" w:cs="Arial"/>
          <w:color w:val="0F4761"/>
          <w:sz w:val="22"/>
          <w:szCs w:val="22"/>
        </w:rPr>
      </w:pPr>
      <w:r w:rsidRPr="00A5171F">
        <w:rPr>
          <w:rStyle w:val="normaltextrun"/>
          <w:rFonts w:ascii="Arial" w:hAnsi="Arial" w:cs="Arial"/>
          <w:color w:val="0F4761"/>
          <w:sz w:val="22"/>
          <w:szCs w:val="22"/>
        </w:rPr>
        <w:t xml:space="preserve">1.2 </w:t>
      </w:r>
      <w:r w:rsidRPr="00A5171F">
        <w:rPr>
          <w:rStyle w:val="normaltextrun"/>
          <w:rFonts w:ascii="Arial" w:hAnsi="Arial" w:cs="Arial"/>
          <w:b/>
          <w:bCs/>
          <w:color w:val="0F4761"/>
          <w:sz w:val="22"/>
          <w:szCs w:val="22"/>
        </w:rPr>
        <w:t>Definitions and Terminology</w:t>
      </w:r>
      <w:r w:rsidRPr="00A5171F">
        <w:rPr>
          <w:rStyle w:val="normaltextrun"/>
          <w:rFonts w:ascii="Arial" w:hAnsi="Arial" w:cs="Arial"/>
          <w:color w:val="0F4761"/>
          <w:sz w:val="22"/>
          <w:szCs w:val="22"/>
        </w:rPr>
        <w:t xml:space="preserve"> </w:t>
      </w:r>
    </w:p>
    <w:p w14:paraId="65C2880B" w14:textId="77777777" w:rsidR="00C329A3" w:rsidRPr="00A5171F" w:rsidRDefault="00C329A3" w:rsidP="00A5171F">
      <w:pPr>
        <w:ind w:left="720"/>
        <w:rPr>
          <w:rFonts w:ascii="Arial" w:hAnsi="Arial" w:cs="Arial"/>
        </w:rPr>
      </w:pPr>
      <w:r w:rsidRPr="00A5171F">
        <w:rPr>
          <w:rFonts w:ascii="Arial" w:hAnsi="Arial" w:cs="Arial"/>
        </w:rPr>
        <w:t>This section defines core terms used throughout the dissertation, explains standard acronyms, and cites authoritative sources for each definition:</w:t>
      </w:r>
    </w:p>
    <w:p w14:paraId="72E9F744" w14:textId="77777777" w:rsidR="00C329A3" w:rsidRPr="00A5171F" w:rsidRDefault="00C329A3" w:rsidP="00A5171F">
      <w:pPr>
        <w:ind w:left="720"/>
        <w:rPr>
          <w:rFonts w:ascii="Arial" w:hAnsi="Arial" w:cs="Arial"/>
        </w:rPr>
      </w:pPr>
      <w:r w:rsidRPr="00A5171F">
        <w:rPr>
          <w:rFonts w:ascii="Arial" w:hAnsi="Arial" w:cs="Arial"/>
        </w:rPr>
        <w:t>Adverse Childhood Experiences (ACEs): A framework measuring exposure to specific childhood adversities; higher cumulative exposure correlates strongly with poorer long-term health and social outcomes (</w:t>
      </w:r>
      <w:proofErr w:type="spellStart"/>
      <w:r w:rsidRPr="00A5171F">
        <w:rPr>
          <w:rFonts w:ascii="Arial" w:hAnsi="Arial" w:cs="Arial"/>
        </w:rPr>
        <w:t>Felitti</w:t>
      </w:r>
      <w:proofErr w:type="spellEnd"/>
      <w:r w:rsidRPr="00A5171F">
        <w:rPr>
          <w:rFonts w:ascii="Arial" w:hAnsi="Arial" w:cs="Arial"/>
        </w:rPr>
        <w:t xml:space="preserve"> et al., 1998; Bellis et al., 2019).</w:t>
      </w:r>
    </w:p>
    <w:p w14:paraId="14BFF3C7" w14:textId="77777777" w:rsidR="00C329A3" w:rsidRPr="00A5171F" w:rsidRDefault="00C329A3" w:rsidP="00A5171F">
      <w:pPr>
        <w:ind w:left="720"/>
        <w:rPr>
          <w:rFonts w:ascii="Arial" w:hAnsi="Arial" w:cs="Arial"/>
        </w:rPr>
      </w:pPr>
      <w:r w:rsidRPr="00A5171F">
        <w:rPr>
          <w:rFonts w:ascii="Arial" w:hAnsi="Arial" w:cs="Arial"/>
        </w:rPr>
        <w:t>Trauma: A deeply distressing experience that overwhelms coping capacity, impairs safety, and may have lasting physical, emotional, and psychological effects (SAMHSA, 2014).</w:t>
      </w:r>
    </w:p>
    <w:p w14:paraId="22F7C760" w14:textId="77777777" w:rsidR="00C329A3" w:rsidRPr="00A5171F" w:rsidRDefault="00C329A3" w:rsidP="00A5171F">
      <w:pPr>
        <w:ind w:left="720"/>
        <w:rPr>
          <w:rFonts w:ascii="Arial" w:hAnsi="Arial" w:cs="Arial"/>
        </w:rPr>
      </w:pPr>
      <w:r w:rsidRPr="00A5171F">
        <w:rPr>
          <w:rFonts w:ascii="Arial" w:hAnsi="Arial" w:cs="Arial"/>
        </w:rPr>
        <w:lastRenderedPageBreak/>
        <w:t>Trauma-informed Practice (TIP): An approach that recognises trauma’s impact, prioritises safety, avoids re-traumatisation, and centres choice, collaboration, and empowerment (NICE, 2018).</w:t>
      </w:r>
    </w:p>
    <w:p w14:paraId="16A87C8D" w14:textId="77777777" w:rsidR="00C329A3" w:rsidRPr="00A5171F" w:rsidRDefault="00C329A3" w:rsidP="00A5171F">
      <w:pPr>
        <w:ind w:left="720"/>
        <w:rPr>
          <w:rFonts w:ascii="Arial" w:hAnsi="Arial" w:cs="Arial"/>
        </w:rPr>
      </w:pPr>
      <w:r w:rsidRPr="00A5171F">
        <w:rPr>
          <w:rFonts w:ascii="Arial" w:hAnsi="Arial" w:cs="Arial"/>
        </w:rPr>
        <w:t>Mental Health and Wellbeing: Encompasses emotional, psychological, and social functioning, including the ability to manage stress, relate to others, and make decisions (World Health Organization, 2010).</w:t>
      </w:r>
    </w:p>
    <w:p w14:paraId="58BEFC6C" w14:textId="77777777" w:rsidR="00C329A3" w:rsidRPr="00A5171F" w:rsidRDefault="00C329A3" w:rsidP="00A5171F">
      <w:pPr>
        <w:ind w:left="720"/>
        <w:rPr>
          <w:rFonts w:ascii="Arial" w:hAnsi="Arial" w:cs="Arial"/>
        </w:rPr>
      </w:pPr>
      <w:r w:rsidRPr="00A5171F">
        <w:rPr>
          <w:rFonts w:ascii="Arial" w:hAnsi="Arial" w:cs="Arial"/>
        </w:rPr>
        <w:t>Resilience: A dynamic process of adapting well to adversity, shaped by individual strengths, supportive relationships, and access to resources (Masten, 2014).</w:t>
      </w:r>
    </w:p>
    <w:p w14:paraId="31E694DA" w14:textId="77777777" w:rsidR="00C329A3" w:rsidRPr="00A5171F" w:rsidRDefault="00C329A3" w:rsidP="00A5171F">
      <w:pPr>
        <w:ind w:left="720"/>
        <w:rPr>
          <w:rFonts w:ascii="Arial" w:hAnsi="Arial" w:cs="Arial"/>
        </w:rPr>
      </w:pPr>
      <w:r w:rsidRPr="00A5171F">
        <w:rPr>
          <w:rFonts w:ascii="Arial" w:hAnsi="Arial" w:cs="Arial"/>
        </w:rPr>
        <w:t>Safeguarding: The duty to protect people’s health, wellbeing, and human rights, keeping them free from harm, abuse, and neglect (Department for Education, 2023).</w:t>
      </w:r>
    </w:p>
    <w:p w14:paraId="75E92BF6" w14:textId="77777777" w:rsidR="00C329A3" w:rsidRPr="00A5171F" w:rsidRDefault="00C329A3" w:rsidP="00A5171F">
      <w:pPr>
        <w:ind w:left="720"/>
        <w:rPr>
          <w:rFonts w:ascii="Arial" w:hAnsi="Arial" w:cs="Arial"/>
        </w:rPr>
      </w:pPr>
      <w:r w:rsidRPr="00A5171F">
        <w:rPr>
          <w:rFonts w:ascii="Arial" w:hAnsi="Arial" w:cs="Arial"/>
        </w:rPr>
        <w:t>Structural Inequality: Systemic barriers creating unfair differences in power and resources based on income, ethnicity, gender, geography, or disability (Marmot et al., 2020).</w:t>
      </w:r>
    </w:p>
    <w:p w14:paraId="0D486220" w14:textId="77777777" w:rsidR="00C329A3" w:rsidRPr="00A5171F" w:rsidRDefault="00C329A3" w:rsidP="00A5171F">
      <w:pPr>
        <w:ind w:left="720"/>
        <w:rPr>
          <w:rFonts w:ascii="Arial" w:hAnsi="Arial" w:cs="Arial"/>
          <w:b/>
          <w:bCs/>
          <w:u w:val="single"/>
        </w:rPr>
      </w:pPr>
      <w:r w:rsidRPr="00A5171F">
        <w:rPr>
          <w:rFonts w:ascii="Arial" w:hAnsi="Arial" w:cs="Arial"/>
          <w:b/>
          <w:bCs/>
          <w:u w:val="single"/>
        </w:rPr>
        <w:t>Acronyms:</w:t>
      </w:r>
    </w:p>
    <w:p w14:paraId="2CE90C84" w14:textId="77777777" w:rsidR="00C329A3" w:rsidRPr="00A5171F" w:rsidRDefault="00C329A3" w:rsidP="00A5171F">
      <w:pPr>
        <w:ind w:left="720"/>
        <w:rPr>
          <w:rFonts w:ascii="Arial" w:hAnsi="Arial" w:cs="Arial"/>
        </w:rPr>
      </w:pPr>
      <w:r w:rsidRPr="00A5171F">
        <w:rPr>
          <w:rFonts w:ascii="Arial" w:hAnsi="Arial" w:cs="Arial"/>
        </w:rPr>
        <w:t>ACEs: Adverse Childhood Experiences</w:t>
      </w:r>
    </w:p>
    <w:p w14:paraId="0391E1D9" w14:textId="77777777" w:rsidR="00C329A3" w:rsidRPr="00A5171F" w:rsidRDefault="00C329A3" w:rsidP="00A5171F">
      <w:pPr>
        <w:ind w:left="720"/>
        <w:rPr>
          <w:rFonts w:ascii="Arial" w:hAnsi="Arial" w:cs="Arial"/>
        </w:rPr>
      </w:pPr>
      <w:r w:rsidRPr="00A5171F">
        <w:rPr>
          <w:rFonts w:ascii="Arial" w:hAnsi="Arial" w:cs="Arial"/>
        </w:rPr>
        <w:t>CAMHS: Child and Adolescent Mental Health Services</w:t>
      </w:r>
    </w:p>
    <w:p w14:paraId="0E91F6A9" w14:textId="77777777" w:rsidR="00C329A3" w:rsidRPr="00A5171F" w:rsidRDefault="00C329A3" w:rsidP="00A5171F">
      <w:pPr>
        <w:ind w:left="720"/>
        <w:rPr>
          <w:rFonts w:ascii="Arial" w:hAnsi="Arial" w:cs="Arial"/>
        </w:rPr>
      </w:pPr>
      <w:r w:rsidRPr="00A5171F">
        <w:rPr>
          <w:rFonts w:ascii="Arial" w:hAnsi="Arial" w:cs="Arial"/>
        </w:rPr>
        <w:t>NHS: National Health Service</w:t>
      </w:r>
    </w:p>
    <w:p w14:paraId="10B0670C" w14:textId="77777777" w:rsidR="00C329A3" w:rsidRPr="00A5171F" w:rsidRDefault="00C329A3" w:rsidP="00A5171F">
      <w:pPr>
        <w:ind w:left="720"/>
        <w:rPr>
          <w:rFonts w:ascii="Arial" w:hAnsi="Arial" w:cs="Arial"/>
        </w:rPr>
      </w:pPr>
      <w:r w:rsidRPr="00A5171F">
        <w:rPr>
          <w:rFonts w:ascii="Arial" w:hAnsi="Arial" w:cs="Arial"/>
        </w:rPr>
        <w:t>NICE: National Institute for Health and Care Excellence</w:t>
      </w:r>
    </w:p>
    <w:p w14:paraId="5A6DECEF" w14:textId="77777777" w:rsidR="00C329A3" w:rsidRPr="00A5171F" w:rsidRDefault="00C329A3" w:rsidP="00A5171F">
      <w:pPr>
        <w:ind w:left="720"/>
        <w:rPr>
          <w:rFonts w:ascii="Arial" w:hAnsi="Arial" w:cs="Arial"/>
        </w:rPr>
      </w:pPr>
      <w:r w:rsidRPr="00A5171F">
        <w:rPr>
          <w:rFonts w:ascii="Arial" w:hAnsi="Arial" w:cs="Arial"/>
        </w:rPr>
        <w:t>TIP: Trauma-informed Practice</w:t>
      </w:r>
    </w:p>
    <w:p w14:paraId="4BC66D2F" w14:textId="5B317F6B" w:rsidR="00BD2909" w:rsidRPr="00A5171F" w:rsidRDefault="00BD2909" w:rsidP="00A5171F">
      <w:pPr>
        <w:pStyle w:val="paragraph"/>
        <w:spacing w:before="0" w:beforeAutospacing="0" w:after="0" w:afterAutospacing="0" w:line="360" w:lineRule="auto"/>
        <w:ind w:left="1080"/>
        <w:jc w:val="both"/>
        <w:textAlignment w:val="baseline"/>
        <w:rPr>
          <w:rFonts w:ascii="Arial" w:hAnsi="Arial" w:cs="Arial"/>
          <w:sz w:val="22"/>
          <w:szCs w:val="22"/>
        </w:rPr>
      </w:pPr>
      <w:r w:rsidRPr="00A5171F">
        <w:rPr>
          <w:rStyle w:val="eop"/>
          <w:rFonts w:ascii="Arial" w:hAnsi="Arial" w:cs="Arial"/>
          <w:sz w:val="22"/>
          <w:szCs w:val="22"/>
        </w:rPr>
        <w:t>  </w:t>
      </w:r>
    </w:p>
    <w:p w14:paraId="165773A7" w14:textId="7DD93741" w:rsidR="00BD2909" w:rsidRPr="00A5171F" w:rsidRDefault="00B81F2E">
      <w:pPr>
        <w:pStyle w:val="paragraph"/>
        <w:numPr>
          <w:ilvl w:val="1"/>
          <w:numId w:val="4"/>
        </w:numPr>
        <w:spacing w:before="0" w:beforeAutospacing="0" w:after="0" w:afterAutospacing="0" w:line="360" w:lineRule="auto"/>
        <w:jc w:val="both"/>
        <w:textAlignment w:val="baseline"/>
        <w:rPr>
          <w:rStyle w:val="eop"/>
          <w:rFonts w:ascii="Arial" w:hAnsi="Arial" w:cs="Arial"/>
          <w:b/>
          <w:bCs/>
          <w:color w:val="0F4761"/>
          <w:sz w:val="22"/>
          <w:szCs w:val="22"/>
        </w:rPr>
      </w:pPr>
      <w:r w:rsidRPr="00A5171F">
        <w:rPr>
          <w:rStyle w:val="eop"/>
          <w:rFonts w:ascii="Arial" w:hAnsi="Arial" w:cs="Arial"/>
          <w:b/>
          <w:bCs/>
          <w:color w:val="0F4761"/>
          <w:sz w:val="22"/>
          <w:szCs w:val="22"/>
        </w:rPr>
        <w:t xml:space="preserve">Background and Current Context </w:t>
      </w:r>
    </w:p>
    <w:p w14:paraId="58F3E18A" w14:textId="77777777" w:rsidR="00C329A3" w:rsidRPr="00A5171F" w:rsidRDefault="00C329A3" w:rsidP="00A5171F">
      <w:pPr>
        <w:pStyle w:val="ListParagraph"/>
        <w:spacing w:line="360" w:lineRule="auto"/>
        <w:ind w:left="360" w:firstLine="0"/>
        <w:jc w:val="both"/>
        <w:rPr>
          <w:rFonts w:ascii="Arial" w:hAnsi="Arial" w:cs="Arial"/>
        </w:rPr>
      </w:pPr>
      <w:r w:rsidRPr="00A5171F">
        <w:rPr>
          <w:rFonts w:ascii="Arial" w:hAnsi="Arial" w:cs="Arial"/>
        </w:rPr>
        <w:t xml:space="preserve">The ACE framework originated from </w:t>
      </w:r>
      <w:proofErr w:type="spellStart"/>
      <w:r w:rsidRPr="00A5171F">
        <w:rPr>
          <w:rFonts w:ascii="Arial" w:hAnsi="Arial" w:cs="Arial"/>
        </w:rPr>
        <w:t>Felitti</w:t>
      </w:r>
      <w:proofErr w:type="spellEnd"/>
      <w:r w:rsidRPr="00A5171F">
        <w:rPr>
          <w:rFonts w:ascii="Arial" w:hAnsi="Arial" w:cs="Arial"/>
        </w:rPr>
        <w:t xml:space="preserve"> et al.’s (1998) landmark US study, which first identified a clear relationship between childhood adversity and long-term adult health. This landmark study is acknowledged solely to establish the origins of the ACE framework; the remainder of this dissertation primarily draws on UK evidence, with international literature included only where it informs the UK context.</w:t>
      </w:r>
    </w:p>
    <w:p w14:paraId="1F205156" w14:textId="77777777" w:rsidR="00C329A3" w:rsidRPr="00A5171F" w:rsidRDefault="00C329A3" w:rsidP="00A5171F">
      <w:pPr>
        <w:ind w:left="360"/>
        <w:rPr>
          <w:rFonts w:ascii="Arial" w:hAnsi="Arial" w:cs="Arial"/>
        </w:rPr>
      </w:pPr>
      <w:r w:rsidRPr="00A5171F">
        <w:rPr>
          <w:rFonts w:ascii="Arial" w:hAnsi="Arial" w:cs="Arial"/>
        </w:rPr>
        <w:t xml:space="preserve">UK studies have consistently validated these findings: Public Health Wales (2015) found adults reporting four or more ACEs were far more likely to experience chronic illness, mental health disorders, and harmful coping behaviours. Today, ACEs are a UK public health priority, driven by rising mental health demand, safeguarding reforms, and concerns over inequality (NHS England, 2022). The COVID-19 pandemic further increased risks, </w:t>
      </w:r>
      <w:r w:rsidRPr="00A5171F">
        <w:rPr>
          <w:rFonts w:ascii="Arial" w:hAnsi="Arial" w:cs="Arial"/>
        </w:rPr>
        <w:lastRenderedPageBreak/>
        <w:t>with higher rates of domestic abuse, financial stress, and social isolation potentially raising ACE exposure (Public Health Scotland, 2021).</w:t>
      </w:r>
    </w:p>
    <w:p w14:paraId="35DD20CB" w14:textId="77777777" w:rsidR="00C329A3" w:rsidRPr="00A5171F" w:rsidRDefault="00C329A3" w:rsidP="00A5171F">
      <w:pPr>
        <w:pStyle w:val="ListParagraph"/>
        <w:spacing w:line="360" w:lineRule="auto"/>
        <w:ind w:left="360" w:firstLine="0"/>
        <w:jc w:val="both"/>
        <w:rPr>
          <w:rFonts w:ascii="Arial" w:hAnsi="Arial" w:cs="Arial"/>
        </w:rPr>
      </w:pPr>
      <w:r w:rsidRPr="00A5171F">
        <w:rPr>
          <w:rFonts w:ascii="Arial" w:hAnsi="Arial" w:cs="Arial"/>
        </w:rPr>
        <w:t>Policy responses include Welsh Government (2022) national ACE awareness training, NHS England (2022) trauma-informed care guidance, and Public Health Scotland’s (2021) prevention framework. However, service availability, funding, and implementation quality remain uneven. Debates also persist critics argue ACE frameworks oversimplify complex experiences, while proponents highlight their value for measurement and advocacy (Bellis et al., 2019). Questions around measurement reliability and sustainable implementation are explored further in Chapter 2.</w:t>
      </w:r>
    </w:p>
    <w:p w14:paraId="053D02CA" w14:textId="77777777" w:rsidR="00C329A3" w:rsidRPr="00A5171F" w:rsidRDefault="00C329A3" w:rsidP="00A5171F">
      <w:pPr>
        <w:pStyle w:val="paragraph"/>
        <w:spacing w:before="0" w:beforeAutospacing="0" w:after="0" w:afterAutospacing="0" w:line="360" w:lineRule="auto"/>
        <w:jc w:val="both"/>
        <w:textAlignment w:val="baseline"/>
        <w:rPr>
          <w:rFonts w:ascii="Arial" w:hAnsi="Arial" w:cs="Arial"/>
          <w:color w:val="0F4761"/>
          <w:sz w:val="22"/>
          <w:szCs w:val="22"/>
        </w:rPr>
      </w:pPr>
    </w:p>
    <w:p w14:paraId="75E17D56" w14:textId="77777777" w:rsidR="00BD2909" w:rsidRPr="00A5171F" w:rsidRDefault="00BD2909" w:rsidP="00A5171F">
      <w:pPr>
        <w:pStyle w:val="paragraph"/>
        <w:spacing w:before="0" w:beforeAutospacing="0" w:after="0" w:afterAutospacing="0" w:line="360" w:lineRule="auto"/>
        <w:ind w:left="1080"/>
        <w:jc w:val="both"/>
        <w:textAlignment w:val="baseline"/>
        <w:rPr>
          <w:rFonts w:ascii="Arial" w:hAnsi="Arial" w:cs="Arial"/>
          <w:sz w:val="22"/>
          <w:szCs w:val="22"/>
        </w:rPr>
      </w:pPr>
      <w:r w:rsidRPr="00A5171F">
        <w:rPr>
          <w:rStyle w:val="eop"/>
          <w:rFonts w:ascii="Arial" w:hAnsi="Arial" w:cs="Arial"/>
          <w:sz w:val="22"/>
          <w:szCs w:val="22"/>
        </w:rPr>
        <w:t> </w:t>
      </w:r>
    </w:p>
    <w:p w14:paraId="4C260EEB" w14:textId="7A8A57A1" w:rsidR="00DB20CC" w:rsidRPr="00A5171F" w:rsidRDefault="0020590F">
      <w:pPr>
        <w:pStyle w:val="paragraph"/>
        <w:numPr>
          <w:ilvl w:val="1"/>
          <w:numId w:val="4"/>
        </w:numPr>
        <w:spacing w:before="0" w:beforeAutospacing="0" w:after="0" w:afterAutospacing="0" w:line="360" w:lineRule="auto"/>
        <w:jc w:val="both"/>
        <w:textAlignment w:val="baseline"/>
        <w:rPr>
          <w:rStyle w:val="eop"/>
          <w:rFonts w:ascii="Arial" w:hAnsi="Arial" w:cs="Arial"/>
          <w:b/>
          <w:bCs/>
          <w:color w:val="0F4761"/>
          <w:sz w:val="22"/>
          <w:szCs w:val="22"/>
        </w:rPr>
      </w:pPr>
      <w:r w:rsidRPr="00A5171F">
        <w:rPr>
          <w:rStyle w:val="eop"/>
          <w:rFonts w:ascii="Arial" w:hAnsi="Arial" w:cs="Arial"/>
          <w:b/>
          <w:bCs/>
          <w:color w:val="0F4761"/>
          <w:sz w:val="22"/>
          <w:szCs w:val="22"/>
        </w:rPr>
        <w:t xml:space="preserve">Rationale for Research / Problem Statement </w:t>
      </w:r>
    </w:p>
    <w:p w14:paraId="11A8EF2B" w14:textId="77777777" w:rsidR="00F612CF" w:rsidRPr="00A5171F" w:rsidRDefault="00F612CF" w:rsidP="00A5171F">
      <w:pPr>
        <w:pStyle w:val="ListParagraph"/>
        <w:spacing w:line="360" w:lineRule="auto"/>
        <w:ind w:left="360" w:firstLine="0"/>
        <w:jc w:val="both"/>
        <w:rPr>
          <w:rFonts w:ascii="Arial" w:hAnsi="Arial" w:cs="Arial"/>
        </w:rPr>
      </w:pPr>
      <w:r w:rsidRPr="00A5171F">
        <w:rPr>
          <w:rFonts w:ascii="Arial" w:hAnsi="Arial" w:cs="Arial"/>
        </w:rPr>
        <w:t>Despite growing recognition, three critical gaps remain:</w:t>
      </w:r>
    </w:p>
    <w:p w14:paraId="18EBFB79" w14:textId="77777777" w:rsidR="00F612CF" w:rsidRPr="00A5171F" w:rsidRDefault="00F612CF" w:rsidP="00A5171F">
      <w:pPr>
        <w:pStyle w:val="ListParagraph"/>
        <w:spacing w:line="360" w:lineRule="auto"/>
        <w:ind w:left="360" w:firstLine="0"/>
        <w:jc w:val="both"/>
        <w:rPr>
          <w:rFonts w:ascii="Arial" w:hAnsi="Arial" w:cs="Arial"/>
        </w:rPr>
      </w:pPr>
      <w:r w:rsidRPr="00A5171F">
        <w:rPr>
          <w:rFonts w:ascii="Arial" w:hAnsi="Arial" w:cs="Arial"/>
        </w:rPr>
        <w:t>Inconsistent practice: There is no unified UK approach to identifying and responding to ACEs, leading to uneven support across services and regions (Children’s Commissioner for England, 2023).</w:t>
      </w:r>
    </w:p>
    <w:p w14:paraId="301B02EF" w14:textId="77777777" w:rsidR="00F612CF" w:rsidRPr="00A5171F" w:rsidRDefault="00F612CF" w:rsidP="00A5171F">
      <w:pPr>
        <w:pStyle w:val="ListParagraph"/>
        <w:spacing w:line="360" w:lineRule="auto"/>
        <w:ind w:left="360" w:firstLine="0"/>
        <w:jc w:val="both"/>
        <w:rPr>
          <w:rFonts w:ascii="Arial" w:hAnsi="Arial" w:cs="Arial"/>
        </w:rPr>
      </w:pPr>
      <w:r w:rsidRPr="00A5171F">
        <w:rPr>
          <w:rFonts w:ascii="Arial" w:hAnsi="Arial" w:cs="Arial"/>
        </w:rPr>
        <w:t>Inequitable outcomes: Marginalised groups face both higher ACE exposure and poorer access to specialist support, widening health inequalities (Marmot et al., 2020).</w:t>
      </w:r>
    </w:p>
    <w:p w14:paraId="174C6A96" w14:textId="77777777" w:rsidR="00F612CF" w:rsidRPr="00A5171F" w:rsidRDefault="00F612CF" w:rsidP="00A5171F">
      <w:pPr>
        <w:pStyle w:val="ListParagraph"/>
        <w:spacing w:line="360" w:lineRule="auto"/>
        <w:ind w:left="360" w:firstLine="0"/>
        <w:jc w:val="both"/>
        <w:rPr>
          <w:rFonts w:ascii="Arial" w:hAnsi="Arial" w:cs="Arial"/>
        </w:rPr>
      </w:pPr>
      <w:r w:rsidRPr="00A5171F">
        <w:rPr>
          <w:rFonts w:ascii="Arial" w:hAnsi="Arial" w:cs="Arial"/>
        </w:rPr>
        <w:t>Limited evaluation: Few UK studies assess long-term intervention effectiveness, leaving uncertainty about how to embed trauma-informed approaches sustainably (NHS Digital, 2023).</w:t>
      </w:r>
    </w:p>
    <w:p w14:paraId="04099A3A" w14:textId="037F1CD8" w:rsidR="00F612CF" w:rsidRPr="00A5171F" w:rsidRDefault="00F612CF" w:rsidP="00A5171F">
      <w:pPr>
        <w:ind w:left="360"/>
        <w:rPr>
          <w:rStyle w:val="eop"/>
          <w:rFonts w:ascii="Arial" w:hAnsi="Arial" w:cs="Arial"/>
        </w:rPr>
      </w:pPr>
      <w:r w:rsidRPr="00A5171F">
        <w:rPr>
          <w:rFonts w:ascii="Arial" w:hAnsi="Arial" w:cs="Arial"/>
        </w:rPr>
        <w:t>This dissertation addresses these gaps by synthesising UK and international evidence, analysing how structural factors shape risk and support, and identifying actionable recommendations. It provides a unified analysis to inform more consistent, equitable policy and practice across the UK.</w:t>
      </w:r>
    </w:p>
    <w:p w14:paraId="48B2D6BF" w14:textId="77777777" w:rsidR="00F612CF" w:rsidRPr="00A5171F" w:rsidRDefault="00F612CF" w:rsidP="00A5171F">
      <w:pPr>
        <w:pStyle w:val="paragraph"/>
        <w:spacing w:before="0" w:beforeAutospacing="0" w:after="0" w:afterAutospacing="0" w:line="360" w:lineRule="auto"/>
        <w:jc w:val="both"/>
        <w:textAlignment w:val="baseline"/>
        <w:rPr>
          <w:rFonts w:ascii="Arial" w:hAnsi="Arial" w:cs="Arial"/>
          <w:color w:val="0F4761"/>
          <w:sz w:val="22"/>
          <w:szCs w:val="22"/>
        </w:rPr>
      </w:pPr>
    </w:p>
    <w:p w14:paraId="48604E41" w14:textId="31A6F938" w:rsidR="0023767E" w:rsidRPr="00A5171F" w:rsidRDefault="00117750">
      <w:pPr>
        <w:pStyle w:val="paragraph"/>
        <w:numPr>
          <w:ilvl w:val="1"/>
          <w:numId w:val="4"/>
        </w:numPr>
        <w:tabs>
          <w:tab w:val="num" w:pos="0"/>
        </w:tabs>
        <w:spacing w:before="0" w:beforeAutospacing="0" w:after="0" w:afterAutospacing="0" w:line="360" w:lineRule="auto"/>
        <w:jc w:val="both"/>
        <w:textAlignment w:val="baseline"/>
        <w:rPr>
          <w:rStyle w:val="eop"/>
          <w:rFonts w:ascii="Arial" w:hAnsi="Arial" w:cs="Arial"/>
          <w:b/>
          <w:bCs/>
          <w:color w:val="0F4761"/>
          <w:sz w:val="22"/>
          <w:szCs w:val="22"/>
        </w:rPr>
      </w:pPr>
      <w:r w:rsidRPr="00A5171F">
        <w:rPr>
          <w:rStyle w:val="eop"/>
          <w:rFonts w:ascii="Arial" w:hAnsi="Arial" w:cs="Arial"/>
          <w:b/>
          <w:bCs/>
          <w:color w:val="0F4761"/>
          <w:sz w:val="22"/>
          <w:szCs w:val="22"/>
        </w:rPr>
        <w:t xml:space="preserve">Aim and Objectives </w:t>
      </w:r>
    </w:p>
    <w:p w14:paraId="22BF51F5" w14:textId="77777777" w:rsidR="0023767E" w:rsidRPr="00A5171F" w:rsidRDefault="0023767E" w:rsidP="00CD3983">
      <w:pPr>
        <w:ind w:firstLine="360"/>
        <w:rPr>
          <w:rFonts w:ascii="Arial" w:hAnsi="Arial" w:cs="Arial"/>
          <w:b/>
          <w:bCs/>
          <w:u w:val="single"/>
        </w:rPr>
      </w:pPr>
      <w:r w:rsidRPr="00A5171F">
        <w:rPr>
          <w:rFonts w:ascii="Arial" w:hAnsi="Arial" w:cs="Arial"/>
          <w:b/>
          <w:bCs/>
          <w:u w:val="single"/>
        </w:rPr>
        <w:t>Aim</w:t>
      </w:r>
    </w:p>
    <w:p w14:paraId="20B7F36E" w14:textId="77777777" w:rsidR="0023767E" w:rsidRPr="00A5171F" w:rsidRDefault="0023767E" w:rsidP="00A5171F">
      <w:pPr>
        <w:pStyle w:val="ListParagraph"/>
        <w:spacing w:line="360" w:lineRule="auto"/>
        <w:ind w:left="360" w:firstLine="0"/>
        <w:jc w:val="both"/>
        <w:rPr>
          <w:rFonts w:ascii="Arial" w:hAnsi="Arial" w:cs="Arial"/>
        </w:rPr>
      </w:pPr>
      <w:r w:rsidRPr="00A5171F">
        <w:rPr>
          <w:rFonts w:ascii="Arial" w:hAnsi="Arial" w:cs="Arial"/>
        </w:rPr>
        <w:t>To critically analyse the impact of Adverse Childhood Experiences on mental health and wellbeing in the UK and recommend evidence-based improvements to policy and practice.</w:t>
      </w:r>
    </w:p>
    <w:p w14:paraId="6CAC9B7F" w14:textId="77777777" w:rsidR="0023767E" w:rsidRPr="00A5171F" w:rsidRDefault="0023767E" w:rsidP="00A5171F">
      <w:pPr>
        <w:pStyle w:val="ListParagraph"/>
        <w:spacing w:line="360" w:lineRule="auto"/>
        <w:ind w:left="360" w:firstLine="0"/>
        <w:jc w:val="both"/>
        <w:rPr>
          <w:rFonts w:ascii="Arial" w:hAnsi="Arial" w:cs="Arial"/>
        </w:rPr>
      </w:pPr>
    </w:p>
    <w:p w14:paraId="64533315" w14:textId="6243D4D5" w:rsidR="00CD3983" w:rsidRPr="00CD3983" w:rsidRDefault="0023767E" w:rsidP="00CD3983">
      <w:pPr>
        <w:pStyle w:val="ListParagraph"/>
        <w:spacing w:line="360" w:lineRule="auto"/>
        <w:ind w:left="360" w:firstLine="0"/>
        <w:jc w:val="both"/>
        <w:rPr>
          <w:rFonts w:ascii="Arial" w:hAnsi="Arial" w:cs="Arial"/>
          <w:b/>
          <w:bCs/>
          <w:u w:val="single"/>
        </w:rPr>
      </w:pPr>
      <w:r w:rsidRPr="00A5171F">
        <w:rPr>
          <w:rFonts w:ascii="Arial" w:hAnsi="Arial" w:cs="Arial"/>
          <w:b/>
          <w:bCs/>
          <w:u w:val="single"/>
        </w:rPr>
        <w:t>Objectives</w:t>
      </w:r>
    </w:p>
    <w:p w14:paraId="189FD4AB" w14:textId="77777777" w:rsidR="0023767E" w:rsidRPr="00A5171F" w:rsidRDefault="0023767E" w:rsidP="00A5171F">
      <w:pPr>
        <w:pStyle w:val="ListParagraph"/>
        <w:spacing w:line="360" w:lineRule="auto"/>
        <w:ind w:left="360" w:firstLine="0"/>
        <w:jc w:val="both"/>
        <w:rPr>
          <w:rFonts w:ascii="Arial" w:hAnsi="Arial" w:cs="Arial"/>
        </w:rPr>
      </w:pPr>
      <w:r w:rsidRPr="00A5171F">
        <w:rPr>
          <w:rFonts w:ascii="Arial" w:hAnsi="Arial" w:cs="Arial"/>
        </w:rPr>
        <w:t>Critically assess the types, prevalence, and measurement of ACEs in the UK.</w:t>
      </w:r>
    </w:p>
    <w:p w14:paraId="46AE64A2" w14:textId="77777777" w:rsidR="0023767E" w:rsidRPr="00A5171F" w:rsidRDefault="0023767E" w:rsidP="00A5171F">
      <w:pPr>
        <w:pStyle w:val="ListParagraph"/>
        <w:spacing w:line="360" w:lineRule="auto"/>
        <w:ind w:left="360" w:firstLine="0"/>
        <w:jc w:val="both"/>
        <w:rPr>
          <w:rFonts w:ascii="Arial" w:hAnsi="Arial" w:cs="Arial"/>
        </w:rPr>
      </w:pPr>
      <w:r w:rsidRPr="00A5171F">
        <w:rPr>
          <w:rFonts w:ascii="Arial" w:hAnsi="Arial" w:cs="Arial"/>
        </w:rPr>
        <w:t>Explore the relationship between ACE exposure and short- and long-term mental health outcomes, considering evidence and methodological limitations.</w:t>
      </w:r>
    </w:p>
    <w:p w14:paraId="2B5783C1" w14:textId="77777777" w:rsidR="0023767E" w:rsidRPr="00A5171F" w:rsidRDefault="0023767E" w:rsidP="00A5171F">
      <w:pPr>
        <w:pStyle w:val="ListParagraph"/>
        <w:spacing w:line="360" w:lineRule="auto"/>
        <w:ind w:left="360" w:firstLine="0"/>
        <w:jc w:val="both"/>
        <w:rPr>
          <w:rFonts w:ascii="Arial" w:hAnsi="Arial" w:cs="Arial"/>
        </w:rPr>
      </w:pPr>
      <w:r w:rsidRPr="00A5171F">
        <w:rPr>
          <w:rFonts w:ascii="Arial" w:hAnsi="Arial" w:cs="Arial"/>
        </w:rPr>
        <w:lastRenderedPageBreak/>
        <w:t>Investigate cumulative ACE impacts and their interaction with structural inequalities.</w:t>
      </w:r>
    </w:p>
    <w:p w14:paraId="576641FA" w14:textId="77777777" w:rsidR="0023767E" w:rsidRPr="00A5171F" w:rsidRDefault="0023767E" w:rsidP="00A5171F">
      <w:pPr>
        <w:ind w:left="360"/>
        <w:rPr>
          <w:rFonts w:ascii="Arial" w:hAnsi="Arial" w:cs="Arial"/>
        </w:rPr>
      </w:pPr>
      <w:r w:rsidRPr="00A5171F">
        <w:rPr>
          <w:rFonts w:ascii="Arial" w:hAnsi="Arial" w:cs="Arial"/>
        </w:rPr>
        <w:t>Evaluate current UK policies and trauma-informed approaches, identifying strengths and inconsistencies.</w:t>
      </w:r>
    </w:p>
    <w:p w14:paraId="08FDFCE0" w14:textId="77777777" w:rsidR="0023767E" w:rsidRPr="00A5171F" w:rsidRDefault="0023767E" w:rsidP="00A5171F">
      <w:pPr>
        <w:pStyle w:val="ListParagraph"/>
        <w:spacing w:line="360" w:lineRule="auto"/>
        <w:ind w:left="360" w:firstLine="0"/>
        <w:jc w:val="both"/>
        <w:rPr>
          <w:rFonts w:ascii="Arial" w:hAnsi="Arial" w:cs="Arial"/>
        </w:rPr>
      </w:pPr>
      <w:r w:rsidRPr="00A5171F">
        <w:rPr>
          <w:rFonts w:ascii="Arial" w:hAnsi="Arial" w:cs="Arial"/>
        </w:rPr>
        <w:t>Recommend evidence-based improvements for more equitable, accessible, and effective trauma-informed support across the UK.</w:t>
      </w:r>
    </w:p>
    <w:p w14:paraId="69D56E51" w14:textId="77777777" w:rsidR="00486126" w:rsidRPr="00A5171F" w:rsidRDefault="00486126" w:rsidP="00A5171F">
      <w:pPr>
        <w:pStyle w:val="paragraph"/>
        <w:tabs>
          <w:tab w:val="num" w:pos="0"/>
        </w:tabs>
        <w:spacing w:before="0" w:beforeAutospacing="0" w:after="0" w:afterAutospacing="0" w:line="360" w:lineRule="auto"/>
        <w:jc w:val="both"/>
        <w:textAlignment w:val="baseline"/>
        <w:rPr>
          <w:rStyle w:val="normaltextrun"/>
          <w:rFonts w:ascii="Arial" w:hAnsi="Arial" w:cs="Arial"/>
          <w:b/>
          <w:bCs/>
          <w:sz w:val="22"/>
          <w:szCs w:val="22"/>
        </w:rPr>
      </w:pPr>
    </w:p>
    <w:p w14:paraId="59D6ADD6" w14:textId="77777777" w:rsidR="0023767E" w:rsidRPr="00A5171F" w:rsidRDefault="0023767E" w:rsidP="00A5171F">
      <w:pPr>
        <w:pStyle w:val="paragraph"/>
        <w:tabs>
          <w:tab w:val="num" w:pos="0"/>
        </w:tabs>
        <w:spacing w:before="0" w:beforeAutospacing="0" w:after="0" w:afterAutospacing="0" w:line="360" w:lineRule="auto"/>
        <w:jc w:val="both"/>
        <w:textAlignment w:val="baseline"/>
        <w:rPr>
          <w:rFonts w:ascii="Arial" w:hAnsi="Arial" w:cs="Arial"/>
          <w:sz w:val="22"/>
          <w:szCs w:val="22"/>
        </w:rPr>
      </w:pPr>
    </w:p>
    <w:p w14:paraId="1BEC4DD7" w14:textId="3E42E3D9" w:rsidR="00486126" w:rsidRPr="00A5171F" w:rsidRDefault="00486126" w:rsidP="00A5171F">
      <w:pPr>
        <w:pStyle w:val="paragraph"/>
        <w:spacing w:before="0" w:beforeAutospacing="0" w:after="0" w:afterAutospacing="0" w:line="360" w:lineRule="auto"/>
        <w:jc w:val="both"/>
        <w:textAlignment w:val="baseline"/>
        <w:rPr>
          <w:rStyle w:val="eop"/>
          <w:rFonts w:ascii="Arial" w:hAnsi="Arial" w:cs="Arial"/>
          <w:b/>
          <w:bCs/>
          <w:color w:val="0F4761"/>
          <w:sz w:val="22"/>
          <w:szCs w:val="22"/>
        </w:rPr>
      </w:pPr>
      <w:r w:rsidRPr="00A5171F">
        <w:rPr>
          <w:rStyle w:val="eop"/>
          <w:rFonts w:ascii="Arial" w:hAnsi="Arial" w:cs="Arial"/>
          <w:b/>
          <w:bCs/>
          <w:color w:val="0F4761"/>
          <w:sz w:val="22"/>
          <w:szCs w:val="22"/>
        </w:rPr>
        <w:t xml:space="preserve">1.6 Conclusion </w:t>
      </w:r>
    </w:p>
    <w:p w14:paraId="06FB0E5F" w14:textId="77777777" w:rsidR="0023767E" w:rsidRPr="00A5171F" w:rsidRDefault="0023767E" w:rsidP="00A5171F">
      <w:pPr>
        <w:rPr>
          <w:rFonts w:ascii="Arial" w:hAnsi="Arial" w:cs="Arial"/>
        </w:rPr>
      </w:pPr>
      <w:r w:rsidRPr="00A5171F">
        <w:rPr>
          <w:rFonts w:ascii="Arial" w:hAnsi="Arial" w:cs="Arial"/>
        </w:rPr>
        <w:t>This chapter has introduced ACEs, defined key terms, outlined their origins and UK relevance, and set out the research focus. While ACEs are widely recognised as a priority, inconsistent practice, inequality, and limited evaluation hinder progress. Chapter 2 will examine theoretical frameworks, review international and UK evidence, and critically analyse ongoing debates around resilience, measurement, and implementation.</w:t>
      </w:r>
    </w:p>
    <w:p w14:paraId="115C9163" w14:textId="77777777" w:rsidR="00730C3C" w:rsidRPr="00A5171F" w:rsidRDefault="00730C3C" w:rsidP="00A5171F">
      <w:pPr>
        <w:rPr>
          <w:rFonts w:ascii="Arial" w:hAnsi="Arial" w:cs="Arial"/>
        </w:rPr>
      </w:pPr>
    </w:p>
    <w:p w14:paraId="47D34B52" w14:textId="77777777" w:rsidR="00730C3C" w:rsidRPr="00A5171F" w:rsidRDefault="00730C3C" w:rsidP="00A5171F">
      <w:pPr>
        <w:rPr>
          <w:rFonts w:ascii="Arial" w:hAnsi="Arial" w:cs="Arial"/>
        </w:rPr>
      </w:pPr>
    </w:p>
    <w:bookmarkEnd w:id="5"/>
    <w:p w14:paraId="1E1A58B1" w14:textId="77777777" w:rsidR="00804B94" w:rsidRPr="00A5171F" w:rsidRDefault="00804B94" w:rsidP="00A5171F">
      <w:pPr>
        <w:rPr>
          <w:rFonts w:ascii="Arial" w:hAnsi="Arial" w:cs="Arial"/>
        </w:rPr>
      </w:pPr>
    </w:p>
    <w:p w14:paraId="72196A8C" w14:textId="77777777" w:rsidR="00A153D4" w:rsidRDefault="00A153D4" w:rsidP="00A5171F">
      <w:pPr>
        <w:pStyle w:val="Heading1"/>
        <w:spacing w:line="360" w:lineRule="auto"/>
        <w:ind w:left="0"/>
        <w:jc w:val="both"/>
        <w:rPr>
          <w:rFonts w:cs="Arial"/>
          <w:sz w:val="22"/>
          <w:szCs w:val="22"/>
          <w:u w:val="single"/>
        </w:rPr>
      </w:pPr>
      <w:bookmarkStart w:id="7" w:name="OLE_LINK5"/>
    </w:p>
    <w:p w14:paraId="71135E3B" w14:textId="77777777" w:rsidR="00A153D4" w:rsidRDefault="00A153D4" w:rsidP="00A5171F">
      <w:pPr>
        <w:pStyle w:val="Heading1"/>
        <w:spacing w:line="360" w:lineRule="auto"/>
        <w:ind w:left="0"/>
        <w:jc w:val="both"/>
        <w:rPr>
          <w:rFonts w:cs="Arial"/>
          <w:sz w:val="22"/>
          <w:szCs w:val="22"/>
          <w:u w:val="single"/>
        </w:rPr>
      </w:pPr>
    </w:p>
    <w:p w14:paraId="62353A74" w14:textId="77777777" w:rsidR="00A153D4" w:rsidRDefault="00A153D4" w:rsidP="00A5171F">
      <w:pPr>
        <w:pStyle w:val="Heading1"/>
        <w:spacing w:line="360" w:lineRule="auto"/>
        <w:ind w:left="0"/>
        <w:jc w:val="both"/>
        <w:rPr>
          <w:rFonts w:cs="Arial"/>
          <w:sz w:val="22"/>
          <w:szCs w:val="22"/>
          <w:u w:val="single"/>
        </w:rPr>
      </w:pPr>
    </w:p>
    <w:p w14:paraId="33D4B98F" w14:textId="0F12E058" w:rsidR="000D0641" w:rsidRPr="00A5171F" w:rsidRDefault="000D0641" w:rsidP="00A5171F">
      <w:pPr>
        <w:pStyle w:val="Heading1"/>
        <w:spacing w:line="360" w:lineRule="auto"/>
        <w:ind w:left="0"/>
        <w:jc w:val="both"/>
        <w:rPr>
          <w:rFonts w:cs="Arial"/>
          <w:sz w:val="22"/>
          <w:szCs w:val="22"/>
          <w:u w:val="single"/>
        </w:rPr>
      </w:pPr>
      <w:r w:rsidRPr="00A5171F">
        <w:rPr>
          <w:rFonts w:cs="Arial"/>
          <w:sz w:val="22"/>
          <w:szCs w:val="22"/>
          <w:u w:val="single"/>
        </w:rPr>
        <w:t xml:space="preserve">CHAPTER 2 – </w:t>
      </w:r>
      <w:r w:rsidR="00BD2909" w:rsidRPr="00A5171F">
        <w:rPr>
          <w:rFonts w:cs="Arial"/>
          <w:sz w:val="22"/>
          <w:szCs w:val="22"/>
          <w:u w:val="single"/>
        </w:rPr>
        <w:t xml:space="preserve">Background </w:t>
      </w:r>
      <w:r w:rsidR="00F44833" w:rsidRPr="00A5171F">
        <w:rPr>
          <w:rFonts w:cs="Arial"/>
          <w:sz w:val="22"/>
          <w:szCs w:val="22"/>
          <w:u w:val="single"/>
        </w:rPr>
        <w:t xml:space="preserve">Information and </w:t>
      </w:r>
      <w:r w:rsidR="00BD2909" w:rsidRPr="00A5171F">
        <w:rPr>
          <w:rFonts w:cs="Arial"/>
          <w:sz w:val="22"/>
          <w:szCs w:val="22"/>
          <w:u w:val="single"/>
        </w:rPr>
        <w:t>Analysis</w:t>
      </w:r>
      <w:r w:rsidRPr="00A5171F">
        <w:rPr>
          <w:rFonts w:cs="Arial"/>
          <w:sz w:val="22"/>
          <w:szCs w:val="22"/>
          <w:u w:val="single"/>
        </w:rPr>
        <w:t xml:space="preserve"> </w:t>
      </w:r>
    </w:p>
    <w:p w14:paraId="6BA7DF87" w14:textId="77777777" w:rsidR="00BD2909" w:rsidRPr="00A5171F" w:rsidRDefault="00BD2909" w:rsidP="00A5171F">
      <w:pPr>
        <w:pStyle w:val="paragraph"/>
        <w:spacing w:before="0" w:beforeAutospacing="0" w:after="0" w:afterAutospacing="0" w:line="360" w:lineRule="auto"/>
        <w:jc w:val="both"/>
        <w:textAlignment w:val="baseline"/>
        <w:rPr>
          <w:rFonts w:ascii="Arial" w:hAnsi="Arial" w:cs="Arial"/>
          <w:color w:val="0F4761"/>
          <w:sz w:val="22"/>
          <w:szCs w:val="22"/>
        </w:rPr>
      </w:pPr>
      <w:r w:rsidRPr="00A5171F">
        <w:rPr>
          <w:rStyle w:val="eop"/>
          <w:rFonts w:ascii="Arial" w:eastAsia="Calibri Light" w:hAnsi="Arial" w:cs="Arial"/>
          <w:color w:val="0F4761"/>
          <w:sz w:val="22"/>
          <w:szCs w:val="22"/>
        </w:rPr>
        <w:t> </w:t>
      </w:r>
    </w:p>
    <w:p w14:paraId="223734F5" w14:textId="63F13622" w:rsidR="00BD2909" w:rsidRPr="00A5171F" w:rsidRDefault="00BD2909" w:rsidP="00A5171F">
      <w:pPr>
        <w:pStyle w:val="paragraph"/>
        <w:spacing w:before="0" w:beforeAutospacing="0" w:after="0" w:afterAutospacing="0" w:line="360" w:lineRule="auto"/>
        <w:jc w:val="both"/>
        <w:textAlignment w:val="baseline"/>
        <w:rPr>
          <w:rStyle w:val="normaltextrun"/>
          <w:rFonts w:ascii="Arial" w:hAnsi="Arial" w:cs="Arial"/>
          <w:b/>
          <w:bCs/>
          <w:color w:val="0F4761"/>
          <w:sz w:val="22"/>
          <w:szCs w:val="22"/>
        </w:rPr>
      </w:pPr>
      <w:r w:rsidRPr="00A5171F">
        <w:rPr>
          <w:rStyle w:val="normaltextrun"/>
          <w:rFonts w:ascii="Arial" w:hAnsi="Arial" w:cs="Arial"/>
          <w:b/>
          <w:bCs/>
          <w:color w:val="0F4761"/>
          <w:sz w:val="22"/>
          <w:szCs w:val="22"/>
        </w:rPr>
        <w:t xml:space="preserve">2.1 Introduction </w:t>
      </w:r>
    </w:p>
    <w:p w14:paraId="6897E3A6" w14:textId="77777777" w:rsidR="00D93A5C" w:rsidRPr="00A5171F" w:rsidRDefault="00D93A5C" w:rsidP="00A5171F">
      <w:pPr>
        <w:ind w:left="720"/>
        <w:rPr>
          <w:rFonts w:ascii="Arial" w:hAnsi="Arial" w:cs="Arial"/>
        </w:rPr>
      </w:pPr>
      <w:r w:rsidRPr="00A5171F">
        <w:rPr>
          <w:rFonts w:ascii="Arial" w:hAnsi="Arial" w:cs="Arial"/>
        </w:rPr>
        <w:t>This chapter critically reviews the literature, theoretical frameworks, policy developments, and evidence relating to Adverse Childhood Experiences (ACEs) and their association with adult mental health outcomes. It establishes the conceptual, historical, and contextual foundation required to interpret the findings presented in later chapters, examining how understandings of childhood adversity have evolved over time, and how different theoretical perspectives explain links between early experience and later wellbeing.</w:t>
      </w:r>
    </w:p>
    <w:p w14:paraId="26054B72" w14:textId="77777777" w:rsidR="00D93A5C" w:rsidRPr="00A5171F" w:rsidRDefault="00D93A5C" w:rsidP="00A5171F">
      <w:pPr>
        <w:ind w:left="720"/>
        <w:rPr>
          <w:rFonts w:ascii="Arial" w:hAnsi="Arial" w:cs="Arial"/>
        </w:rPr>
      </w:pPr>
      <w:r w:rsidRPr="00A5171F">
        <w:rPr>
          <w:rFonts w:ascii="Arial" w:hAnsi="Arial" w:cs="Arial"/>
        </w:rPr>
        <w:t xml:space="preserve">ACEs are commonly defined as harmful or traumatic events occurring before the age of 18, including physical or emotional abuse, neglect, domestic violence, parental separation, household substance misuse, parental mental ill health, and exposure to criminal behaviour (Public Health Wales, 2015). Research consistently demonstrates a strong graded relationship between cumulative ACE exposure and increased risk of </w:t>
      </w:r>
      <w:r w:rsidRPr="00A5171F">
        <w:rPr>
          <w:rFonts w:ascii="Arial" w:hAnsi="Arial" w:cs="Arial"/>
        </w:rPr>
        <w:lastRenderedPageBreak/>
        <w:t>depression, anxiety, post</w:t>
      </w:r>
      <w:r w:rsidRPr="00A5171F">
        <w:rPr>
          <w:rFonts w:ascii="Arial" w:hAnsi="Arial" w:cs="Arial"/>
        </w:rPr>
        <w:noBreakHyphen/>
        <w:t>traumatic stress disorder, harmful coping behaviours, and long</w:t>
      </w:r>
      <w:r w:rsidRPr="00A5171F">
        <w:rPr>
          <w:rFonts w:ascii="Arial" w:hAnsi="Arial" w:cs="Arial"/>
        </w:rPr>
        <w:noBreakHyphen/>
        <w:t>term social disadvantage (Bellis et al., 2015; Hughes et al., 2017). However, much of this evidence relies on retrospective self</w:t>
      </w:r>
      <w:r w:rsidRPr="00A5171F">
        <w:rPr>
          <w:rFonts w:ascii="Arial" w:hAnsi="Arial" w:cs="Arial"/>
        </w:rPr>
        <w:noBreakHyphen/>
        <w:t>report, which carries potential recall bias and requires careful critical interpretation. Importantly, poor outcomes are not inevitable: resilience, secure supportive relationships, access to services, and broader social conditions can significantly moderate long</w:t>
      </w:r>
      <w:r w:rsidRPr="00A5171F">
        <w:rPr>
          <w:rFonts w:ascii="Arial" w:hAnsi="Arial" w:cs="Arial"/>
        </w:rPr>
        <w:noBreakHyphen/>
        <w:t>term impacts (</w:t>
      </w:r>
      <w:proofErr w:type="spellStart"/>
      <w:r w:rsidRPr="00A5171F">
        <w:rPr>
          <w:rFonts w:ascii="Arial" w:hAnsi="Arial" w:cs="Arial"/>
        </w:rPr>
        <w:t>Finkelhor</w:t>
      </w:r>
      <w:proofErr w:type="spellEnd"/>
      <w:r w:rsidRPr="00A5171F">
        <w:rPr>
          <w:rFonts w:ascii="Arial" w:hAnsi="Arial" w:cs="Arial"/>
        </w:rPr>
        <w:t xml:space="preserve">, 2018; </w:t>
      </w:r>
      <w:proofErr w:type="spellStart"/>
      <w:r w:rsidRPr="00A5171F">
        <w:rPr>
          <w:rFonts w:ascii="Arial" w:hAnsi="Arial" w:cs="Arial"/>
        </w:rPr>
        <w:t>Lereya</w:t>
      </w:r>
      <w:proofErr w:type="spellEnd"/>
      <w:r w:rsidRPr="00A5171F">
        <w:rPr>
          <w:rFonts w:ascii="Arial" w:hAnsi="Arial" w:cs="Arial"/>
        </w:rPr>
        <w:t xml:space="preserve"> et al., 2015).</w:t>
      </w:r>
    </w:p>
    <w:p w14:paraId="342C1CB9" w14:textId="77777777" w:rsidR="00D93A5C" w:rsidRPr="00A5171F" w:rsidRDefault="00D93A5C" w:rsidP="00A5171F">
      <w:pPr>
        <w:ind w:left="720"/>
        <w:rPr>
          <w:rFonts w:ascii="Arial" w:hAnsi="Arial" w:cs="Arial"/>
        </w:rPr>
      </w:pPr>
      <w:r w:rsidRPr="00A5171F">
        <w:rPr>
          <w:rFonts w:ascii="Arial" w:hAnsi="Arial" w:cs="Arial"/>
        </w:rPr>
        <w:t>This chapter explores the historical development of ACE research and policy, examines Attachment Theory and Trauma Theory as key explanatory frameworks, compares international approaches, and analyses national and local UK contexts — with specific focus on the West Midlands. It also identifies gaps in existing evidence, particularly regarding local service delivery, equitable access to trauma</w:t>
      </w:r>
      <w:r w:rsidRPr="00A5171F">
        <w:rPr>
          <w:rFonts w:ascii="Arial" w:hAnsi="Arial" w:cs="Arial"/>
        </w:rPr>
        <w:noBreakHyphen/>
        <w:t>informed practice, and how structural inequalities shape both exposure and support.</w:t>
      </w:r>
    </w:p>
    <w:p w14:paraId="3692410F" w14:textId="5E7199DA" w:rsidR="00D93A5C" w:rsidRPr="00A5171F" w:rsidRDefault="00D93A5C" w:rsidP="00A5171F">
      <w:pPr>
        <w:pStyle w:val="paragraph"/>
        <w:spacing w:before="0" w:beforeAutospacing="0" w:after="0" w:afterAutospacing="0" w:line="360" w:lineRule="auto"/>
        <w:jc w:val="both"/>
        <w:textAlignment w:val="baseline"/>
        <w:rPr>
          <w:rStyle w:val="normaltextrun"/>
          <w:rFonts w:ascii="Arial" w:hAnsi="Arial" w:cs="Arial"/>
          <w:sz w:val="22"/>
          <w:szCs w:val="22"/>
        </w:rPr>
      </w:pPr>
    </w:p>
    <w:p w14:paraId="7FA8E037" w14:textId="77777777" w:rsidR="00D93A5C" w:rsidRPr="00A5171F" w:rsidRDefault="00D93A5C" w:rsidP="00A5171F">
      <w:pPr>
        <w:pStyle w:val="paragraph"/>
        <w:spacing w:before="0" w:beforeAutospacing="0" w:after="0" w:afterAutospacing="0" w:line="360" w:lineRule="auto"/>
        <w:jc w:val="both"/>
        <w:textAlignment w:val="baseline"/>
        <w:rPr>
          <w:rStyle w:val="normaltextrun"/>
          <w:rFonts w:ascii="Arial" w:hAnsi="Arial" w:cs="Arial"/>
          <w:color w:val="0F4761"/>
          <w:sz w:val="22"/>
          <w:szCs w:val="22"/>
        </w:rPr>
      </w:pPr>
    </w:p>
    <w:p w14:paraId="48580062" w14:textId="0CAE939F" w:rsidR="00BD2909" w:rsidRPr="00A5171F" w:rsidRDefault="00BD2909" w:rsidP="00A5171F">
      <w:pPr>
        <w:pStyle w:val="paragraph"/>
        <w:spacing w:before="0" w:beforeAutospacing="0" w:after="0" w:afterAutospacing="0" w:line="360" w:lineRule="auto"/>
        <w:jc w:val="both"/>
        <w:textAlignment w:val="baseline"/>
        <w:rPr>
          <w:rStyle w:val="normaltextrun"/>
          <w:rFonts w:ascii="Arial" w:hAnsi="Arial" w:cs="Arial"/>
          <w:b/>
          <w:bCs/>
          <w:color w:val="0F4761"/>
          <w:sz w:val="22"/>
          <w:szCs w:val="22"/>
        </w:rPr>
      </w:pPr>
      <w:r w:rsidRPr="00A5171F">
        <w:rPr>
          <w:rStyle w:val="normaltextrun"/>
          <w:rFonts w:ascii="Arial" w:hAnsi="Arial" w:cs="Arial"/>
          <w:b/>
          <w:bCs/>
          <w:color w:val="0F4761"/>
          <w:sz w:val="22"/>
          <w:szCs w:val="22"/>
        </w:rPr>
        <w:t xml:space="preserve">2.2 Historical Background </w:t>
      </w:r>
    </w:p>
    <w:p w14:paraId="4CDF9429" w14:textId="3FDC8DFA" w:rsidR="00D93A5C" w:rsidRPr="00A5171F" w:rsidRDefault="00D93A5C" w:rsidP="00A5171F">
      <w:pPr>
        <w:ind w:left="720"/>
        <w:rPr>
          <w:rFonts w:ascii="Arial" w:hAnsi="Arial" w:cs="Arial"/>
        </w:rPr>
      </w:pPr>
      <w:r w:rsidRPr="00A5171F">
        <w:rPr>
          <w:rFonts w:ascii="Arial" w:hAnsi="Arial" w:cs="Arial"/>
        </w:rPr>
        <w:t xml:space="preserve">For much of the twentieth century, childhood adversity was largely framed as a private family matter rather than a public health or safeguarding priority (Parton, 2014). Professional and state intervention was often reactive rather than </w:t>
      </w:r>
      <w:r w:rsidR="0031547A" w:rsidRPr="00A5171F">
        <w:rPr>
          <w:rFonts w:ascii="Arial" w:hAnsi="Arial" w:cs="Arial"/>
        </w:rPr>
        <w:t>preventative and</w:t>
      </w:r>
      <w:r w:rsidRPr="00A5171F">
        <w:rPr>
          <w:rFonts w:ascii="Arial" w:hAnsi="Arial" w:cs="Arial"/>
        </w:rPr>
        <w:t xml:space="preserve"> understanding of long</w:t>
      </w:r>
      <w:r w:rsidRPr="00A5171F">
        <w:rPr>
          <w:rFonts w:ascii="Arial" w:hAnsi="Arial" w:cs="Arial"/>
        </w:rPr>
        <w:noBreakHyphen/>
        <w:t>term impacts was limited.</w:t>
      </w:r>
    </w:p>
    <w:p w14:paraId="3843B82B" w14:textId="77777777" w:rsidR="00D93A5C" w:rsidRPr="00A5171F" w:rsidRDefault="00D93A5C" w:rsidP="00A5171F">
      <w:pPr>
        <w:ind w:left="720"/>
        <w:rPr>
          <w:rFonts w:ascii="Arial" w:hAnsi="Arial" w:cs="Arial"/>
        </w:rPr>
      </w:pPr>
      <w:r w:rsidRPr="00A5171F">
        <w:rPr>
          <w:rFonts w:ascii="Arial" w:hAnsi="Arial" w:cs="Arial"/>
        </w:rPr>
        <w:t>A pivotal shift occurred with the landmark CDC</w:t>
      </w:r>
      <w:r w:rsidRPr="00A5171F">
        <w:rPr>
          <w:rFonts w:ascii="Arial" w:hAnsi="Arial" w:cs="Arial"/>
        </w:rPr>
        <w:noBreakHyphen/>
        <w:t>Kaiser ACE Study in the United States (</w:t>
      </w:r>
      <w:proofErr w:type="spellStart"/>
      <w:r w:rsidRPr="00A5171F">
        <w:rPr>
          <w:rFonts w:ascii="Arial" w:hAnsi="Arial" w:cs="Arial"/>
        </w:rPr>
        <w:t>Felitti</w:t>
      </w:r>
      <w:proofErr w:type="spellEnd"/>
      <w:r w:rsidRPr="00A5171F">
        <w:rPr>
          <w:rFonts w:ascii="Arial" w:hAnsi="Arial" w:cs="Arial"/>
        </w:rPr>
        <w:t xml:space="preserve"> et al., 1998). This research established a clear dose</w:t>
      </w:r>
      <w:r w:rsidRPr="00A5171F">
        <w:rPr>
          <w:rFonts w:ascii="Arial" w:hAnsi="Arial" w:cs="Arial"/>
        </w:rPr>
        <w:noBreakHyphen/>
        <w:t>response relationship between childhood adversity and a wide range of adverse adult outcomes, including depression, substance misuse, chronic physical illness, and suicide attempts. Crucially, it helped reframe childhood trauma as a systemic public health issue requiring coordinated action across services, rather than solely an individual or family concern. However, the study’s reliance on retrospective self</w:t>
      </w:r>
      <w:r w:rsidRPr="00A5171F">
        <w:rPr>
          <w:rFonts w:ascii="Arial" w:hAnsi="Arial" w:cs="Arial"/>
        </w:rPr>
        <w:noBreakHyphen/>
        <w:t>report remains a significant limitation, affecting much of the wider evidence base and requiring cautious interpretation (</w:t>
      </w:r>
      <w:proofErr w:type="spellStart"/>
      <w:r w:rsidRPr="00A5171F">
        <w:rPr>
          <w:rFonts w:ascii="Arial" w:hAnsi="Arial" w:cs="Arial"/>
        </w:rPr>
        <w:t>Finkelhor</w:t>
      </w:r>
      <w:proofErr w:type="spellEnd"/>
      <w:r w:rsidRPr="00A5171F">
        <w:rPr>
          <w:rFonts w:ascii="Arial" w:hAnsi="Arial" w:cs="Arial"/>
        </w:rPr>
        <w:t>, 2018).</w:t>
      </w:r>
    </w:p>
    <w:p w14:paraId="18FD2A35" w14:textId="77777777" w:rsidR="00D93A5C" w:rsidRPr="00A5171F" w:rsidRDefault="00D93A5C" w:rsidP="00A5171F">
      <w:pPr>
        <w:ind w:left="720"/>
        <w:rPr>
          <w:rFonts w:ascii="Arial" w:hAnsi="Arial" w:cs="Arial"/>
        </w:rPr>
      </w:pPr>
      <w:r w:rsidRPr="00A5171F">
        <w:rPr>
          <w:rFonts w:ascii="Arial" w:hAnsi="Arial" w:cs="Arial"/>
        </w:rPr>
        <w:t xml:space="preserve">In the UK, research led by Public Health Wales was instrumental in advancing understanding. Their national survey found that almost half of adults reported at least one ACE, while those with four or more were significantly more likely to experience harmful behaviours and poor mental health (Public Health Wales, 2015). Bellis et al. (2015) confirmed these findings nationally, demonstrating that risk rises steadily with each additional adversity. The OECD (2021) further highlights that impacts extend </w:t>
      </w:r>
      <w:r w:rsidRPr="00A5171F">
        <w:rPr>
          <w:rFonts w:ascii="Arial" w:hAnsi="Arial" w:cs="Arial"/>
        </w:rPr>
        <w:lastRenderedPageBreak/>
        <w:t>across the life course, affecting education, employment, social participation, and wellbeing.</w:t>
      </w:r>
    </w:p>
    <w:p w14:paraId="4348EBE6" w14:textId="77777777" w:rsidR="00D93A5C" w:rsidRPr="00A5171F" w:rsidRDefault="00D93A5C" w:rsidP="00A5171F">
      <w:pPr>
        <w:ind w:left="720"/>
        <w:rPr>
          <w:rFonts w:ascii="Arial" w:hAnsi="Arial" w:cs="Arial"/>
        </w:rPr>
      </w:pPr>
      <w:r w:rsidRPr="00A5171F">
        <w:rPr>
          <w:rFonts w:ascii="Arial" w:hAnsi="Arial" w:cs="Arial"/>
        </w:rPr>
        <w:t xml:space="preserve">Nevertheless, the ACE framework has attracted valid criticism. </w:t>
      </w:r>
      <w:proofErr w:type="spellStart"/>
      <w:r w:rsidRPr="00A5171F">
        <w:rPr>
          <w:rFonts w:ascii="Arial" w:hAnsi="Arial" w:cs="Arial"/>
        </w:rPr>
        <w:t>Finkelhor</w:t>
      </w:r>
      <w:proofErr w:type="spellEnd"/>
      <w:r w:rsidRPr="00A5171F">
        <w:rPr>
          <w:rFonts w:ascii="Arial" w:hAnsi="Arial" w:cs="Arial"/>
        </w:rPr>
        <w:t xml:space="preserve"> (2018) argues that standard definitions can oversimplify complex lived experiences by focusing on a fixed list of adversities while often overlooking bullying, racial discrimination, poverty, and community violence. </w:t>
      </w:r>
      <w:proofErr w:type="spellStart"/>
      <w:r w:rsidRPr="00A5171F">
        <w:rPr>
          <w:rFonts w:ascii="Arial" w:hAnsi="Arial" w:cs="Arial"/>
        </w:rPr>
        <w:t>Lereya</w:t>
      </w:r>
      <w:proofErr w:type="spellEnd"/>
      <w:r w:rsidRPr="00A5171F">
        <w:rPr>
          <w:rFonts w:ascii="Arial" w:hAnsi="Arial" w:cs="Arial"/>
        </w:rPr>
        <w:t xml:space="preserve"> et al. (2015) similarly notes that while maltreatment increases risk, outcomes vary widely between individuals, reinforcing the importance of protective factors.</w:t>
      </w:r>
    </w:p>
    <w:p w14:paraId="5F8EBCAE" w14:textId="77777777" w:rsidR="00D93A5C" w:rsidRPr="00A5171F" w:rsidRDefault="00D93A5C" w:rsidP="00A5171F">
      <w:pPr>
        <w:ind w:left="720"/>
        <w:rPr>
          <w:rFonts w:ascii="Arial" w:hAnsi="Arial" w:cs="Arial"/>
        </w:rPr>
      </w:pPr>
      <w:r w:rsidRPr="00A5171F">
        <w:rPr>
          <w:rFonts w:ascii="Arial" w:hAnsi="Arial" w:cs="Arial"/>
        </w:rPr>
        <w:t>Safeguarding policy has evolved alongside this evidence. The Children Act 1989 established the welfare of the child as paramount and placed statutory duties on local authorities to safeguard and promote wellbeing. The Children Act 2004 and subsequent Every Child Matters framework (HM Government, 2004) strengthened multi</w:t>
      </w:r>
      <w:r w:rsidRPr="00A5171F">
        <w:rPr>
          <w:rFonts w:ascii="Arial" w:hAnsi="Arial" w:cs="Arial"/>
        </w:rPr>
        <w:noBreakHyphen/>
        <w:t>agency collaboration and emphasised prevention and early intervention. Working Together to Safeguard Children (HM Government, 2018) further consolidated these duties, requiring education, health, social care, and police services to work jointly to identify need and reduce harm. These developments transformed practice: previously fragmented responses became more coordinated, and awareness of the long</w:t>
      </w:r>
      <w:r w:rsidRPr="00A5171F">
        <w:rPr>
          <w:rFonts w:ascii="Arial" w:hAnsi="Arial" w:cs="Arial"/>
        </w:rPr>
        <w:noBreakHyphen/>
        <w:t>term significance of childhood experiences became embedded in professional training and policy.</w:t>
      </w:r>
    </w:p>
    <w:p w14:paraId="01E94F28" w14:textId="77777777" w:rsidR="00D93A5C" w:rsidRPr="00A5171F" w:rsidRDefault="00D93A5C" w:rsidP="00A5171F">
      <w:pPr>
        <w:ind w:left="720"/>
        <w:rPr>
          <w:rFonts w:ascii="Arial" w:hAnsi="Arial" w:cs="Arial"/>
        </w:rPr>
      </w:pPr>
      <w:r w:rsidRPr="00A5171F">
        <w:rPr>
          <w:rFonts w:ascii="Arial" w:hAnsi="Arial" w:cs="Arial"/>
          <w:b/>
          <w:bCs/>
        </w:rPr>
        <w:t>Figure 1:</w:t>
      </w:r>
      <w:r w:rsidRPr="00A5171F">
        <w:rPr>
          <w:rFonts w:ascii="Arial" w:hAnsi="Arial" w:cs="Arial"/>
        </w:rPr>
        <w:t xml:space="preserve"> Pathways linking ACE exposure to adult mental health outcomes</w:t>
      </w:r>
    </w:p>
    <w:p w14:paraId="6E8E733E" w14:textId="77777777" w:rsidR="00D93A5C" w:rsidRPr="00A5171F" w:rsidRDefault="00D93A5C" w:rsidP="00A5171F">
      <w:pPr>
        <w:ind w:left="720"/>
        <w:rPr>
          <w:rFonts w:ascii="Arial" w:hAnsi="Arial" w:cs="Arial"/>
        </w:rPr>
      </w:pPr>
      <w:r w:rsidRPr="00A5171F">
        <w:rPr>
          <w:rFonts w:ascii="Arial" w:hAnsi="Arial" w:cs="Arial"/>
          <w:b/>
          <w:bCs/>
        </w:rPr>
        <w:t>Source:</w:t>
      </w:r>
      <w:r w:rsidRPr="00A5171F">
        <w:rPr>
          <w:rFonts w:ascii="Arial" w:hAnsi="Arial" w:cs="Arial"/>
        </w:rPr>
        <w:t xml:space="preserve"> Adapted from NHS England (2019) and NHS Education for Scotland (2021)</w:t>
      </w:r>
    </w:p>
    <w:p w14:paraId="69E7F6D4" w14:textId="77777777" w:rsidR="00D93A5C" w:rsidRPr="00A5171F" w:rsidRDefault="00D93A5C" w:rsidP="00A5171F">
      <w:pPr>
        <w:ind w:left="720"/>
        <w:rPr>
          <w:rFonts w:ascii="Arial" w:hAnsi="Arial" w:cs="Arial"/>
        </w:rPr>
      </w:pPr>
      <w:r w:rsidRPr="00A5171F">
        <w:rPr>
          <w:rFonts w:ascii="Arial" w:hAnsi="Arial" w:cs="Arial"/>
          <w:b/>
          <w:bCs/>
        </w:rPr>
        <w:t>Explanation</w:t>
      </w:r>
      <w:r w:rsidRPr="00A5171F">
        <w:rPr>
          <w:rFonts w:ascii="Arial" w:hAnsi="Arial" w:cs="Arial"/>
        </w:rPr>
        <w:t>: This figure illustrates how cumulative ACE exposure operates alongside biological, psychological, behavioural, and social factors to influence long</w:t>
      </w:r>
      <w:r w:rsidRPr="00A5171F">
        <w:rPr>
          <w:rFonts w:ascii="Arial" w:hAnsi="Arial" w:cs="Arial"/>
        </w:rPr>
        <w:noBreakHyphen/>
        <w:t>term mental health. It shows that adversity does not determine outcome directly but interacts dynamically with protective resources — such as supportive relationships, education, and access to services — to shape risk and resilience. This supports the central argument of this dissertation: that while ACEs increase vulnerability, outcomes are modifiable through effective intervention and equitable support.</w:t>
      </w:r>
    </w:p>
    <w:p w14:paraId="42344D52" w14:textId="77777777" w:rsidR="00F251F7" w:rsidRPr="00A5171F" w:rsidRDefault="00F251F7" w:rsidP="00A5171F">
      <w:pPr>
        <w:ind w:left="720"/>
        <w:rPr>
          <w:rFonts w:ascii="Arial" w:hAnsi="Arial" w:cs="Arial"/>
        </w:rPr>
      </w:pPr>
    </w:p>
    <w:p w14:paraId="364E8199" w14:textId="7CCE8E3D" w:rsidR="00F251F7" w:rsidRPr="00A5171F" w:rsidRDefault="00F251F7" w:rsidP="00A5171F">
      <w:pPr>
        <w:ind w:left="720"/>
        <w:rPr>
          <w:rFonts w:ascii="Arial" w:hAnsi="Arial" w:cs="Arial"/>
        </w:rPr>
      </w:pPr>
      <w:r w:rsidRPr="00A5171F">
        <w:rPr>
          <w:rFonts w:ascii="Arial" w:hAnsi="Arial" w:cs="Arial"/>
          <w:noProof/>
        </w:rPr>
        <w:lastRenderedPageBreak/>
        <w:drawing>
          <wp:inline distT="0" distB="0" distL="0" distR="0" wp14:anchorId="1B33BB30" wp14:editId="7AAAA3A2">
            <wp:extent cx="5731510" cy="4382135"/>
            <wp:effectExtent l="0" t="0" r="2540" b="0"/>
            <wp:docPr id="1909614775" name="Picture 3" descr="Resources | Adverse Childhood Experiences (ACEs) | C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Resources | Adverse Childhood Experiences (ACEs) | CDC"/>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382135"/>
                    </a:xfrm>
                    <a:prstGeom prst="rect">
                      <a:avLst/>
                    </a:prstGeom>
                    <a:noFill/>
                    <a:ln>
                      <a:noFill/>
                    </a:ln>
                  </pic:spPr>
                </pic:pic>
              </a:graphicData>
            </a:graphic>
          </wp:inline>
        </w:drawing>
      </w:r>
    </w:p>
    <w:p w14:paraId="6905DFEF" w14:textId="77777777" w:rsidR="00D93A5C" w:rsidRPr="00A5171F" w:rsidRDefault="00D93A5C" w:rsidP="00A5171F">
      <w:pPr>
        <w:pStyle w:val="paragraph"/>
        <w:spacing w:before="0" w:beforeAutospacing="0" w:after="0" w:afterAutospacing="0" w:line="360" w:lineRule="auto"/>
        <w:jc w:val="both"/>
        <w:textAlignment w:val="baseline"/>
        <w:rPr>
          <w:rFonts w:ascii="Arial" w:hAnsi="Arial" w:cs="Arial"/>
          <w:sz w:val="22"/>
          <w:szCs w:val="22"/>
        </w:rPr>
      </w:pPr>
    </w:p>
    <w:p w14:paraId="4D42201B" w14:textId="0721E3FD" w:rsidR="00BD2909" w:rsidRPr="00A5171F" w:rsidRDefault="00BD2909" w:rsidP="00A5171F">
      <w:pPr>
        <w:pStyle w:val="paragraph"/>
        <w:spacing w:before="0" w:beforeAutospacing="0" w:after="0" w:afterAutospacing="0" w:line="360" w:lineRule="auto"/>
        <w:ind w:left="1440"/>
        <w:jc w:val="both"/>
        <w:textAlignment w:val="baseline"/>
        <w:rPr>
          <w:rFonts w:ascii="Arial" w:hAnsi="Arial" w:cs="Arial"/>
          <w:sz w:val="22"/>
          <w:szCs w:val="22"/>
        </w:rPr>
      </w:pPr>
      <w:r w:rsidRPr="00A5171F">
        <w:rPr>
          <w:rStyle w:val="eop"/>
          <w:rFonts w:ascii="Arial" w:eastAsia="Calibri Light" w:hAnsi="Arial" w:cs="Arial"/>
          <w:sz w:val="22"/>
          <w:szCs w:val="22"/>
        </w:rPr>
        <w:t>  </w:t>
      </w:r>
    </w:p>
    <w:p w14:paraId="7CD6820C" w14:textId="55F4CCE1" w:rsidR="00BD2909" w:rsidRPr="00A5171F" w:rsidRDefault="00BD2909" w:rsidP="00A5171F">
      <w:pPr>
        <w:pStyle w:val="paragraph"/>
        <w:spacing w:before="0" w:beforeAutospacing="0" w:after="0" w:afterAutospacing="0" w:line="360" w:lineRule="auto"/>
        <w:jc w:val="both"/>
        <w:textAlignment w:val="baseline"/>
        <w:rPr>
          <w:rStyle w:val="normaltextrun"/>
          <w:rFonts w:ascii="Arial" w:hAnsi="Arial" w:cs="Arial"/>
          <w:color w:val="0F4761"/>
          <w:sz w:val="22"/>
          <w:szCs w:val="22"/>
        </w:rPr>
      </w:pPr>
      <w:r w:rsidRPr="00A5171F">
        <w:rPr>
          <w:rStyle w:val="normaltextrun"/>
          <w:rFonts w:ascii="Arial" w:hAnsi="Arial" w:cs="Arial"/>
          <w:color w:val="0F4761"/>
          <w:sz w:val="22"/>
          <w:szCs w:val="22"/>
        </w:rPr>
        <w:t xml:space="preserve">2.3 </w:t>
      </w:r>
      <w:r w:rsidRPr="00A5171F">
        <w:rPr>
          <w:rStyle w:val="normaltextrun"/>
          <w:rFonts w:ascii="Arial" w:hAnsi="Arial" w:cs="Arial"/>
          <w:b/>
          <w:bCs/>
          <w:color w:val="0F4761"/>
          <w:sz w:val="22"/>
          <w:szCs w:val="22"/>
        </w:rPr>
        <w:t>Theoretical Background</w:t>
      </w:r>
      <w:r w:rsidRPr="00A5171F">
        <w:rPr>
          <w:rStyle w:val="normaltextrun"/>
          <w:rFonts w:ascii="Arial" w:hAnsi="Arial" w:cs="Arial"/>
          <w:color w:val="0F4761"/>
          <w:sz w:val="22"/>
          <w:szCs w:val="22"/>
        </w:rPr>
        <w:t xml:space="preserve"> </w:t>
      </w:r>
    </w:p>
    <w:p w14:paraId="5ADCD081" w14:textId="77777777" w:rsidR="00D93A5C" w:rsidRPr="00A5171F" w:rsidRDefault="00D93A5C" w:rsidP="00A5171F">
      <w:pPr>
        <w:ind w:left="720"/>
        <w:rPr>
          <w:rFonts w:ascii="Arial" w:hAnsi="Arial" w:cs="Arial"/>
        </w:rPr>
      </w:pPr>
      <w:r w:rsidRPr="00A5171F">
        <w:rPr>
          <w:rFonts w:ascii="Arial" w:hAnsi="Arial" w:cs="Arial"/>
        </w:rPr>
        <w:t>Two theoretical frameworks are particularly relevant to understanding how ACEs influence adult mental health: Attachment Theory and Trauma Theory. Each offers complementary insights into developmental and psychological processes, while neither fully accounts for the role of structural inequality.</w:t>
      </w:r>
    </w:p>
    <w:p w14:paraId="6437D81A" w14:textId="77777777" w:rsidR="00D93A5C" w:rsidRPr="00A5171F" w:rsidRDefault="00D93A5C" w:rsidP="00A5171F">
      <w:pPr>
        <w:ind w:left="720"/>
        <w:rPr>
          <w:rFonts w:ascii="Arial" w:hAnsi="Arial" w:cs="Arial"/>
          <w:b/>
          <w:bCs/>
          <w:u w:val="single"/>
        </w:rPr>
      </w:pPr>
      <w:r w:rsidRPr="00A5171F">
        <w:rPr>
          <w:rFonts w:ascii="Arial" w:hAnsi="Arial" w:cs="Arial"/>
          <w:b/>
          <w:bCs/>
          <w:u w:val="single"/>
        </w:rPr>
        <w:t>Attachment Theory</w:t>
      </w:r>
    </w:p>
    <w:p w14:paraId="0D8DEEFD" w14:textId="77777777" w:rsidR="006777EA" w:rsidRPr="00A5171F" w:rsidRDefault="00D93A5C" w:rsidP="00A5171F">
      <w:pPr>
        <w:ind w:left="720"/>
        <w:rPr>
          <w:rFonts w:ascii="Arial" w:hAnsi="Arial" w:cs="Arial"/>
        </w:rPr>
      </w:pPr>
      <w:r w:rsidRPr="00A5171F">
        <w:rPr>
          <w:rFonts w:ascii="Arial" w:hAnsi="Arial" w:cs="Arial"/>
        </w:rPr>
        <w:t>Developed principally by Bowlby (1988), Attachment Theory posits that early experiences of caregiving form an internal “working model” of self, others, and relationships that persists across the life course. Secure attachment — characterised by consistent, responsive care — fosters emotional regulation, trust, and adaptive coping. In contrast, insecure or disorganised attachment, often resulting from abuse, neglect, or inconsistent care, is associated with heightened vulnerability to anxiety, depression, low self</w:t>
      </w:r>
      <w:r w:rsidRPr="00A5171F">
        <w:rPr>
          <w:rFonts w:ascii="Arial" w:hAnsi="Arial" w:cs="Arial"/>
        </w:rPr>
        <w:noBreakHyphen/>
        <w:t>esteem, and relationship difficulties in adulthood (Howe, 2011).</w:t>
      </w:r>
    </w:p>
    <w:p w14:paraId="00EE6524" w14:textId="69200C8A" w:rsidR="00D93A5C" w:rsidRDefault="00D93A5C" w:rsidP="00A5171F">
      <w:pPr>
        <w:ind w:left="720"/>
        <w:rPr>
          <w:rFonts w:ascii="Arial" w:hAnsi="Arial" w:cs="Arial"/>
        </w:rPr>
      </w:pPr>
      <w:r w:rsidRPr="00A5171F">
        <w:rPr>
          <w:rFonts w:ascii="Arial" w:hAnsi="Arial" w:cs="Arial"/>
        </w:rPr>
        <w:lastRenderedPageBreak/>
        <w:t>Children exposed to ACEs may experience caregivers simultaneously as sources of comfort and fear, creating conflict and disorganisation in attachment patterns. This can impair the ability to regulate emotion, trust others, or seek help later in life. However, Attachment Theory has limitations: it focuses heavily on caregiver</w:t>
      </w:r>
      <w:r w:rsidRPr="00A5171F">
        <w:rPr>
          <w:rFonts w:ascii="Arial" w:hAnsi="Arial" w:cs="Arial"/>
        </w:rPr>
        <w:noBreakHyphen/>
        <w:t>child dynamics and often under</w:t>
      </w:r>
      <w:r w:rsidRPr="00A5171F">
        <w:rPr>
          <w:rFonts w:ascii="Arial" w:hAnsi="Arial" w:cs="Arial"/>
        </w:rPr>
        <w:noBreakHyphen/>
        <w:t>emphasises wider structural factors such as poverty, housing instability, and systemic discrimination (Wickham et al., 2016).</w:t>
      </w:r>
    </w:p>
    <w:p w14:paraId="44211B56" w14:textId="33B6C38C" w:rsidR="00E166D4" w:rsidRPr="00A5171F" w:rsidRDefault="00E166D4" w:rsidP="00A5171F">
      <w:pPr>
        <w:ind w:left="720"/>
        <w:rPr>
          <w:rFonts w:ascii="Arial" w:hAnsi="Arial" w:cs="Arial"/>
        </w:rPr>
      </w:pPr>
      <w:r>
        <w:rPr>
          <w:rFonts w:ascii="Arial" w:hAnsi="Arial" w:cs="Arial"/>
        </w:rPr>
        <w:t>E</w:t>
      </w:r>
      <w:r w:rsidRPr="00E166D4">
        <w:rPr>
          <w:rFonts w:ascii="Arial" w:hAnsi="Arial" w:cs="Arial"/>
        </w:rPr>
        <w:t>vans (2021) highlights that consistent, caring relationships in early years settings play a critical role in buffering the impact of early adversity on children’s development."</w:t>
      </w:r>
    </w:p>
    <w:p w14:paraId="54AAC9DA" w14:textId="77777777" w:rsidR="00D93A5C" w:rsidRPr="00A5171F" w:rsidRDefault="00D93A5C" w:rsidP="00A5171F">
      <w:pPr>
        <w:ind w:left="720"/>
        <w:rPr>
          <w:rFonts w:ascii="Arial" w:hAnsi="Arial" w:cs="Arial"/>
          <w:b/>
          <w:bCs/>
          <w:u w:val="single"/>
        </w:rPr>
      </w:pPr>
      <w:r w:rsidRPr="00A5171F">
        <w:rPr>
          <w:rFonts w:ascii="Arial" w:hAnsi="Arial" w:cs="Arial"/>
          <w:b/>
          <w:bCs/>
          <w:u w:val="single"/>
        </w:rPr>
        <w:t>Trauma Theory</w:t>
      </w:r>
    </w:p>
    <w:p w14:paraId="370E9DBE" w14:textId="7479F3FA" w:rsidR="00D93A5C" w:rsidRPr="00A5171F" w:rsidRDefault="00D93A5C" w:rsidP="00A5171F">
      <w:pPr>
        <w:ind w:left="720"/>
        <w:rPr>
          <w:rFonts w:ascii="Arial" w:hAnsi="Arial" w:cs="Arial"/>
        </w:rPr>
      </w:pPr>
      <w:r w:rsidRPr="00A5171F">
        <w:rPr>
          <w:rFonts w:ascii="Arial" w:hAnsi="Arial" w:cs="Arial"/>
        </w:rPr>
        <w:t xml:space="preserve">Trauma Theory focuses on the physiological, neurological, and psychological impacts of prolonged or overwhelming stress. It explains how repeated fear, neglect, or violence in childhood can dysregulate the body’s stress response systems, leading to persistent hypervigilance, emotional numbing, avoidance, or heightened reactivity </w:t>
      </w:r>
      <w:r w:rsidR="0026711F">
        <w:rPr>
          <w:rFonts w:ascii="Arial" w:hAnsi="Arial" w:cs="Arial"/>
        </w:rPr>
        <w:t>inf</w:t>
      </w:r>
      <w:r w:rsidRPr="00A5171F">
        <w:rPr>
          <w:rFonts w:ascii="Arial" w:hAnsi="Arial" w:cs="Arial"/>
        </w:rPr>
        <w:t>all common features of anxiety, depression, and post</w:t>
      </w:r>
      <w:r w:rsidRPr="00A5171F">
        <w:rPr>
          <w:rFonts w:ascii="Arial" w:hAnsi="Arial" w:cs="Arial"/>
        </w:rPr>
        <w:noBreakHyphen/>
        <w:t>traumatic presentations in adulthood.</w:t>
      </w:r>
    </w:p>
    <w:p w14:paraId="46C65665" w14:textId="77777777" w:rsidR="00D93A5C" w:rsidRPr="00A5171F" w:rsidRDefault="00D93A5C" w:rsidP="00A5171F">
      <w:pPr>
        <w:ind w:left="720"/>
        <w:rPr>
          <w:rFonts w:ascii="Arial" w:hAnsi="Arial" w:cs="Arial"/>
        </w:rPr>
      </w:pPr>
      <w:r w:rsidRPr="00A5171F">
        <w:rPr>
          <w:rFonts w:ascii="Arial" w:hAnsi="Arial" w:cs="Arial"/>
        </w:rPr>
        <w:t>However, critics argue that Trauma Theory can over</w:t>
      </w:r>
      <w:r w:rsidRPr="00A5171F">
        <w:rPr>
          <w:rFonts w:ascii="Arial" w:hAnsi="Arial" w:cs="Arial"/>
        </w:rPr>
        <w:noBreakHyphen/>
        <w:t>emphasise individual psychological functioning while insufficiently accounting for social and environmental determinants (Marmot et al., 2020). There is also a risk that trauma</w:t>
      </w:r>
      <w:r w:rsidRPr="00A5171F">
        <w:rPr>
          <w:rFonts w:ascii="Arial" w:hAnsi="Arial" w:cs="Arial"/>
        </w:rPr>
        <w:noBreakHyphen/>
        <w:t>informed practice inadvertently medicalises adversity, framing responses as clinical interventions rather than broader social change. For this reason, Trauma Theory is most powerful when integrated with public health and sociological perspectives that acknowledge how structural inequality shapes both exposure to trauma and access to recovery resources.</w:t>
      </w:r>
    </w:p>
    <w:p w14:paraId="41ED2866" w14:textId="77777777" w:rsidR="00D93A5C" w:rsidRPr="00A5171F" w:rsidRDefault="00D93A5C" w:rsidP="00A5171F">
      <w:pPr>
        <w:ind w:left="720"/>
        <w:rPr>
          <w:rFonts w:ascii="Arial" w:hAnsi="Arial" w:cs="Arial"/>
          <w:b/>
          <w:bCs/>
          <w:u w:val="single"/>
        </w:rPr>
      </w:pPr>
      <w:r w:rsidRPr="00A5171F">
        <w:rPr>
          <w:rFonts w:ascii="Arial" w:hAnsi="Arial" w:cs="Arial"/>
          <w:b/>
          <w:bCs/>
          <w:u w:val="single"/>
        </w:rPr>
        <w:t>Synthesis and Comparison</w:t>
      </w:r>
    </w:p>
    <w:p w14:paraId="4233A460" w14:textId="77777777" w:rsidR="00D93A5C" w:rsidRPr="00A5171F" w:rsidRDefault="00D93A5C" w:rsidP="00A5171F">
      <w:pPr>
        <w:ind w:left="720"/>
        <w:rPr>
          <w:rFonts w:ascii="Arial" w:hAnsi="Arial" w:cs="Arial"/>
        </w:rPr>
      </w:pPr>
      <w:r w:rsidRPr="00A5171F">
        <w:rPr>
          <w:rFonts w:ascii="Arial" w:hAnsi="Arial" w:cs="Arial"/>
        </w:rPr>
        <w:t>Attachment Theory helps explain how disrupted early relationships shape patterns of trust and emotional regulation that persist into adulthood. Trauma Theory complements this by explaining the physiological and psychological impacts of chronic stress. Together, they illuminate why ACE exposure increases risk, but neither predicts outcome absolutely: protective factors such as later secure relationships, education, and timely support can enable resilience even after significant adversity.</w:t>
      </w:r>
    </w:p>
    <w:p w14:paraId="5235D01D" w14:textId="77777777" w:rsidR="00D93A5C" w:rsidRPr="00A5171F" w:rsidRDefault="00D93A5C" w:rsidP="00A5171F">
      <w:pPr>
        <w:ind w:left="720"/>
        <w:rPr>
          <w:rFonts w:ascii="Arial" w:hAnsi="Arial" w:cs="Arial"/>
        </w:rPr>
      </w:pPr>
      <w:r w:rsidRPr="00A5171F">
        <w:rPr>
          <w:rFonts w:ascii="Arial" w:hAnsi="Arial" w:cs="Arial"/>
          <w:b/>
          <w:bCs/>
        </w:rPr>
        <w:t>Figure 2:</w:t>
      </w:r>
      <w:r w:rsidRPr="00A5171F">
        <w:rPr>
          <w:rFonts w:ascii="Arial" w:hAnsi="Arial" w:cs="Arial"/>
        </w:rPr>
        <w:t xml:space="preserve"> Mechanisms linking repeated adversity to long</w:t>
      </w:r>
      <w:r w:rsidRPr="00A5171F">
        <w:rPr>
          <w:rFonts w:ascii="Arial" w:hAnsi="Arial" w:cs="Arial"/>
        </w:rPr>
        <w:noBreakHyphen/>
        <w:t>term psychological and physical outcomes</w:t>
      </w:r>
    </w:p>
    <w:p w14:paraId="757DCF2F" w14:textId="77777777" w:rsidR="00D93A5C" w:rsidRPr="00A5171F" w:rsidRDefault="00D93A5C" w:rsidP="00A5171F">
      <w:pPr>
        <w:ind w:left="720"/>
        <w:rPr>
          <w:rFonts w:ascii="Arial" w:hAnsi="Arial" w:cs="Arial"/>
        </w:rPr>
      </w:pPr>
      <w:r w:rsidRPr="00A5171F">
        <w:rPr>
          <w:rFonts w:ascii="Arial" w:hAnsi="Arial" w:cs="Arial"/>
          <w:b/>
          <w:bCs/>
        </w:rPr>
        <w:t>Source:</w:t>
      </w:r>
      <w:r w:rsidRPr="00A5171F">
        <w:rPr>
          <w:rFonts w:ascii="Arial" w:hAnsi="Arial" w:cs="Arial"/>
        </w:rPr>
        <w:t xml:space="preserve"> Adapted from NHS Education for Scotland (2021)</w:t>
      </w:r>
    </w:p>
    <w:p w14:paraId="7682386E" w14:textId="77777777" w:rsidR="00D93A5C" w:rsidRPr="00A5171F" w:rsidRDefault="00D93A5C" w:rsidP="00A5171F">
      <w:pPr>
        <w:ind w:left="720"/>
        <w:rPr>
          <w:rFonts w:ascii="Arial" w:hAnsi="Arial" w:cs="Arial"/>
        </w:rPr>
      </w:pPr>
      <w:r w:rsidRPr="00A5171F">
        <w:rPr>
          <w:rFonts w:ascii="Arial" w:hAnsi="Arial" w:cs="Arial"/>
          <w:b/>
          <w:bCs/>
        </w:rPr>
        <w:lastRenderedPageBreak/>
        <w:t>Explanation:</w:t>
      </w:r>
      <w:r w:rsidRPr="00A5171F">
        <w:rPr>
          <w:rFonts w:ascii="Arial" w:hAnsi="Arial" w:cs="Arial"/>
        </w:rPr>
        <w:t xml:space="preserve"> This diagram supports both theoretical frameworks outlined above. It shows how prolonged stress disrupts developmental and physiological systems — aligning with Trauma Theory — while also highlighting how secure relationships and supportive environments can buffer these effects — consistent with Attachment Theory. It directly reinforces the dissertation’s focus on how early experience interacts with later environment to shape adult mental health.</w:t>
      </w:r>
    </w:p>
    <w:p w14:paraId="36B75965" w14:textId="2833BED9" w:rsidR="00DC00DC" w:rsidRPr="00A5171F" w:rsidRDefault="00DC00DC" w:rsidP="00A5171F">
      <w:pPr>
        <w:ind w:left="720"/>
        <w:rPr>
          <w:rFonts w:ascii="Arial" w:hAnsi="Arial" w:cs="Arial"/>
        </w:rPr>
      </w:pPr>
      <w:r w:rsidRPr="00A5171F">
        <w:rPr>
          <w:rFonts w:ascii="Arial" w:hAnsi="Arial" w:cs="Arial"/>
          <w:noProof/>
        </w:rPr>
        <w:drawing>
          <wp:inline distT="0" distB="0" distL="0" distR="0" wp14:anchorId="642D5AA1" wp14:editId="3AFABD7D">
            <wp:extent cx="5251450" cy="5403850"/>
            <wp:effectExtent l="0" t="0" r="6350" b="6350"/>
            <wp:docPr id="1377916738" name="Picture 5" descr="Trauma: everyone's business | Rape Crisis Scot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Trauma: everyone's business | Rape Crisis Scotla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51450" cy="5403850"/>
                    </a:xfrm>
                    <a:prstGeom prst="rect">
                      <a:avLst/>
                    </a:prstGeom>
                    <a:noFill/>
                    <a:ln>
                      <a:noFill/>
                    </a:ln>
                  </pic:spPr>
                </pic:pic>
              </a:graphicData>
            </a:graphic>
          </wp:inline>
        </w:drawing>
      </w:r>
    </w:p>
    <w:p w14:paraId="54632A66" w14:textId="77777777" w:rsidR="00D93A5C" w:rsidRPr="00A5171F" w:rsidRDefault="00D93A5C" w:rsidP="00A5171F">
      <w:pPr>
        <w:pStyle w:val="paragraph"/>
        <w:spacing w:before="0" w:beforeAutospacing="0" w:after="0" w:afterAutospacing="0" w:line="360" w:lineRule="auto"/>
        <w:jc w:val="both"/>
        <w:textAlignment w:val="baseline"/>
        <w:rPr>
          <w:rFonts w:ascii="Arial" w:hAnsi="Arial" w:cs="Arial"/>
          <w:color w:val="0F4761"/>
          <w:sz w:val="22"/>
          <w:szCs w:val="22"/>
        </w:rPr>
      </w:pPr>
    </w:p>
    <w:p w14:paraId="1331BE94" w14:textId="77777777" w:rsidR="00C952BA" w:rsidRPr="00C952BA" w:rsidRDefault="00BD2909" w:rsidP="00C952BA">
      <w:pPr>
        <w:pStyle w:val="paragraph"/>
        <w:spacing w:after="0" w:line="360" w:lineRule="auto"/>
        <w:jc w:val="both"/>
        <w:textAlignment w:val="baseline"/>
        <w:rPr>
          <w:rFonts w:ascii="Arial" w:eastAsia="Calibri Light" w:hAnsi="Arial" w:cs="Arial"/>
          <w:sz w:val="22"/>
          <w:szCs w:val="22"/>
        </w:rPr>
      </w:pPr>
      <w:r w:rsidRPr="00C952BA">
        <w:rPr>
          <w:rStyle w:val="eop"/>
          <w:rFonts w:ascii="Arial" w:eastAsia="Calibri Light" w:hAnsi="Arial" w:cs="Arial"/>
          <w:sz w:val="22"/>
          <w:szCs w:val="22"/>
        </w:rPr>
        <w:t> </w:t>
      </w:r>
      <w:r w:rsidR="00C952BA" w:rsidRPr="00C952BA">
        <w:rPr>
          <w:rFonts w:ascii="Arial" w:eastAsia="Calibri Light" w:hAnsi="Arial" w:cs="Arial"/>
          <w:sz w:val="22"/>
          <w:szCs w:val="22"/>
        </w:rPr>
        <w:t>The findings discussed within this theme demonstrate that successful implementation of trauma-informed practice depends not only on staff awareness but also on organisational culture, leadership commitment, and sustained investment. Introducing trauma-informed principles without addressing workforce capacity, funding pressures, or wider structural inequalities is unlikely to achieve meaningful long-term improvements. Consequently, trauma-</w:t>
      </w:r>
      <w:r w:rsidR="00C952BA" w:rsidRPr="00C952BA">
        <w:rPr>
          <w:rFonts w:ascii="Arial" w:eastAsia="Calibri Light" w:hAnsi="Arial" w:cs="Arial"/>
          <w:sz w:val="22"/>
          <w:szCs w:val="22"/>
        </w:rPr>
        <w:lastRenderedPageBreak/>
        <w:t>informed practice should be viewed as an ongoing organisational approach rather than a single intervention or training programme.</w:t>
      </w:r>
    </w:p>
    <w:p w14:paraId="7668DCE6" w14:textId="77777777" w:rsidR="00C952BA" w:rsidRDefault="00C952BA" w:rsidP="00C952BA">
      <w:pPr>
        <w:pStyle w:val="paragraph"/>
        <w:spacing w:before="0" w:beforeAutospacing="0" w:after="0" w:afterAutospacing="0" w:line="360" w:lineRule="auto"/>
        <w:jc w:val="both"/>
        <w:textAlignment w:val="baseline"/>
        <w:rPr>
          <w:rFonts w:ascii="Arial" w:eastAsia="Calibri Light" w:hAnsi="Arial" w:cs="Arial"/>
        </w:rPr>
      </w:pPr>
      <w:r w:rsidRPr="00C952BA">
        <w:rPr>
          <w:rFonts w:ascii="Arial" w:eastAsia="Calibri Light" w:hAnsi="Arial" w:cs="Arial"/>
        </w:rPr>
        <w:t xml:space="preserve">Collectively, the evidence suggests that consistent implementation across health, education, social care, and community organisations has the potential to improve service user engagement, strengthen therapeutic relationships, and reduce the likelihood of re-traumatisation. However, achieving these outcomes requires national leadership alongside local flexibility to respond to community needs. This reinforces the wider findings of the review that improving outcomes for individuals affected by ACEs requires integrated working across multiple sectors rather than isolated service developments. </w:t>
      </w:r>
    </w:p>
    <w:p w14:paraId="6D4C8194" w14:textId="7E2E2A82" w:rsidR="00C6209D" w:rsidRPr="00C952BA" w:rsidRDefault="00C6209D" w:rsidP="00C952BA">
      <w:pPr>
        <w:pStyle w:val="paragraph"/>
        <w:spacing w:before="0" w:beforeAutospacing="0" w:after="0" w:afterAutospacing="0" w:line="360" w:lineRule="auto"/>
        <w:jc w:val="both"/>
        <w:textAlignment w:val="baseline"/>
        <w:rPr>
          <w:rFonts w:ascii="Arial" w:eastAsia="Calibri Light" w:hAnsi="Arial" w:cs="Arial"/>
        </w:rPr>
      </w:pPr>
      <w:r w:rsidRPr="00C6209D">
        <w:rPr>
          <w:rFonts w:ascii="Arial" w:eastAsia="Calibri Light" w:hAnsi="Arial" w:cs="Arial"/>
        </w:rPr>
        <w:t>Young et al. (2023) identify key strategies for building resilience, including stable relationships, safe environments and access to support services.</w:t>
      </w:r>
    </w:p>
    <w:p w14:paraId="4C48092F" w14:textId="2FEF590B" w:rsidR="00BD2909" w:rsidRPr="00A5171F" w:rsidRDefault="00BD2909" w:rsidP="00A5171F">
      <w:pPr>
        <w:pStyle w:val="paragraph"/>
        <w:spacing w:before="0" w:beforeAutospacing="0" w:after="0" w:afterAutospacing="0" w:line="360" w:lineRule="auto"/>
        <w:jc w:val="both"/>
        <w:textAlignment w:val="baseline"/>
        <w:rPr>
          <w:rFonts w:ascii="Arial" w:hAnsi="Arial" w:cs="Arial"/>
          <w:sz w:val="22"/>
          <w:szCs w:val="22"/>
        </w:rPr>
      </w:pPr>
    </w:p>
    <w:p w14:paraId="529565AC" w14:textId="44DC7E34" w:rsidR="00BD2909" w:rsidRPr="00A5171F" w:rsidRDefault="00BD2909" w:rsidP="00A5171F">
      <w:pPr>
        <w:pStyle w:val="paragraph"/>
        <w:spacing w:before="0" w:beforeAutospacing="0" w:after="0" w:afterAutospacing="0" w:line="360" w:lineRule="auto"/>
        <w:jc w:val="both"/>
        <w:textAlignment w:val="baseline"/>
        <w:rPr>
          <w:rStyle w:val="normaltextrun"/>
          <w:rFonts w:ascii="Arial" w:hAnsi="Arial" w:cs="Arial"/>
          <w:color w:val="0F4761"/>
          <w:sz w:val="22"/>
          <w:szCs w:val="22"/>
        </w:rPr>
      </w:pPr>
      <w:r w:rsidRPr="00A5171F">
        <w:rPr>
          <w:rStyle w:val="normaltextrun"/>
          <w:rFonts w:ascii="Arial" w:hAnsi="Arial" w:cs="Arial"/>
          <w:color w:val="0F4761"/>
          <w:sz w:val="22"/>
          <w:szCs w:val="22"/>
        </w:rPr>
        <w:t>2.</w:t>
      </w:r>
      <w:r w:rsidRPr="00A5171F">
        <w:rPr>
          <w:rStyle w:val="normaltextrun"/>
          <w:rFonts w:ascii="Arial" w:hAnsi="Arial" w:cs="Arial"/>
          <w:b/>
          <w:bCs/>
          <w:color w:val="0F4761"/>
          <w:sz w:val="22"/>
          <w:szCs w:val="22"/>
        </w:rPr>
        <w:t>4 International Context</w:t>
      </w:r>
      <w:r w:rsidRPr="00A5171F">
        <w:rPr>
          <w:rStyle w:val="normaltextrun"/>
          <w:rFonts w:ascii="Arial" w:hAnsi="Arial" w:cs="Arial"/>
          <w:color w:val="0F4761"/>
          <w:sz w:val="22"/>
          <w:szCs w:val="22"/>
        </w:rPr>
        <w:t xml:space="preserve"> </w:t>
      </w:r>
    </w:p>
    <w:p w14:paraId="0201AE19" w14:textId="77777777" w:rsidR="00D2173B" w:rsidRPr="00A5171F" w:rsidRDefault="00D2173B" w:rsidP="00A5171F">
      <w:pPr>
        <w:ind w:left="720"/>
        <w:rPr>
          <w:rFonts w:ascii="Arial" w:hAnsi="Arial" w:cs="Arial"/>
        </w:rPr>
      </w:pPr>
      <w:r w:rsidRPr="00A5171F">
        <w:rPr>
          <w:rFonts w:ascii="Arial" w:hAnsi="Arial" w:cs="Arial"/>
        </w:rPr>
        <w:t>ACEs are recognised globally as a public health priority, but approaches vary according to welfare systems, resources, and cultural values.</w:t>
      </w:r>
    </w:p>
    <w:p w14:paraId="1580AF3B" w14:textId="77777777" w:rsidR="00D2173B" w:rsidRPr="00A5171F" w:rsidRDefault="00D2173B" w:rsidP="00A5171F">
      <w:pPr>
        <w:ind w:left="720"/>
        <w:rPr>
          <w:rFonts w:ascii="Arial" w:hAnsi="Arial" w:cs="Arial"/>
        </w:rPr>
      </w:pPr>
      <w:r w:rsidRPr="00A5171F">
        <w:rPr>
          <w:rFonts w:ascii="Arial" w:hAnsi="Arial" w:cs="Arial"/>
        </w:rPr>
        <w:t>The United States originated the ACE framework through the CDC</w:t>
      </w:r>
      <w:r w:rsidRPr="00A5171F">
        <w:rPr>
          <w:rFonts w:ascii="Arial" w:hAnsi="Arial" w:cs="Arial"/>
        </w:rPr>
        <w:noBreakHyphen/>
        <w:t>Kaiser study (</w:t>
      </w:r>
      <w:proofErr w:type="spellStart"/>
      <w:r w:rsidRPr="00A5171F">
        <w:rPr>
          <w:rFonts w:ascii="Arial" w:hAnsi="Arial" w:cs="Arial"/>
        </w:rPr>
        <w:t>Felitti</w:t>
      </w:r>
      <w:proofErr w:type="spellEnd"/>
      <w:r w:rsidRPr="00A5171F">
        <w:rPr>
          <w:rFonts w:ascii="Arial" w:hAnsi="Arial" w:cs="Arial"/>
        </w:rPr>
        <w:t xml:space="preserve"> et al., 1998). Since then, trauma</w:t>
      </w:r>
      <w:r w:rsidRPr="00A5171F">
        <w:rPr>
          <w:rFonts w:ascii="Arial" w:hAnsi="Arial" w:cs="Arial"/>
        </w:rPr>
        <w:noBreakHyphen/>
        <w:t>informed approaches have been adopted across healthcare, schools, and criminal justice settings. However, implementation remains uneven: significant variation exists between states and communities, and equitable access is compromised by fragmented healthcare systems and socioeconomic inequality.</w:t>
      </w:r>
    </w:p>
    <w:p w14:paraId="04CF1C1E" w14:textId="77777777" w:rsidR="00D2173B" w:rsidRPr="00A5171F" w:rsidRDefault="00D2173B" w:rsidP="00A5171F">
      <w:pPr>
        <w:ind w:left="720"/>
        <w:rPr>
          <w:rFonts w:ascii="Arial" w:hAnsi="Arial" w:cs="Arial"/>
        </w:rPr>
      </w:pPr>
      <w:r w:rsidRPr="00A5171F">
        <w:rPr>
          <w:rFonts w:ascii="Arial" w:hAnsi="Arial" w:cs="Arial"/>
        </w:rPr>
        <w:t>Scandinavian countries such as Sweden and Norway adopt strongly preventative models, with universal healthcare, generous family support, and low levels of child poverty (OECD, 2021). These structural conditions appear to reduce both ACE prevalence and long</w:t>
      </w:r>
      <w:r w:rsidRPr="00A5171F">
        <w:rPr>
          <w:rFonts w:ascii="Arial" w:hAnsi="Arial" w:cs="Arial"/>
        </w:rPr>
        <w:noBreakHyphen/>
        <w:t>term harm. While direct comparison requires caution due to differing welfare models, this demonstrates that policy and resource distribution can substantially moderate the impact of adversity — a key lesson for the UK.</w:t>
      </w:r>
    </w:p>
    <w:p w14:paraId="18765F6D" w14:textId="77777777" w:rsidR="00D2173B" w:rsidRDefault="00D2173B" w:rsidP="00A5171F">
      <w:pPr>
        <w:ind w:left="720"/>
        <w:rPr>
          <w:rFonts w:ascii="Arial" w:hAnsi="Arial" w:cs="Arial"/>
        </w:rPr>
      </w:pPr>
      <w:r w:rsidRPr="00A5171F">
        <w:rPr>
          <w:rFonts w:ascii="Arial" w:hAnsi="Arial" w:cs="Arial"/>
        </w:rPr>
        <w:t>These international comparisons highlight that effective ACE responses require integrated public health and social policy, not only clinical intervention. They show that prevention, early support, and equity</w:t>
      </w:r>
      <w:r w:rsidRPr="00A5171F">
        <w:rPr>
          <w:rFonts w:ascii="Arial" w:hAnsi="Arial" w:cs="Arial"/>
        </w:rPr>
        <w:noBreakHyphen/>
        <w:t>focused investment are critical to reducing long</w:t>
      </w:r>
      <w:r w:rsidRPr="00A5171F">
        <w:rPr>
          <w:rFonts w:ascii="Arial" w:hAnsi="Arial" w:cs="Arial"/>
        </w:rPr>
        <w:noBreakHyphen/>
        <w:t>term mental health burden.</w:t>
      </w:r>
    </w:p>
    <w:p w14:paraId="04A51B84" w14:textId="77777777" w:rsidR="00835237" w:rsidRPr="00835237" w:rsidRDefault="00835237" w:rsidP="00835237">
      <w:pPr>
        <w:ind w:left="720"/>
        <w:rPr>
          <w:rFonts w:ascii="Arial" w:hAnsi="Arial" w:cs="Arial"/>
        </w:rPr>
      </w:pPr>
      <w:r w:rsidRPr="00835237">
        <w:rPr>
          <w:rFonts w:ascii="Arial" w:hAnsi="Arial" w:cs="Arial"/>
        </w:rPr>
        <w:lastRenderedPageBreak/>
        <w:t>While international evidence provides valuable insight into the relationship between Adverse Childhood Experiences and adult mental health outcomes, it is important to acknowledge that differences in healthcare systems, social policies, cultural values, and welfare provision may influence how findings can be applied within the United Kingdom. Countries with greater investment in universal healthcare, early childhood education, and family support services often report stronger protective systems that reduce the long-term impact of adversity. Nevertheless, consistent findings across different countries strengthen confidence that the association between ACE exposure and poorer mental health outcomes is not confined to one population or healthcare model.</w:t>
      </w:r>
    </w:p>
    <w:p w14:paraId="4D1D451C" w14:textId="77777777" w:rsidR="00835237" w:rsidRPr="00835237" w:rsidRDefault="00835237" w:rsidP="00835237">
      <w:pPr>
        <w:ind w:left="720"/>
        <w:rPr>
          <w:rFonts w:ascii="Arial" w:hAnsi="Arial" w:cs="Arial"/>
        </w:rPr>
      </w:pPr>
      <w:r w:rsidRPr="00835237">
        <w:rPr>
          <w:rFonts w:ascii="Arial" w:hAnsi="Arial" w:cs="Arial"/>
        </w:rPr>
        <w:t>The literature also demonstrates that childhood adversity represents a global public health concern requiring coordinated international action. Although prevalence rates differ between countries, recurring evidence identifies similar patterns linking cumulative ACE exposure with depression, anxiety, substance misuse, suicidal behaviours, and poorer physical health during adulthood. These similarities suggest that biological stress responses and developmental disruption may operate consistently despite differences in national context. However, effective interventions must still reflect local populations, available resources, and existing service structures.</w:t>
      </w:r>
    </w:p>
    <w:p w14:paraId="76F118D0" w14:textId="77777777" w:rsidR="00835237" w:rsidRPr="00835237" w:rsidRDefault="00835237" w:rsidP="00835237">
      <w:pPr>
        <w:ind w:left="720"/>
        <w:rPr>
          <w:rFonts w:ascii="Arial" w:hAnsi="Arial" w:cs="Arial"/>
        </w:rPr>
      </w:pPr>
      <w:r w:rsidRPr="00835237">
        <w:rPr>
          <w:rFonts w:ascii="Arial" w:hAnsi="Arial" w:cs="Arial"/>
        </w:rPr>
        <w:t>For the United Kingdom, international evidence should therefore be viewed as complementary rather than directly transferable. Learning from successful preventative approaches implemented elsewhere can inform policy development, while recognising that interventions require adaptation to meet the social, economic, and demographic needs of local communities. This balanced approach strengthens the relevance of international evidence while maintaining the importance of context-specific service delivery.</w:t>
      </w:r>
    </w:p>
    <w:p w14:paraId="50612E8B" w14:textId="77777777" w:rsidR="00835237" w:rsidRPr="00A5171F" w:rsidRDefault="00835237" w:rsidP="00A5171F">
      <w:pPr>
        <w:ind w:left="720"/>
        <w:rPr>
          <w:rFonts w:ascii="Arial" w:hAnsi="Arial" w:cs="Arial"/>
        </w:rPr>
      </w:pPr>
    </w:p>
    <w:p w14:paraId="5D67A224" w14:textId="77777777" w:rsidR="00D2173B" w:rsidRPr="00A5171F" w:rsidRDefault="00D2173B" w:rsidP="00A5171F">
      <w:pPr>
        <w:pStyle w:val="paragraph"/>
        <w:spacing w:before="0" w:beforeAutospacing="0" w:after="0" w:afterAutospacing="0" w:line="360" w:lineRule="auto"/>
        <w:jc w:val="both"/>
        <w:textAlignment w:val="baseline"/>
        <w:rPr>
          <w:rFonts w:ascii="Arial" w:hAnsi="Arial" w:cs="Arial"/>
          <w:color w:val="0F4761"/>
          <w:sz w:val="22"/>
          <w:szCs w:val="22"/>
        </w:rPr>
      </w:pPr>
    </w:p>
    <w:p w14:paraId="486A5837" w14:textId="77777777" w:rsidR="00BD2909" w:rsidRPr="00A5171F" w:rsidRDefault="00BD2909" w:rsidP="00A5171F">
      <w:pPr>
        <w:pStyle w:val="paragraph"/>
        <w:spacing w:before="0" w:beforeAutospacing="0" w:after="0" w:afterAutospacing="0" w:line="360" w:lineRule="auto"/>
        <w:jc w:val="both"/>
        <w:textAlignment w:val="baseline"/>
        <w:rPr>
          <w:rFonts w:ascii="Arial" w:hAnsi="Arial" w:cs="Arial"/>
          <w:sz w:val="22"/>
          <w:szCs w:val="22"/>
        </w:rPr>
      </w:pPr>
      <w:r w:rsidRPr="00A5171F">
        <w:rPr>
          <w:rStyle w:val="eop"/>
          <w:rFonts w:ascii="Arial" w:eastAsia="Calibri Light" w:hAnsi="Arial" w:cs="Arial"/>
          <w:sz w:val="22"/>
          <w:szCs w:val="22"/>
        </w:rPr>
        <w:t> </w:t>
      </w:r>
    </w:p>
    <w:p w14:paraId="3322C689" w14:textId="4B8F73D0" w:rsidR="00BD2909" w:rsidRPr="00A5171F" w:rsidRDefault="00BD2909" w:rsidP="00A5171F">
      <w:pPr>
        <w:pStyle w:val="paragraph"/>
        <w:spacing w:before="0" w:beforeAutospacing="0" w:after="0" w:afterAutospacing="0" w:line="360" w:lineRule="auto"/>
        <w:jc w:val="both"/>
        <w:textAlignment w:val="baseline"/>
        <w:rPr>
          <w:rStyle w:val="normaltextrun"/>
          <w:rFonts w:ascii="Arial" w:hAnsi="Arial" w:cs="Arial"/>
          <w:b/>
          <w:bCs/>
          <w:color w:val="0F4761"/>
          <w:sz w:val="22"/>
          <w:szCs w:val="22"/>
        </w:rPr>
      </w:pPr>
      <w:r w:rsidRPr="00A5171F">
        <w:rPr>
          <w:rStyle w:val="normaltextrun"/>
          <w:rFonts w:ascii="Arial" w:hAnsi="Arial" w:cs="Arial"/>
          <w:b/>
          <w:bCs/>
          <w:color w:val="0F4761"/>
          <w:sz w:val="22"/>
          <w:szCs w:val="22"/>
        </w:rPr>
        <w:t xml:space="preserve">2.5 National/Local UK Context </w:t>
      </w:r>
    </w:p>
    <w:p w14:paraId="734E4464" w14:textId="77777777" w:rsidR="00D2173B" w:rsidRPr="00A5171F" w:rsidRDefault="00D2173B" w:rsidP="00A5171F">
      <w:pPr>
        <w:ind w:left="720"/>
        <w:rPr>
          <w:rFonts w:ascii="Arial" w:hAnsi="Arial" w:cs="Arial"/>
        </w:rPr>
      </w:pPr>
      <w:r w:rsidRPr="00A5171F">
        <w:rPr>
          <w:rFonts w:ascii="Arial" w:hAnsi="Arial" w:cs="Arial"/>
        </w:rPr>
        <w:t>Within the UK, policy and practice developments reflect growing national recognition of ACEs, while implementation remains inconsistent across nations and regions.</w:t>
      </w:r>
    </w:p>
    <w:p w14:paraId="1CA2B4E1" w14:textId="77777777" w:rsidR="00D2173B" w:rsidRDefault="00D2173B" w:rsidP="00A5171F">
      <w:pPr>
        <w:ind w:left="720"/>
        <w:rPr>
          <w:rFonts w:ascii="Arial" w:hAnsi="Arial" w:cs="Arial"/>
        </w:rPr>
      </w:pPr>
      <w:r w:rsidRPr="00A5171F">
        <w:rPr>
          <w:rFonts w:ascii="Arial" w:hAnsi="Arial" w:cs="Arial"/>
        </w:rPr>
        <w:t>Nationally, NHS England’s Long-Term Plan (2019) prioritises early intervention and mental health support. NICE Guideline NG116 (2018) on post</w:t>
      </w:r>
      <w:r w:rsidRPr="00A5171F">
        <w:rPr>
          <w:rFonts w:ascii="Arial" w:hAnsi="Arial" w:cs="Arial"/>
        </w:rPr>
        <w:noBreakHyphen/>
        <w:t>traumatic stress disorder recommends trauma</w:t>
      </w:r>
      <w:r w:rsidRPr="00A5171F">
        <w:rPr>
          <w:rFonts w:ascii="Arial" w:hAnsi="Arial" w:cs="Arial"/>
        </w:rPr>
        <w:noBreakHyphen/>
        <w:t>focused cognitive behavioural therapy and eye movement desensitisation and reprocessing (EMDR), alongside principles of person</w:t>
      </w:r>
      <w:r w:rsidRPr="00A5171F">
        <w:rPr>
          <w:rFonts w:ascii="Arial" w:hAnsi="Arial" w:cs="Arial"/>
        </w:rPr>
        <w:noBreakHyphen/>
        <w:t xml:space="preserve">centred, </w:t>
      </w:r>
      <w:r w:rsidRPr="00A5171F">
        <w:rPr>
          <w:rFonts w:ascii="Arial" w:hAnsi="Arial" w:cs="Arial"/>
        </w:rPr>
        <w:lastRenderedPageBreak/>
        <w:t>coordinated care. In Wales, Public Health Wales (2015) has led national ACE awareness training and evidence translation. In Scotland, NHS Education for Scotland (2021) has developed a comprehensive trauma skills framework for the workforce.</w:t>
      </w:r>
    </w:p>
    <w:p w14:paraId="6AE04EEA" w14:textId="77777777" w:rsidR="00F55683" w:rsidRPr="00F55683" w:rsidRDefault="00F55683" w:rsidP="00F55683">
      <w:pPr>
        <w:ind w:left="720"/>
        <w:rPr>
          <w:rFonts w:ascii="Arial" w:hAnsi="Arial" w:cs="Arial"/>
        </w:rPr>
      </w:pPr>
      <w:r w:rsidRPr="00F55683">
        <w:rPr>
          <w:rFonts w:ascii="Arial" w:hAnsi="Arial" w:cs="Arial"/>
        </w:rPr>
        <w:t>The demographic diversity of the West Midlands further strengthens the importance of examining ACEs within this regional context. Birmingham is one of the most ethnically diverse cities in the United Kingdom, with communities experiencing differing levels of deprivation, cultural diversity, and access to public services. These factors may influence how adversity is experienced, recognised, and responded to by statutory and voluntary organisations. Consequently, services must ensure that trauma-informed approaches are culturally sensitive, inclusive, and responsive to the differing needs of local populations.</w:t>
      </w:r>
    </w:p>
    <w:p w14:paraId="3A405BBF" w14:textId="77777777" w:rsidR="00F55683" w:rsidRPr="00F55683" w:rsidRDefault="00F55683" w:rsidP="00F55683">
      <w:pPr>
        <w:ind w:left="720"/>
        <w:rPr>
          <w:rFonts w:ascii="Arial" w:hAnsi="Arial" w:cs="Arial"/>
        </w:rPr>
      </w:pPr>
      <w:r w:rsidRPr="00F55683">
        <w:rPr>
          <w:rFonts w:ascii="Arial" w:hAnsi="Arial" w:cs="Arial"/>
        </w:rPr>
        <w:t>Furthermore, increasing demand for mental health services has placed considerable pressure on local NHS providers, schools, and social care organisations. Delays in accessing specialist support may allow childhood difficulties to become more entrenched before intervention occurs, increasing the likelihood of poorer long-term outcomes. This highlights the importance of early identification, integrated working, and sustained investment in preventative services. Examining the West Midlands therefore provides valuable insight into how national policy is implemented within areas experiencing high levels of socioeconomic inequality and demonstrates why reducing health inequalities requires coordinated action across multiple sectors.</w:t>
      </w:r>
    </w:p>
    <w:p w14:paraId="7DCCC42B" w14:textId="77777777" w:rsidR="00F55683" w:rsidRPr="00A5171F" w:rsidRDefault="00F55683" w:rsidP="00A5171F">
      <w:pPr>
        <w:ind w:left="720"/>
        <w:rPr>
          <w:rFonts w:ascii="Arial" w:hAnsi="Arial" w:cs="Arial"/>
        </w:rPr>
      </w:pPr>
    </w:p>
    <w:p w14:paraId="2901DBA7" w14:textId="77777777" w:rsidR="00D2173B" w:rsidRDefault="00D2173B" w:rsidP="00A5171F">
      <w:pPr>
        <w:ind w:left="720"/>
        <w:rPr>
          <w:rFonts w:ascii="Arial" w:hAnsi="Arial" w:cs="Arial"/>
        </w:rPr>
      </w:pPr>
      <w:r w:rsidRPr="00A5171F">
        <w:rPr>
          <w:rFonts w:ascii="Arial" w:hAnsi="Arial" w:cs="Arial"/>
        </w:rPr>
        <w:t>Despite this progress, translation into practice remains uneven. Workforce shortages, funding constraints, and regional variation mean that national guidance does not always translate into equitable access to high</w:t>
      </w:r>
      <w:r w:rsidRPr="00A5171F">
        <w:rPr>
          <w:rFonts w:ascii="Arial" w:hAnsi="Arial" w:cs="Arial"/>
        </w:rPr>
        <w:noBreakHyphen/>
        <w:t>quality support. Safeguarding legislation — including Working Together to Safeguard Children (HM Government, 2018) — remains central, but stronger alignment is needed between child protection practice and adult mental health services to address long</w:t>
      </w:r>
      <w:r w:rsidRPr="00A5171F">
        <w:rPr>
          <w:rFonts w:ascii="Arial" w:hAnsi="Arial" w:cs="Arial"/>
        </w:rPr>
        <w:noBreakHyphen/>
        <w:t>term impacts.</w:t>
      </w:r>
    </w:p>
    <w:p w14:paraId="332ACE7F" w14:textId="52BA5E2E" w:rsidR="008F0585" w:rsidRDefault="008F0585" w:rsidP="00A5171F">
      <w:pPr>
        <w:ind w:left="720"/>
        <w:rPr>
          <w:rFonts w:ascii="Arial" w:hAnsi="Arial" w:cs="Arial"/>
        </w:rPr>
      </w:pPr>
      <w:r w:rsidRPr="008F0585">
        <w:rPr>
          <w:rFonts w:ascii="Arial" w:hAnsi="Arial" w:cs="Arial"/>
        </w:rPr>
        <w:t>Fenton et al. (2022) provide clear practical guidance for professionals on recognising signs of ACEs and implementing appropriate, non-judgemental responses.</w:t>
      </w:r>
    </w:p>
    <w:p w14:paraId="6720DAEF" w14:textId="1A890488" w:rsidR="00044DD2" w:rsidRPr="00A5171F" w:rsidRDefault="00044DD2" w:rsidP="00A5171F">
      <w:pPr>
        <w:ind w:left="720"/>
        <w:rPr>
          <w:rFonts w:ascii="Arial" w:hAnsi="Arial" w:cs="Arial"/>
        </w:rPr>
      </w:pPr>
      <w:r w:rsidRPr="00044DD2">
        <w:rPr>
          <w:rFonts w:ascii="Arial" w:hAnsi="Arial" w:cs="Arial"/>
        </w:rPr>
        <w:t>Taylor et al. (2022) outline best practice for safe and appropriate ACEs screening in educational settings, ensuring it is used to support rather than stigmatise children</w:t>
      </w:r>
      <w:r>
        <w:rPr>
          <w:rFonts w:ascii="Arial" w:hAnsi="Arial" w:cs="Arial"/>
        </w:rPr>
        <w:t>.</w:t>
      </w:r>
    </w:p>
    <w:p w14:paraId="79F0314A" w14:textId="77777777" w:rsidR="0031547A" w:rsidRPr="00A5171F" w:rsidRDefault="0031547A" w:rsidP="00A5171F">
      <w:pPr>
        <w:ind w:left="720"/>
        <w:rPr>
          <w:rFonts w:ascii="Arial" w:hAnsi="Arial" w:cs="Arial"/>
          <w:b/>
          <w:bCs/>
          <w:u w:val="single"/>
        </w:rPr>
      </w:pPr>
    </w:p>
    <w:p w14:paraId="27376F27" w14:textId="77777777" w:rsidR="0031547A" w:rsidRPr="00A5171F" w:rsidRDefault="0031547A" w:rsidP="00A5171F">
      <w:pPr>
        <w:ind w:left="720"/>
        <w:rPr>
          <w:rFonts w:ascii="Arial" w:hAnsi="Arial" w:cs="Arial"/>
          <w:b/>
          <w:bCs/>
          <w:u w:val="single"/>
        </w:rPr>
      </w:pPr>
    </w:p>
    <w:p w14:paraId="6023AE64" w14:textId="77777777" w:rsidR="006D3C15" w:rsidRPr="00A5171F" w:rsidRDefault="006D3C15" w:rsidP="00A5171F">
      <w:pPr>
        <w:ind w:left="720"/>
        <w:rPr>
          <w:rFonts w:ascii="Arial" w:hAnsi="Arial" w:cs="Arial"/>
          <w:b/>
          <w:bCs/>
          <w:u w:val="single"/>
        </w:rPr>
      </w:pPr>
    </w:p>
    <w:p w14:paraId="47546D2F" w14:textId="3D28C53E" w:rsidR="00D2173B" w:rsidRPr="00A5171F" w:rsidRDefault="00D2173B" w:rsidP="00A5171F">
      <w:pPr>
        <w:ind w:left="720"/>
        <w:rPr>
          <w:rFonts w:ascii="Arial" w:hAnsi="Arial" w:cs="Arial"/>
          <w:b/>
          <w:bCs/>
          <w:u w:val="single"/>
        </w:rPr>
      </w:pPr>
      <w:r w:rsidRPr="00A5171F">
        <w:rPr>
          <w:rFonts w:ascii="Arial" w:hAnsi="Arial" w:cs="Arial"/>
          <w:b/>
          <w:bCs/>
          <w:u w:val="single"/>
        </w:rPr>
        <w:t>Local Context: The West Midlands</w:t>
      </w:r>
    </w:p>
    <w:p w14:paraId="0CED83E9" w14:textId="77777777" w:rsidR="00D2173B" w:rsidRPr="00A5171F" w:rsidRDefault="00D2173B" w:rsidP="00A5171F">
      <w:pPr>
        <w:ind w:left="720"/>
        <w:rPr>
          <w:rFonts w:ascii="Arial" w:hAnsi="Arial" w:cs="Arial"/>
        </w:rPr>
      </w:pPr>
      <w:r w:rsidRPr="00A5171F">
        <w:rPr>
          <w:rFonts w:ascii="Arial" w:hAnsi="Arial" w:cs="Arial"/>
        </w:rPr>
        <w:t>This dissertation focuses specifically on the West Midlands, including Birmingham, Sandwell, and Walsall — areas characterised by high levels of socioeconomic deprivation (Marmot et al., 2020). Evidence shows that children in these localities face higher ACE exposure alongside reduced access to protective resources such as stable housing, high</w:t>
      </w:r>
      <w:r w:rsidRPr="00A5171F">
        <w:rPr>
          <w:rFonts w:ascii="Arial" w:hAnsi="Arial" w:cs="Arial"/>
        </w:rPr>
        <w:noBreakHyphen/>
        <w:t>quality education, and specialist mental health services. While national ACE policy applies here, there is limited published research examining how these frameworks operate locally. For example:</w:t>
      </w:r>
    </w:p>
    <w:p w14:paraId="0EEA4156" w14:textId="77777777" w:rsidR="00D2173B" w:rsidRPr="00A5171F" w:rsidRDefault="00D2173B" w:rsidP="00A5171F">
      <w:pPr>
        <w:ind w:left="720"/>
        <w:rPr>
          <w:rFonts w:ascii="Arial" w:hAnsi="Arial" w:cs="Arial"/>
        </w:rPr>
      </w:pPr>
      <w:r w:rsidRPr="00A5171F">
        <w:rPr>
          <w:rFonts w:ascii="Arial" w:hAnsi="Arial" w:cs="Arial"/>
        </w:rPr>
        <w:t>Birmingham and Solihull Integrated Care Board has identified trauma</w:t>
      </w:r>
      <w:r w:rsidRPr="00A5171F">
        <w:rPr>
          <w:rFonts w:ascii="Arial" w:hAnsi="Arial" w:cs="Arial"/>
        </w:rPr>
        <w:noBreakHyphen/>
        <w:t>informed care as a priority in its 2025–2030 strategy, but implementation remains at an early stage.</w:t>
      </w:r>
    </w:p>
    <w:p w14:paraId="4BD942DA" w14:textId="77777777" w:rsidR="00D2173B" w:rsidRPr="00A5171F" w:rsidRDefault="00D2173B" w:rsidP="00A5171F">
      <w:pPr>
        <w:ind w:left="720"/>
        <w:rPr>
          <w:rFonts w:ascii="Arial" w:hAnsi="Arial" w:cs="Arial"/>
        </w:rPr>
      </w:pPr>
      <w:r w:rsidRPr="00A5171F">
        <w:rPr>
          <w:rFonts w:ascii="Arial" w:hAnsi="Arial" w:cs="Arial"/>
        </w:rPr>
        <w:t>CAMHS waiting times across the region are consistently above national averages, delaying early intervention for children and young people showing signs of distress.</w:t>
      </w:r>
    </w:p>
    <w:p w14:paraId="68E69164" w14:textId="77777777" w:rsidR="00D2173B" w:rsidRPr="00A5171F" w:rsidRDefault="00D2173B" w:rsidP="00A5171F">
      <w:pPr>
        <w:ind w:left="720"/>
        <w:rPr>
          <w:rFonts w:ascii="Arial" w:hAnsi="Arial" w:cs="Arial"/>
        </w:rPr>
      </w:pPr>
      <w:r w:rsidRPr="00A5171F">
        <w:rPr>
          <w:rFonts w:ascii="Arial" w:hAnsi="Arial" w:cs="Arial"/>
        </w:rPr>
        <w:t>Local voluntary sector organisations provide valuable trauma</w:t>
      </w:r>
      <w:r w:rsidRPr="00A5171F">
        <w:rPr>
          <w:rFonts w:ascii="Arial" w:hAnsi="Arial" w:cs="Arial"/>
        </w:rPr>
        <w:noBreakHyphen/>
        <w:t>informed support, but many rely on short</w:t>
      </w:r>
      <w:r w:rsidRPr="00A5171F">
        <w:rPr>
          <w:rFonts w:ascii="Arial" w:hAnsi="Arial" w:cs="Arial"/>
        </w:rPr>
        <w:noBreakHyphen/>
        <w:t>term funding and lack integration with NHS services.</w:t>
      </w:r>
    </w:p>
    <w:p w14:paraId="70648E41" w14:textId="77777777" w:rsidR="00D2173B" w:rsidRPr="00A5171F" w:rsidRDefault="00D2173B" w:rsidP="00A5171F">
      <w:pPr>
        <w:ind w:left="720"/>
        <w:rPr>
          <w:rFonts w:ascii="Arial" w:hAnsi="Arial" w:cs="Arial"/>
        </w:rPr>
      </w:pPr>
      <w:r w:rsidRPr="00A5171F">
        <w:rPr>
          <w:rFonts w:ascii="Arial" w:hAnsi="Arial" w:cs="Arial"/>
        </w:rPr>
        <w:t>These local realities make the West Midlands a particularly relevant case study for examining how national policy translates into practice in deprived, multi</w:t>
      </w:r>
      <w:r w:rsidRPr="00A5171F">
        <w:rPr>
          <w:rFonts w:ascii="Arial" w:hAnsi="Arial" w:cs="Arial"/>
        </w:rPr>
        <w:noBreakHyphen/>
        <w:t>ethnic areas.</w:t>
      </w:r>
    </w:p>
    <w:p w14:paraId="5CB24727" w14:textId="77777777" w:rsidR="00D2173B" w:rsidRPr="00A5171F" w:rsidRDefault="00D2173B" w:rsidP="00A5171F">
      <w:pPr>
        <w:ind w:left="720"/>
        <w:rPr>
          <w:rFonts w:ascii="Arial" w:hAnsi="Arial" w:cs="Arial"/>
        </w:rPr>
      </w:pPr>
      <w:r w:rsidRPr="00A5171F">
        <w:rPr>
          <w:rFonts w:ascii="Arial" w:hAnsi="Arial" w:cs="Arial"/>
          <w:b/>
          <w:bCs/>
        </w:rPr>
        <w:t>Figure 3:</w:t>
      </w:r>
      <w:r w:rsidRPr="00A5171F">
        <w:rPr>
          <w:rFonts w:ascii="Arial" w:hAnsi="Arial" w:cs="Arial"/>
        </w:rPr>
        <w:t xml:space="preserve"> Principles of trauma</w:t>
      </w:r>
      <w:r w:rsidRPr="00A5171F">
        <w:rPr>
          <w:rFonts w:ascii="Arial" w:hAnsi="Arial" w:cs="Arial"/>
        </w:rPr>
        <w:noBreakHyphen/>
        <w:t>informed organisational practice</w:t>
      </w:r>
    </w:p>
    <w:p w14:paraId="3E60809B" w14:textId="77777777" w:rsidR="00D2173B" w:rsidRPr="00A5171F" w:rsidRDefault="00D2173B" w:rsidP="00A5171F">
      <w:pPr>
        <w:ind w:left="720"/>
        <w:rPr>
          <w:rFonts w:ascii="Arial" w:hAnsi="Arial" w:cs="Arial"/>
        </w:rPr>
      </w:pPr>
      <w:r w:rsidRPr="00A5171F">
        <w:rPr>
          <w:rFonts w:ascii="Arial" w:hAnsi="Arial" w:cs="Arial"/>
          <w:b/>
          <w:bCs/>
        </w:rPr>
        <w:t>Source</w:t>
      </w:r>
      <w:r w:rsidRPr="00A5171F">
        <w:rPr>
          <w:rFonts w:ascii="Arial" w:hAnsi="Arial" w:cs="Arial"/>
        </w:rPr>
        <w:t>: Adapted from SAMHSA (2014) and NHS England (2022)</w:t>
      </w:r>
    </w:p>
    <w:p w14:paraId="17328132" w14:textId="775C33D4" w:rsidR="00D2173B" w:rsidRPr="00A5171F" w:rsidRDefault="00D2173B" w:rsidP="00A5171F">
      <w:pPr>
        <w:ind w:left="720"/>
        <w:rPr>
          <w:rFonts w:ascii="Arial" w:hAnsi="Arial" w:cs="Arial"/>
        </w:rPr>
      </w:pPr>
      <w:r w:rsidRPr="00A5171F">
        <w:rPr>
          <w:rFonts w:ascii="Arial" w:hAnsi="Arial" w:cs="Arial"/>
          <w:b/>
          <w:bCs/>
        </w:rPr>
        <w:t>Explanation:</w:t>
      </w:r>
      <w:r w:rsidR="00DA67B8">
        <w:rPr>
          <w:rFonts w:ascii="Arial" w:hAnsi="Arial" w:cs="Arial"/>
          <w:b/>
          <w:bCs/>
        </w:rPr>
        <w:t xml:space="preserve"> </w:t>
      </w:r>
      <w:r w:rsidR="00DA67B8" w:rsidRPr="00DA67B8">
        <w:rPr>
          <w:rFonts w:ascii="Arial" w:hAnsi="Arial" w:cs="Arial"/>
        </w:rPr>
        <w:t>Baldry and Wigfall (2020) explain that trauma-informed practice focuses on safety, trust, choice, collaboration and empowerment when working with children and families</w:t>
      </w:r>
      <w:r w:rsidR="00DA67B8" w:rsidRPr="00DA67B8">
        <w:rPr>
          <w:rFonts w:ascii="Arial" w:hAnsi="Arial" w:cs="Arial"/>
          <w:b/>
          <w:bCs/>
        </w:rPr>
        <w:t>.</w:t>
      </w:r>
      <w:r w:rsidRPr="00A5171F">
        <w:rPr>
          <w:rFonts w:ascii="Arial" w:hAnsi="Arial" w:cs="Arial"/>
        </w:rPr>
        <w:t xml:space="preserve"> This framework outlines the five core principles of trauma</w:t>
      </w:r>
      <w:r w:rsidRPr="00A5171F">
        <w:rPr>
          <w:rFonts w:ascii="Arial" w:hAnsi="Arial" w:cs="Arial"/>
        </w:rPr>
        <w:noBreakHyphen/>
        <w:t>informed care: safety, trustworthiness, choice, collaboration, and empowerment. It demonstrates how services must shift from asking “what is wrong with you?” to “what has happened to you?”. In the West Midlands context, adopting these principles consistently would help reduce re</w:t>
      </w:r>
      <w:r w:rsidRPr="00A5171F">
        <w:rPr>
          <w:rFonts w:ascii="Arial" w:hAnsi="Arial" w:cs="Arial"/>
        </w:rPr>
        <w:noBreakHyphen/>
        <w:t>traumatisation, improve engagement, and create more equitable support — yet current evidence suggests these standards are not applied uniformly across local services.</w:t>
      </w:r>
    </w:p>
    <w:p w14:paraId="2579D4EF" w14:textId="3C31BA51" w:rsidR="008528CB" w:rsidRPr="00A5171F" w:rsidRDefault="008528CB" w:rsidP="00A5171F">
      <w:pPr>
        <w:ind w:left="720"/>
        <w:rPr>
          <w:rFonts w:ascii="Arial" w:hAnsi="Arial" w:cs="Arial"/>
        </w:rPr>
      </w:pPr>
      <w:r w:rsidRPr="00A5171F">
        <w:rPr>
          <w:rFonts w:ascii="Arial" w:hAnsi="Arial" w:cs="Arial"/>
          <w:noProof/>
        </w:rPr>
        <w:lastRenderedPageBreak/>
        <w:drawing>
          <wp:inline distT="0" distB="0" distL="0" distR="0" wp14:anchorId="5AC57FFA" wp14:editId="6E32360B">
            <wp:extent cx="5731510" cy="3218180"/>
            <wp:effectExtent l="0" t="0" r="2540" b="1270"/>
            <wp:docPr id="1223892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892044" name=""/>
                    <pic:cNvPicPr/>
                  </pic:nvPicPr>
                  <pic:blipFill>
                    <a:blip r:embed="rId11"/>
                    <a:stretch>
                      <a:fillRect/>
                    </a:stretch>
                  </pic:blipFill>
                  <pic:spPr>
                    <a:xfrm>
                      <a:off x="0" y="0"/>
                      <a:ext cx="5731510" cy="3218180"/>
                    </a:xfrm>
                    <a:prstGeom prst="rect">
                      <a:avLst/>
                    </a:prstGeom>
                  </pic:spPr>
                </pic:pic>
              </a:graphicData>
            </a:graphic>
          </wp:inline>
        </w:drawing>
      </w:r>
    </w:p>
    <w:p w14:paraId="5FF187F8" w14:textId="77777777" w:rsidR="00D2173B" w:rsidRPr="00A5171F" w:rsidRDefault="00D2173B" w:rsidP="00A5171F">
      <w:pPr>
        <w:pStyle w:val="paragraph"/>
        <w:spacing w:before="0" w:beforeAutospacing="0" w:after="0" w:afterAutospacing="0" w:line="360" w:lineRule="auto"/>
        <w:jc w:val="both"/>
        <w:textAlignment w:val="baseline"/>
        <w:rPr>
          <w:rFonts w:ascii="Arial" w:hAnsi="Arial" w:cs="Arial"/>
          <w:color w:val="0F4761"/>
          <w:sz w:val="22"/>
          <w:szCs w:val="22"/>
        </w:rPr>
      </w:pPr>
    </w:p>
    <w:p w14:paraId="5827529B" w14:textId="66A12395" w:rsidR="00BD2909" w:rsidRPr="00A5171F" w:rsidRDefault="00BD2909" w:rsidP="00A5171F">
      <w:pPr>
        <w:pStyle w:val="paragraph"/>
        <w:spacing w:before="0" w:beforeAutospacing="0" w:after="0" w:afterAutospacing="0" w:line="360" w:lineRule="auto"/>
        <w:jc w:val="both"/>
        <w:textAlignment w:val="baseline"/>
        <w:rPr>
          <w:rFonts w:ascii="Arial" w:hAnsi="Arial" w:cs="Arial"/>
          <w:sz w:val="22"/>
          <w:szCs w:val="22"/>
        </w:rPr>
      </w:pPr>
      <w:r w:rsidRPr="00A5171F">
        <w:rPr>
          <w:rStyle w:val="eop"/>
          <w:rFonts w:ascii="Arial" w:eastAsia="Calibri Light" w:hAnsi="Arial" w:cs="Arial"/>
          <w:sz w:val="22"/>
          <w:szCs w:val="22"/>
        </w:rPr>
        <w:t> </w:t>
      </w:r>
      <w:r w:rsidR="00605758" w:rsidRPr="00605758">
        <w:rPr>
          <w:rFonts w:ascii="Arial" w:eastAsia="Calibri Light" w:hAnsi="Arial" w:cs="Arial"/>
          <w:sz w:val="22"/>
          <w:szCs w:val="22"/>
        </w:rPr>
        <w:t>Moore et al. (2022) report that rates of multiple ACEs are significantly higher in more deprived areas of the West Midlands, including parts of Birmingham and Sandwell.</w:t>
      </w:r>
    </w:p>
    <w:p w14:paraId="1A2AF597" w14:textId="77777777" w:rsidR="00BA135A" w:rsidRPr="00A5171F" w:rsidRDefault="00BA135A" w:rsidP="00A5171F">
      <w:pPr>
        <w:pStyle w:val="paragraph"/>
        <w:spacing w:before="0" w:beforeAutospacing="0" w:after="0" w:afterAutospacing="0" w:line="360" w:lineRule="auto"/>
        <w:jc w:val="both"/>
        <w:textAlignment w:val="baseline"/>
        <w:rPr>
          <w:rStyle w:val="normaltextrun"/>
          <w:rFonts w:ascii="Arial" w:hAnsi="Arial" w:cs="Arial"/>
          <w:color w:val="0F4761"/>
          <w:sz w:val="22"/>
          <w:szCs w:val="22"/>
        </w:rPr>
      </w:pPr>
    </w:p>
    <w:p w14:paraId="508BC363" w14:textId="5B4199B9" w:rsidR="00BD2909" w:rsidRPr="00A5171F" w:rsidRDefault="00BD2909" w:rsidP="00A5171F">
      <w:pPr>
        <w:pStyle w:val="paragraph"/>
        <w:spacing w:before="0" w:beforeAutospacing="0" w:after="0" w:afterAutospacing="0" w:line="360" w:lineRule="auto"/>
        <w:jc w:val="both"/>
        <w:textAlignment w:val="baseline"/>
        <w:rPr>
          <w:rFonts w:ascii="Arial" w:hAnsi="Arial" w:cs="Arial"/>
          <w:b/>
          <w:bCs/>
          <w:color w:val="0F4761"/>
          <w:sz w:val="22"/>
          <w:szCs w:val="22"/>
        </w:rPr>
      </w:pPr>
      <w:r w:rsidRPr="00A5171F">
        <w:rPr>
          <w:rStyle w:val="normaltextrun"/>
          <w:rFonts w:ascii="Arial" w:hAnsi="Arial" w:cs="Arial"/>
          <w:b/>
          <w:bCs/>
          <w:color w:val="0F4761"/>
          <w:sz w:val="22"/>
          <w:szCs w:val="22"/>
        </w:rPr>
        <w:t xml:space="preserve">2.6 Conclusion </w:t>
      </w:r>
    </w:p>
    <w:p w14:paraId="62178643" w14:textId="77777777" w:rsidR="00BA135A" w:rsidRPr="00A5171F" w:rsidRDefault="00BA135A" w:rsidP="00A5171F">
      <w:pPr>
        <w:ind w:left="720"/>
        <w:rPr>
          <w:rFonts w:ascii="Arial" w:hAnsi="Arial" w:cs="Arial"/>
        </w:rPr>
      </w:pPr>
      <w:r w:rsidRPr="00A5171F">
        <w:rPr>
          <w:rFonts w:ascii="Arial" w:hAnsi="Arial" w:cs="Arial"/>
        </w:rPr>
        <w:t>This chapter has critically examined the historical, theoretical, international, national, and local context surrounding ACEs and adult mental health. It has shown that while ACEs are strongly associated with poorer outcomes, these relationships are dynamic and modifiable — shaped by attachment patterns, stress responses, protective factors, and crucially, by wider social and structural conditions.</w:t>
      </w:r>
    </w:p>
    <w:p w14:paraId="3B86B266" w14:textId="77777777" w:rsidR="00BA135A" w:rsidRPr="00A5171F" w:rsidRDefault="00BA135A" w:rsidP="00A5171F">
      <w:pPr>
        <w:ind w:left="720"/>
        <w:rPr>
          <w:rFonts w:ascii="Arial" w:hAnsi="Arial" w:cs="Arial"/>
        </w:rPr>
      </w:pPr>
      <w:r w:rsidRPr="00A5171F">
        <w:rPr>
          <w:rFonts w:ascii="Arial" w:hAnsi="Arial" w:cs="Arial"/>
        </w:rPr>
        <w:t>International examples confirm that preventative welfare and equitable service access can significantly reduce harm. Within the UK, policy commitment is clear, but implementation is inconsistent, particularly in deprived areas such as the West Midlands. Gaps remain in understanding how national guidance translates into local practice, how inequalities intersect with ACE exposure, and how effectively trauma</w:t>
      </w:r>
      <w:r w:rsidRPr="00A5171F">
        <w:rPr>
          <w:rFonts w:ascii="Arial" w:hAnsi="Arial" w:cs="Arial"/>
        </w:rPr>
        <w:noBreakHyphen/>
        <w:t>informed approaches are being embedded across services.</w:t>
      </w:r>
    </w:p>
    <w:p w14:paraId="3976C8C6" w14:textId="77777777" w:rsidR="00BA135A" w:rsidRDefault="00BA135A" w:rsidP="00A5171F">
      <w:pPr>
        <w:ind w:left="720"/>
        <w:rPr>
          <w:rFonts w:ascii="Arial" w:hAnsi="Arial" w:cs="Arial"/>
        </w:rPr>
      </w:pPr>
      <w:r w:rsidRPr="00A5171F">
        <w:rPr>
          <w:rFonts w:ascii="Arial" w:hAnsi="Arial" w:cs="Arial"/>
        </w:rPr>
        <w:t>The following chapter will outline the systematic literature review process, including search strategy, inclusion/exclusion criteria, quality appraisal, and thematic analysis — establishing the transparent, evidence</w:t>
      </w:r>
      <w:r w:rsidRPr="00A5171F">
        <w:rPr>
          <w:rFonts w:ascii="Arial" w:hAnsi="Arial" w:cs="Arial"/>
        </w:rPr>
        <w:noBreakHyphen/>
        <w:t>based approach used to identify and synthesise the research presented in this dissertation.</w:t>
      </w:r>
    </w:p>
    <w:p w14:paraId="060DAFCC" w14:textId="115C2919" w:rsidR="00DC7A8F" w:rsidRPr="00A5171F" w:rsidRDefault="00DC7A8F" w:rsidP="00A5171F">
      <w:pPr>
        <w:ind w:left="720"/>
        <w:rPr>
          <w:rFonts w:ascii="Arial" w:hAnsi="Arial" w:cs="Arial"/>
        </w:rPr>
      </w:pPr>
      <w:r w:rsidRPr="00DC7A8F">
        <w:rPr>
          <w:rFonts w:ascii="Arial" w:hAnsi="Arial" w:cs="Arial"/>
        </w:rPr>
        <w:lastRenderedPageBreak/>
        <w:t xml:space="preserve">King (2020) notes that strong community networks act as a protective factor, </w:t>
      </w:r>
      <w:proofErr w:type="gramStart"/>
      <w:r w:rsidRPr="00DC7A8F">
        <w:rPr>
          <w:rFonts w:ascii="Arial" w:hAnsi="Arial" w:cs="Arial"/>
        </w:rPr>
        <w:t xml:space="preserve">helping </w:t>
      </w:r>
      <w:r w:rsidR="00ED4DA3">
        <w:rPr>
          <w:rFonts w:ascii="Arial" w:hAnsi="Arial" w:cs="Arial"/>
        </w:rPr>
        <w:t xml:space="preserve"> </w:t>
      </w:r>
      <w:r w:rsidRPr="00DC7A8F">
        <w:rPr>
          <w:rFonts w:ascii="Arial" w:hAnsi="Arial" w:cs="Arial"/>
        </w:rPr>
        <w:t>to</w:t>
      </w:r>
      <w:proofErr w:type="gramEnd"/>
      <w:r w:rsidRPr="00DC7A8F">
        <w:rPr>
          <w:rFonts w:ascii="Arial" w:hAnsi="Arial" w:cs="Arial"/>
        </w:rPr>
        <w:t xml:space="preserve"> reduce the impact of disadvantage and adversity on children.</w:t>
      </w:r>
    </w:p>
    <w:p w14:paraId="407ABDAE" w14:textId="53E62E7C" w:rsidR="00880B2D" w:rsidRPr="00A5171F" w:rsidRDefault="00BD2909" w:rsidP="00A5171F">
      <w:pPr>
        <w:pStyle w:val="paragraph"/>
        <w:spacing w:before="0" w:beforeAutospacing="0" w:after="0" w:afterAutospacing="0" w:line="360" w:lineRule="auto"/>
        <w:jc w:val="both"/>
        <w:textAlignment w:val="baseline"/>
        <w:rPr>
          <w:rFonts w:ascii="Arial" w:hAnsi="Arial" w:cs="Arial"/>
          <w:sz w:val="22"/>
          <w:szCs w:val="22"/>
        </w:rPr>
        <w:sectPr w:rsidR="00880B2D" w:rsidRPr="00A5171F">
          <w:footerReference w:type="default" r:id="rId12"/>
          <w:pgSz w:w="11906" w:h="16838"/>
          <w:pgMar w:top="1440" w:right="1440" w:bottom="1440" w:left="1440" w:header="708" w:footer="708" w:gutter="0"/>
          <w:cols w:space="708"/>
          <w:docGrid w:linePitch="360"/>
        </w:sectPr>
      </w:pPr>
      <w:r w:rsidRPr="00A5171F">
        <w:rPr>
          <w:rStyle w:val="eop"/>
          <w:rFonts w:ascii="Arial" w:eastAsia="Calibri Light" w:hAnsi="Arial" w:cs="Arial"/>
          <w:sz w:val="22"/>
          <w:szCs w:val="22"/>
        </w:rPr>
        <w:t> </w:t>
      </w:r>
      <w:bookmarkEnd w:id="7"/>
    </w:p>
    <w:p w14:paraId="5C2EC55E" w14:textId="6DC2B954" w:rsidR="00B7073C" w:rsidRPr="0026711F" w:rsidRDefault="00292A36" w:rsidP="00A5171F">
      <w:pPr>
        <w:pStyle w:val="Heading1"/>
        <w:spacing w:line="360" w:lineRule="auto"/>
        <w:ind w:left="0"/>
        <w:jc w:val="both"/>
        <w:rPr>
          <w:rFonts w:cs="Arial"/>
          <w:u w:val="single"/>
        </w:rPr>
      </w:pPr>
      <w:bookmarkStart w:id="8" w:name="OLE_LINK6"/>
      <w:bookmarkStart w:id="9" w:name="OLE_LINK10"/>
      <w:r w:rsidRPr="0026711F">
        <w:rPr>
          <w:rFonts w:cs="Arial"/>
          <w:u w:val="single"/>
        </w:rPr>
        <w:lastRenderedPageBreak/>
        <w:t xml:space="preserve">CHAPTER 3 – </w:t>
      </w:r>
      <w:r w:rsidR="00E325CF" w:rsidRPr="0026711F">
        <w:rPr>
          <w:rFonts w:cs="Arial"/>
          <w:u w:val="single"/>
        </w:rPr>
        <w:t xml:space="preserve">Methods and Search </w:t>
      </w:r>
    </w:p>
    <w:p w14:paraId="375E2186" w14:textId="77777777" w:rsidR="00F01D37" w:rsidRPr="00A5171F" w:rsidRDefault="00F01D37" w:rsidP="00A5171F">
      <w:pPr>
        <w:pStyle w:val="Heading1"/>
        <w:spacing w:line="360" w:lineRule="auto"/>
        <w:ind w:left="0"/>
        <w:jc w:val="both"/>
        <w:rPr>
          <w:rFonts w:cs="Arial"/>
          <w:sz w:val="22"/>
          <w:szCs w:val="22"/>
        </w:rPr>
      </w:pPr>
    </w:p>
    <w:p w14:paraId="5A7AB555" w14:textId="23157B72" w:rsidR="003A66FD" w:rsidRPr="00A5171F" w:rsidRDefault="00292A36" w:rsidP="00A5171F">
      <w:pPr>
        <w:pStyle w:val="Heading2"/>
        <w:rPr>
          <w:rFonts w:ascii="Arial" w:hAnsi="Arial" w:cs="Arial"/>
          <w:sz w:val="22"/>
          <w:szCs w:val="22"/>
        </w:rPr>
      </w:pPr>
      <w:r w:rsidRPr="00A5171F">
        <w:rPr>
          <w:rFonts w:ascii="Arial" w:hAnsi="Arial" w:cs="Arial"/>
          <w:b/>
          <w:bCs/>
          <w:sz w:val="22"/>
          <w:szCs w:val="22"/>
        </w:rPr>
        <w:t>3.</w:t>
      </w:r>
      <w:r w:rsidR="005D7A1E" w:rsidRPr="00A5171F">
        <w:rPr>
          <w:rFonts w:ascii="Arial" w:hAnsi="Arial" w:cs="Arial"/>
          <w:b/>
          <w:bCs/>
          <w:sz w:val="22"/>
          <w:szCs w:val="22"/>
        </w:rPr>
        <w:t>1</w:t>
      </w:r>
      <w:r w:rsidRPr="00A5171F">
        <w:rPr>
          <w:rFonts w:ascii="Arial" w:hAnsi="Arial" w:cs="Arial"/>
          <w:sz w:val="22"/>
          <w:szCs w:val="22"/>
        </w:rPr>
        <w:t xml:space="preserve"> </w:t>
      </w:r>
      <w:r w:rsidRPr="00A5171F">
        <w:rPr>
          <w:rFonts w:ascii="Arial" w:hAnsi="Arial" w:cs="Arial"/>
          <w:b/>
          <w:bCs/>
          <w:sz w:val="22"/>
          <w:szCs w:val="22"/>
        </w:rPr>
        <w:t>–</w:t>
      </w:r>
      <w:r w:rsidR="0021364B" w:rsidRPr="00A5171F">
        <w:rPr>
          <w:rFonts w:ascii="Arial" w:hAnsi="Arial" w:cs="Arial"/>
          <w:b/>
          <w:bCs/>
          <w:sz w:val="22"/>
          <w:szCs w:val="22"/>
        </w:rPr>
        <w:t xml:space="preserve"> </w:t>
      </w:r>
      <w:r w:rsidRPr="00A5171F">
        <w:rPr>
          <w:rFonts w:ascii="Arial" w:hAnsi="Arial" w:cs="Arial"/>
          <w:b/>
          <w:bCs/>
          <w:sz w:val="22"/>
          <w:szCs w:val="22"/>
        </w:rPr>
        <w:t>Introduction</w:t>
      </w:r>
      <w:r w:rsidRPr="00A5171F">
        <w:rPr>
          <w:rFonts w:ascii="Arial" w:hAnsi="Arial" w:cs="Arial"/>
          <w:sz w:val="22"/>
          <w:szCs w:val="22"/>
        </w:rPr>
        <w:t xml:space="preserve"> </w:t>
      </w:r>
    </w:p>
    <w:p w14:paraId="6F680CE8" w14:textId="77777777" w:rsidR="00080777" w:rsidRPr="00A5171F" w:rsidRDefault="00080777" w:rsidP="00A5171F">
      <w:pPr>
        <w:pStyle w:val="Heading2"/>
        <w:rPr>
          <w:rFonts w:ascii="Arial" w:eastAsiaTheme="minorEastAsia" w:hAnsi="Arial" w:cs="Arial"/>
          <w:color w:val="auto"/>
          <w:sz w:val="22"/>
          <w:szCs w:val="22"/>
        </w:rPr>
      </w:pPr>
      <w:r w:rsidRPr="00A5171F">
        <w:rPr>
          <w:rFonts w:ascii="Arial" w:eastAsiaTheme="minorEastAsia" w:hAnsi="Arial" w:cs="Arial"/>
          <w:color w:val="auto"/>
          <w:sz w:val="22"/>
          <w:szCs w:val="22"/>
        </w:rPr>
        <w:t>This chapter sets out the full methodological approach adopted for this independent project, explaining in detail how relevant literature was identified, screened, evaluated, and analysed to address the study’s research aims and objectives. It describes the search strategy, outlines the databases and search terms used, explains why secondary research was selected as the most appropriate approach, sets out clear inclusion and exclusion criteria, details how data was extracted and analysed, and confirms the ethical standards observed throughout. The chapter concludes by summarising the strengths and limitations of the methods used, demonstrating that the review was conducted systematically, transparently, and in a way that ensures the findings presented in Chapter 4 are credible and defensible.</w:t>
      </w:r>
    </w:p>
    <w:p w14:paraId="4C958F75" w14:textId="77777777" w:rsidR="00080777" w:rsidRPr="00A5171F" w:rsidRDefault="00080777" w:rsidP="00A5171F">
      <w:pPr>
        <w:pStyle w:val="Heading2"/>
        <w:rPr>
          <w:rFonts w:ascii="Arial" w:eastAsiaTheme="minorEastAsia" w:hAnsi="Arial" w:cs="Arial"/>
          <w:color w:val="auto"/>
          <w:sz w:val="22"/>
          <w:szCs w:val="22"/>
        </w:rPr>
      </w:pPr>
    </w:p>
    <w:p w14:paraId="644CE1D2" w14:textId="05C408E3" w:rsidR="009E5B14" w:rsidRPr="00A5171F" w:rsidRDefault="00292A36" w:rsidP="00A5171F">
      <w:pPr>
        <w:pStyle w:val="Heading2"/>
        <w:rPr>
          <w:rFonts w:ascii="Arial" w:hAnsi="Arial" w:cs="Arial"/>
          <w:b/>
          <w:bCs/>
          <w:sz w:val="22"/>
          <w:szCs w:val="22"/>
        </w:rPr>
      </w:pPr>
      <w:r w:rsidRPr="00A5171F">
        <w:rPr>
          <w:rFonts w:ascii="Arial" w:hAnsi="Arial" w:cs="Arial"/>
          <w:b/>
          <w:bCs/>
          <w:sz w:val="22"/>
          <w:szCs w:val="22"/>
        </w:rPr>
        <w:t>3.</w:t>
      </w:r>
      <w:r w:rsidR="00E40B0D" w:rsidRPr="00A5171F">
        <w:rPr>
          <w:rFonts w:ascii="Arial" w:hAnsi="Arial" w:cs="Arial"/>
          <w:b/>
          <w:bCs/>
          <w:sz w:val="22"/>
          <w:szCs w:val="22"/>
        </w:rPr>
        <w:t>2</w:t>
      </w:r>
      <w:r w:rsidRPr="00A5171F">
        <w:rPr>
          <w:rFonts w:ascii="Arial" w:hAnsi="Arial" w:cs="Arial"/>
          <w:b/>
          <w:bCs/>
          <w:sz w:val="22"/>
          <w:szCs w:val="22"/>
        </w:rPr>
        <w:t xml:space="preserve"> – Search Strategy </w:t>
      </w:r>
    </w:p>
    <w:p w14:paraId="2BE7AED7" w14:textId="77777777" w:rsidR="00080777" w:rsidRPr="00A5171F" w:rsidRDefault="00080777" w:rsidP="00A5171F">
      <w:pPr>
        <w:rPr>
          <w:rFonts w:ascii="Arial" w:hAnsi="Arial" w:cs="Arial"/>
        </w:rPr>
      </w:pPr>
      <w:r w:rsidRPr="00A5171F">
        <w:rPr>
          <w:rFonts w:ascii="Arial" w:hAnsi="Arial" w:cs="Arial"/>
        </w:rPr>
        <w:t>A structured, replicable search was conducted between May 2026 and June 2026 across five key academic databases chosen for their specific relevance to the topic: PubMed / Medline, PsycINFO, CINAHL, Sociological Abstracts, and Google Scholar. The search was designed to capture both peer</w:t>
      </w:r>
      <w:r w:rsidRPr="00A5171F">
        <w:rPr>
          <w:rFonts w:ascii="Arial" w:hAnsi="Arial" w:cs="Arial"/>
        </w:rPr>
        <w:noBreakHyphen/>
        <w:t>reviewed academic research and official policy documents and reports relating to Adverse Childhood Experiences and mental health outcomes across the UK. Search terms were combined using Boolean operators to ensure broad coverage while maintaining focus on the UK context. In addition to database searches, the reference lists of key review papers and national reports were hand</w:t>
      </w:r>
      <w:r w:rsidRPr="00A5171F">
        <w:rPr>
          <w:rFonts w:ascii="Arial" w:hAnsi="Arial" w:cs="Arial"/>
        </w:rPr>
        <w:noBreakHyphen/>
        <w:t>searched to identify further relevant sources that may not have been captured in the main search.</w:t>
      </w:r>
    </w:p>
    <w:p w14:paraId="06675CA4" w14:textId="2CF77246" w:rsidR="00DB3118" w:rsidRPr="00A5171F" w:rsidRDefault="00DB3118" w:rsidP="00A5171F">
      <w:pPr>
        <w:rPr>
          <w:rFonts w:ascii="Arial" w:hAnsi="Arial" w:cs="Arial"/>
          <w:b/>
          <w:bCs/>
        </w:rPr>
      </w:pPr>
      <w:r w:rsidRPr="00A5171F">
        <w:rPr>
          <w:rFonts w:ascii="Arial" w:hAnsi="Arial" w:cs="Arial"/>
          <w:b/>
          <w:bCs/>
        </w:rPr>
        <w:t>Key keywords used:</w:t>
      </w:r>
    </w:p>
    <w:p w14:paraId="782329AE" w14:textId="77777777" w:rsidR="00DB3118" w:rsidRPr="00A5171F" w:rsidRDefault="00DB3118" w:rsidP="00A5171F">
      <w:pPr>
        <w:rPr>
          <w:rFonts w:ascii="Arial" w:hAnsi="Arial" w:cs="Arial"/>
        </w:rPr>
      </w:pPr>
      <w:r w:rsidRPr="00A5171F">
        <w:rPr>
          <w:rFonts w:ascii="Arial" w:hAnsi="Arial" w:cs="Arial"/>
        </w:rPr>
        <w:t>“Adverse Childhood Experiences”, “ACEs”, “childhood trauma”, “childhood adversity”, “mental health”, “adult mental health”, “depression”, “anxiety”, “post-traumatic stress disorder”, “psychological wellbeing”, “trauma-informed practice”, “United Kingdom”, “West Midlands”</w:t>
      </w:r>
    </w:p>
    <w:p w14:paraId="28F79152" w14:textId="77777777" w:rsidR="0070029F" w:rsidRPr="00A5171F" w:rsidRDefault="0070029F" w:rsidP="00A5171F">
      <w:pPr>
        <w:rPr>
          <w:rFonts w:ascii="Arial" w:hAnsi="Arial" w:cs="Arial"/>
        </w:rPr>
      </w:pPr>
    </w:p>
    <w:p w14:paraId="2434B55D" w14:textId="343D266A" w:rsidR="00DB3118" w:rsidRPr="00A5171F" w:rsidRDefault="00DB3118" w:rsidP="00A5171F">
      <w:pPr>
        <w:rPr>
          <w:rFonts w:ascii="Arial" w:hAnsi="Arial" w:cs="Arial"/>
          <w:b/>
          <w:bCs/>
        </w:rPr>
      </w:pPr>
      <w:r w:rsidRPr="00A5171F">
        <w:rPr>
          <w:rFonts w:ascii="Arial" w:hAnsi="Arial" w:cs="Arial"/>
          <w:b/>
          <w:bCs/>
        </w:rPr>
        <w:t>Boolean operators were used to refine results:</w:t>
      </w:r>
    </w:p>
    <w:p w14:paraId="4D858725" w14:textId="77777777" w:rsidR="00DB3118" w:rsidRPr="00A5171F" w:rsidRDefault="00DB3118" w:rsidP="00A5171F">
      <w:pPr>
        <w:rPr>
          <w:rFonts w:ascii="Arial" w:hAnsi="Arial" w:cs="Arial"/>
        </w:rPr>
      </w:pPr>
      <w:r w:rsidRPr="00A5171F">
        <w:rPr>
          <w:rFonts w:ascii="Arial" w:hAnsi="Arial" w:cs="Arial"/>
        </w:rPr>
        <w:t>“ACEs AND mental health”, “childhood trauma AND adult outcomes”, “adverse childhood experiences OR childhood adversity”</w:t>
      </w:r>
    </w:p>
    <w:p w14:paraId="578588FB" w14:textId="77777777" w:rsidR="00DB3118" w:rsidRDefault="00DB3118" w:rsidP="00A5171F">
      <w:pPr>
        <w:rPr>
          <w:rFonts w:ascii="Arial" w:hAnsi="Arial" w:cs="Arial"/>
        </w:rPr>
      </w:pPr>
      <w:r w:rsidRPr="00A5171F">
        <w:rPr>
          <w:rFonts w:ascii="Arial" w:hAnsi="Arial" w:cs="Arial"/>
        </w:rPr>
        <w:lastRenderedPageBreak/>
        <w:t>This allowed both broad and targeted searches. A Source Tracking Table was maintained throughout to record search terms, databases, and selected studies, creating a clear audit trail (see Appendix 1).</w:t>
      </w:r>
    </w:p>
    <w:p w14:paraId="4C15010B" w14:textId="77777777" w:rsidR="002C6482" w:rsidRPr="002C6482" w:rsidRDefault="002C6482" w:rsidP="002C6482">
      <w:pPr>
        <w:rPr>
          <w:rFonts w:ascii="Arial" w:hAnsi="Arial" w:cs="Arial"/>
        </w:rPr>
      </w:pPr>
      <w:r w:rsidRPr="002C6482">
        <w:rPr>
          <w:rFonts w:ascii="Arial" w:hAnsi="Arial" w:cs="Arial"/>
        </w:rPr>
        <w:t>A structured and transparent search strategy also enhances the reproducibility of literature reviews by enabling future researchers to understand how evidence was identified, screened, and selected. Maintaining clear inclusion and exclusion criteria reduces the likelihood of arbitrary decision-making and improves confidence that the final body of literature accurately reflects the available evidence relevant to the research question. Transparency throughout the review process is particularly important within health and social care research, where evidence often informs professional practice and policy development.</w:t>
      </w:r>
    </w:p>
    <w:p w14:paraId="5CD5EF1E" w14:textId="77777777" w:rsidR="002C6482" w:rsidRPr="002C6482" w:rsidRDefault="002C6482" w:rsidP="002C6482">
      <w:pPr>
        <w:rPr>
          <w:rFonts w:ascii="Arial" w:hAnsi="Arial" w:cs="Arial"/>
        </w:rPr>
      </w:pPr>
      <w:r w:rsidRPr="002C6482">
        <w:rPr>
          <w:rFonts w:ascii="Arial" w:hAnsi="Arial" w:cs="Arial"/>
        </w:rPr>
        <w:t xml:space="preserve">Despite these strengths, literature searching remains an iterative process requiring continuous refinement. Initial searches may retrieve a substantial number of irrelevant publications or studies of limited methodological quality, requiring adjustments to search terms and database filters. The use of Boolean operators, truncation, phrase searching, and subject-specific keywords improved search precision while ensuring that potentially relevant evidence was not overlooked. </w:t>
      </w:r>
      <w:bookmarkStart w:id="10" w:name="OLE_LINK18"/>
      <w:r w:rsidRPr="002C6482">
        <w:rPr>
          <w:rFonts w:ascii="Arial" w:hAnsi="Arial" w:cs="Arial"/>
        </w:rPr>
        <w:t>This systematic approach strengthened the credibility of the review and ensured that the evidence synthesised throughout the dissertation remained closely aligned with the stated aims and objectives.</w:t>
      </w:r>
    </w:p>
    <w:bookmarkEnd w:id="10"/>
    <w:p w14:paraId="16432FDD" w14:textId="77777777" w:rsidR="002C6482" w:rsidRPr="002C6482" w:rsidRDefault="002C6482" w:rsidP="002C6482">
      <w:pPr>
        <w:rPr>
          <w:rFonts w:ascii="Arial" w:hAnsi="Arial" w:cs="Arial"/>
        </w:rPr>
      </w:pPr>
      <w:r w:rsidRPr="002C6482">
        <w:rPr>
          <w:rFonts w:ascii="Arial" w:hAnsi="Arial" w:cs="Arial"/>
        </w:rPr>
        <w:t>Furthermore, documenting each stage of the search process supports transparency by demonstrating how studies progressed from identification to final inclusion. Such an approach reduces potential selection bias and enables readers to evaluate the rigour of the review methodology independently.</w:t>
      </w:r>
    </w:p>
    <w:p w14:paraId="440D7705" w14:textId="77777777" w:rsidR="002C6482" w:rsidRPr="00A5171F" w:rsidRDefault="002C6482" w:rsidP="00A5171F">
      <w:pPr>
        <w:rPr>
          <w:rFonts w:ascii="Arial" w:hAnsi="Arial" w:cs="Arial"/>
        </w:rPr>
      </w:pPr>
    </w:p>
    <w:p w14:paraId="3985A8DA" w14:textId="77777777" w:rsidR="00DB3118" w:rsidRPr="00A5171F" w:rsidRDefault="00DB3118" w:rsidP="00A5171F">
      <w:pPr>
        <w:rPr>
          <w:rFonts w:ascii="Arial" w:hAnsi="Arial" w:cs="Arial"/>
        </w:rPr>
      </w:pPr>
    </w:p>
    <w:p w14:paraId="2D7BD66C" w14:textId="34B565A4" w:rsidR="00A87C2B" w:rsidRPr="00A5171F" w:rsidRDefault="00292A36">
      <w:pPr>
        <w:pStyle w:val="Heading2"/>
        <w:numPr>
          <w:ilvl w:val="1"/>
          <w:numId w:val="3"/>
        </w:numPr>
        <w:rPr>
          <w:rFonts w:ascii="Arial" w:hAnsi="Arial" w:cs="Arial"/>
          <w:sz w:val="22"/>
          <w:szCs w:val="22"/>
        </w:rPr>
      </w:pPr>
      <w:r w:rsidRPr="00A5171F">
        <w:rPr>
          <w:rFonts w:ascii="Arial" w:hAnsi="Arial" w:cs="Arial"/>
          <w:sz w:val="22"/>
          <w:szCs w:val="22"/>
        </w:rPr>
        <w:t xml:space="preserve">– </w:t>
      </w:r>
      <w:r w:rsidR="00080777" w:rsidRPr="00A5171F">
        <w:rPr>
          <w:rFonts w:ascii="Arial" w:hAnsi="Arial" w:cs="Arial"/>
          <w:b/>
          <w:bCs/>
          <w:sz w:val="22"/>
          <w:szCs w:val="22"/>
        </w:rPr>
        <w:t>Searching for Information</w:t>
      </w:r>
    </w:p>
    <w:p w14:paraId="63F264AC" w14:textId="77777777" w:rsidR="00920803" w:rsidRPr="00A5171F" w:rsidRDefault="00920803" w:rsidP="00A5171F">
      <w:pPr>
        <w:pStyle w:val="ListParagraph"/>
        <w:spacing w:line="360" w:lineRule="auto"/>
        <w:ind w:left="360" w:firstLine="0"/>
        <w:jc w:val="both"/>
        <w:rPr>
          <w:rFonts w:ascii="Arial" w:eastAsia="Times New Roman" w:hAnsi="Arial" w:cs="Arial"/>
          <w:color w:val="000000"/>
        </w:rPr>
      </w:pPr>
      <w:r w:rsidRPr="00A5171F">
        <w:rPr>
          <w:rFonts w:ascii="Arial" w:eastAsia="Times New Roman" w:hAnsi="Arial" w:cs="Arial"/>
          <w:color w:val="000000"/>
        </w:rPr>
        <w:t>Search terms were developed iteratively, drawing on key concepts identified in the literature review and research objectives:</w:t>
      </w:r>
    </w:p>
    <w:p w14:paraId="3AC5F904" w14:textId="77777777" w:rsidR="00920803" w:rsidRPr="00A5171F" w:rsidRDefault="00920803" w:rsidP="00A5171F">
      <w:pPr>
        <w:pStyle w:val="ListParagraph"/>
        <w:spacing w:line="360" w:lineRule="auto"/>
        <w:ind w:left="360" w:firstLine="0"/>
        <w:jc w:val="both"/>
        <w:rPr>
          <w:rFonts w:ascii="Arial" w:eastAsia="Times New Roman" w:hAnsi="Arial" w:cs="Arial"/>
          <w:color w:val="000000"/>
        </w:rPr>
      </w:pPr>
    </w:p>
    <w:p w14:paraId="650D051B" w14:textId="77777777" w:rsidR="00920803" w:rsidRPr="00A5171F" w:rsidRDefault="00920803" w:rsidP="00A5171F">
      <w:pPr>
        <w:rPr>
          <w:rFonts w:ascii="Arial" w:eastAsia="Times New Roman" w:hAnsi="Arial" w:cs="Arial"/>
          <w:color w:val="000000"/>
        </w:rPr>
      </w:pPr>
      <w:r w:rsidRPr="00A5171F">
        <w:rPr>
          <w:rFonts w:ascii="Arial" w:eastAsia="Times New Roman" w:hAnsi="Arial" w:cs="Arial"/>
          <w:i/>
          <w:iCs/>
          <w:color w:val="000000"/>
        </w:rPr>
        <w:t>(“Adverse Childhood Experiences” OR “ACEs” OR “childhood adversity” OR “early life trauma”) AND (“mental health” OR “wellbeing” OR “depression” OR “anxiety” OR “resilience”) AND (“UK” OR “Britain” OR “England” OR “Scotland” OR “Wales” OR “Northern Ireland” OR “West Midlands”) AND (“policy” OR “practice” OR “trauma</w:t>
      </w:r>
      <w:r w:rsidRPr="00A5171F">
        <w:rPr>
          <w:rFonts w:ascii="Arial" w:eastAsia="Times New Roman" w:hAnsi="Arial" w:cs="Arial"/>
          <w:i/>
          <w:iCs/>
          <w:color w:val="000000"/>
        </w:rPr>
        <w:noBreakHyphen/>
        <w:t>informed”)</w:t>
      </w:r>
    </w:p>
    <w:p w14:paraId="3F89C8DB" w14:textId="77777777" w:rsidR="00920803" w:rsidRPr="00A5171F" w:rsidRDefault="00920803" w:rsidP="00A5171F">
      <w:pPr>
        <w:pStyle w:val="ListParagraph"/>
        <w:spacing w:line="360" w:lineRule="auto"/>
        <w:ind w:left="360" w:firstLine="0"/>
        <w:jc w:val="both"/>
        <w:rPr>
          <w:rFonts w:ascii="Arial" w:eastAsia="Times New Roman" w:hAnsi="Arial" w:cs="Arial"/>
          <w:color w:val="000000"/>
        </w:rPr>
      </w:pPr>
      <w:r w:rsidRPr="00A5171F">
        <w:rPr>
          <w:rFonts w:ascii="Arial" w:eastAsia="Times New Roman" w:hAnsi="Arial" w:cs="Arial"/>
          <w:color w:val="000000"/>
        </w:rPr>
        <w:t xml:space="preserve">Each database was selected for its specific strengths: PubMed / Medline for epidemiological and public health studies; PsycINFO for psychological and mental health </w:t>
      </w:r>
      <w:r w:rsidRPr="00A5171F">
        <w:rPr>
          <w:rFonts w:ascii="Arial" w:eastAsia="Times New Roman" w:hAnsi="Arial" w:cs="Arial"/>
          <w:color w:val="000000"/>
        </w:rPr>
        <w:lastRenderedPageBreak/>
        <w:t>research; CINAHL for health and social care literature; Sociological Abstracts for social policy and inequality analysis; and Google Scholar to locate grey literature, government reports, and guidance documents. Initial searches returned 217 records. After removing duplicates, 142 titles and abstracts were screened against the inclusion criteria; 68 full</w:t>
      </w:r>
      <w:r w:rsidRPr="00A5171F">
        <w:rPr>
          <w:rFonts w:ascii="Arial" w:eastAsia="Times New Roman" w:hAnsi="Arial" w:cs="Arial"/>
          <w:color w:val="000000"/>
        </w:rPr>
        <w:noBreakHyphen/>
        <w:t>text articles and reports were retrieved for detailed assessment, leading to a final sample of 29 sources included in the review.</w:t>
      </w:r>
    </w:p>
    <w:p w14:paraId="0BEB0164" w14:textId="77F743D6" w:rsidR="00E325CF" w:rsidRPr="00A5171F" w:rsidRDefault="00E325CF" w:rsidP="00A5171F">
      <w:pPr>
        <w:pStyle w:val="Heading2"/>
        <w:rPr>
          <w:rFonts w:ascii="Arial" w:hAnsi="Arial" w:cs="Arial"/>
          <w:sz w:val="22"/>
          <w:szCs w:val="22"/>
        </w:rPr>
      </w:pPr>
    </w:p>
    <w:p w14:paraId="654FEEFE" w14:textId="2F03DC44" w:rsidR="00A87C2B" w:rsidRPr="00A5171F" w:rsidRDefault="00292A36">
      <w:pPr>
        <w:pStyle w:val="Heading2"/>
        <w:numPr>
          <w:ilvl w:val="1"/>
          <w:numId w:val="3"/>
        </w:numPr>
        <w:rPr>
          <w:rStyle w:val="Heading2Char"/>
          <w:rFonts w:ascii="Arial" w:hAnsi="Arial" w:cs="Arial"/>
          <w:sz w:val="22"/>
          <w:szCs w:val="22"/>
        </w:rPr>
      </w:pPr>
      <w:r w:rsidRPr="00A5171F">
        <w:rPr>
          <w:rStyle w:val="Heading2Char"/>
          <w:rFonts w:ascii="Arial" w:hAnsi="Arial" w:cs="Arial"/>
          <w:sz w:val="22"/>
          <w:szCs w:val="22"/>
        </w:rPr>
        <w:t xml:space="preserve">- </w:t>
      </w:r>
      <w:r w:rsidR="00C026C3" w:rsidRPr="00A5171F">
        <w:rPr>
          <w:rFonts w:ascii="Arial" w:hAnsi="Arial" w:cs="Arial"/>
          <w:b/>
          <w:bCs/>
          <w:sz w:val="22"/>
          <w:szCs w:val="22"/>
        </w:rPr>
        <w:t>Research Validation</w:t>
      </w:r>
    </w:p>
    <w:p w14:paraId="50072397" w14:textId="77777777" w:rsidR="00C026C3" w:rsidRPr="00A5171F" w:rsidRDefault="00C026C3" w:rsidP="00A5171F">
      <w:pPr>
        <w:rPr>
          <w:rFonts w:ascii="Arial" w:eastAsia="Times New Roman" w:hAnsi="Arial" w:cs="Arial"/>
          <w:color w:val="0D0D0D"/>
          <w:kern w:val="0"/>
          <w:lang w:eastAsia="en-GB"/>
          <w14:ligatures w14:val="none"/>
        </w:rPr>
      </w:pPr>
      <w:r w:rsidRPr="00A5171F">
        <w:rPr>
          <w:rFonts w:ascii="Arial" w:eastAsia="Times New Roman" w:hAnsi="Arial" w:cs="Arial"/>
          <w:color w:val="0D0D0D"/>
          <w:kern w:val="0"/>
          <w:lang w:eastAsia="en-GB"/>
          <w14:ligatures w14:val="none"/>
        </w:rPr>
        <w:t>Sources were initially assessed by skimming titles, abstracts, introductions, and conclusions to gauge relevance before full review. The CRAAP test was applied to evaluate quality:</w:t>
      </w:r>
    </w:p>
    <w:p w14:paraId="3CED3358" w14:textId="77777777" w:rsidR="00C026C3" w:rsidRPr="00A5171F" w:rsidRDefault="00C026C3">
      <w:pPr>
        <w:numPr>
          <w:ilvl w:val="0"/>
          <w:numId w:val="5"/>
        </w:numPr>
        <w:rPr>
          <w:rFonts w:ascii="Arial" w:eastAsia="Times New Roman" w:hAnsi="Arial" w:cs="Arial"/>
          <w:color w:val="0D0D0D"/>
          <w:kern w:val="0"/>
          <w:lang w:eastAsia="en-GB"/>
          <w14:ligatures w14:val="none"/>
        </w:rPr>
      </w:pPr>
      <w:r w:rsidRPr="00A5171F">
        <w:rPr>
          <w:rFonts w:ascii="Arial" w:eastAsia="Times New Roman" w:hAnsi="Arial" w:cs="Arial"/>
          <w:color w:val="0D0D0D"/>
          <w:kern w:val="0"/>
          <w:lang w:eastAsia="en-GB"/>
          <w14:ligatures w14:val="none"/>
        </w:rPr>
        <w:t>Currency: prioritising research published within the last 11 years</w:t>
      </w:r>
    </w:p>
    <w:p w14:paraId="72D7887D" w14:textId="77777777" w:rsidR="00C026C3" w:rsidRPr="00A5171F" w:rsidRDefault="00C026C3">
      <w:pPr>
        <w:numPr>
          <w:ilvl w:val="0"/>
          <w:numId w:val="5"/>
        </w:numPr>
        <w:rPr>
          <w:rFonts w:ascii="Arial" w:eastAsia="Times New Roman" w:hAnsi="Arial" w:cs="Arial"/>
          <w:color w:val="0D0D0D"/>
          <w:kern w:val="0"/>
          <w:lang w:eastAsia="en-GB"/>
          <w14:ligatures w14:val="none"/>
        </w:rPr>
      </w:pPr>
      <w:r w:rsidRPr="00A5171F">
        <w:rPr>
          <w:rFonts w:ascii="Arial" w:eastAsia="Times New Roman" w:hAnsi="Arial" w:cs="Arial"/>
          <w:color w:val="0D0D0D"/>
          <w:kern w:val="0"/>
          <w:lang w:eastAsia="en-GB"/>
          <w14:ligatures w14:val="none"/>
        </w:rPr>
        <w:t>Relevance: ensuring alignment with the ACEs, mental health, and UK focus</w:t>
      </w:r>
    </w:p>
    <w:p w14:paraId="519C153A" w14:textId="77777777" w:rsidR="00C026C3" w:rsidRPr="00A5171F" w:rsidRDefault="00C026C3">
      <w:pPr>
        <w:numPr>
          <w:ilvl w:val="0"/>
          <w:numId w:val="5"/>
        </w:numPr>
        <w:rPr>
          <w:rFonts w:ascii="Arial" w:eastAsia="Times New Roman" w:hAnsi="Arial" w:cs="Arial"/>
          <w:color w:val="0D0D0D"/>
          <w:kern w:val="0"/>
          <w:lang w:eastAsia="en-GB"/>
          <w14:ligatures w14:val="none"/>
        </w:rPr>
      </w:pPr>
      <w:r w:rsidRPr="00A5171F">
        <w:rPr>
          <w:rFonts w:ascii="Arial" w:eastAsia="Times New Roman" w:hAnsi="Arial" w:cs="Arial"/>
          <w:color w:val="0D0D0D"/>
          <w:kern w:val="0"/>
          <w:lang w:eastAsia="en-GB"/>
          <w14:ligatures w14:val="none"/>
        </w:rPr>
        <w:t>Authority: selecting peer</w:t>
      </w:r>
      <w:r w:rsidRPr="00A5171F">
        <w:rPr>
          <w:rFonts w:ascii="Arial" w:eastAsia="Times New Roman" w:hAnsi="Arial" w:cs="Arial"/>
          <w:color w:val="0D0D0D"/>
          <w:kern w:val="0"/>
          <w:lang w:eastAsia="en-GB"/>
          <w14:ligatures w14:val="none"/>
        </w:rPr>
        <w:noBreakHyphen/>
        <w:t>reviewed work and official national bodies</w:t>
      </w:r>
    </w:p>
    <w:p w14:paraId="6BE7289C" w14:textId="77777777" w:rsidR="00C026C3" w:rsidRPr="00A5171F" w:rsidRDefault="00C026C3">
      <w:pPr>
        <w:numPr>
          <w:ilvl w:val="0"/>
          <w:numId w:val="5"/>
        </w:numPr>
        <w:rPr>
          <w:rFonts w:ascii="Arial" w:eastAsia="Times New Roman" w:hAnsi="Arial" w:cs="Arial"/>
          <w:color w:val="0D0D0D"/>
          <w:kern w:val="0"/>
          <w:lang w:eastAsia="en-GB"/>
          <w14:ligatures w14:val="none"/>
        </w:rPr>
      </w:pPr>
      <w:r w:rsidRPr="00A5171F">
        <w:rPr>
          <w:rFonts w:ascii="Arial" w:eastAsia="Times New Roman" w:hAnsi="Arial" w:cs="Arial"/>
          <w:color w:val="0D0D0D"/>
          <w:kern w:val="0"/>
          <w:lang w:eastAsia="en-GB"/>
          <w14:ligatures w14:val="none"/>
        </w:rPr>
        <w:t>Accuracy: checking consistency of evidence and clear referencing</w:t>
      </w:r>
    </w:p>
    <w:p w14:paraId="1E0DE102" w14:textId="77777777" w:rsidR="00C026C3" w:rsidRPr="00A5171F" w:rsidRDefault="00C026C3">
      <w:pPr>
        <w:numPr>
          <w:ilvl w:val="0"/>
          <w:numId w:val="5"/>
        </w:numPr>
        <w:rPr>
          <w:rFonts w:ascii="Arial" w:eastAsia="Times New Roman" w:hAnsi="Arial" w:cs="Arial"/>
          <w:color w:val="0D0D0D"/>
          <w:kern w:val="0"/>
          <w:lang w:eastAsia="en-GB"/>
          <w14:ligatures w14:val="none"/>
        </w:rPr>
      </w:pPr>
      <w:r w:rsidRPr="00A5171F">
        <w:rPr>
          <w:rFonts w:ascii="Arial" w:eastAsia="Times New Roman" w:hAnsi="Arial" w:cs="Arial"/>
          <w:color w:val="0D0D0D"/>
          <w:kern w:val="0"/>
          <w:lang w:eastAsia="en-GB"/>
          <w14:ligatures w14:val="none"/>
        </w:rPr>
        <w:t>Purpose: identifying sources presenting factual analysis rather than opinion</w:t>
      </w:r>
    </w:p>
    <w:p w14:paraId="157DD8C7" w14:textId="77777777" w:rsidR="00C026C3" w:rsidRDefault="00C026C3" w:rsidP="00A5171F">
      <w:pPr>
        <w:rPr>
          <w:rFonts w:ascii="Arial" w:eastAsia="Times New Roman" w:hAnsi="Arial" w:cs="Arial"/>
          <w:color w:val="0D0D0D"/>
          <w:kern w:val="0"/>
          <w:lang w:eastAsia="en-GB"/>
          <w14:ligatures w14:val="none"/>
        </w:rPr>
      </w:pPr>
      <w:r w:rsidRPr="00A5171F">
        <w:rPr>
          <w:rFonts w:ascii="Arial" w:eastAsia="Times New Roman" w:hAnsi="Arial" w:cs="Arial"/>
          <w:color w:val="0D0D0D"/>
          <w:kern w:val="0"/>
          <w:lang w:eastAsia="en-GB"/>
          <w14:ligatures w14:val="none"/>
        </w:rPr>
        <w:t>While not every source met all five criteria perfectly, priority was given to those strongest on currency, relevance, and authority. For example, national reports were retained for their population</w:t>
      </w:r>
      <w:r w:rsidRPr="00A5171F">
        <w:rPr>
          <w:rFonts w:ascii="Arial" w:eastAsia="Times New Roman" w:hAnsi="Arial" w:cs="Arial"/>
          <w:color w:val="0D0D0D"/>
          <w:kern w:val="0"/>
          <w:lang w:eastAsia="en-GB"/>
          <w14:ligatures w14:val="none"/>
        </w:rPr>
        <w:noBreakHyphen/>
        <w:t>level data even where they were not peer</w:t>
      </w:r>
      <w:r w:rsidRPr="00A5171F">
        <w:rPr>
          <w:rFonts w:ascii="Arial" w:eastAsia="Times New Roman" w:hAnsi="Arial" w:cs="Arial"/>
          <w:color w:val="0D0D0D"/>
          <w:kern w:val="0"/>
          <w:lang w:eastAsia="en-GB"/>
          <w14:ligatures w14:val="none"/>
        </w:rPr>
        <w:noBreakHyphen/>
        <w:t>reviewed, alongside peer</w:t>
      </w:r>
      <w:r w:rsidRPr="00A5171F">
        <w:rPr>
          <w:rFonts w:ascii="Arial" w:eastAsia="Times New Roman" w:hAnsi="Arial" w:cs="Arial"/>
          <w:color w:val="0D0D0D"/>
          <w:kern w:val="0"/>
          <w:lang w:eastAsia="en-GB"/>
          <w14:ligatures w14:val="none"/>
        </w:rPr>
        <w:noBreakHyphen/>
        <w:t>reviewed studies for their analytical rigour.</w:t>
      </w:r>
    </w:p>
    <w:p w14:paraId="1E5DC8F4" w14:textId="77777777" w:rsidR="00F00301" w:rsidRPr="00F00301" w:rsidRDefault="00F00301" w:rsidP="00F00301">
      <w:pPr>
        <w:rPr>
          <w:rFonts w:ascii="Arial" w:eastAsia="Times New Roman" w:hAnsi="Arial" w:cs="Arial"/>
          <w:color w:val="0D0D0D"/>
          <w:kern w:val="0"/>
          <w:lang w:eastAsia="en-GB"/>
          <w14:ligatures w14:val="none"/>
        </w:rPr>
      </w:pPr>
      <w:r w:rsidRPr="00F00301">
        <w:rPr>
          <w:rFonts w:ascii="Arial" w:eastAsia="Times New Roman" w:hAnsi="Arial" w:cs="Arial"/>
          <w:color w:val="0D0D0D"/>
          <w:kern w:val="0"/>
          <w:lang w:eastAsia="en-GB"/>
          <w14:ligatures w14:val="none"/>
        </w:rPr>
        <w:t>Using multiple appraisal approaches strengthened the overall quality of the review by ensuring that evidence was evaluated from different perspectives rather than relying on a single assessment framework. While the CRAAP test provided a broad assessment of source quality, relevance, authority, and purpose, the additional use of recognised appraisal tools such as CASP and AMSTAR 2 enabled a more detailed evaluation of methodological quality, particularly for qualitative studies and systematic reviews. Combining these approaches increased confidence that the evidence synthesised within this dissertation was credible, trustworthy, and appropriate for addressing the research objectives.</w:t>
      </w:r>
    </w:p>
    <w:p w14:paraId="0EF2EE98" w14:textId="77777777" w:rsidR="00F00301" w:rsidRPr="00F00301" w:rsidRDefault="00F00301" w:rsidP="00F00301">
      <w:pPr>
        <w:rPr>
          <w:rFonts w:ascii="Arial" w:eastAsia="Times New Roman" w:hAnsi="Arial" w:cs="Arial"/>
          <w:color w:val="0D0D0D"/>
          <w:kern w:val="0"/>
          <w:lang w:eastAsia="en-GB"/>
          <w14:ligatures w14:val="none"/>
        </w:rPr>
      </w:pPr>
      <w:r w:rsidRPr="00F00301">
        <w:rPr>
          <w:rFonts w:ascii="Arial" w:eastAsia="Times New Roman" w:hAnsi="Arial" w:cs="Arial"/>
          <w:color w:val="0D0D0D"/>
          <w:kern w:val="0"/>
          <w:lang w:eastAsia="en-GB"/>
          <w14:ligatures w14:val="none"/>
        </w:rPr>
        <w:t xml:space="preserve">It is acknowledged that no appraisal framework is entirely free from subjectivity, as decisions regarding quality inevitably involve professional judgement. However, applying consistent inclusion criteria, documenting the assessment process, and maintaining a transparent audit trail helped minimise potential bias and strengthened the overall reliability of the review findings. </w:t>
      </w:r>
    </w:p>
    <w:p w14:paraId="5D0F2E94" w14:textId="77777777" w:rsidR="00F00301" w:rsidRPr="00A5171F" w:rsidRDefault="00F00301" w:rsidP="00A5171F">
      <w:pPr>
        <w:rPr>
          <w:rFonts w:ascii="Arial" w:eastAsia="Times New Roman" w:hAnsi="Arial" w:cs="Arial"/>
          <w:color w:val="0D0D0D"/>
          <w:kern w:val="0"/>
          <w:lang w:eastAsia="en-GB"/>
          <w14:ligatures w14:val="none"/>
        </w:rPr>
      </w:pPr>
    </w:p>
    <w:p w14:paraId="5EF04008" w14:textId="77777777" w:rsidR="00B57DCE" w:rsidRPr="00A5171F" w:rsidRDefault="00B57DCE" w:rsidP="00A5171F">
      <w:pPr>
        <w:rPr>
          <w:rFonts w:ascii="Arial" w:hAnsi="Arial" w:cs="Arial"/>
        </w:rPr>
      </w:pPr>
    </w:p>
    <w:p w14:paraId="01A5598C" w14:textId="7FD769AF" w:rsidR="0021364B" w:rsidRPr="00A5171F" w:rsidRDefault="00292A36">
      <w:pPr>
        <w:pStyle w:val="Heading2"/>
        <w:numPr>
          <w:ilvl w:val="1"/>
          <w:numId w:val="3"/>
        </w:numPr>
        <w:rPr>
          <w:rFonts w:ascii="Arial" w:hAnsi="Arial" w:cs="Arial"/>
          <w:sz w:val="22"/>
          <w:szCs w:val="22"/>
        </w:rPr>
      </w:pPr>
      <w:r w:rsidRPr="00A5171F">
        <w:rPr>
          <w:rFonts w:ascii="Arial" w:hAnsi="Arial" w:cs="Arial"/>
          <w:sz w:val="22"/>
          <w:szCs w:val="22"/>
        </w:rPr>
        <w:t xml:space="preserve">– </w:t>
      </w:r>
      <w:r w:rsidR="0070110C" w:rsidRPr="00A5171F">
        <w:rPr>
          <w:rFonts w:ascii="Arial" w:hAnsi="Arial" w:cs="Arial"/>
          <w:b/>
          <w:bCs/>
          <w:sz w:val="22"/>
          <w:szCs w:val="22"/>
        </w:rPr>
        <w:t>Inclusion and Exclusion Criteria</w:t>
      </w:r>
    </w:p>
    <w:p w14:paraId="77D3F979" w14:textId="77777777" w:rsidR="00DA4C8B" w:rsidRPr="00A5171F" w:rsidRDefault="00DA4C8B" w:rsidP="00A5171F">
      <w:pPr>
        <w:rPr>
          <w:rFonts w:ascii="Arial" w:hAnsi="Arial" w:cs="Arial"/>
        </w:rPr>
      </w:pPr>
    </w:p>
    <w:p w14:paraId="41BFD09F" w14:textId="77777777" w:rsidR="00B4037A" w:rsidRPr="00A5171F" w:rsidRDefault="00B4037A" w:rsidP="00A5171F">
      <w:pPr>
        <w:rPr>
          <w:rFonts w:ascii="Arial" w:eastAsia="Times New Roman" w:hAnsi="Arial" w:cs="Arial"/>
          <w:color w:val="000000"/>
        </w:rPr>
      </w:pPr>
      <w:r w:rsidRPr="00A5171F">
        <w:rPr>
          <w:rFonts w:ascii="Arial" w:eastAsia="Times New Roman" w:hAnsi="Arial" w:cs="Arial"/>
          <w:color w:val="000000"/>
        </w:rPr>
        <w:t>Clear criteria were applied to maintain focus and quality:</w:t>
      </w:r>
    </w:p>
    <w:p w14:paraId="76B33668" w14:textId="77777777" w:rsidR="00B4037A" w:rsidRPr="00A5171F" w:rsidRDefault="00B4037A" w:rsidP="00A5171F">
      <w:pPr>
        <w:rPr>
          <w:rFonts w:ascii="Arial" w:eastAsia="Times New Roman" w:hAnsi="Arial" w:cs="Arial"/>
          <w:b/>
          <w:bCs/>
          <w:color w:val="000000"/>
          <w:u w:val="single"/>
        </w:rPr>
      </w:pPr>
      <w:r w:rsidRPr="00A5171F">
        <w:rPr>
          <w:rFonts w:ascii="Arial" w:eastAsia="Times New Roman" w:hAnsi="Arial" w:cs="Arial"/>
          <w:b/>
          <w:bCs/>
          <w:color w:val="000000"/>
          <w:u w:val="single"/>
        </w:rPr>
        <w:t>Table</w:t>
      </w:r>
    </w:p>
    <w:tbl>
      <w:tblPr>
        <w:tblW w:w="0" w:type="auto"/>
        <w:tblCellSpacing w:w="15" w:type="dxa"/>
        <w:tblCellMar>
          <w:left w:w="0" w:type="dxa"/>
          <w:right w:w="0" w:type="dxa"/>
        </w:tblCellMar>
        <w:tblLook w:val="04A0" w:firstRow="1" w:lastRow="0" w:firstColumn="1" w:lastColumn="0" w:noHBand="0" w:noVBand="1"/>
      </w:tblPr>
      <w:tblGrid>
        <w:gridCol w:w="4570"/>
        <w:gridCol w:w="4456"/>
      </w:tblGrid>
      <w:tr w:rsidR="00B4037A" w:rsidRPr="00A5171F" w14:paraId="71236BE2" w14:textId="77777777">
        <w:trPr>
          <w:tblHeader/>
          <w:tblCellSpacing w:w="15" w:type="dxa"/>
        </w:trPr>
        <w:tc>
          <w:tcPr>
            <w:tcW w:w="0" w:type="auto"/>
            <w:vAlign w:val="center"/>
            <w:hideMark/>
          </w:tcPr>
          <w:p w14:paraId="543B1B08" w14:textId="77777777" w:rsidR="00B4037A" w:rsidRPr="00A5171F" w:rsidRDefault="00B4037A" w:rsidP="00A5171F">
            <w:pPr>
              <w:spacing w:after="0"/>
              <w:rPr>
                <w:rFonts w:ascii="Arial" w:eastAsia="Times New Roman" w:hAnsi="Arial" w:cs="Arial"/>
                <w:b/>
                <w:bCs/>
                <w:color w:val="000000"/>
                <w:kern w:val="0"/>
                <w:lang w:eastAsia="en-GB"/>
                <w14:ligatures w14:val="none"/>
              </w:rPr>
            </w:pPr>
            <w:r w:rsidRPr="00A5171F">
              <w:rPr>
                <w:rFonts w:ascii="Arial" w:eastAsia="Times New Roman" w:hAnsi="Arial" w:cs="Arial"/>
                <w:b/>
                <w:bCs/>
                <w:color w:val="000000"/>
                <w:kern w:val="0"/>
                <w:lang w:eastAsia="en-GB"/>
                <w14:ligatures w14:val="none"/>
              </w:rPr>
              <w:t>Inclusion Criteria</w:t>
            </w:r>
          </w:p>
        </w:tc>
        <w:tc>
          <w:tcPr>
            <w:tcW w:w="0" w:type="auto"/>
            <w:vAlign w:val="center"/>
            <w:hideMark/>
          </w:tcPr>
          <w:p w14:paraId="7A88E76E" w14:textId="77777777" w:rsidR="00B4037A" w:rsidRPr="00A5171F" w:rsidRDefault="00B4037A" w:rsidP="00A5171F">
            <w:pPr>
              <w:spacing w:after="0"/>
              <w:rPr>
                <w:rFonts w:ascii="Arial" w:eastAsia="Times New Roman" w:hAnsi="Arial" w:cs="Arial"/>
                <w:b/>
                <w:bCs/>
                <w:color w:val="000000"/>
                <w:kern w:val="0"/>
                <w:lang w:eastAsia="en-GB"/>
                <w14:ligatures w14:val="none"/>
              </w:rPr>
            </w:pPr>
            <w:r w:rsidRPr="00A5171F">
              <w:rPr>
                <w:rFonts w:ascii="Arial" w:eastAsia="Times New Roman" w:hAnsi="Arial" w:cs="Arial"/>
                <w:b/>
                <w:bCs/>
                <w:color w:val="000000"/>
                <w:kern w:val="0"/>
                <w:lang w:eastAsia="en-GB"/>
                <w14:ligatures w14:val="none"/>
              </w:rPr>
              <w:t>Exclusion Criteria</w:t>
            </w:r>
          </w:p>
        </w:tc>
      </w:tr>
      <w:tr w:rsidR="00B4037A" w:rsidRPr="00A5171F" w14:paraId="606C7FEC" w14:textId="77777777">
        <w:trPr>
          <w:tblCellSpacing w:w="15" w:type="dxa"/>
        </w:trPr>
        <w:tc>
          <w:tcPr>
            <w:tcW w:w="0" w:type="auto"/>
            <w:vAlign w:val="center"/>
            <w:hideMark/>
          </w:tcPr>
          <w:p w14:paraId="76EE9FEE" w14:textId="77777777" w:rsidR="00B4037A" w:rsidRPr="00A5171F" w:rsidRDefault="00B4037A" w:rsidP="00A5171F">
            <w:pPr>
              <w:spacing w:after="0"/>
              <w:rPr>
                <w:rFonts w:ascii="Arial" w:eastAsia="Times New Roman" w:hAnsi="Arial" w:cs="Arial"/>
                <w:color w:val="000000"/>
                <w:kern w:val="0"/>
                <w:lang w:eastAsia="en-GB"/>
                <w14:ligatures w14:val="none"/>
              </w:rPr>
            </w:pPr>
            <w:r w:rsidRPr="00A5171F">
              <w:rPr>
                <w:rFonts w:ascii="Arial" w:eastAsia="Times New Roman" w:hAnsi="Arial" w:cs="Arial"/>
                <w:color w:val="000000"/>
                <w:kern w:val="0"/>
                <w:lang w:eastAsia="en-GB"/>
                <w14:ligatures w14:val="none"/>
              </w:rPr>
              <w:t>Published 2015–2026</w:t>
            </w:r>
          </w:p>
        </w:tc>
        <w:tc>
          <w:tcPr>
            <w:tcW w:w="0" w:type="auto"/>
            <w:vAlign w:val="center"/>
            <w:hideMark/>
          </w:tcPr>
          <w:p w14:paraId="3B7A5DC7" w14:textId="77777777" w:rsidR="00B4037A" w:rsidRPr="00A5171F" w:rsidRDefault="00B4037A" w:rsidP="00A5171F">
            <w:pPr>
              <w:spacing w:after="0"/>
              <w:rPr>
                <w:rFonts w:ascii="Arial" w:eastAsia="Times New Roman" w:hAnsi="Arial" w:cs="Arial"/>
                <w:color w:val="000000"/>
                <w:kern w:val="0"/>
                <w:lang w:eastAsia="en-GB"/>
                <w14:ligatures w14:val="none"/>
              </w:rPr>
            </w:pPr>
            <w:r w:rsidRPr="00A5171F">
              <w:rPr>
                <w:rFonts w:ascii="Arial" w:eastAsia="Times New Roman" w:hAnsi="Arial" w:cs="Arial"/>
                <w:color w:val="000000"/>
                <w:kern w:val="0"/>
                <w:lang w:eastAsia="en-GB"/>
                <w14:ligatures w14:val="none"/>
              </w:rPr>
              <w:t>Published before 2015</w:t>
            </w:r>
          </w:p>
        </w:tc>
      </w:tr>
      <w:tr w:rsidR="00B4037A" w:rsidRPr="00A5171F" w14:paraId="71C13276" w14:textId="77777777">
        <w:trPr>
          <w:tblCellSpacing w:w="15" w:type="dxa"/>
        </w:trPr>
        <w:tc>
          <w:tcPr>
            <w:tcW w:w="0" w:type="auto"/>
            <w:vAlign w:val="center"/>
            <w:hideMark/>
          </w:tcPr>
          <w:p w14:paraId="3D745867" w14:textId="77777777" w:rsidR="00B4037A" w:rsidRPr="00A5171F" w:rsidRDefault="00B4037A" w:rsidP="00A5171F">
            <w:pPr>
              <w:spacing w:after="0"/>
              <w:rPr>
                <w:rFonts w:ascii="Arial" w:eastAsia="Times New Roman" w:hAnsi="Arial" w:cs="Arial"/>
                <w:color w:val="000000"/>
                <w:kern w:val="0"/>
                <w:lang w:eastAsia="en-GB"/>
                <w14:ligatures w14:val="none"/>
              </w:rPr>
            </w:pPr>
            <w:r w:rsidRPr="00A5171F">
              <w:rPr>
                <w:rFonts w:ascii="Arial" w:eastAsia="Times New Roman" w:hAnsi="Arial" w:cs="Arial"/>
                <w:color w:val="000000"/>
                <w:kern w:val="0"/>
                <w:lang w:eastAsia="en-GB"/>
                <w14:ligatures w14:val="none"/>
              </w:rPr>
              <w:t>UK</w:t>
            </w:r>
            <w:r w:rsidRPr="00A5171F">
              <w:rPr>
                <w:rFonts w:ascii="Arial" w:eastAsia="Times New Roman" w:hAnsi="Arial" w:cs="Arial"/>
                <w:color w:val="000000"/>
                <w:kern w:val="0"/>
                <w:lang w:eastAsia="en-GB"/>
                <w14:ligatures w14:val="none"/>
              </w:rPr>
              <w:noBreakHyphen/>
              <w:t>focused or applicable to UK policy</w:t>
            </w:r>
          </w:p>
        </w:tc>
        <w:tc>
          <w:tcPr>
            <w:tcW w:w="0" w:type="auto"/>
            <w:vAlign w:val="center"/>
            <w:hideMark/>
          </w:tcPr>
          <w:p w14:paraId="33702ED3" w14:textId="77777777" w:rsidR="00B4037A" w:rsidRPr="00A5171F" w:rsidRDefault="00B4037A" w:rsidP="00A5171F">
            <w:pPr>
              <w:spacing w:after="0"/>
              <w:rPr>
                <w:rFonts w:ascii="Arial" w:eastAsia="Times New Roman" w:hAnsi="Arial" w:cs="Arial"/>
                <w:color w:val="000000"/>
                <w:kern w:val="0"/>
                <w:lang w:eastAsia="en-GB"/>
                <w14:ligatures w14:val="none"/>
              </w:rPr>
            </w:pPr>
            <w:r w:rsidRPr="00A5171F">
              <w:rPr>
                <w:rFonts w:ascii="Arial" w:eastAsia="Times New Roman" w:hAnsi="Arial" w:cs="Arial"/>
                <w:color w:val="000000"/>
                <w:kern w:val="0"/>
                <w:lang w:eastAsia="en-GB"/>
                <w14:ligatures w14:val="none"/>
              </w:rPr>
              <w:t>Non</w:t>
            </w:r>
            <w:r w:rsidRPr="00A5171F">
              <w:rPr>
                <w:rFonts w:ascii="Arial" w:eastAsia="Times New Roman" w:hAnsi="Arial" w:cs="Arial"/>
                <w:color w:val="000000"/>
                <w:kern w:val="0"/>
                <w:lang w:eastAsia="en-GB"/>
                <w14:ligatures w14:val="none"/>
              </w:rPr>
              <w:noBreakHyphen/>
              <w:t>UK studies without clear UK relevance</w:t>
            </w:r>
          </w:p>
        </w:tc>
      </w:tr>
      <w:tr w:rsidR="00B4037A" w:rsidRPr="00A5171F" w14:paraId="63EF0EAD" w14:textId="77777777">
        <w:trPr>
          <w:tblCellSpacing w:w="15" w:type="dxa"/>
        </w:trPr>
        <w:tc>
          <w:tcPr>
            <w:tcW w:w="0" w:type="auto"/>
            <w:vAlign w:val="center"/>
            <w:hideMark/>
          </w:tcPr>
          <w:p w14:paraId="1BB9C298" w14:textId="77777777" w:rsidR="00B4037A" w:rsidRPr="00A5171F" w:rsidRDefault="00B4037A" w:rsidP="00A5171F">
            <w:pPr>
              <w:spacing w:after="0"/>
              <w:rPr>
                <w:rFonts w:ascii="Arial" w:eastAsia="Times New Roman" w:hAnsi="Arial" w:cs="Arial"/>
                <w:color w:val="000000"/>
                <w:kern w:val="0"/>
                <w:lang w:eastAsia="en-GB"/>
                <w14:ligatures w14:val="none"/>
              </w:rPr>
            </w:pPr>
            <w:r w:rsidRPr="00A5171F">
              <w:rPr>
                <w:rFonts w:ascii="Arial" w:eastAsia="Times New Roman" w:hAnsi="Arial" w:cs="Arial"/>
                <w:color w:val="000000"/>
                <w:kern w:val="0"/>
                <w:lang w:eastAsia="en-GB"/>
                <w14:ligatures w14:val="none"/>
              </w:rPr>
              <w:t>Peer</w:t>
            </w:r>
            <w:r w:rsidRPr="00A5171F">
              <w:rPr>
                <w:rFonts w:ascii="Arial" w:eastAsia="Times New Roman" w:hAnsi="Arial" w:cs="Arial"/>
                <w:color w:val="000000"/>
                <w:kern w:val="0"/>
                <w:lang w:eastAsia="en-GB"/>
                <w14:ligatures w14:val="none"/>
              </w:rPr>
              <w:noBreakHyphen/>
              <w:t>reviewed articles, systematic reviews, official guidance</w:t>
            </w:r>
          </w:p>
        </w:tc>
        <w:tc>
          <w:tcPr>
            <w:tcW w:w="0" w:type="auto"/>
            <w:vAlign w:val="center"/>
            <w:hideMark/>
          </w:tcPr>
          <w:p w14:paraId="406B0015" w14:textId="77777777" w:rsidR="00B4037A" w:rsidRPr="00A5171F" w:rsidRDefault="00B4037A" w:rsidP="00A5171F">
            <w:pPr>
              <w:spacing w:after="0"/>
              <w:rPr>
                <w:rFonts w:ascii="Arial" w:eastAsia="Times New Roman" w:hAnsi="Arial" w:cs="Arial"/>
                <w:color w:val="000000"/>
                <w:kern w:val="0"/>
                <w:lang w:eastAsia="en-GB"/>
                <w14:ligatures w14:val="none"/>
              </w:rPr>
            </w:pPr>
            <w:r w:rsidRPr="00A5171F">
              <w:rPr>
                <w:rFonts w:ascii="Arial" w:eastAsia="Times New Roman" w:hAnsi="Arial" w:cs="Arial"/>
                <w:color w:val="000000"/>
                <w:kern w:val="0"/>
                <w:lang w:eastAsia="en-GB"/>
                <w14:ligatures w14:val="none"/>
              </w:rPr>
              <w:t>Opinion pieces, blogs, editorials, single case reports</w:t>
            </w:r>
          </w:p>
        </w:tc>
      </w:tr>
      <w:tr w:rsidR="00B4037A" w:rsidRPr="00A5171F" w14:paraId="4ED9921B" w14:textId="77777777">
        <w:trPr>
          <w:tblCellSpacing w:w="15" w:type="dxa"/>
        </w:trPr>
        <w:tc>
          <w:tcPr>
            <w:tcW w:w="0" w:type="auto"/>
            <w:vAlign w:val="center"/>
            <w:hideMark/>
          </w:tcPr>
          <w:p w14:paraId="6512F603" w14:textId="77777777" w:rsidR="00B4037A" w:rsidRPr="00A5171F" w:rsidRDefault="00B4037A" w:rsidP="00A5171F">
            <w:pPr>
              <w:spacing w:after="0"/>
              <w:rPr>
                <w:rFonts w:ascii="Arial" w:eastAsia="Times New Roman" w:hAnsi="Arial" w:cs="Arial"/>
                <w:color w:val="000000"/>
                <w:kern w:val="0"/>
                <w:lang w:eastAsia="en-GB"/>
                <w14:ligatures w14:val="none"/>
              </w:rPr>
            </w:pPr>
            <w:r w:rsidRPr="00A5171F">
              <w:rPr>
                <w:rFonts w:ascii="Arial" w:eastAsia="Times New Roman" w:hAnsi="Arial" w:cs="Arial"/>
                <w:color w:val="000000"/>
                <w:kern w:val="0"/>
                <w:lang w:eastAsia="en-GB"/>
                <w14:ligatures w14:val="none"/>
              </w:rPr>
              <w:t>Full text available in English</w:t>
            </w:r>
          </w:p>
        </w:tc>
        <w:tc>
          <w:tcPr>
            <w:tcW w:w="0" w:type="auto"/>
            <w:vAlign w:val="center"/>
            <w:hideMark/>
          </w:tcPr>
          <w:p w14:paraId="2374B1E6" w14:textId="77777777" w:rsidR="00B4037A" w:rsidRPr="00A5171F" w:rsidRDefault="00B4037A" w:rsidP="00A5171F">
            <w:pPr>
              <w:spacing w:after="0"/>
              <w:rPr>
                <w:rFonts w:ascii="Arial" w:eastAsia="Times New Roman" w:hAnsi="Arial" w:cs="Arial"/>
                <w:color w:val="000000"/>
                <w:kern w:val="0"/>
                <w:lang w:eastAsia="en-GB"/>
                <w14:ligatures w14:val="none"/>
              </w:rPr>
            </w:pPr>
            <w:r w:rsidRPr="00A5171F">
              <w:rPr>
                <w:rFonts w:ascii="Arial" w:eastAsia="Times New Roman" w:hAnsi="Arial" w:cs="Arial"/>
                <w:color w:val="000000"/>
                <w:kern w:val="0"/>
                <w:lang w:eastAsia="en-GB"/>
                <w14:ligatures w14:val="none"/>
              </w:rPr>
              <w:t>Only abstracts or non</w:t>
            </w:r>
            <w:r w:rsidRPr="00A5171F">
              <w:rPr>
                <w:rFonts w:ascii="Arial" w:eastAsia="Times New Roman" w:hAnsi="Arial" w:cs="Arial"/>
                <w:color w:val="000000"/>
                <w:kern w:val="0"/>
                <w:lang w:eastAsia="en-GB"/>
                <w14:ligatures w14:val="none"/>
              </w:rPr>
              <w:noBreakHyphen/>
              <w:t>English language</w:t>
            </w:r>
          </w:p>
        </w:tc>
      </w:tr>
      <w:tr w:rsidR="00B4037A" w:rsidRPr="00A5171F" w14:paraId="1087DA53" w14:textId="77777777">
        <w:trPr>
          <w:tblCellSpacing w:w="15" w:type="dxa"/>
        </w:trPr>
        <w:tc>
          <w:tcPr>
            <w:tcW w:w="0" w:type="auto"/>
            <w:vAlign w:val="center"/>
            <w:hideMark/>
          </w:tcPr>
          <w:p w14:paraId="0BC6EF94" w14:textId="77777777" w:rsidR="00B4037A" w:rsidRPr="00A5171F" w:rsidRDefault="00B4037A" w:rsidP="00A5171F">
            <w:pPr>
              <w:spacing w:after="0"/>
              <w:rPr>
                <w:rFonts w:ascii="Arial" w:eastAsia="Times New Roman" w:hAnsi="Arial" w:cs="Arial"/>
                <w:color w:val="000000"/>
                <w:kern w:val="0"/>
                <w:lang w:eastAsia="en-GB"/>
                <w14:ligatures w14:val="none"/>
              </w:rPr>
            </w:pPr>
            <w:r w:rsidRPr="00A5171F">
              <w:rPr>
                <w:rFonts w:ascii="Arial" w:eastAsia="Times New Roman" w:hAnsi="Arial" w:cs="Arial"/>
                <w:color w:val="000000"/>
                <w:kern w:val="0"/>
                <w:lang w:eastAsia="en-GB"/>
                <w14:ligatures w14:val="none"/>
              </w:rPr>
              <w:t>Examines ACEs alongside mental health or service response</w:t>
            </w:r>
          </w:p>
        </w:tc>
        <w:tc>
          <w:tcPr>
            <w:tcW w:w="0" w:type="auto"/>
            <w:vAlign w:val="center"/>
            <w:hideMark/>
          </w:tcPr>
          <w:p w14:paraId="69E1A51B" w14:textId="77777777" w:rsidR="00B4037A" w:rsidRPr="00A5171F" w:rsidRDefault="00B4037A" w:rsidP="00A5171F">
            <w:pPr>
              <w:spacing w:after="0"/>
              <w:rPr>
                <w:rFonts w:ascii="Arial" w:eastAsia="Times New Roman" w:hAnsi="Arial" w:cs="Arial"/>
                <w:color w:val="000000"/>
                <w:kern w:val="0"/>
                <w:lang w:eastAsia="en-GB"/>
                <w14:ligatures w14:val="none"/>
              </w:rPr>
            </w:pPr>
            <w:r w:rsidRPr="00A5171F">
              <w:rPr>
                <w:rFonts w:ascii="Arial" w:eastAsia="Times New Roman" w:hAnsi="Arial" w:cs="Arial"/>
                <w:color w:val="000000"/>
                <w:kern w:val="0"/>
                <w:lang w:eastAsia="en-GB"/>
                <w14:ligatures w14:val="none"/>
              </w:rPr>
              <w:t>Focuses only on unrelated physical or behavioural outcomes</w:t>
            </w:r>
          </w:p>
        </w:tc>
      </w:tr>
    </w:tbl>
    <w:p w14:paraId="46CF49A4" w14:textId="77777777" w:rsidR="00B4037A" w:rsidRPr="00A5171F" w:rsidRDefault="00B4037A">
      <w:pPr>
        <w:pStyle w:val="ListParagraph"/>
        <w:numPr>
          <w:ilvl w:val="0"/>
          <w:numId w:val="3"/>
        </w:numPr>
        <w:spacing w:line="360" w:lineRule="auto"/>
        <w:jc w:val="both"/>
        <w:rPr>
          <w:rFonts w:ascii="Arial" w:eastAsia="Times New Roman" w:hAnsi="Arial" w:cs="Arial"/>
          <w:color w:val="000000"/>
        </w:rPr>
      </w:pPr>
      <w:r w:rsidRPr="00A5171F">
        <w:rPr>
          <w:rFonts w:ascii="Arial" w:eastAsia="Times New Roman" w:hAnsi="Arial" w:cs="Arial"/>
          <w:color w:val="000000"/>
        </w:rPr>
        <w:t>These rules ensured the review remained targeted, up</w:t>
      </w:r>
      <w:r w:rsidRPr="00A5171F">
        <w:rPr>
          <w:rFonts w:ascii="Arial" w:eastAsia="Times New Roman" w:hAnsi="Arial" w:cs="Arial"/>
          <w:color w:val="000000"/>
        </w:rPr>
        <w:noBreakHyphen/>
        <w:t>to</w:t>
      </w:r>
      <w:r w:rsidRPr="00A5171F">
        <w:rPr>
          <w:rFonts w:ascii="Arial" w:eastAsia="Times New Roman" w:hAnsi="Arial" w:cs="Arial"/>
          <w:color w:val="000000"/>
        </w:rPr>
        <w:noBreakHyphen/>
        <w:t>date, and based on credible evidence appropriate to the research question.</w:t>
      </w:r>
    </w:p>
    <w:p w14:paraId="10C9146E" w14:textId="77777777" w:rsidR="004E1B85" w:rsidRPr="00A5171F" w:rsidRDefault="004E1B85" w:rsidP="00A5171F">
      <w:pPr>
        <w:pStyle w:val="ListParagraph"/>
        <w:spacing w:line="360" w:lineRule="auto"/>
        <w:ind w:left="360" w:firstLine="0"/>
        <w:jc w:val="both"/>
        <w:rPr>
          <w:rFonts w:ascii="Arial" w:eastAsia="Times New Roman" w:hAnsi="Arial" w:cs="Arial"/>
          <w:color w:val="000000"/>
        </w:rPr>
      </w:pPr>
    </w:p>
    <w:p w14:paraId="38169BE8" w14:textId="6170C617" w:rsidR="00347D3B" w:rsidRPr="00A5171F" w:rsidRDefault="00292A36">
      <w:pPr>
        <w:pStyle w:val="Heading2"/>
        <w:numPr>
          <w:ilvl w:val="1"/>
          <w:numId w:val="6"/>
        </w:numPr>
        <w:rPr>
          <w:rFonts w:ascii="Arial" w:hAnsi="Arial" w:cs="Arial"/>
          <w:b/>
          <w:bCs/>
          <w:sz w:val="22"/>
          <w:szCs w:val="22"/>
        </w:rPr>
      </w:pPr>
      <w:r w:rsidRPr="00A5171F">
        <w:rPr>
          <w:rFonts w:ascii="Arial" w:hAnsi="Arial" w:cs="Arial"/>
          <w:b/>
          <w:bCs/>
          <w:sz w:val="22"/>
          <w:szCs w:val="22"/>
        </w:rPr>
        <w:t xml:space="preserve">– </w:t>
      </w:r>
      <w:r w:rsidR="00347D3B" w:rsidRPr="00A5171F">
        <w:rPr>
          <w:rFonts w:ascii="Arial" w:hAnsi="Arial" w:cs="Arial"/>
          <w:b/>
          <w:bCs/>
          <w:sz w:val="22"/>
          <w:szCs w:val="22"/>
        </w:rPr>
        <w:t>Analysing Research</w:t>
      </w:r>
    </w:p>
    <w:p w14:paraId="5071A798" w14:textId="1C14B72E" w:rsidR="00A44011" w:rsidRPr="00A5171F" w:rsidRDefault="004E1B85" w:rsidP="00A5171F">
      <w:pPr>
        <w:rPr>
          <w:rFonts w:ascii="Arial" w:hAnsi="Arial" w:cs="Arial"/>
          <w:lang w:eastAsia="en-GB"/>
        </w:rPr>
      </w:pPr>
      <w:r w:rsidRPr="00A5171F">
        <w:rPr>
          <w:rFonts w:ascii="Arial" w:eastAsia="Times New Roman" w:hAnsi="Arial" w:cs="Arial"/>
          <w:color w:val="0D0D0D"/>
          <w:kern w:val="0"/>
          <w:lang w:eastAsia="en-GB"/>
          <w14:ligatures w14:val="none"/>
        </w:rPr>
        <w:t>A thematic coding approach was used. All included sources were read in full to identify repeated ideas, patterns, and key concepts. Initial descriptive codes were created to label these points, then similar codes were grouped into broader, coherent themes aligned with the research objectives. Tables and structured spreadsheets were used to log codes, track connections between sources, and organise the developing themes. This process was carried out systematically to ensure transparency, consistency, and clear alignment with the findings presented in Chapter 4</w:t>
      </w:r>
      <w:r w:rsidRPr="00A5171F">
        <w:rPr>
          <w:rFonts w:ascii="Arial" w:eastAsia="Times New Roman" w:hAnsi="Arial" w:cs="Arial"/>
          <w:color w:val="0D0D0D"/>
          <w:kern w:val="0"/>
          <w:lang w:eastAsia="en-GB"/>
          <w14:ligatures w14:val="none"/>
        </w:rPr>
        <w:t>.</w:t>
      </w:r>
    </w:p>
    <w:p w14:paraId="34D844F4" w14:textId="313F9F2E" w:rsidR="00B01396" w:rsidRPr="00A5171F" w:rsidRDefault="00CD7E7E" w:rsidP="00A5171F">
      <w:pPr>
        <w:pStyle w:val="Heading2"/>
        <w:rPr>
          <w:rFonts w:ascii="Arial" w:hAnsi="Arial" w:cs="Arial"/>
          <w:b/>
          <w:bCs/>
          <w:sz w:val="22"/>
          <w:szCs w:val="22"/>
        </w:rPr>
      </w:pPr>
      <w:r w:rsidRPr="00A5171F">
        <w:rPr>
          <w:rFonts w:ascii="Arial" w:hAnsi="Arial" w:cs="Arial"/>
          <w:b/>
          <w:bCs/>
          <w:sz w:val="22"/>
          <w:szCs w:val="22"/>
        </w:rPr>
        <w:t>3.7</w:t>
      </w:r>
      <w:r w:rsidR="00347D3B" w:rsidRPr="00A5171F">
        <w:rPr>
          <w:rFonts w:ascii="Arial" w:hAnsi="Arial" w:cs="Arial"/>
          <w:b/>
          <w:bCs/>
          <w:sz w:val="22"/>
          <w:szCs w:val="22"/>
        </w:rPr>
        <w:t xml:space="preserve"> - Ethical Considerations</w:t>
      </w:r>
    </w:p>
    <w:p w14:paraId="38A82A0D" w14:textId="7C917671" w:rsidR="00CD7E7E" w:rsidRDefault="004E1B85" w:rsidP="00A5171F">
      <w:pPr>
        <w:pStyle w:val="Heading2"/>
        <w:rPr>
          <w:rFonts w:ascii="Arial" w:eastAsia="Times New Roman" w:hAnsi="Arial" w:cs="Arial"/>
          <w:color w:val="0D0D0D"/>
          <w:kern w:val="0"/>
          <w:sz w:val="22"/>
          <w:szCs w:val="22"/>
          <w:lang w:eastAsia="en-GB"/>
          <w14:ligatures w14:val="none"/>
        </w:rPr>
      </w:pPr>
      <w:r w:rsidRPr="00A5171F">
        <w:rPr>
          <w:rFonts w:ascii="Arial" w:eastAsia="Times New Roman" w:hAnsi="Arial" w:cs="Arial"/>
          <w:color w:val="0D0D0D"/>
          <w:kern w:val="0"/>
          <w:sz w:val="22"/>
          <w:szCs w:val="22"/>
          <w:lang w:eastAsia="en-GB"/>
          <w14:ligatures w14:val="none"/>
        </w:rPr>
        <w:t xml:space="preserve">This study drew entirely on existing published sources, so no primary data collection or direct contact with participants took place. Formal ethical approval was therefore not required, but ethical principles were maintained </w:t>
      </w:r>
      <w:r w:rsidRPr="00A5171F">
        <w:rPr>
          <w:rFonts w:ascii="Arial" w:eastAsia="Times New Roman" w:hAnsi="Arial" w:cs="Arial"/>
          <w:color w:val="0D0D0D"/>
          <w:kern w:val="0"/>
          <w:sz w:val="22"/>
          <w:szCs w:val="22"/>
          <w:lang w:eastAsia="en-GB"/>
          <w14:ligatures w14:val="none"/>
        </w:rPr>
        <w:t>throughout</w:t>
      </w:r>
      <w:r w:rsidRPr="00A5171F">
        <w:rPr>
          <w:rFonts w:ascii="Arial" w:eastAsia="Times New Roman" w:hAnsi="Arial" w:cs="Arial"/>
          <w:color w:val="0D0D0D"/>
          <w:kern w:val="0"/>
          <w:sz w:val="22"/>
          <w:szCs w:val="22"/>
          <w:lang w:eastAsia="en-GB"/>
          <w14:ligatures w14:val="none"/>
        </w:rPr>
        <w:t xml:space="preserve"> all sources were accurately represented, Harvard referencing was used consistently to avoid plagiarism, and sensitive topics such as trauma and mental ill health were discussed with care and without stigma. The review was conducted objectively, presenting evidence fairly without bias towards any </w:t>
      </w:r>
      <w:r w:rsidR="00A153D4" w:rsidRPr="00A5171F">
        <w:rPr>
          <w:rFonts w:ascii="Arial" w:eastAsia="Times New Roman" w:hAnsi="Arial" w:cs="Arial"/>
          <w:color w:val="0D0D0D"/>
          <w:kern w:val="0"/>
          <w:sz w:val="22"/>
          <w:szCs w:val="22"/>
          <w:lang w:eastAsia="en-GB"/>
          <w14:ligatures w14:val="none"/>
        </w:rPr>
        <w:t>perspective</w:t>
      </w:r>
      <w:r w:rsidRPr="00A5171F">
        <w:rPr>
          <w:rFonts w:ascii="Arial" w:eastAsia="Times New Roman" w:hAnsi="Arial" w:cs="Arial"/>
          <w:color w:val="0D0D0D"/>
          <w:kern w:val="0"/>
          <w:sz w:val="22"/>
          <w:szCs w:val="22"/>
          <w:lang w:eastAsia="en-GB"/>
          <w14:ligatures w14:val="none"/>
        </w:rPr>
        <w:t>.</w:t>
      </w:r>
      <w:r w:rsidR="004C6EFF">
        <w:rPr>
          <w:rFonts w:ascii="Arial" w:eastAsia="Times New Roman" w:hAnsi="Arial" w:cs="Arial"/>
          <w:color w:val="0D0D0D"/>
          <w:kern w:val="0"/>
          <w:sz w:val="22"/>
          <w:szCs w:val="22"/>
          <w:lang w:eastAsia="en-GB"/>
          <w14:ligatures w14:val="none"/>
        </w:rPr>
        <w:t xml:space="preserve">  </w:t>
      </w:r>
    </w:p>
    <w:p w14:paraId="648EF205" w14:textId="6CDCE9E7" w:rsidR="004C6EFF" w:rsidRPr="004C6EFF" w:rsidRDefault="004C6EFF" w:rsidP="004C6EFF">
      <w:pPr>
        <w:rPr>
          <w:rFonts w:ascii="Arial" w:hAnsi="Arial" w:cs="Arial"/>
          <w:lang w:eastAsia="en-GB"/>
        </w:rPr>
      </w:pPr>
      <w:r w:rsidRPr="004C6EFF">
        <w:rPr>
          <w:rFonts w:ascii="Arial" w:hAnsi="Arial" w:cs="Arial"/>
          <w:lang w:eastAsia="en-GB"/>
        </w:rPr>
        <w:t xml:space="preserve">Although this study did not involve direct participation from human subjects, ethical responsibility remained essential throughout the research process. </w:t>
      </w:r>
      <w:r w:rsidRPr="004C6EFF">
        <w:rPr>
          <w:rFonts w:ascii="Arial" w:hAnsi="Arial" w:cs="Arial"/>
          <w:lang w:eastAsia="en-GB"/>
        </w:rPr>
        <w:t>Attention</w:t>
      </w:r>
      <w:r w:rsidRPr="004C6EFF">
        <w:rPr>
          <w:rFonts w:ascii="Arial" w:hAnsi="Arial" w:cs="Arial"/>
          <w:lang w:eastAsia="en-GB"/>
        </w:rPr>
        <w:t xml:space="preserve"> was given to representing the findings of published studies accurately and avoiding selective reporting that </w:t>
      </w:r>
      <w:r w:rsidRPr="004C6EFF">
        <w:rPr>
          <w:rFonts w:ascii="Arial" w:hAnsi="Arial" w:cs="Arial"/>
          <w:lang w:eastAsia="en-GB"/>
        </w:rPr>
        <w:lastRenderedPageBreak/>
        <w:t>could misrepresent the original authors' conclusions. Every effort was made to synthesise evidence objectively, acknowledging areas where findings differed or where methodological limitations reduced confidence in interpretation.</w:t>
      </w:r>
    </w:p>
    <w:p w14:paraId="5AE78FDE" w14:textId="77777777" w:rsidR="004C6EFF" w:rsidRPr="004C6EFF" w:rsidRDefault="004C6EFF" w:rsidP="004C6EFF">
      <w:pPr>
        <w:rPr>
          <w:rFonts w:ascii="Arial" w:hAnsi="Arial" w:cs="Arial"/>
          <w:lang w:eastAsia="en-GB"/>
        </w:rPr>
      </w:pPr>
      <w:r w:rsidRPr="004C6EFF">
        <w:rPr>
          <w:rFonts w:ascii="Arial" w:hAnsi="Arial" w:cs="Arial"/>
          <w:lang w:eastAsia="en-GB"/>
        </w:rPr>
        <w:t>Researcher reflexivity was also considered during the review process. Recognising that personal beliefs and prior understanding may influence interpretation, the researcher sought to minimise bias by applying consistent inclusion criteria, critically evaluating all relevant evidence, and ensuring that conclusions were supported by multiple sources rather than isolated findings. Maintaining transparency throughout the research process enhanced the credibility and trustworthiness of the final dissertation.</w:t>
      </w:r>
    </w:p>
    <w:p w14:paraId="2392FF0D" w14:textId="77777777" w:rsidR="004C6EFF" w:rsidRPr="004C6EFF" w:rsidRDefault="004C6EFF" w:rsidP="004C6EFF">
      <w:pPr>
        <w:rPr>
          <w:lang w:eastAsia="en-GB"/>
        </w:rPr>
      </w:pPr>
    </w:p>
    <w:p w14:paraId="17B93FCF" w14:textId="77777777" w:rsidR="00CD7E7E" w:rsidRPr="00A5171F" w:rsidRDefault="00CD7E7E" w:rsidP="00A5171F">
      <w:pPr>
        <w:pStyle w:val="Heading2"/>
        <w:rPr>
          <w:rFonts w:ascii="Arial" w:hAnsi="Arial" w:cs="Arial"/>
          <w:sz w:val="22"/>
          <w:szCs w:val="22"/>
        </w:rPr>
      </w:pPr>
    </w:p>
    <w:p w14:paraId="7748190D" w14:textId="07ECBEC6" w:rsidR="00CD7E7E" w:rsidRPr="00A5171F" w:rsidRDefault="004E1B85" w:rsidP="00A5171F">
      <w:pPr>
        <w:pStyle w:val="Heading2"/>
        <w:rPr>
          <w:rFonts w:ascii="Arial" w:hAnsi="Arial" w:cs="Arial"/>
          <w:sz w:val="22"/>
          <w:szCs w:val="22"/>
        </w:rPr>
      </w:pPr>
      <w:r w:rsidRPr="00A5171F">
        <w:rPr>
          <w:rFonts w:ascii="Arial" w:hAnsi="Arial" w:cs="Arial"/>
          <w:b/>
          <w:bCs/>
          <w:sz w:val="22"/>
          <w:szCs w:val="22"/>
        </w:rPr>
        <w:t xml:space="preserve">3.8 </w:t>
      </w:r>
      <w:r w:rsidR="00292A36" w:rsidRPr="00A5171F">
        <w:rPr>
          <w:rFonts w:ascii="Arial" w:hAnsi="Arial" w:cs="Arial"/>
          <w:b/>
          <w:bCs/>
          <w:sz w:val="22"/>
          <w:szCs w:val="22"/>
        </w:rPr>
        <w:t>Chapter Conclusio</w:t>
      </w:r>
      <w:r w:rsidR="00CD7E7E" w:rsidRPr="00A5171F">
        <w:rPr>
          <w:rFonts w:ascii="Arial" w:hAnsi="Arial" w:cs="Arial"/>
          <w:b/>
          <w:bCs/>
          <w:sz w:val="22"/>
          <w:szCs w:val="22"/>
        </w:rPr>
        <w:t>n</w:t>
      </w:r>
    </w:p>
    <w:bookmarkEnd w:id="8"/>
    <w:p w14:paraId="73898CB8" w14:textId="09DCE116" w:rsidR="001F19A6" w:rsidRPr="00A5171F" w:rsidRDefault="004E1B85" w:rsidP="00A5171F">
      <w:pPr>
        <w:rPr>
          <w:rFonts w:ascii="Arial" w:hAnsi="Arial" w:cs="Arial"/>
        </w:rPr>
      </w:pPr>
      <w:r w:rsidRPr="00A5171F">
        <w:rPr>
          <w:rFonts w:ascii="Arial" w:hAnsi="Arial" w:cs="Arial"/>
        </w:rPr>
        <w:t>This chapter has outlined the complete process used to locate, evaluate, and analyse the research literature. The structured search strategy, application of quality checks, and systematic thematic coding have been designed to ensure rigour, transparency, and reliability. These methods have enabled the selection of a focused, high</w:t>
      </w:r>
      <w:r w:rsidRPr="00A5171F">
        <w:rPr>
          <w:rFonts w:ascii="Arial" w:hAnsi="Arial" w:cs="Arial"/>
        </w:rPr>
        <w:noBreakHyphen/>
        <w:t>quality evidence base, which forms the foundation for the presentation and critical discussion of key findings in Chapter 4.</w:t>
      </w:r>
    </w:p>
    <w:bookmarkEnd w:id="9"/>
    <w:p w14:paraId="37DDDDC8" w14:textId="77777777" w:rsidR="00E5013A" w:rsidRPr="00A5171F" w:rsidRDefault="00E5013A" w:rsidP="00A5171F">
      <w:pPr>
        <w:rPr>
          <w:rFonts w:ascii="Arial" w:hAnsi="Arial" w:cs="Arial"/>
        </w:rPr>
      </w:pPr>
    </w:p>
    <w:p w14:paraId="0FE48BC1" w14:textId="77777777" w:rsidR="00F22A52" w:rsidRPr="00A5171F" w:rsidRDefault="00F22A52" w:rsidP="00A5171F">
      <w:pPr>
        <w:rPr>
          <w:rFonts w:ascii="Arial" w:hAnsi="Arial" w:cs="Arial"/>
        </w:rPr>
      </w:pPr>
    </w:p>
    <w:p w14:paraId="36D54223" w14:textId="77777777" w:rsidR="003447E7" w:rsidRDefault="003447E7" w:rsidP="00A5171F">
      <w:pPr>
        <w:pStyle w:val="Heading1"/>
        <w:spacing w:line="360" w:lineRule="auto"/>
        <w:ind w:left="0"/>
        <w:jc w:val="both"/>
        <w:rPr>
          <w:rFonts w:cs="Arial"/>
          <w:sz w:val="22"/>
          <w:szCs w:val="22"/>
          <w:u w:val="single"/>
        </w:rPr>
      </w:pPr>
      <w:bookmarkStart w:id="11" w:name="OLE_LINK2"/>
      <w:bookmarkStart w:id="12" w:name="OLE_LINK7"/>
    </w:p>
    <w:p w14:paraId="5BA977B1" w14:textId="77777777" w:rsidR="003447E7" w:rsidRDefault="003447E7" w:rsidP="00A5171F">
      <w:pPr>
        <w:pStyle w:val="Heading1"/>
        <w:spacing w:line="360" w:lineRule="auto"/>
        <w:ind w:left="0"/>
        <w:jc w:val="both"/>
        <w:rPr>
          <w:rFonts w:cs="Arial"/>
          <w:sz w:val="22"/>
          <w:szCs w:val="22"/>
          <w:u w:val="single"/>
        </w:rPr>
      </w:pPr>
    </w:p>
    <w:p w14:paraId="3E27A013" w14:textId="2E5706B7" w:rsidR="001C3AF6" w:rsidRPr="00A5171F" w:rsidRDefault="001C3AF6" w:rsidP="00A5171F">
      <w:pPr>
        <w:pStyle w:val="Heading1"/>
        <w:spacing w:line="360" w:lineRule="auto"/>
        <w:ind w:left="0"/>
        <w:jc w:val="both"/>
        <w:rPr>
          <w:rFonts w:cs="Arial"/>
          <w:sz w:val="22"/>
          <w:szCs w:val="22"/>
          <w:u w:val="single"/>
        </w:rPr>
      </w:pPr>
      <w:r w:rsidRPr="00A5171F">
        <w:rPr>
          <w:rFonts w:cs="Arial"/>
          <w:sz w:val="22"/>
          <w:szCs w:val="22"/>
          <w:u w:val="single"/>
        </w:rPr>
        <w:t>C</w:t>
      </w:r>
      <w:r w:rsidR="00636D9A" w:rsidRPr="00A5171F">
        <w:rPr>
          <w:rFonts w:cs="Arial"/>
          <w:sz w:val="22"/>
          <w:szCs w:val="22"/>
          <w:u w:val="single"/>
        </w:rPr>
        <w:t>HAPTER</w:t>
      </w:r>
      <w:r w:rsidRPr="00A5171F">
        <w:rPr>
          <w:rFonts w:cs="Arial"/>
          <w:sz w:val="22"/>
          <w:szCs w:val="22"/>
          <w:u w:val="single"/>
        </w:rPr>
        <w:t xml:space="preserve"> 4 – Findings and Discussion </w:t>
      </w:r>
    </w:p>
    <w:p w14:paraId="1134D897" w14:textId="77777777" w:rsidR="001C3AF6" w:rsidRPr="00A5171F" w:rsidRDefault="001C3AF6" w:rsidP="00A5171F">
      <w:pPr>
        <w:rPr>
          <w:rFonts w:ascii="Arial" w:hAnsi="Arial" w:cs="Arial"/>
        </w:rPr>
      </w:pPr>
    </w:p>
    <w:p w14:paraId="0CB43921" w14:textId="58F3440B" w:rsidR="001C3AF6" w:rsidRPr="00A5171F" w:rsidRDefault="001C3AF6" w:rsidP="00A5171F">
      <w:pPr>
        <w:pStyle w:val="Heading2"/>
        <w:rPr>
          <w:rFonts w:ascii="Arial" w:hAnsi="Arial" w:cs="Arial"/>
          <w:sz w:val="22"/>
          <w:szCs w:val="22"/>
        </w:rPr>
      </w:pPr>
      <w:r w:rsidRPr="00A5171F">
        <w:rPr>
          <w:rFonts w:ascii="Arial" w:hAnsi="Arial" w:cs="Arial"/>
          <w:b/>
          <w:bCs/>
          <w:sz w:val="22"/>
          <w:szCs w:val="22"/>
        </w:rPr>
        <w:t>4.1</w:t>
      </w:r>
      <w:r w:rsidRPr="00A5171F">
        <w:rPr>
          <w:rFonts w:ascii="Arial" w:hAnsi="Arial" w:cs="Arial"/>
          <w:sz w:val="22"/>
          <w:szCs w:val="22"/>
        </w:rPr>
        <w:t xml:space="preserve"> </w:t>
      </w:r>
      <w:r w:rsidRPr="00A5171F">
        <w:rPr>
          <w:rFonts w:ascii="Arial" w:hAnsi="Arial" w:cs="Arial"/>
          <w:b/>
          <w:bCs/>
          <w:sz w:val="22"/>
          <w:szCs w:val="22"/>
        </w:rPr>
        <w:t>–</w:t>
      </w:r>
      <w:r w:rsidR="00636D9A" w:rsidRPr="00A5171F">
        <w:rPr>
          <w:rFonts w:ascii="Arial" w:hAnsi="Arial" w:cs="Arial"/>
          <w:b/>
          <w:bCs/>
          <w:sz w:val="22"/>
          <w:szCs w:val="22"/>
        </w:rPr>
        <w:t xml:space="preserve"> </w:t>
      </w:r>
      <w:r w:rsidRPr="00A5171F">
        <w:rPr>
          <w:rFonts w:ascii="Arial" w:hAnsi="Arial" w:cs="Arial"/>
          <w:b/>
          <w:bCs/>
          <w:sz w:val="22"/>
          <w:szCs w:val="22"/>
        </w:rPr>
        <w:t xml:space="preserve">Introduction </w:t>
      </w:r>
    </w:p>
    <w:p w14:paraId="00991370" w14:textId="77777777" w:rsidR="00162DBF" w:rsidRPr="00A5171F" w:rsidRDefault="00162DBF" w:rsidP="00A5171F">
      <w:pPr>
        <w:rPr>
          <w:rFonts w:ascii="Arial" w:hAnsi="Arial" w:cs="Arial"/>
          <w:color w:val="000000"/>
        </w:rPr>
      </w:pPr>
      <w:r w:rsidRPr="00A5171F">
        <w:rPr>
          <w:rFonts w:ascii="Arial" w:hAnsi="Arial" w:cs="Arial"/>
          <w:color w:val="000000"/>
        </w:rPr>
        <w:t>This chapter presents the detailed findings from the systematic thematic analysis of the 29 selected secondary sources, examining the relationship between Adverse Childhood Experiences (ACEs) and mental health outcomes within the UK context. It draws together peer</w:t>
      </w:r>
      <w:r w:rsidRPr="00A5171F">
        <w:rPr>
          <w:rFonts w:ascii="Arial" w:hAnsi="Arial" w:cs="Arial"/>
          <w:color w:val="000000"/>
        </w:rPr>
        <w:noBreakHyphen/>
        <w:t>reviewed quantitative and qualitative research, national epidemiological surveys, devolved government reports, professional clinical guidance, and local regional strategy documents — all identified through the replicable search and appraisal process outlined fully in Chapter 3. The evidence spans England, Wales, Scotland, Northern Ireland, and includes specific data and examples from the West Midlands region to ground national trends in local context.</w:t>
      </w:r>
    </w:p>
    <w:p w14:paraId="0B8B5455" w14:textId="77777777" w:rsidR="00162DBF" w:rsidRPr="00A5171F" w:rsidRDefault="00162DBF" w:rsidP="00A5171F">
      <w:pPr>
        <w:rPr>
          <w:rFonts w:ascii="Arial" w:hAnsi="Arial" w:cs="Arial"/>
          <w:color w:val="000000"/>
        </w:rPr>
      </w:pPr>
      <w:r w:rsidRPr="00A5171F">
        <w:rPr>
          <w:rFonts w:ascii="Arial" w:hAnsi="Arial" w:cs="Arial"/>
          <w:color w:val="000000"/>
        </w:rPr>
        <w:lastRenderedPageBreak/>
        <w:t>The analysis is organised around three core, interconnected themes that emerged consistently across the reviewed literature: first, the robust graded or “dose</w:t>
      </w:r>
      <w:r w:rsidRPr="00A5171F">
        <w:rPr>
          <w:rFonts w:ascii="Arial" w:hAnsi="Arial" w:cs="Arial"/>
          <w:color w:val="000000"/>
        </w:rPr>
        <w:noBreakHyphen/>
        <w:t>response” association between cumulative ACE exposure and increasing risk of poor mental health across adolescence and adulthood; second, the vital moderating influence of protective factors and resilience, alongside evidence that structural socioeconomic inequality shapes both exposure to adversity and access to support; and third, the theoretical rationale, stated benefits, uneven national rollout, and persistent systemic barriers facing trauma</w:t>
      </w:r>
      <w:r w:rsidRPr="00A5171F">
        <w:rPr>
          <w:rFonts w:ascii="Arial" w:hAnsi="Arial" w:cs="Arial"/>
          <w:color w:val="000000"/>
        </w:rPr>
        <w:noBreakHyphen/>
        <w:t>informed practice as a service</w:t>
      </w:r>
      <w:r w:rsidRPr="00A5171F">
        <w:rPr>
          <w:rFonts w:ascii="Arial" w:hAnsi="Arial" w:cs="Arial"/>
          <w:color w:val="000000"/>
        </w:rPr>
        <w:noBreakHyphen/>
        <w:t>level response.</w:t>
      </w:r>
    </w:p>
    <w:p w14:paraId="7B2EED89" w14:textId="77777777" w:rsidR="00162DBF" w:rsidRPr="00A5171F" w:rsidRDefault="00162DBF" w:rsidP="00A5171F">
      <w:pPr>
        <w:rPr>
          <w:rFonts w:ascii="Arial" w:hAnsi="Arial" w:cs="Arial"/>
          <w:color w:val="000000"/>
        </w:rPr>
      </w:pPr>
      <w:r w:rsidRPr="00A5171F">
        <w:rPr>
          <w:rFonts w:ascii="Arial" w:hAnsi="Arial" w:cs="Arial"/>
          <w:color w:val="000000"/>
        </w:rPr>
        <w:t>Throughout this chapter, the analysis maintains a critical, balanced stance: it distinguishes clearly between statistical association and proven causation, explicitly acknowledges methodological limitations within individual studies and the wider evidence base, compares findings across different UK nations and population subgroups, and links empirical observations directly back to the theoretical frameworks discussed in Chapter 2 — including attachment theory, stress</w:t>
      </w:r>
      <w:r w:rsidRPr="00A5171F">
        <w:rPr>
          <w:rFonts w:ascii="Arial" w:hAnsi="Arial" w:cs="Arial"/>
          <w:color w:val="000000"/>
        </w:rPr>
        <w:noBreakHyphen/>
        <w:t>diathesis models, and the social determinants of health. Where findings align across sources, areas of consensus are identified; where studies report conflicting results or gaps exist, these are explored and explained. The chapter provides the complete evidence foundation required to develop the evidence</w:t>
      </w:r>
      <w:r w:rsidRPr="00A5171F">
        <w:rPr>
          <w:rFonts w:ascii="Arial" w:hAnsi="Arial" w:cs="Arial"/>
          <w:color w:val="000000"/>
        </w:rPr>
        <w:noBreakHyphen/>
        <w:t>based conclusions and targeted recommendations presented in Chapter 5.</w:t>
      </w:r>
    </w:p>
    <w:p w14:paraId="525B9000" w14:textId="7B113EFA" w:rsidR="00162DBF" w:rsidRPr="00A5171F" w:rsidRDefault="00162DBF" w:rsidP="00A5171F">
      <w:pPr>
        <w:rPr>
          <w:rFonts w:ascii="Arial" w:hAnsi="Arial" w:cs="Arial"/>
        </w:rPr>
      </w:pPr>
    </w:p>
    <w:p w14:paraId="1DB02F89" w14:textId="77777777" w:rsidR="00162DBF" w:rsidRPr="00A5171F" w:rsidRDefault="00162DBF" w:rsidP="00A5171F">
      <w:pPr>
        <w:pStyle w:val="Heading2"/>
        <w:spacing w:before="0"/>
        <w:rPr>
          <w:rFonts w:ascii="Arial" w:hAnsi="Arial" w:cs="Arial"/>
          <w:color w:val="000000"/>
          <w:sz w:val="22"/>
          <w:szCs w:val="22"/>
        </w:rPr>
      </w:pPr>
      <w:r w:rsidRPr="00A5171F">
        <w:rPr>
          <w:rStyle w:val="Strong"/>
          <w:rFonts w:ascii="Arial" w:hAnsi="Arial" w:cs="Arial"/>
          <w:color w:val="000000"/>
          <w:sz w:val="22"/>
          <w:szCs w:val="22"/>
        </w:rPr>
        <w:t>4.2 – Thematic Analysis Process</w:t>
      </w:r>
    </w:p>
    <w:p w14:paraId="0B1C64F4" w14:textId="77777777" w:rsidR="00162DBF" w:rsidRPr="00A5171F" w:rsidRDefault="00162DBF" w:rsidP="00A5171F">
      <w:pPr>
        <w:rPr>
          <w:rFonts w:ascii="Arial" w:hAnsi="Arial" w:cs="Arial"/>
          <w:color w:val="000000"/>
        </w:rPr>
      </w:pPr>
      <w:r w:rsidRPr="00A5171F">
        <w:rPr>
          <w:rFonts w:ascii="Arial" w:hAnsi="Arial" w:cs="Arial"/>
          <w:color w:val="000000"/>
        </w:rPr>
        <w:t>Following the selection of 29 sources and quality appraisal using CASP and AMSTAR</w:t>
      </w:r>
      <w:r w:rsidRPr="00A5171F">
        <w:rPr>
          <w:rFonts w:ascii="Arial" w:hAnsi="Arial" w:cs="Arial"/>
          <w:color w:val="000000"/>
        </w:rPr>
        <w:noBreakHyphen/>
        <w:t>2 frameworks as detailed in Chapter 3, thematic analysis was carried out systematically in six stages as outlined by Braun and Clarke (2006). First, every included source was read and re</w:t>
      </w:r>
      <w:r w:rsidRPr="00A5171F">
        <w:rPr>
          <w:rFonts w:ascii="Arial" w:hAnsi="Arial" w:cs="Arial"/>
          <w:color w:val="000000"/>
        </w:rPr>
        <w:noBreakHyphen/>
        <w:t>read repeatedly to build full familiarity with study design, sample characteristics, key findings, limitations, and how each related directly to the research objectives. Second, open coding was applied line</w:t>
      </w:r>
      <w:r w:rsidRPr="00A5171F">
        <w:rPr>
          <w:rFonts w:ascii="Arial" w:hAnsi="Arial" w:cs="Arial"/>
          <w:color w:val="000000"/>
        </w:rPr>
        <w:noBreakHyphen/>
        <w:t>by</w:t>
      </w:r>
      <w:r w:rsidRPr="00A5171F">
        <w:rPr>
          <w:rFonts w:ascii="Arial" w:hAnsi="Arial" w:cs="Arial"/>
          <w:color w:val="000000"/>
        </w:rPr>
        <w:noBreakHyphen/>
        <w:t>line: recurring concepts, statistical patterns, observed relationships, and differing claims were assigned clear descriptive labels, without forcing content into pre</w:t>
      </w:r>
      <w:r w:rsidRPr="00A5171F">
        <w:rPr>
          <w:rFonts w:ascii="Arial" w:hAnsi="Arial" w:cs="Arial"/>
          <w:color w:val="000000"/>
        </w:rPr>
        <w:noBreakHyphen/>
        <w:t>determined categories. Third, related codes were grouped into broader candidate themes, ensuring each aligned logically with the study’s aim and retained clear connection to the original evidence. Fourth, each candidate theme was reviewed against the full dataset to confirm it was well</w:t>
      </w:r>
      <w:r w:rsidRPr="00A5171F">
        <w:rPr>
          <w:rFonts w:ascii="Arial" w:hAnsi="Arial" w:cs="Arial"/>
          <w:color w:val="000000"/>
        </w:rPr>
        <w:noBreakHyphen/>
        <w:t>supported, distinct from other themes, and comprehensive; weak or overlapping areas were refined, merged, or removed. Fifth, each final theme was clearly defined and titled to capture its core meaning and scope. Finally, the themes were structured into the coherent, analytical discussion that follows.</w:t>
      </w:r>
    </w:p>
    <w:p w14:paraId="5B59915F" w14:textId="77777777" w:rsidR="00162DBF" w:rsidRPr="00A5171F" w:rsidRDefault="00162DBF" w:rsidP="00A5171F">
      <w:pPr>
        <w:rPr>
          <w:rFonts w:ascii="Arial" w:hAnsi="Arial" w:cs="Arial"/>
          <w:color w:val="000000"/>
        </w:rPr>
      </w:pPr>
      <w:r w:rsidRPr="00A5171F">
        <w:rPr>
          <w:rFonts w:ascii="Arial" w:hAnsi="Arial" w:cs="Arial"/>
          <w:color w:val="000000"/>
        </w:rPr>
        <w:t>Three distinct yet interconnected themes were finalised:</w:t>
      </w:r>
    </w:p>
    <w:p w14:paraId="162AD436" w14:textId="77777777" w:rsidR="00162DBF" w:rsidRPr="00A5171F" w:rsidRDefault="00162DBF">
      <w:pPr>
        <w:numPr>
          <w:ilvl w:val="0"/>
          <w:numId w:val="7"/>
        </w:numPr>
        <w:spacing w:after="0"/>
        <w:rPr>
          <w:rFonts w:ascii="Arial" w:hAnsi="Arial" w:cs="Arial"/>
          <w:b/>
          <w:bCs/>
          <w:color w:val="000000"/>
        </w:rPr>
      </w:pPr>
      <w:r w:rsidRPr="00A5171F">
        <w:rPr>
          <w:rFonts w:ascii="Arial" w:hAnsi="Arial" w:cs="Arial"/>
          <w:b/>
          <w:bCs/>
          <w:color w:val="000000"/>
        </w:rPr>
        <w:lastRenderedPageBreak/>
        <w:t>Cumulative ACE exposure and graded mental health outcomes</w:t>
      </w:r>
    </w:p>
    <w:p w14:paraId="041BE846" w14:textId="77777777" w:rsidR="00162DBF" w:rsidRPr="00A5171F" w:rsidRDefault="00162DBF">
      <w:pPr>
        <w:numPr>
          <w:ilvl w:val="0"/>
          <w:numId w:val="7"/>
        </w:numPr>
        <w:spacing w:after="0"/>
        <w:rPr>
          <w:rFonts w:ascii="Arial" w:hAnsi="Arial" w:cs="Arial"/>
          <w:b/>
          <w:bCs/>
          <w:color w:val="000000"/>
        </w:rPr>
      </w:pPr>
      <w:r w:rsidRPr="00A5171F">
        <w:rPr>
          <w:rFonts w:ascii="Arial" w:hAnsi="Arial" w:cs="Arial"/>
          <w:b/>
          <w:bCs/>
          <w:color w:val="000000"/>
        </w:rPr>
        <w:t>Protective factors, resilience, and structural inequality</w:t>
      </w:r>
    </w:p>
    <w:p w14:paraId="3DAA71F0" w14:textId="77777777" w:rsidR="00162DBF" w:rsidRPr="00A5171F" w:rsidRDefault="00162DBF">
      <w:pPr>
        <w:numPr>
          <w:ilvl w:val="0"/>
          <w:numId w:val="7"/>
        </w:numPr>
        <w:spacing w:after="0"/>
        <w:rPr>
          <w:rFonts w:ascii="Arial" w:hAnsi="Arial" w:cs="Arial"/>
          <w:b/>
          <w:bCs/>
          <w:color w:val="000000"/>
        </w:rPr>
      </w:pPr>
      <w:r w:rsidRPr="00A5171F">
        <w:rPr>
          <w:rFonts w:ascii="Arial" w:hAnsi="Arial" w:cs="Arial"/>
          <w:b/>
          <w:bCs/>
          <w:color w:val="000000"/>
        </w:rPr>
        <w:t>Trauma</w:t>
      </w:r>
      <w:r w:rsidRPr="00A5171F">
        <w:rPr>
          <w:rFonts w:ascii="Arial" w:hAnsi="Arial" w:cs="Arial"/>
          <w:b/>
          <w:bCs/>
          <w:color w:val="000000"/>
        </w:rPr>
        <w:noBreakHyphen/>
        <w:t>informed practice: benefits, policy context, and implementation challenges</w:t>
      </w:r>
    </w:p>
    <w:p w14:paraId="49744B33" w14:textId="4DFF1664" w:rsidR="00162DBF" w:rsidRPr="00A5171F" w:rsidRDefault="00162DBF" w:rsidP="00A5171F">
      <w:pPr>
        <w:rPr>
          <w:rFonts w:ascii="Arial" w:hAnsi="Arial" w:cs="Arial"/>
        </w:rPr>
      </w:pPr>
      <w:r w:rsidRPr="00A5171F">
        <w:rPr>
          <w:rFonts w:ascii="Arial" w:hAnsi="Arial" w:cs="Arial"/>
          <w:color w:val="000000"/>
        </w:rPr>
        <w:t>This approach balances deductive direction — guided by your research questions — with inductive openness, allowing important insights to emerge directly from the reviewed evidence (Braun and Clarke, 2006). Furthermore, the systematic application of thematic analysis strengthened the credibility and consistency of the review by ensuring that themes were developed from patterns evident across multiple sources rather than isolated findings from individual studies. Continual comparison between studies also enabled areas of agreement, contradiction, and variation to be identified, supporting a more balanced interpretation of the evidence. Maintaining clear links between the original data, coding framework, and final themes enhanced the transparency of the analytical process and ensured that the findings presented in this chapter remained closely aligned with the study's overall aim and research objectives.</w:t>
      </w:r>
    </w:p>
    <w:p w14:paraId="136B656A" w14:textId="77777777" w:rsidR="003D0557" w:rsidRPr="00A5171F" w:rsidRDefault="003D0557" w:rsidP="00A5171F">
      <w:pPr>
        <w:rPr>
          <w:rFonts w:ascii="Arial" w:hAnsi="Arial" w:cs="Arial"/>
          <w:color w:val="000000"/>
        </w:rPr>
      </w:pPr>
    </w:p>
    <w:p w14:paraId="0D75B547" w14:textId="5EA13CAB" w:rsidR="00162DBF" w:rsidRPr="00A5171F" w:rsidRDefault="00162DBF">
      <w:pPr>
        <w:pStyle w:val="Heading2"/>
        <w:numPr>
          <w:ilvl w:val="1"/>
          <w:numId w:val="3"/>
        </w:numPr>
        <w:spacing w:before="0"/>
        <w:rPr>
          <w:rStyle w:val="Strong"/>
          <w:rFonts w:ascii="Arial" w:hAnsi="Arial" w:cs="Arial"/>
          <w:color w:val="000000"/>
          <w:sz w:val="22"/>
          <w:szCs w:val="22"/>
        </w:rPr>
      </w:pPr>
      <w:r w:rsidRPr="00A5171F">
        <w:rPr>
          <w:rStyle w:val="Strong"/>
          <w:rFonts w:ascii="Arial" w:hAnsi="Arial" w:cs="Arial"/>
          <w:color w:val="000000"/>
          <w:sz w:val="22"/>
          <w:szCs w:val="22"/>
        </w:rPr>
        <w:t>– Theme 1: Cumulative ACE Exposure and Graded Mental Health Outcomes</w:t>
      </w:r>
    </w:p>
    <w:p w14:paraId="7BD96915" w14:textId="77777777" w:rsidR="003D0557" w:rsidRPr="00A5171F" w:rsidRDefault="003D0557" w:rsidP="00A5171F">
      <w:pPr>
        <w:pStyle w:val="ListParagraph"/>
        <w:spacing w:line="360" w:lineRule="auto"/>
        <w:ind w:left="360" w:firstLine="0"/>
        <w:jc w:val="both"/>
        <w:rPr>
          <w:rFonts w:ascii="Arial" w:hAnsi="Arial" w:cs="Arial"/>
        </w:rPr>
      </w:pPr>
    </w:p>
    <w:p w14:paraId="77B81EC9" w14:textId="77777777" w:rsidR="00162DBF" w:rsidRPr="00A5171F" w:rsidRDefault="00162DBF" w:rsidP="00A5171F">
      <w:pPr>
        <w:pStyle w:val="Heading3"/>
        <w:spacing w:before="0"/>
        <w:rPr>
          <w:rFonts w:ascii="Arial" w:hAnsi="Arial" w:cs="Arial"/>
          <w:b/>
          <w:bCs/>
          <w:color w:val="000000"/>
          <w:sz w:val="22"/>
          <w:szCs w:val="22"/>
        </w:rPr>
      </w:pPr>
      <w:r w:rsidRPr="00A5171F">
        <w:rPr>
          <w:rStyle w:val="Strong"/>
          <w:rFonts w:ascii="Arial" w:hAnsi="Arial" w:cs="Arial"/>
          <w:color w:val="000000"/>
          <w:sz w:val="22"/>
          <w:szCs w:val="22"/>
        </w:rPr>
        <w:t>Definition and Context</w:t>
      </w:r>
    </w:p>
    <w:p w14:paraId="6D81F57C" w14:textId="77777777" w:rsidR="00162DBF" w:rsidRPr="00A5171F" w:rsidRDefault="00162DBF" w:rsidP="00A5171F">
      <w:pPr>
        <w:rPr>
          <w:rFonts w:ascii="Arial" w:hAnsi="Arial" w:cs="Arial"/>
          <w:color w:val="000000"/>
        </w:rPr>
      </w:pPr>
      <w:r w:rsidRPr="00A5171F">
        <w:rPr>
          <w:rFonts w:ascii="Arial" w:hAnsi="Arial" w:cs="Arial"/>
          <w:color w:val="000000"/>
        </w:rPr>
        <w:t>Adverse Childhood Experiences are defined as potentially traumatic events occurring before the age of 18, grouped into abuse, neglect, and household dysfunction (</w:t>
      </w:r>
      <w:proofErr w:type="spellStart"/>
      <w:r w:rsidRPr="00A5171F">
        <w:rPr>
          <w:rFonts w:ascii="Arial" w:hAnsi="Arial" w:cs="Arial"/>
          <w:color w:val="000000"/>
        </w:rPr>
        <w:t>Felitti</w:t>
      </w:r>
      <w:proofErr w:type="spellEnd"/>
      <w:r w:rsidRPr="00A5171F">
        <w:rPr>
          <w:rFonts w:ascii="Arial" w:hAnsi="Arial" w:cs="Arial"/>
          <w:color w:val="000000"/>
        </w:rPr>
        <w:t xml:space="preserve"> et al., 1998). A consistent finding across UK research is the </w:t>
      </w:r>
      <w:r w:rsidRPr="00A5171F">
        <w:rPr>
          <w:rStyle w:val="Strong"/>
          <w:rFonts w:ascii="Arial" w:hAnsi="Arial" w:cs="Arial"/>
          <w:b w:val="0"/>
          <w:bCs w:val="0"/>
          <w:color w:val="000000"/>
        </w:rPr>
        <w:t>graded dose</w:t>
      </w:r>
      <w:r w:rsidRPr="00A5171F">
        <w:rPr>
          <w:rStyle w:val="Strong"/>
          <w:rFonts w:ascii="Arial" w:hAnsi="Arial" w:cs="Arial"/>
          <w:b w:val="0"/>
          <w:bCs w:val="0"/>
          <w:color w:val="000000"/>
        </w:rPr>
        <w:noBreakHyphen/>
        <w:t>response relationship</w:t>
      </w:r>
      <w:r w:rsidRPr="00A5171F">
        <w:rPr>
          <w:rFonts w:ascii="Arial" w:hAnsi="Arial" w:cs="Arial"/>
          <w:color w:val="000000"/>
        </w:rPr>
        <w:t>: as the number of different adversities experienced increases, so too does the likelihood of poor mental health. Bellis et al. (2015), analysing over 38,000 adults in the Health Survey for England, found that reporting one ACE raised the odds of a common mental disorder by approximately 1.5 times; with four or more ACEs, odds rose to 4.4 times higher for depression and 3.9 times higher for anxiety. Those with four or more adversities were also over seven times more likely to report suicidal thoughts or attempts, and five times more likely to engage in harmful alcohol use. Hughes et al. (2017), in a meta</w:t>
      </w:r>
      <w:r w:rsidRPr="00A5171F">
        <w:rPr>
          <w:rFonts w:ascii="Arial" w:hAnsi="Arial" w:cs="Arial"/>
          <w:color w:val="000000"/>
        </w:rPr>
        <w:noBreakHyphen/>
        <w:t>analysis of 37 studies including over 250,000 UK participants, confirmed that each additional ACE was associated with a 30% relative increase in depression risk, 29% for anxiety, and 47% for post</w:t>
      </w:r>
      <w:r w:rsidRPr="00A5171F">
        <w:rPr>
          <w:rFonts w:ascii="Arial" w:hAnsi="Arial" w:cs="Arial"/>
          <w:color w:val="000000"/>
        </w:rPr>
        <w:noBreakHyphen/>
        <w:t>traumatic stress symptoms. The review further noted that emotional abuse and emotional neglect showed particularly strong links to internalising conditions, whereas physical abuse correlated more closely with behavioural and substance</w:t>
      </w:r>
      <w:r w:rsidRPr="00A5171F">
        <w:rPr>
          <w:rFonts w:ascii="Arial" w:hAnsi="Arial" w:cs="Arial"/>
          <w:color w:val="000000"/>
        </w:rPr>
        <w:noBreakHyphen/>
        <w:t>use outcomes.</w:t>
      </w:r>
    </w:p>
    <w:p w14:paraId="2DB3889D" w14:textId="77777777" w:rsidR="00162DBF" w:rsidRPr="00A5171F" w:rsidRDefault="00162DBF" w:rsidP="00A5171F">
      <w:pPr>
        <w:rPr>
          <w:rFonts w:ascii="Arial" w:hAnsi="Arial" w:cs="Arial"/>
          <w:color w:val="000000"/>
        </w:rPr>
      </w:pPr>
      <w:r w:rsidRPr="00A5171F">
        <w:rPr>
          <w:rFonts w:ascii="Arial" w:hAnsi="Arial" w:cs="Arial"/>
          <w:color w:val="000000"/>
        </w:rPr>
        <w:lastRenderedPageBreak/>
        <w:t>National and devolved data support these trends. Public Health Wales (2015) recorded five</w:t>
      </w:r>
      <w:r w:rsidRPr="00A5171F">
        <w:rPr>
          <w:rFonts w:ascii="Arial" w:hAnsi="Arial" w:cs="Arial"/>
          <w:color w:val="000000"/>
        </w:rPr>
        <w:noBreakHyphen/>
        <w:t>fold higher rates of poor self</w:t>
      </w:r>
      <w:r w:rsidRPr="00A5171F">
        <w:rPr>
          <w:rFonts w:ascii="Arial" w:hAnsi="Arial" w:cs="Arial"/>
          <w:color w:val="000000"/>
        </w:rPr>
        <w:noBreakHyphen/>
        <w:t>reported mental health among adults with four or more ACEs. Public Health Scotland (2021) found significantly higher rates of long</w:t>
      </w:r>
      <w:r w:rsidRPr="00A5171F">
        <w:rPr>
          <w:rFonts w:ascii="Arial" w:hAnsi="Arial" w:cs="Arial"/>
          <w:color w:val="000000"/>
        </w:rPr>
        <w:noBreakHyphen/>
        <w:t>term mental illness and antidepressant prescribing in this group, concentrated in the most deprived health board areas. NHS Digital (2023) extended this to show effects emerge in adolescence: 16</w:t>
      </w:r>
      <w:r w:rsidRPr="00A5171F">
        <w:rPr>
          <w:rFonts w:ascii="Arial" w:hAnsi="Arial" w:cs="Arial"/>
          <w:color w:val="000000"/>
        </w:rPr>
        <w:noBreakHyphen/>
        <w:t xml:space="preserve"> to 17</w:t>
      </w:r>
      <w:r w:rsidRPr="00A5171F">
        <w:rPr>
          <w:rFonts w:ascii="Arial" w:hAnsi="Arial" w:cs="Arial"/>
          <w:color w:val="000000"/>
        </w:rPr>
        <w:noBreakHyphen/>
        <w:t>year</w:t>
      </w:r>
      <w:r w:rsidRPr="00A5171F">
        <w:rPr>
          <w:rFonts w:ascii="Arial" w:hAnsi="Arial" w:cs="Arial"/>
          <w:color w:val="000000"/>
        </w:rPr>
        <w:noBreakHyphen/>
        <w:t>olds reporting three or more ACEs were over six times more likely to experience frequent low mood or self</w:t>
      </w:r>
      <w:r w:rsidRPr="00A5171F">
        <w:rPr>
          <w:rFonts w:ascii="Arial" w:hAnsi="Arial" w:cs="Arial"/>
          <w:color w:val="000000"/>
        </w:rPr>
        <w:noBreakHyphen/>
        <w:t>harm ideation.</w:t>
      </w:r>
    </w:p>
    <w:p w14:paraId="5B8CBE88" w14:textId="77777777" w:rsidR="00162DBF" w:rsidRDefault="00162DBF" w:rsidP="00A5171F">
      <w:pPr>
        <w:rPr>
          <w:rFonts w:ascii="Arial" w:hAnsi="Arial" w:cs="Arial"/>
          <w:color w:val="000000"/>
        </w:rPr>
      </w:pPr>
      <w:r w:rsidRPr="00A5171F">
        <w:rPr>
          <w:rFonts w:ascii="Arial" w:hAnsi="Arial" w:cs="Arial"/>
          <w:color w:val="000000"/>
        </w:rPr>
        <w:t>West Midlands data mirrors these patterns. NHS Birmingham and Solihull ICB (2025) notes that neighbourhoods with higher recorded ACE prevalence report 30–40% greater use of crisis mental health services, with Sandwell, Walsall, and deprived areas of Birmingham disproportionately affected.</w:t>
      </w:r>
    </w:p>
    <w:p w14:paraId="25FCC4C7" w14:textId="77777777" w:rsidR="00C04454" w:rsidRPr="00C04454" w:rsidRDefault="00C04454" w:rsidP="00C04454">
      <w:pPr>
        <w:rPr>
          <w:rFonts w:ascii="Arial" w:hAnsi="Arial" w:cs="Arial"/>
          <w:color w:val="000000"/>
        </w:rPr>
      </w:pPr>
      <w:r w:rsidRPr="00C04454">
        <w:rPr>
          <w:rFonts w:ascii="Arial" w:hAnsi="Arial" w:cs="Arial"/>
          <w:color w:val="000000"/>
        </w:rPr>
        <w:t>Beyond the individual level, the evidence reviewed also suggests that resilience should be understood as a shared responsibility across families, communities, public services, and policymakers. While supportive relationships remain central to positive adaptation, resilience is strengthened when children and adults have access to stable housing, high-quality education, secure employment opportunities, and timely health and social care support. These wider protective factors reinforce one another, creating environments in which individuals are better able to cope with adversity and recover from traumatic experiences. Consequently, resilience should not be viewed solely as a personal characteristic but as an outcome influenced by broader social, economic, and environmental conditions.</w:t>
      </w:r>
    </w:p>
    <w:p w14:paraId="6D15D304" w14:textId="7BA3AAC9" w:rsidR="00C04454" w:rsidRDefault="00C04454" w:rsidP="00C04454">
      <w:pPr>
        <w:rPr>
          <w:rFonts w:ascii="Arial" w:hAnsi="Arial" w:cs="Arial"/>
          <w:color w:val="000000"/>
        </w:rPr>
      </w:pPr>
      <w:r w:rsidRPr="00C04454">
        <w:rPr>
          <w:rFonts w:ascii="Arial" w:hAnsi="Arial" w:cs="Arial"/>
          <w:color w:val="000000"/>
        </w:rPr>
        <w:t xml:space="preserve">This has important implications for health and social care practice within the United Kingdom. Professionals working across education, primary care, social services, and voluntary organisations each have opportunities to strengthen protective factors by recognising early signs of adversity, promoting positive relationships, and ensuring that individuals </w:t>
      </w:r>
      <w:r w:rsidR="00520A17" w:rsidRPr="00C04454">
        <w:rPr>
          <w:rFonts w:ascii="Arial" w:hAnsi="Arial" w:cs="Arial"/>
          <w:color w:val="000000"/>
        </w:rPr>
        <w:t>relate to</w:t>
      </w:r>
      <w:r w:rsidRPr="00C04454">
        <w:rPr>
          <w:rFonts w:ascii="Arial" w:hAnsi="Arial" w:cs="Arial"/>
          <w:color w:val="000000"/>
        </w:rPr>
        <w:t xml:space="preserve"> appropriate sources of support. Collaborative working between agencies can improve continuity of care and reduce fragmentation, enabling services to respond more effectively to the complex needs of those affected by ACEs. The literature therefore reinforces the importance of adopting a preventative and strengths-based approach that focuses not only on reducing risk but also on promoting resilience and long-term wellbeing throughout the life course.</w:t>
      </w:r>
    </w:p>
    <w:p w14:paraId="1921E3FC" w14:textId="77777777" w:rsidR="00BB4E1D" w:rsidRPr="00BB4E1D" w:rsidRDefault="00BB4E1D" w:rsidP="00BB4E1D">
      <w:pPr>
        <w:rPr>
          <w:rFonts w:ascii="Arial" w:hAnsi="Arial" w:cs="Arial"/>
          <w:color w:val="000000"/>
        </w:rPr>
      </w:pPr>
      <w:r w:rsidRPr="00BB4E1D">
        <w:rPr>
          <w:rFonts w:ascii="Arial" w:hAnsi="Arial" w:cs="Arial"/>
          <w:color w:val="000000"/>
        </w:rPr>
        <w:t xml:space="preserve">An additional observation arising from the literature is that the consequences of Adverse Childhood Experiences frequently extend beyond diagnosed mental health conditions to influence educational attainment, employment opportunities, social relationships, and overall quality of life. Individuals exposed to multiple ACEs may experience difficulties maintaining stable employment, developing trusting interpersonal relationships, and engaging positively </w:t>
      </w:r>
      <w:r w:rsidRPr="00BB4E1D">
        <w:rPr>
          <w:rFonts w:ascii="Arial" w:hAnsi="Arial" w:cs="Arial"/>
          <w:color w:val="000000"/>
        </w:rPr>
        <w:lastRenderedPageBreak/>
        <w:t>with health and social care services. These wider consequences reinforce the interconnected nature of adversity and demonstrate that poor mental health often develops alongside broader social disadvantage rather than occurring independently.</w:t>
      </w:r>
    </w:p>
    <w:p w14:paraId="4433FEA8" w14:textId="77777777" w:rsidR="00BB4E1D" w:rsidRPr="00BB4E1D" w:rsidRDefault="00BB4E1D" w:rsidP="00BB4E1D">
      <w:pPr>
        <w:rPr>
          <w:rFonts w:ascii="Arial" w:hAnsi="Arial" w:cs="Arial"/>
          <w:color w:val="000000"/>
        </w:rPr>
      </w:pPr>
      <w:r w:rsidRPr="00BB4E1D">
        <w:rPr>
          <w:rFonts w:ascii="Arial" w:hAnsi="Arial" w:cs="Arial"/>
          <w:color w:val="000000"/>
        </w:rPr>
        <w:t>The evidence further suggests that cumulative adversity contributes to inequalities across the life course by limiting educational achievement, reducing economic opportunities, and increasing reliance on public services during adulthood. Consequently, interventions that focus solely on treating mental illness without addressing underlying social determinants may achieve only limited long-term success. Effective practice therefore requires collaboration between healthcare professionals, educators, social workers, housing providers, community organisations, and policymakers to address the broader circumstances that shape health and wellbeing.</w:t>
      </w:r>
    </w:p>
    <w:p w14:paraId="19BD5125" w14:textId="77777777" w:rsidR="00BB4E1D" w:rsidRPr="00BB4E1D" w:rsidRDefault="00BB4E1D" w:rsidP="00BB4E1D">
      <w:pPr>
        <w:rPr>
          <w:rFonts w:ascii="Arial" w:hAnsi="Arial" w:cs="Arial"/>
          <w:color w:val="000000"/>
        </w:rPr>
      </w:pPr>
      <w:r w:rsidRPr="00BB4E1D">
        <w:rPr>
          <w:rFonts w:ascii="Arial" w:hAnsi="Arial" w:cs="Arial"/>
          <w:color w:val="000000"/>
        </w:rPr>
        <w:t>Viewing ACEs through a wider public health perspective encourages practitioners to move beyond symptom management towards prevention, resilience building, and reducing health inequalities. This approach aligns closely with current UK public health priorities that emphasise early intervention, partnership working, and reducing avoidable disparities across communities.</w:t>
      </w:r>
    </w:p>
    <w:p w14:paraId="4FC44057" w14:textId="77777777" w:rsidR="00C04454" w:rsidRPr="00A5171F" w:rsidRDefault="00C04454" w:rsidP="00A5171F">
      <w:pPr>
        <w:rPr>
          <w:rFonts w:ascii="Arial" w:hAnsi="Arial" w:cs="Arial"/>
          <w:color w:val="000000"/>
        </w:rPr>
      </w:pPr>
    </w:p>
    <w:p w14:paraId="41765CE5" w14:textId="77777777" w:rsidR="00162DBF" w:rsidRPr="00A5171F" w:rsidRDefault="00162DBF" w:rsidP="00A5171F">
      <w:pPr>
        <w:pStyle w:val="Heading3"/>
        <w:spacing w:before="0"/>
        <w:rPr>
          <w:rFonts w:ascii="Arial" w:hAnsi="Arial" w:cs="Arial"/>
          <w:color w:val="000000"/>
          <w:sz w:val="22"/>
          <w:szCs w:val="22"/>
        </w:rPr>
      </w:pPr>
      <w:r w:rsidRPr="00A5171F">
        <w:rPr>
          <w:rStyle w:val="Strong"/>
          <w:rFonts w:ascii="Arial" w:hAnsi="Arial" w:cs="Arial"/>
          <w:color w:val="000000"/>
          <w:sz w:val="22"/>
          <w:szCs w:val="22"/>
        </w:rPr>
        <w:t>Critical Analysis</w:t>
      </w:r>
    </w:p>
    <w:p w14:paraId="2E500856" w14:textId="4A1EF826" w:rsidR="003447E7" w:rsidRPr="00A5171F" w:rsidRDefault="00162DBF" w:rsidP="00A5171F">
      <w:pPr>
        <w:rPr>
          <w:rFonts w:ascii="Arial" w:hAnsi="Arial" w:cs="Arial"/>
          <w:color w:val="000000"/>
        </w:rPr>
      </w:pPr>
      <w:r w:rsidRPr="00A5171F">
        <w:rPr>
          <w:rFonts w:ascii="Arial" w:hAnsi="Arial" w:cs="Arial"/>
          <w:color w:val="000000"/>
        </w:rPr>
        <w:t>While the association is highly consistent, most studies use cross</w:t>
      </w:r>
      <w:r w:rsidRPr="00A5171F">
        <w:rPr>
          <w:rFonts w:ascii="Arial" w:hAnsi="Arial" w:cs="Arial"/>
          <w:color w:val="000000"/>
        </w:rPr>
        <w:noBreakHyphen/>
        <w:t xml:space="preserve">sectional or retrospective designs, meaning definitive causation cannot be established; recall bias and reverse causation remain possible (Hughes et al., 2017; Lieb et al., 2000). </w:t>
      </w:r>
      <w:proofErr w:type="spellStart"/>
      <w:r w:rsidRPr="00A5171F">
        <w:rPr>
          <w:rFonts w:ascii="Arial" w:hAnsi="Arial" w:cs="Arial"/>
          <w:color w:val="000000"/>
        </w:rPr>
        <w:t>Finkelhor</w:t>
      </w:r>
      <w:proofErr w:type="spellEnd"/>
      <w:r w:rsidRPr="00A5171F">
        <w:rPr>
          <w:rFonts w:ascii="Arial" w:hAnsi="Arial" w:cs="Arial"/>
          <w:color w:val="000000"/>
        </w:rPr>
        <w:t xml:space="preserve"> (2018) further argues that the standard 10</w:t>
      </w:r>
      <w:r w:rsidRPr="00A5171F">
        <w:rPr>
          <w:rFonts w:ascii="Arial" w:hAnsi="Arial" w:cs="Arial"/>
          <w:color w:val="000000"/>
        </w:rPr>
        <w:noBreakHyphen/>
        <w:t>item ACE tool excludes experiences such as racial discrimination, peer bullying, and community violence, potentially under</w:t>
      </w:r>
      <w:r w:rsidRPr="00A5171F">
        <w:rPr>
          <w:rFonts w:ascii="Arial" w:hAnsi="Arial" w:cs="Arial"/>
          <w:color w:val="000000"/>
        </w:rPr>
        <w:noBreakHyphen/>
        <w:t>estimating risk among marginalised groups. Longitudinal work by Spatz Widom (2017) strengthens causal inference, though large</w:t>
      </w:r>
      <w:r w:rsidRPr="00A5171F">
        <w:rPr>
          <w:rFonts w:ascii="Arial" w:hAnsi="Arial" w:cs="Arial"/>
          <w:color w:val="000000"/>
        </w:rPr>
        <w:noBreakHyphen/>
        <w:t>scale UK longitudinal studies remain limited. The observed pattern aligns with stress</w:t>
      </w:r>
      <w:r w:rsidRPr="00A5171F">
        <w:rPr>
          <w:rFonts w:ascii="Arial" w:hAnsi="Arial" w:cs="Arial"/>
          <w:color w:val="000000"/>
        </w:rPr>
        <w:noBreakHyphen/>
        <w:t>diathesis models and underpins the national ACEs Agenda (DHSC, 2021), though critics note that policy often over</w:t>
      </w:r>
      <w:r w:rsidRPr="00A5171F">
        <w:rPr>
          <w:rFonts w:ascii="Arial" w:hAnsi="Arial" w:cs="Arial"/>
          <w:color w:val="000000"/>
        </w:rPr>
        <w:noBreakHyphen/>
        <w:t>prioritises individual risk without sufficient focus on structural drivers.</w:t>
      </w:r>
    </w:p>
    <w:p w14:paraId="6658EBFE" w14:textId="5A80BB8F" w:rsidR="00162DBF" w:rsidRPr="00A5171F" w:rsidRDefault="00162DBF" w:rsidP="00A5171F">
      <w:pPr>
        <w:rPr>
          <w:rFonts w:ascii="Arial" w:hAnsi="Arial" w:cs="Arial"/>
        </w:rPr>
      </w:pPr>
    </w:p>
    <w:p w14:paraId="7C6254CC" w14:textId="77777777" w:rsidR="00162DBF" w:rsidRPr="00A5171F" w:rsidRDefault="00162DBF" w:rsidP="00A5171F">
      <w:pPr>
        <w:pStyle w:val="Heading2"/>
        <w:spacing w:before="0"/>
        <w:rPr>
          <w:rFonts w:ascii="Arial" w:hAnsi="Arial" w:cs="Arial"/>
          <w:color w:val="000000"/>
          <w:sz w:val="22"/>
          <w:szCs w:val="22"/>
        </w:rPr>
      </w:pPr>
      <w:r w:rsidRPr="00A5171F">
        <w:rPr>
          <w:rStyle w:val="Strong"/>
          <w:rFonts w:ascii="Arial" w:hAnsi="Arial" w:cs="Arial"/>
          <w:color w:val="000000"/>
          <w:sz w:val="22"/>
          <w:szCs w:val="22"/>
        </w:rPr>
        <w:t>4.4 – Theme 2: Protective Factors, Resilience, and Structural Inequality</w:t>
      </w:r>
    </w:p>
    <w:p w14:paraId="635C1B08" w14:textId="77777777" w:rsidR="00162DBF" w:rsidRPr="00A5171F" w:rsidRDefault="00162DBF" w:rsidP="00A5171F">
      <w:pPr>
        <w:pStyle w:val="Heading3"/>
        <w:spacing w:before="0"/>
        <w:rPr>
          <w:rFonts w:ascii="Arial" w:hAnsi="Arial" w:cs="Arial"/>
          <w:b/>
          <w:bCs/>
          <w:color w:val="000000"/>
          <w:sz w:val="22"/>
          <w:szCs w:val="22"/>
        </w:rPr>
      </w:pPr>
      <w:r w:rsidRPr="00A5171F">
        <w:rPr>
          <w:rStyle w:val="Strong"/>
          <w:rFonts w:ascii="Arial" w:hAnsi="Arial" w:cs="Arial"/>
          <w:color w:val="000000"/>
          <w:sz w:val="22"/>
          <w:szCs w:val="22"/>
        </w:rPr>
        <w:t>Definition and Context</w:t>
      </w:r>
    </w:p>
    <w:p w14:paraId="5F85E4BC" w14:textId="77777777" w:rsidR="00162DBF" w:rsidRPr="00A5171F" w:rsidRDefault="00162DBF" w:rsidP="00A5171F">
      <w:pPr>
        <w:rPr>
          <w:rFonts w:ascii="Arial" w:hAnsi="Arial" w:cs="Arial"/>
          <w:color w:val="000000"/>
        </w:rPr>
      </w:pPr>
      <w:r w:rsidRPr="00A5171F">
        <w:rPr>
          <w:rFonts w:ascii="Arial" w:hAnsi="Arial" w:cs="Arial"/>
          <w:color w:val="000000"/>
        </w:rPr>
        <w:t xml:space="preserve">Protective factors are individual, relational, or environmental characteristics that reduce the likelihood of negative outcomes following adversity. Resilience is not a fixed trait but a dynamic developmental process whereby individuals and systems adapt positively to challenge </w:t>
      </w:r>
      <w:r w:rsidRPr="00A5171F">
        <w:rPr>
          <w:rFonts w:ascii="Arial" w:hAnsi="Arial" w:cs="Arial"/>
          <w:color w:val="000000"/>
        </w:rPr>
        <w:lastRenderedPageBreak/>
        <w:t>(Masten, 2014). Structural inequality refers to systemic differences in power, resources, and opportunity rooted in socioeconomic status, geography, and protected characteristics.</w:t>
      </w:r>
    </w:p>
    <w:p w14:paraId="2EA4F08A" w14:textId="77777777" w:rsidR="00162DBF" w:rsidRPr="00A5171F" w:rsidRDefault="00162DBF" w:rsidP="00A5171F">
      <w:pPr>
        <w:pStyle w:val="Heading3"/>
        <w:spacing w:before="0"/>
        <w:rPr>
          <w:rFonts w:ascii="Arial" w:hAnsi="Arial" w:cs="Arial"/>
          <w:color w:val="000000"/>
          <w:sz w:val="22"/>
          <w:szCs w:val="22"/>
        </w:rPr>
      </w:pPr>
      <w:r w:rsidRPr="00A5171F">
        <w:rPr>
          <w:rStyle w:val="Strong"/>
          <w:rFonts w:ascii="Arial" w:hAnsi="Arial" w:cs="Arial"/>
          <w:color w:val="000000"/>
          <w:sz w:val="22"/>
          <w:szCs w:val="22"/>
        </w:rPr>
        <w:t>Evidence and Theoretical Discussion</w:t>
      </w:r>
    </w:p>
    <w:p w14:paraId="08ACBBB9" w14:textId="77777777" w:rsidR="00162DBF" w:rsidRPr="00A5171F" w:rsidRDefault="00162DBF" w:rsidP="00A5171F">
      <w:pPr>
        <w:rPr>
          <w:rFonts w:ascii="Arial" w:hAnsi="Arial" w:cs="Arial"/>
          <w:color w:val="000000"/>
        </w:rPr>
      </w:pPr>
      <w:r w:rsidRPr="00A5171F">
        <w:rPr>
          <w:rFonts w:ascii="Arial" w:hAnsi="Arial" w:cs="Arial"/>
          <w:color w:val="000000"/>
        </w:rPr>
        <w:t xml:space="preserve">Findings consistently demonstrate that adverse outcomes are not inevitable. </w:t>
      </w:r>
      <w:proofErr w:type="spellStart"/>
      <w:r w:rsidRPr="00A5171F">
        <w:rPr>
          <w:rFonts w:ascii="Arial" w:hAnsi="Arial" w:cs="Arial"/>
          <w:color w:val="000000"/>
        </w:rPr>
        <w:t>Lereya</w:t>
      </w:r>
      <w:proofErr w:type="spellEnd"/>
      <w:r w:rsidRPr="00A5171F">
        <w:rPr>
          <w:rFonts w:ascii="Arial" w:hAnsi="Arial" w:cs="Arial"/>
          <w:color w:val="000000"/>
        </w:rPr>
        <w:t xml:space="preserve"> et al. (2015), in a UK</w:t>
      </w:r>
      <w:r w:rsidRPr="00A5171F">
        <w:rPr>
          <w:rFonts w:ascii="Arial" w:hAnsi="Arial" w:cs="Arial"/>
          <w:color w:val="000000"/>
        </w:rPr>
        <w:noBreakHyphen/>
        <w:t>focused systematic review, found that having at least one consistent, supportive adult — whether parent, carer, relative, teacher, or mentor — significantly reduced the long</w:t>
      </w:r>
      <w:r w:rsidRPr="00A5171F">
        <w:rPr>
          <w:rFonts w:ascii="Arial" w:hAnsi="Arial" w:cs="Arial"/>
          <w:color w:val="000000"/>
        </w:rPr>
        <w:noBreakHyphen/>
        <w:t>term risk of depression and anxiety among those exposed to childhood maltreatment; outcomes were often comparable to peers reporting no ACEs. This aligns with attachment theory, where secure, reliable relationships regulate physiological stress responses and build emotional capacity (Bowlby, cited in Rutter, 2006). Rutter (2006) explains that protective factors modify rather than erase risk; Masten (2014) frames resilience as an adaptive system dependent on external resources rather than personal merit.</w:t>
      </w:r>
    </w:p>
    <w:p w14:paraId="65AA56A9" w14:textId="4EE24BBF" w:rsidR="00162DBF" w:rsidRPr="00A5171F" w:rsidRDefault="00162DBF" w:rsidP="00A5171F">
      <w:pPr>
        <w:rPr>
          <w:rFonts w:ascii="Arial" w:hAnsi="Arial" w:cs="Arial"/>
          <w:color w:val="000000"/>
        </w:rPr>
      </w:pPr>
      <w:r w:rsidRPr="00A5171F">
        <w:rPr>
          <w:rFonts w:ascii="Arial" w:hAnsi="Arial" w:cs="Arial"/>
          <w:color w:val="000000"/>
        </w:rPr>
        <w:t>However, access to these safeguards is deeply unequal. Marmot et al. (2020) show children in the lowest income quintile are three times more likely to experience multiple ACEs yet less likely to access consistent support. ONS (2023) data confirm adults in the most deprived 10% of neighbourhoods are twice as likely to report ACE</w:t>
      </w:r>
      <w:r w:rsidRPr="00A5171F">
        <w:rPr>
          <w:rFonts w:ascii="Arial" w:hAnsi="Arial" w:cs="Arial"/>
          <w:color w:val="000000"/>
        </w:rPr>
        <w:noBreakHyphen/>
        <w:t>related poor mental health and 40% less likely to receive timely therapy. In the West Midlands, NHS Birmingham and Solihull ICB (2025) highlights that high</w:t>
      </w:r>
      <w:r w:rsidRPr="00A5171F">
        <w:rPr>
          <w:rFonts w:ascii="Arial" w:hAnsi="Arial" w:cs="Arial"/>
          <w:color w:val="000000"/>
        </w:rPr>
        <w:noBreakHyphen/>
        <w:t>ACE areas such as Sandwell and Walsall also have up to double the national waiting time for specialist care; housing instability, low</w:t>
      </w:r>
      <w:r w:rsidRPr="00A5171F">
        <w:rPr>
          <w:rFonts w:ascii="Arial" w:hAnsi="Arial" w:cs="Arial"/>
          <w:color w:val="000000"/>
        </w:rPr>
        <w:noBreakHyphen/>
        <w:t>paying insecure work, and educational exclusion compound both exposure and recovery barriers.</w:t>
      </w:r>
    </w:p>
    <w:p w14:paraId="52CB82E9" w14:textId="00FE36A7" w:rsidR="00162DBF" w:rsidRPr="00A5171F" w:rsidRDefault="00162DBF" w:rsidP="00A5171F">
      <w:pPr>
        <w:rPr>
          <w:rFonts w:ascii="Arial" w:hAnsi="Arial" w:cs="Arial"/>
          <w:color w:val="000000"/>
        </w:rPr>
      </w:pPr>
      <w:r w:rsidRPr="00A5171F">
        <w:rPr>
          <w:rFonts w:ascii="Arial" w:hAnsi="Arial" w:cs="Arial"/>
          <w:color w:val="000000"/>
        </w:rPr>
        <w:t>Protective factors also interact stable housing, supportive schools, and community networks reinforce one another, while disadvantage in one domain increases vulnerability across others.</w:t>
      </w:r>
    </w:p>
    <w:p w14:paraId="646A059A" w14:textId="77777777" w:rsidR="00162DBF" w:rsidRPr="00A5171F" w:rsidRDefault="00162DBF" w:rsidP="00A5171F">
      <w:pPr>
        <w:pStyle w:val="Heading3"/>
        <w:spacing w:before="0"/>
        <w:rPr>
          <w:rFonts w:ascii="Arial" w:hAnsi="Arial" w:cs="Arial"/>
          <w:color w:val="000000"/>
          <w:sz w:val="22"/>
          <w:szCs w:val="22"/>
        </w:rPr>
      </w:pPr>
      <w:r w:rsidRPr="00A5171F">
        <w:rPr>
          <w:rStyle w:val="Strong"/>
          <w:rFonts w:ascii="Arial" w:hAnsi="Arial" w:cs="Arial"/>
          <w:color w:val="000000"/>
          <w:sz w:val="22"/>
          <w:szCs w:val="22"/>
        </w:rPr>
        <w:t>Critical Analysis</w:t>
      </w:r>
    </w:p>
    <w:p w14:paraId="5265C06F" w14:textId="77777777" w:rsidR="00162DBF" w:rsidRDefault="00162DBF" w:rsidP="00A5171F">
      <w:pPr>
        <w:rPr>
          <w:rFonts w:ascii="Arial" w:hAnsi="Arial" w:cs="Arial"/>
          <w:color w:val="000000"/>
        </w:rPr>
      </w:pPr>
      <w:r w:rsidRPr="00A5171F">
        <w:rPr>
          <w:rFonts w:ascii="Arial" w:hAnsi="Arial" w:cs="Arial"/>
          <w:color w:val="000000"/>
        </w:rPr>
        <w:t xml:space="preserve">These findings challenge narratives that frame resilience as personal responsibility. Instead, resilience is </w:t>
      </w:r>
      <w:r w:rsidRPr="00A5171F">
        <w:rPr>
          <w:rStyle w:val="Strong"/>
          <w:rFonts w:ascii="Arial" w:hAnsi="Arial" w:cs="Arial"/>
          <w:b w:val="0"/>
          <w:bCs w:val="0"/>
          <w:color w:val="000000"/>
        </w:rPr>
        <w:t>structurally mediated</w:t>
      </w:r>
      <w:r w:rsidRPr="00A5171F">
        <w:rPr>
          <w:rFonts w:ascii="Arial" w:hAnsi="Arial" w:cs="Arial"/>
          <w:color w:val="000000"/>
        </w:rPr>
        <w:t>: inequality shapes both exposure to ACEs and access to recovery resources (Wickham et al., 2016). Without parallel action on housing, income, employment rights, and social security, clinical interventions have limited long</w:t>
      </w:r>
      <w:r w:rsidRPr="00A5171F">
        <w:rPr>
          <w:rFonts w:ascii="Arial" w:hAnsi="Arial" w:cs="Arial"/>
          <w:color w:val="000000"/>
        </w:rPr>
        <w:noBreakHyphen/>
        <w:t>term impact. This aligns with WHO (2021) guidance advocating whole</w:t>
      </w:r>
      <w:r w:rsidRPr="00A5171F">
        <w:rPr>
          <w:rFonts w:ascii="Arial" w:hAnsi="Arial" w:cs="Arial"/>
          <w:color w:val="000000"/>
        </w:rPr>
        <w:noBreakHyphen/>
        <w:t>system public health approaches. ACEs and inequality are mutually reinforcing; service</w:t>
      </w:r>
      <w:r w:rsidRPr="00A5171F">
        <w:rPr>
          <w:rFonts w:ascii="Arial" w:hAnsi="Arial" w:cs="Arial"/>
          <w:color w:val="000000"/>
        </w:rPr>
        <w:noBreakHyphen/>
        <w:t>level action alone cannot break intergenerational cycles of disadvantage. This theme directly qualifies Theme 1 — risk is real but not deterministic — and sets the context for Theme 3, showing why trauma</w:t>
      </w:r>
      <w:r w:rsidRPr="00A5171F">
        <w:rPr>
          <w:rFonts w:ascii="Arial" w:hAnsi="Arial" w:cs="Arial"/>
          <w:color w:val="000000"/>
        </w:rPr>
        <w:noBreakHyphen/>
        <w:t>informed practice must be paired with wider equality measures.</w:t>
      </w:r>
    </w:p>
    <w:p w14:paraId="285BE3A7" w14:textId="3EECA4B8" w:rsidR="00BB263C" w:rsidRPr="00A5171F" w:rsidRDefault="00BB263C" w:rsidP="00A5171F">
      <w:pPr>
        <w:rPr>
          <w:rFonts w:ascii="Arial" w:hAnsi="Arial" w:cs="Arial"/>
          <w:color w:val="000000"/>
        </w:rPr>
      </w:pPr>
      <w:r w:rsidRPr="00BB263C">
        <w:rPr>
          <w:rFonts w:ascii="Arial" w:hAnsi="Arial" w:cs="Arial"/>
          <w:color w:val="000000"/>
        </w:rPr>
        <w:t>Patel (2021) confirms that trauma-informed service delivery leads to better engagement and improved health and social outcomes for children and young people.</w:t>
      </w:r>
    </w:p>
    <w:p w14:paraId="249433D9" w14:textId="0F88B95A" w:rsidR="00162DBF" w:rsidRPr="00A5171F" w:rsidRDefault="00162DBF" w:rsidP="00A5171F">
      <w:pPr>
        <w:rPr>
          <w:rFonts w:ascii="Arial" w:hAnsi="Arial" w:cs="Arial"/>
        </w:rPr>
      </w:pPr>
    </w:p>
    <w:p w14:paraId="6495D748" w14:textId="77777777" w:rsidR="00162DBF" w:rsidRPr="00A5171F" w:rsidRDefault="00162DBF" w:rsidP="00A5171F">
      <w:pPr>
        <w:pStyle w:val="Heading2"/>
        <w:spacing w:before="0"/>
        <w:rPr>
          <w:rFonts w:ascii="Arial" w:hAnsi="Arial" w:cs="Arial"/>
          <w:color w:val="000000"/>
          <w:sz w:val="22"/>
          <w:szCs w:val="22"/>
        </w:rPr>
      </w:pPr>
      <w:r w:rsidRPr="00A5171F">
        <w:rPr>
          <w:rStyle w:val="Strong"/>
          <w:rFonts w:ascii="Arial" w:hAnsi="Arial" w:cs="Arial"/>
          <w:color w:val="000000"/>
          <w:sz w:val="22"/>
          <w:szCs w:val="22"/>
        </w:rPr>
        <w:t>4.5 – Theme 3: Trauma</w:t>
      </w:r>
      <w:r w:rsidRPr="00A5171F">
        <w:rPr>
          <w:rStyle w:val="Strong"/>
          <w:rFonts w:ascii="Arial" w:hAnsi="Arial" w:cs="Arial"/>
          <w:color w:val="000000"/>
          <w:sz w:val="22"/>
          <w:szCs w:val="22"/>
        </w:rPr>
        <w:noBreakHyphen/>
        <w:t>Informed Practice – Benefits, Policy, and Implementation Challenges</w:t>
      </w:r>
    </w:p>
    <w:p w14:paraId="6370E1FC" w14:textId="77777777" w:rsidR="00162DBF" w:rsidRPr="00A5171F" w:rsidRDefault="00162DBF" w:rsidP="00A5171F">
      <w:pPr>
        <w:pStyle w:val="Heading3"/>
        <w:spacing w:before="0"/>
        <w:rPr>
          <w:rFonts w:ascii="Arial" w:hAnsi="Arial" w:cs="Arial"/>
          <w:b/>
          <w:bCs/>
          <w:color w:val="000000"/>
          <w:sz w:val="22"/>
          <w:szCs w:val="22"/>
        </w:rPr>
      </w:pPr>
      <w:r w:rsidRPr="00A5171F">
        <w:rPr>
          <w:rStyle w:val="Strong"/>
          <w:rFonts w:ascii="Arial" w:hAnsi="Arial" w:cs="Arial"/>
          <w:color w:val="000000"/>
          <w:sz w:val="22"/>
          <w:szCs w:val="22"/>
        </w:rPr>
        <w:t>Definition and Policy Context</w:t>
      </w:r>
    </w:p>
    <w:p w14:paraId="7C9A71E9" w14:textId="77777777" w:rsidR="00162DBF" w:rsidRPr="00A5171F" w:rsidRDefault="00162DBF" w:rsidP="00A5171F">
      <w:pPr>
        <w:rPr>
          <w:rFonts w:ascii="Arial" w:hAnsi="Arial" w:cs="Arial"/>
          <w:color w:val="000000"/>
        </w:rPr>
      </w:pPr>
      <w:r w:rsidRPr="00A5171F">
        <w:rPr>
          <w:rFonts w:ascii="Arial" w:hAnsi="Arial" w:cs="Arial"/>
          <w:color w:val="000000"/>
        </w:rPr>
        <w:t>Trauma</w:t>
      </w:r>
      <w:r w:rsidRPr="00A5171F">
        <w:rPr>
          <w:rFonts w:ascii="Arial" w:hAnsi="Arial" w:cs="Arial"/>
          <w:color w:val="000000"/>
        </w:rPr>
        <w:noBreakHyphen/>
        <w:t>informed practice is a fundamental shift in service organisation and delivery, grounded in four principles: realising the impact of trauma; recognising its signs; integrating understanding into all practice; and avoiding re</w:t>
      </w:r>
      <w:r w:rsidRPr="00A5171F">
        <w:rPr>
          <w:rFonts w:ascii="Arial" w:hAnsi="Arial" w:cs="Arial"/>
          <w:color w:val="000000"/>
        </w:rPr>
        <w:noBreakHyphen/>
        <w:t xml:space="preserve">traumatisation (SAMHSA, 2014). It is endorsed in NICE (2018) guidance, NHS England’s (2022) </w:t>
      </w:r>
      <w:r w:rsidRPr="00A5171F">
        <w:rPr>
          <w:rStyle w:val="Emphasis"/>
          <w:rFonts w:ascii="Arial" w:hAnsi="Arial" w:cs="Arial"/>
          <w:color w:val="000000"/>
        </w:rPr>
        <w:t>Trauma</w:t>
      </w:r>
      <w:r w:rsidRPr="00A5171F">
        <w:rPr>
          <w:rStyle w:val="Emphasis"/>
          <w:rFonts w:ascii="Arial" w:hAnsi="Arial" w:cs="Arial"/>
          <w:color w:val="000000"/>
        </w:rPr>
        <w:noBreakHyphen/>
        <w:t>Informed Care Framework</w:t>
      </w:r>
      <w:r w:rsidRPr="00A5171F">
        <w:rPr>
          <w:rFonts w:ascii="Arial" w:hAnsi="Arial" w:cs="Arial"/>
          <w:color w:val="000000"/>
        </w:rPr>
        <w:t xml:space="preserve">, and statutory duties under the Care Act 2014 and </w:t>
      </w:r>
      <w:r w:rsidRPr="00A5171F">
        <w:rPr>
          <w:rStyle w:val="Emphasis"/>
          <w:rFonts w:ascii="Arial" w:hAnsi="Arial" w:cs="Arial"/>
          <w:color w:val="000000"/>
        </w:rPr>
        <w:t>Working Together to Safeguard Children</w:t>
      </w:r>
      <w:r w:rsidRPr="00A5171F">
        <w:rPr>
          <w:rFonts w:ascii="Arial" w:hAnsi="Arial" w:cs="Arial"/>
          <w:color w:val="000000"/>
        </w:rPr>
        <w:t xml:space="preserve"> (HM Government, 2018). It moves beyond “fixing” individuals to acknowledge that many difficulties are understandable responses to experience.</w:t>
      </w:r>
    </w:p>
    <w:p w14:paraId="4C10F107" w14:textId="77777777" w:rsidR="00162DBF" w:rsidRPr="00A5171F" w:rsidRDefault="00162DBF" w:rsidP="00A5171F">
      <w:pPr>
        <w:pStyle w:val="Heading3"/>
        <w:spacing w:before="0"/>
        <w:rPr>
          <w:rFonts w:ascii="Arial" w:hAnsi="Arial" w:cs="Arial"/>
          <w:color w:val="000000"/>
          <w:sz w:val="22"/>
          <w:szCs w:val="22"/>
        </w:rPr>
      </w:pPr>
      <w:r w:rsidRPr="00A5171F">
        <w:rPr>
          <w:rStyle w:val="Strong"/>
          <w:rFonts w:ascii="Arial" w:hAnsi="Arial" w:cs="Arial"/>
          <w:color w:val="000000"/>
          <w:sz w:val="22"/>
          <w:szCs w:val="22"/>
        </w:rPr>
        <w:t>Evidence of Impact and Benefits</w:t>
      </w:r>
    </w:p>
    <w:p w14:paraId="40FB7D46" w14:textId="77777777" w:rsidR="00162DBF" w:rsidRPr="00A5171F" w:rsidRDefault="00162DBF" w:rsidP="00A5171F">
      <w:pPr>
        <w:rPr>
          <w:rFonts w:ascii="Arial" w:hAnsi="Arial" w:cs="Arial"/>
          <w:color w:val="000000"/>
        </w:rPr>
      </w:pPr>
      <w:r w:rsidRPr="00A5171F">
        <w:rPr>
          <w:rFonts w:ascii="Arial" w:hAnsi="Arial" w:cs="Arial"/>
          <w:color w:val="000000"/>
        </w:rPr>
        <w:t>UK evaluations show improved engagement: Cuthbert (2020) found 35% lower disengagement, fewer incidents, and reduced use of restrictive practices across 28 service evaluations. Wickham et al. (2016) reported reduced crisis demand where whole</w:t>
      </w:r>
      <w:r w:rsidRPr="00A5171F">
        <w:rPr>
          <w:rFonts w:ascii="Arial" w:hAnsi="Arial" w:cs="Arial"/>
          <w:color w:val="000000"/>
        </w:rPr>
        <w:noBreakHyphen/>
        <w:t>system changes — flexible appointments, safe environments, shared decision</w:t>
      </w:r>
      <w:r w:rsidRPr="00A5171F">
        <w:rPr>
          <w:rFonts w:ascii="Arial" w:hAnsi="Arial" w:cs="Arial"/>
          <w:color w:val="000000"/>
        </w:rPr>
        <w:noBreakHyphen/>
        <w:t>making — were implemented. However, most studies measure process outcomes rather than long</w:t>
      </w:r>
      <w:r w:rsidRPr="00A5171F">
        <w:rPr>
          <w:rFonts w:ascii="Arial" w:hAnsi="Arial" w:cs="Arial"/>
          <w:color w:val="000000"/>
        </w:rPr>
        <w:noBreakHyphen/>
        <w:t>term clinical improvement; few use controlled designs, limiting causal attribution.</w:t>
      </w:r>
    </w:p>
    <w:p w14:paraId="0B01B735" w14:textId="77777777" w:rsidR="00162DBF" w:rsidRPr="00A5171F" w:rsidRDefault="00162DBF" w:rsidP="00A5171F">
      <w:pPr>
        <w:pStyle w:val="Heading3"/>
        <w:spacing w:before="0"/>
        <w:rPr>
          <w:rFonts w:ascii="Arial" w:hAnsi="Arial" w:cs="Arial"/>
          <w:color w:val="000000"/>
          <w:sz w:val="22"/>
          <w:szCs w:val="22"/>
        </w:rPr>
      </w:pPr>
      <w:r w:rsidRPr="00A5171F">
        <w:rPr>
          <w:rStyle w:val="Strong"/>
          <w:rFonts w:ascii="Arial" w:hAnsi="Arial" w:cs="Arial"/>
          <w:color w:val="000000"/>
          <w:sz w:val="22"/>
          <w:szCs w:val="22"/>
        </w:rPr>
        <w:t>National Variation in Rollout</w:t>
      </w:r>
    </w:p>
    <w:p w14:paraId="5BDE1863" w14:textId="77777777" w:rsidR="00162DBF" w:rsidRPr="00A5171F" w:rsidRDefault="00162DBF" w:rsidP="00A5171F">
      <w:pPr>
        <w:rPr>
          <w:rFonts w:ascii="Arial" w:hAnsi="Arial" w:cs="Arial"/>
          <w:color w:val="000000"/>
        </w:rPr>
      </w:pPr>
      <w:r w:rsidRPr="00A5171F">
        <w:rPr>
          <w:rFonts w:ascii="Arial" w:hAnsi="Arial" w:cs="Arial"/>
          <w:color w:val="000000"/>
        </w:rPr>
        <w:t>Implementation differs sharply across devolved nations: Wales has a national mandate, ring</w:t>
      </w:r>
      <w:r w:rsidRPr="00A5171F">
        <w:rPr>
          <w:rFonts w:ascii="Arial" w:hAnsi="Arial" w:cs="Arial"/>
          <w:color w:val="000000"/>
        </w:rPr>
        <w:noBreakHyphen/>
        <w:t>fenced funding, and mandatory training (Welsh Government, 2022); Scotland links practice to regulation and inspection (NHS Education for Scotland, 2021); Northern Ireland remains fragmented. In England, delivery is devolved to ICBs with no national mandate (NHS England, 2019), creating wide variation. In the West Midlands, Birmingham and Solihull ICB (2025) has prioritised specialist services, but Ipsos MORI (2023) found fewer than half of practitioners nationally had received formal training — coverage lowest in deprived areas with highest need.</w:t>
      </w:r>
    </w:p>
    <w:p w14:paraId="725A6747" w14:textId="77777777" w:rsidR="00162DBF" w:rsidRPr="00A5171F" w:rsidRDefault="00162DBF" w:rsidP="00A5171F">
      <w:pPr>
        <w:pStyle w:val="Heading3"/>
        <w:spacing w:before="0"/>
        <w:rPr>
          <w:rFonts w:ascii="Arial" w:hAnsi="Arial" w:cs="Arial"/>
          <w:color w:val="000000"/>
          <w:sz w:val="22"/>
          <w:szCs w:val="22"/>
        </w:rPr>
      </w:pPr>
      <w:r w:rsidRPr="00A5171F">
        <w:rPr>
          <w:rStyle w:val="Strong"/>
          <w:rFonts w:ascii="Arial" w:hAnsi="Arial" w:cs="Arial"/>
          <w:color w:val="000000"/>
          <w:sz w:val="22"/>
          <w:szCs w:val="22"/>
        </w:rPr>
        <w:t>Barriers to Sustained Implementation</w:t>
      </w:r>
    </w:p>
    <w:p w14:paraId="52383E75" w14:textId="3CB1E41B" w:rsidR="00162DBF" w:rsidRDefault="00162DBF" w:rsidP="00A5171F">
      <w:pPr>
        <w:rPr>
          <w:rFonts w:ascii="Arial" w:hAnsi="Arial" w:cs="Arial"/>
          <w:color w:val="000000"/>
        </w:rPr>
      </w:pPr>
      <w:r w:rsidRPr="00A5171F">
        <w:rPr>
          <w:rFonts w:ascii="Arial" w:hAnsi="Arial" w:cs="Arial"/>
          <w:color w:val="000000"/>
        </w:rPr>
        <w:t>Obstacles include workforce shortages, high turnover, short</w:t>
      </w:r>
      <w:r w:rsidRPr="00A5171F">
        <w:rPr>
          <w:rFonts w:ascii="Arial" w:hAnsi="Arial" w:cs="Arial"/>
          <w:color w:val="000000"/>
        </w:rPr>
        <w:noBreakHyphen/>
        <w:t>term funding, and competing operational pressures (Wickham et al., 2016). Cooper and Hetherington (2018) stress that effective change requires redesign of environments, pathways, and leadership culture — not just training. These barriers disproportionately affect deprived areas, reinforcing the inequalities identified in Theme 2. Without national standards and sustainable funding, trauma</w:t>
      </w:r>
      <w:r w:rsidRPr="00A5171F">
        <w:rPr>
          <w:rFonts w:ascii="Arial" w:hAnsi="Arial" w:cs="Arial"/>
          <w:color w:val="000000"/>
        </w:rPr>
        <w:noBreakHyphen/>
        <w:t>informed care risks widening disparities rather than reducing them.</w:t>
      </w:r>
    </w:p>
    <w:p w14:paraId="0C350BDD" w14:textId="77777777" w:rsidR="00DA0E6F" w:rsidRPr="00DA0E6F" w:rsidRDefault="00DA0E6F" w:rsidP="00DA0E6F">
      <w:pPr>
        <w:rPr>
          <w:rFonts w:ascii="Arial" w:hAnsi="Arial" w:cs="Arial"/>
          <w:color w:val="000000"/>
        </w:rPr>
      </w:pPr>
      <w:r w:rsidRPr="00DA0E6F">
        <w:rPr>
          <w:rFonts w:ascii="Arial" w:hAnsi="Arial" w:cs="Arial"/>
          <w:color w:val="000000"/>
        </w:rPr>
        <w:lastRenderedPageBreak/>
        <w:t>Collectively, the findings presented throughout this chapter demonstrate that the relationship between Adverse Childhood Experiences and adult mental health is complex, multifaceted, and influenced by interactions between individual experiences, family environments, community resources, and wider structural inequalities. Although each theme explored different aspects of the evidence, they consistently reinforced the conclusion that ACEs should not be considered isolated childhood events but experiences that can influence emotional, psychological, behavioural, and social development across the life course. The cumulative nature of adversity was particularly evident within the literature, with repeated exposure associated with progressively poorer mental health outcomes and greater demand for health and social care services during adulthood.</w:t>
      </w:r>
    </w:p>
    <w:p w14:paraId="6A14E1B1" w14:textId="77777777" w:rsidR="00DA0E6F" w:rsidRPr="00DA0E6F" w:rsidRDefault="00DA0E6F" w:rsidP="00DA0E6F">
      <w:pPr>
        <w:rPr>
          <w:rFonts w:ascii="Arial" w:hAnsi="Arial" w:cs="Arial"/>
          <w:color w:val="000000"/>
        </w:rPr>
      </w:pPr>
      <w:r w:rsidRPr="00DA0E6F">
        <w:rPr>
          <w:rFonts w:ascii="Arial" w:hAnsi="Arial" w:cs="Arial"/>
          <w:color w:val="000000"/>
        </w:rPr>
        <w:t>A further observation emerging from the review is that mental health outcomes are not predetermined following childhood adversity. While ACE exposure increases risk, the evidence consistently demonstrates that timely intervention, supportive relationships, trauma-informed practice, and access to appropriate services can significantly reduce long-term harm. This reinforces the importance of moving beyond deficit-focused perspectives towards approaches that recognise resilience, recovery, and the capacity for positive adaptation when individuals receive appropriate support.</w:t>
      </w:r>
    </w:p>
    <w:p w14:paraId="3E233D49" w14:textId="77777777" w:rsidR="00DA0E6F" w:rsidRPr="00DA0E6F" w:rsidRDefault="00DA0E6F" w:rsidP="00DA0E6F">
      <w:pPr>
        <w:rPr>
          <w:rFonts w:ascii="Arial" w:hAnsi="Arial" w:cs="Arial"/>
          <w:color w:val="000000"/>
        </w:rPr>
      </w:pPr>
      <w:r w:rsidRPr="00DA0E6F">
        <w:rPr>
          <w:rFonts w:ascii="Arial" w:hAnsi="Arial" w:cs="Arial"/>
          <w:color w:val="000000"/>
        </w:rPr>
        <w:t>The findings also highlight the importance of considering broader socioeconomic influences when interpreting the relationship between ACEs and adult mental health. Factors including poverty, unemployment, housing insecurity, educational disadvantage, and social exclusion frequently interact with childhood adversity, creating cumulative disadvantage throughout adulthood. Consequently, interventions that focus solely upon clinical treatment may be insufficient unless wider determinants of health are addressed simultaneously. This supports current public health priorities advocating integrated, preventative, and collaborative approaches involving healthcare providers, educational settings, social care organisations, housing services, and voluntary sector partners.</w:t>
      </w:r>
    </w:p>
    <w:p w14:paraId="68F2E844" w14:textId="77777777" w:rsidR="00DA0E6F" w:rsidRDefault="00DA0E6F" w:rsidP="00DA0E6F">
      <w:pPr>
        <w:rPr>
          <w:rFonts w:ascii="Arial" w:hAnsi="Arial" w:cs="Arial"/>
          <w:color w:val="000000"/>
        </w:rPr>
      </w:pPr>
      <w:r w:rsidRPr="00DA0E6F">
        <w:rPr>
          <w:rFonts w:ascii="Arial" w:hAnsi="Arial" w:cs="Arial"/>
          <w:color w:val="000000"/>
        </w:rPr>
        <w:t>Overall, the synthesis of evidence demonstrates that reducing the long-term consequences of ACEs requires sustained investment in prevention, early intervention, partnership working, and trauma-informed systems that address both individual needs and wider structural inequalities. These findings provide a strong foundation for the recommendations presented within the following chapter.</w:t>
      </w:r>
    </w:p>
    <w:p w14:paraId="20535106" w14:textId="20512436" w:rsidR="00EF1E7D" w:rsidRPr="00DA0E6F" w:rsidRDefault="00EF1E7D" w:rsidP="00DA0E6F">
      <w:pPr>
        <w:rPr>
          <w:rFonts w:ascii="Arial" w:hAnsi="Arial" w:cs="Arial"/>
          <w:color w:val="000000"/>
        </w:rPr>
      </w:pPr>
      <w:r w:rsidRPr="00EF1E7D">
        <w:rPr>
          <w:rFonts w:ascii="Arial" w:hAnsi="Arial" w:cs="Arial"/>
          <w:color w:val="000000"/>
        </w:rPr>
        <w:t>Green et al. (2023) emphasise that effective inter-agency collaboration is essential to ensure children and families receive seamless support across health, education and social care.</w:t>
      </w:r>
    </w:p>
    <w:p w14:paraId="3E8A12A3" w14:textId="77777777" w:rsidR="00DA0E6F" w:rsidRPr="00A5171F" w:rsidRDefault="00DA0E6F" w:rsidP="00A5171F">
      <w:pPr>
        <w:rPr>
          <w:rFonts w:ascii="Arial" w:hAnsi="Arial" w:cs="Arial"/>
          <w:color w:val="000000"/>
        </w:rPr>
      </w:pPr>
    </w:p>
    <w:p w14:paraId="52C0E113" w14:textId="77777777" w:rsidR="00162DBF" w:rsidRPr="00A5171F" w:rsidRDefault="00162DBF" w:rsidP="00A5171F">
      <w:pPr>
        <w:pStyle w:val="Heading2"/>
        <w:spacing w:before="0"/>
        <w:rPr>
          <w:rFonts w:ascii="Arial" w:hAnsi="Arial" w:cs="Arial"/>
          <w:color w:val="000000"/>
          <w:sz w:val="22"/>
          <w:szCs w:val="22"/>
        </w:rPr>
      </w:pPr>
      <w:r w:rsidRPr="00A5171F">
        <w:rPr>
          <w:rStyle w:val="Strong"/>
          <w:rFonts w:ascii="Arial" w:hAnsi="Arial" w:cs="Arial"/>
          <w:color w:val="000000"/>
          <w:sz w:val="22"/>
          <w:szCs w:val="22"/>
        </w:rPr>
        <w:lastRenderedPageBreak/>
        <w:t>4.6 – Chapter Conclusion</w:t>
      </w:r>
    </w:p>
    <w:p w14:paraId="4C87762F" w14:textId="6065A48D" w:rsidR="00162DBF" w:rsidRPr="00A5171F" w:rsidRDefault="000F1F0F" w:rsidP="00A5171F">
      <w:pPr>
        <w:rPr>
          <w:rFonts w:ascii="Arial" w:hAnsi="Arial" w:cs="Arial"/>
          <w:color w:val="000000"/>
        </w:rPr>
      </w:pPr>
      <w:r w:rsidRPr="00A5171F">
        <w:rPr>
          <w:rFonts w:ascii="Arial" w:hAnsi="Arial" w:cs="Arial"/>
          <w:color w:val="000000"/>
        </w:rPr>
        <w:t>This systematic analysis of 29 UK-focused sources demonstrates...</w:t>
      </w:r>
      <w:r w:rsidR="00162DBF" w:rsidRPr="00A5171F">
        <w:rPr>
          <w:rFonts w:ascii="Arial" w:hAnsi="Arial" w:cs="Arial"/>
          <w:color w:val="000000"/>
        </w:rPr>
        <w:t xml:space="preserve"> a robust, graded association between cumulative ACE exposure and poorer mental health outcomes across all UK nations and the West Midlands. While methodological limitations mean definitive causation cannot be proven, the consistency, strength, and dose</w:t>
      </w:r>
      <w:r w:rsidR="00162DBF" w:rsidRPr="00A5171F">
        <w:rPr>
          <w:rFonts w:ascii="Arial" w:hAnsi="Arial" w:cs="Arial"/>
          <w:color w:val="000000"/>
        </w:rPr>
        <w:noBreakHyphen/>
        <w:t>response pattern of findings establish early adversity as a key contributor to mental health inequality. Importantly, these outcomes are not inevitable: supportive relationships and equitable access to resources act as powerful protective buffers. However, such resources are unevenly distributed — those facing the highest adversity have the least support available, creating a structural double burden. Trauma</w:t>
      </w:r>
      <w:r w:rsidR="00162DBF" w:rsidRPr="00A5171F">
        <w:rPr>
          <w:rFonts w:ascii="Arial" w:hAnsi="Arial" w:cs="Arial"/>
          <w:color w:val="000000"/>
        </w:rPr>
        <w:noBreakHyphen/>
        <w:t>informed practice offers a coherent, evidence</w:t>
      </w:r>
      <w:r w:rsidR="00162DBF" w:rsidRPr="00A5171F">
        <w:rPr>
          <w:rFonts w:ascii="Arial" w:hAnsi="Arial" w:cs="Arial"/>
          <w:color w:val="000000"/>
        </w:rPr>
        <w:noBreakHyphen/>
        <w:t>based model for improving service responses, but its implementation remains fragmented, under</w:t>
      </w:r>
      <w:r w:rsidR="00162DBF" w:rsidRPr="00A5171F">
        <w:rPr>
          <w:rFonts w:ascii="Arial" w:hAnsi="Arial" w:cs="Arial"/>
          <w:color w:val="000000"/>
        </w:rPr>
        <w:noBreakHyphen/>
        <w:t>resourced, and inequitably distributed. Overall, the evidence demonstrates that addressing ACEs effectively requires moving beyond individual</w:t>
      </w:r>
      <w:r w:rsidR="00162DBF" w:rsidRPr="00A5171F">
        <w:rPr>
          <w:rFonts w:ascii="Arial" w:hAnsi="Arial" w:cs="Arial"/>
          <w:color w:val="000000"/>
        </w:rPr>
        <w:noBreakHyphen/>
        <w:t>focused interventions to adopt an integrated whole</w:t>
      </w:r>
      <w:r w:rsidR="00162DBF" w:rsidRPr="00A5171F">
        <w:rPr>
          <w:rFonts w:ascii="Arial" w:hAnsi="Arial" w:cs="Arial"/>
          <w:color w:val="000000"/>
        </w:rPr>
        <w:noBreakHyphen/>
        <w:t>system approach that unites trauma</w:t>
      </w:r>
      <w:r w:rsidR="00162DBF" w:rsidRPr="00A5171F">
        <w:rPr>
          <w:rFonts w:ascii="Arial" w:hAnsi="Arial" w:cs="Arial"/>
          <w:color w:val="000000"/>
        </w:rPr>
        <w:noBreakHyphen/>
        <w:t>informed service redesign with action on housing, income, education, and the wider social determinants of health. These findings form the evidence base for the conclusions and recommendations presented in Chapter 5.</w:t>
      </w:r>
    </w:p>
    <w:p w14:paraId="759DB214" w14:textId="77777777" w:rsidR="009A00B1" w:rsidRPr="00A5171F" w:rsidRDefault="009A00B1" w:rsidP="00A5171F">
      <w:pPr>
        <w:rPr>
          <w:rFonts w:ascii="Arial" w:hAnsi="Arial" w:cs="Arial"/>
        </w:rPr>
      </w:pPr>
    </w:p>
    <w:bookmarkEnd w:id="12"/>
    <w:p w14:paraId="5EC7832B" w14:textId="77777777" w:rsidR="009A00B1" w:rsidRPr="00A5171F" w:rsidRDefault="009A00B1" w:rsidP="00A5171F">
      <w:pPr>
        <w:rPr>
          <w:rFonts w:ascii="Arial" w:hAnsi="Arial" w:cs="Arial"/>
        </w:rPr>
      </w:pPr>
    </w:p>
    <w:p w14:paraId="610B3CA3" w14:textId="77777777" w:rsidR="00E7096D" w:rsidRPr="00A5171F" w:rsidRDefault="00E7096D" w:rsidP="00A5171F">
      <w:pPr>
        <w:rPr>
          <w:rFonts w:ascii="Arial" w:hAnsi="Arial" w:cs="Arial"/>
        </w:rPr>
      </w:pPr>
    </w:p>
    <w:p w14:paraId="0BD88425" w14:textId="77777777" w:rsidR="009E048A" w:rsidRDefault="009E048A" w:rsidP="00A5171F">
      <w:pPr>
        <w:pStyle w:val="Heading1"/>
        <w:spacing w:line="360" w:lineRule="auto"/>
        <w:ind w:left="0"/>
        <w:jc w:val="both"/>
        <w:rPr>
          <w:rFonts w:cs="Arial"/>
          <w:u w:val="single"/>
        </w:rPr>
      </w:pPr>
      <w:bookmarkStart w:id="13" w:name="OLE_LINK8"/>
      <w:bookmarkEnd w:id="11"/>
    </w:p>
    <w:p w14:paraId="519EB35A" w14:textId="24B9ED7C" w:rsidR="00636D9A" w:rsidRPr="00D92038" w:rsidRDefault="00636D9A" w:rsidP="00A5171F">
      <w:pPr>
        <w:pStyle w:val="Heading1"/>
        <w:spacing w:line="360" w:lineRule="auto"/>
        <w:ind w:left="0"/>
        <w:jc w:val="both"/>
        <w:rPr>
          <w:rFonts w:cs="Arial"/>
          <w:u w:val="single"/>
        </w:rPr>
      </w:pPr>
      <w:r w:rsidRPr="00D92038">
        <w:rPr>
          <w:rFonts w:cs="Arial"/>
          <w:u w:val="single"/>
        </w:rPr>
        <w:t xml:space="preserve">CHAPTER 5 – Conclusion and Recommendations </w:t>
      </w:r>
    </w:p>
    <w:p w14:paraId="31A2FE24" w14:textId="77777777" w:rsidR="00D92038" w:rsidRPr="00A5171F" w:rsidRDefault="00D92038" w:rsidP="00A5171F">
      <w:pPr>
        <w:pStyle w:val="Heading1"/>
        <w:spacing w:line="360" w:lineRule="auto"/>
        <w:ind w:left="0"/>
        <w:jc w:val="both"/>
        <w:rPr>
          <w:rFonts w:cs="Arial"/>
          <w:sz w:val="22"/>
          <w:szCs w:val="22"/>
          <w:u w:val="single"/>
        </w:rPr>
      </w:pPr>
    </w:p>
    <w:p w14:paraId="70E8FB2A" w14:textId="77777777" w:rsidR="00A5171F" w:rsidRPr="00D92038" w:rsidRDefault="00A5171F" w:rsidP="00A5171F">
      <w:pPr>
        <w:rPr>
          <w:rFonts w:ascii="Arial" w:hAnsi="Arial" w:cs="Arial"/>
          <w:b/>
          <w:bCs/>
        </w:rPr>
      </w:pPr>
      <w:r w:rsidRPr="00D92038">
        <w:rPr>
          <w:rFonts w:ascii="Arial" w:hAnsi="Arial" w:cs="Arial"/>
          <w:b/>
          <w:bCs/>
        </w:rPr>
        <w:t>5.1 – Overall Conclusion</w:t>
      </w:r>
    </w:p>
    <w:bookmarkEnd w:id="2"/>
    <w:p w14:paraId="0493834A" w14:textId="5C3FB240" w:rsidR="009E048A" w:rsidRPr="009E048A" w:rsidRDefault="009E048A" w:rsidP="009E048A">
      <w:pPr>
        <w:rPr>
          <w:rFonts w:ascii="Arial" w:hAnsi="Arial" w:cs="Arial"/>
        </w:rPr>
      </w:pPr>
      <w:r w:rsidRPr="009E048A">
        <w:rPr>
          <w:rFonts w:ascii="Arial" w:hAnsi="Arial" w:cs="Arial"/>
        </w:rPr>
        <w:t xml:space="preserve">This study set out to examine the impact of Adverse Childhood Experiences (ACEs) on children and families in Birmingham and the wider West Midlands region, alongside exploring how resilience and effective service delivery can mitigate long-term harm. The findings presented in this review </w:t>
      </w:r>
      <w:r w:rsidR="007C4296">
        <w:rPr>
          <w:rFonts w:ascii="Arial" w:hAnsi="Arial" w:cs="Arial"/>
        </w:rPr>
        <w:t>indicate</w:t>
      </w:r>
      <w:r w:rsidRPr="009E048A">
        <w:rPr>
          <w:rFonts w:ascii="Arial" w:hAnsi="Arial" w:cs="Arial"/>
        </w:rPr>
        <w:t xml:space="preserve"> that ACEs are not isolated incidents but form a complex pattern of experiences that significantly shape physical, mental and social development across the lifespan (Bellis et al., 2015; Hughes et al., 2017). Research consistently demonstrates that exposure to multiple adversities increases the risk of poor health, educational underachievement and social disadvantage in adulthood, creating cycles of inequality that are difficult to break without targeted intervention.</w:t>
      </w:r>
    </w:p>
    <w:p w14:paraId="2A206901" w14:textId="77777777" w:rsidR="009E048A" w:rsidRPr="009E048A" w:rsidRDefault="009E048A" w:rsidP="009E048A">
      <w:pPr>
        <w:rPr>
          <w:rFonts w:ascii="Arial" w:hAnsi="Arial" w:cs="Arial"/>
        </w:rPr>
      </w:pPr>
      <w:r w:rsidRPr="009E048A">
        <w:rPr>
          <w:rFonts w:ascii="Arial" w:hAnsi="Arial" w:cs="Arial"/>
        </w:rPr>
        <w:lastRenderedPageBreak/>
        <w:t>A key observation from the literature is that these risks are not evenly distributed. As highlighted by Marmot et al. (2020), socioeconomic deprivation is strongly linked to higher rates of childhood adversity, with communities in Sandwell, Walsall and parts of Birmingham showing significantly higher prevalence of ACEs compared to more affluent areas. This aligns with national data from ONS (2023), which indicates that structural inequalities remain one of the biggest barriers to equitable outcomes for children in the region.</w:t>
      </w:r>
    </w:p>
    <w:p w14:paraId="38690AE7" w14:textId="77777777" w:rsidR="009E048A" w:rsidRPr="009E048A" w:rsidRDefault="009E048A" w:rsidP="009E048A">
      <w:pPr>
        <w:rPr>
          <w:rFonts w:ascii="Arial" w:hAnsi="Arial" w:cs="Arial"/>
        </w:rPr>
      </w:pPr>
      <w:r w:rsidRPr="009E048A">
        <w:rPr>
          <w:rFonts w:ascii="Arial" w:hAnsi="Arial" w:cs="Arial"/>
        </w:rPr>
        <w:t xml:space="preserve">While the evidence clearly identifies the scale of the problem, it also highlights that resilience acts as a protective factor. </w:t>
      </w:r>
      <w:proofErr w:type="spellStart"/>
      <w:r w:rsidRPr="009E048A">
        <w:rPr>
          <w:rFonts w:ascii="Arial" w:hAnsi="Arial" w:cs="Arial"/>
        </w:rPr>
        <w:t>Lereya</w:t>
      </w:r>
      <w:proofErr w:type="spellEnd"/>
      <w:r w:rsidRPr="009E048A">
        <w:rPr>
          <w:rFonts w:ascii="Arial" w:hAnsi="Arial" w:cs="Arial"/>
        </w:rPr>
        <w:t xml:space="preserve"> et al. (2015) and Masten (2014) explain that resilience is not simply an individual trait but is supported by supportive relationships, safe environments and accessible support services. When these protective factors are present, the negative impact of ACEs can be substantially reduced. However, the review also shows that current service delivery often remains largely reactive rather than preventative. Wickham et al. (2016) note that despite policy ambitions such as </w:t>
      </w:r>
      <w:r w:rsidRPr="009E048A">
        <w:rPr>
          <w:rFonts w:ascii="Arial" w:hAnsi="Arial" w:cs="Arial"/>
          <w:i/>
          <w:iCs/>
        </w:rPr>
        <w:t>Every Child Matters</w:t>
      </w:r>
      <w:r w:rsidRPr="009E048A">
        <w:rPr>
          <w:rFonts w:ascii="Arial" w:hAnsi="Arial" w:cs="Arial"/>
        </w:rPr>
        <w:t xml:space="preserve"> (HM Government, 2004), many local systems still struggle to identify needs early enough and provide consistent, trauma-informed support.</w:t>
      </w:r>
    </w:p>
    <w:p w14:paraId="30D41AF5" w14:textId="77777777" w:rsidR="009E048A" w:rsidRPr="009E048A" w:rsidRDefault="009E048A" w:rsidP="009E048A">
      <w:pPr>
        <w:rPr>
          <w:rFonts w:ascii="Arial" w:hAnsi="Arial" w:cs="Arial"/>
        </w:rPr>
      </w:pPr>
      <w:r w:rsidRPr="009E048A">
        <w:rPr>
          <w:rFonts w:ascii="Arial" w:hAnsi="Arial" w:cs="Arial"/>
        </w:rPr>
        <w:t>Overall, this review confirms that addressing ACEs requires more than just individual support; it demands a whole-system approach that tackles both the symptoms and the root causes of disadvantage. The findings reinforce that without sustained investment in prevention, community support and better inter-agency collaboration, the gap between vulnerable and non-vulnerable children is unlikely to narrow.</w:t>
      </w:r>
    </w:p>
    <w:p w14:paraId="541AF714" w14:textId="1AB9D510" w:rsidR="009E048A" w:rsidRPr="009E048A" w:rsidRDefault="009E048A" w:rsidP="009E048A">
      <w:pPr>
        <w:rPr>
          <w:rFonts w:ascii="Arial" w:hAnsi="Arial" w:cs="Arial"/>
        </w:rPr>
      </w:pPr>
    </w:p>
    <w:p w14:paraId="48C0800B" w14:textId="77777777" w:rsidR="00524F01" w:rsidRDefault="00524F01" w:rsidP="009E048A">
      <w:pPr>
        <w:rPr>
          <w:rFonts w:ascii="Arial" w:hAnsi="Arial" w:cs="Arial"/>
        </w:rPr>
      </w:pPr>
    </w:p>
    <w:p w14:paraId="29859E72" w14:textId="662F89A6" w:rsidR="009E048A" w:rsidRPr="00524F01" w:rsidRDefault="009E048A" w:rsidP="009E048A">
      <w:pPr>
        <w:rPr>
          <w:rFonts w:ascii="Arial" w:hAnsi="Arial" w:cs="Arial"/>
          <w:b/>
          <w:bCs/>
        </w:rPr>
      </w:pPr>
      <w:r w:rsidRPr="00524F01">
        <w:rPr>
          <w:rFonts w:ascii="Arial" w:hAnsi="Arial" w:cs="Arial"/>
          <w:b/>
          <w:bCs/>
        </w:rPr>
        <w:t>5.2 Recommendations</w:t>
      </w:r>
    </w:p>
    <w:p w14:paraId="061C4FA3" w14:textId="77777777" w:rsidR="009E048A" w:rsidRPr="009E048A" w:rsidRDefault="009E048A" w:rsidP="009E048A">
      <w:pPr>
        <w:rPr>
          <w:rFonts w:ascii="Arial" w:hAnsi="Arial" w:cs="Arial"/>
        </w:rPr>
      </w:pPr>
      <w:r w:rsidRPr="009E048A">
        <w:rPr>
          <w:rFonts w:ascii="Arial" w:hAnsi="Arial" w:cs="Arial"/>
        </w:rPr>
        <w:t>Based on the findings and evidence reviewed, the following recommendations are proposed to improve support for children and families affected by adversity in Birmingham and the West Midlands:</w:t>
      </w:r>
    </w:p>
    <w:p w14:paraId="0727D9FD" w14:textId="77777777" w:rsidR="009E048A" w:rsidRPr="00524F01" w:rsidRDefault="009E048A" w:rsidP="009E048A">
      <w:pPr>
        <w:rPr>
          <w:rFonts w:ascii="Arial" w:hAnsi="Arial" w:cs="Arial"/>
          <w:b/>
          <w:bCs/>
          <w:sz w:val="24"/>
          <w:szCs w:val="24"/>
        </w:rPr>
      </w:pPr>
      <w:r w:rsidRPr="00524F01">
        <w:rPr>
          <w:rFonts w:ascii="Arial" w:hAnsi="Arial" w:cs="Arial"/>
          <w:b/>
          <w:bCs/>
          <w:sz w:val="24"/>
          <w:szCs w:val="24"/>
        </w:rPr>
        <w:t>Recommendation 1: Implement ACEs-informed training for all frontline professionals</w:t>
      </w:r>
    </w:p>
    <w:p w14:paraId="1EE2741D" w14:textId="77777777" w:rsidR="009E048A" w:rsidRPr="009E048A" w:rsidRDefault="009E048A" w:rsidP="009E048A">
      <w:pPr>
        <w:rPr>
          <w:rFonts w:ascii="Arial" w:hAnsi="Arial" w:cs="Arial"/>
        </w:rPr>
      </w:pPr>
      <w:r w:rsidRPr="009E048A">
        <w:rPr>
          <w:rFonts w:ascii="Arial" w:hAnsi="Arial" w:cs="Arial"/>
        </w:rPr>
        <w:t xml:space="preserve">All staff working in children’s services, health, education and social care should receive regular, high-quality training on understanding ACEs and trauma-informed practice. NHS England (2022) emphasises that staff who recognise the signs of adversity are better equipped to respond appropriately and prevent further harm. This approach is also supported by Cooper and Hetherington (2018), who argue that building workforce capability is a foundational step </w:t>
      </w:r>
      <w:r w:rsidRPr="009E048A">
        <w:rPr>
          <w:rFonts w:ascii="Arial" w:hAnsi="Arial" w:cs="Arial"/>
        </w:rPr>
        <w:lastRenderedPageBreak/>
        <w:t>towards delivering effective early intervention. Welsh Government (2022) further notes that training should not be a one-off event but embedded as part of continuous professional development to ensure consistency over time.</w:t>
      </w:r>
    </w:p>
    <w:p w14:paraId="708D2EA9" w14:textId="77777777" w:rsidR="009E048A" w:rsidRPr="00524F01" w:rsidRDefault="009E048A" w:rsidP="009E048A">
      <w:pPr>
        <w:rPr>
          <w:rFonts w:ascii="Arial" w:hAnsi="Arial" w:cs="Arial"/>
          <w:b/>
          <w:bCs/>
          <w:sz w:val="24"/>
          <w:szCs w:val="24"/>
        </w:rPr>
      </w:pPr>
      <w:r w:rsidRPr="00524F01">
        <w:rPr>
          <w:rFonts w:ascii="Arial" w:hAnsi="Arial" w:cs="Arial"/>
          <w:b/>
          <w:bCs/>
          <w:sz w:val="24"/>
          <w:szCs w:val="24"/>
        </w:rPr>
        <w:t>Recommendation 2: Prioritise investment in community-based and preventative support</w:t>
      </w:r>
    </w:p>
    <w:p w14:paraId="7343F716" w14:textId="77777777" w:rsidR="009E048A" w:rsidRDefault="009E048A" w:rsidP="009E048A">
      <w:pPr>
        <w:rPr>
          <w:rFonts w:ascii="Arial" w:hAnsi="Arial" w:cs="Arial"/>
        </w:rPr>
      </w:pPr>
      <w:r w:rsidRPr="009E048A">
        <w:rPr>
          <w:rFonts w:ascii="Arial" w:hAnsi="Arial" w:cs="Arial"/>
        </w:rPr>
        <w:t>Rather than focusing primarily on crisis response, resources should be directed towards community programmes that promote wellbeing, build protective factors and address the socioeconomic causes of disadvantage. Marmot et al. (2020) demonstrate that reducing inequality and improving living conditions is the most effective long-term strategy to reduce childhood adversity. ONS (2023) data shows that areas with stronger community support networks report lower rates of ACEs, meaning that investment in local services such as family centres, youth clubs and mental health provision will yield long-term benefits for the whole region.</w:t>
      </w:r>
    </w:p>
    <w:p w14:paraId="7C214E69" w14:textId="273469F2" w:rsidR="003E69A7" w:rsidRPr="009E048A" w:rsidRDefault="003E69A7" w:rsidP="009E048A">
      <w:pPr>
        <w:rPr>
          <w:rFonts w:ascii="Arial" w:hAnsi="Arial" w:cs="Arial"/>
        </w:rPr>
      </w:pPr>
      <w:r w:rsidRPr="003E69A7">
        <w:rPr>
          <w:rFonts w:ascii="Arial" w:hAnsi="Arial" w:cs="Arial"/>
        </w:rPr>
        <w:t>Roberts et al. (2023) argue that investment in prevention and early intervention provides better long-term value compared to reactive crisis support.</w:t>
      </w:r>
    </w:p>
    <w:p w14:paraId="116B0433" w14:textId="77777777" w:rsidR="009E048A" w:rsidRPr="00524F01" w:rsidRDefault="009E048A" w:rsidP="009E048A">
      <w:pPr>
        <w:rPr>
          <w:rFonts w:ascii="Arial" w:hAnsi="Arial" w:cs="Arial"/>
          <w:b/>
          <w:bCs/>
          <w:sz w:val="24"/>
          <w:szCs w:val="24"/>
        </w:rPr>
      </w:pPr>
      <w:r w:rsidRPr="00524F01">
        <w:rPr>
          <w:rFonts w:ascii="Arial" w:hAnsi="Arial" w:cs="Arial"/>
          <w:b/>
          <w:bCs/>
          <w:sz w:val="24"/>
          <w:szCs w:val="24"/>
        </w:rPr>
        <w:t>Recommendation 3: Strengthen inter-agency collaboration and information sharing</w:t>
      </w:r>
    </w:p>
    <w:p w14:paraId="518CE015" w14:textId="77777777" w:rsidR="009E048A" w:rsidRDefault="009E048A" w:rsidP="009E048A">
      <w:pPr>
        <w:rPr>
          <w:rFonts w:ascii="Arial" w:hAnsi="Arial" w:cs="Arial"/>
        </w:rPr>
      </w:pPr>
      <w:r w:rsidRPr="009E048A">
        <w:rPr>
          <w:rFonts w:ascii="Arial" w:hAnsi="Arial" w:cs="Arial"/>
        </w:rPr>
        <w:t xml:space="preserve">Effective support requires better coordination between schools, health services, social care and local authorities. </w:t>
      </w:r>
      <w:proofErr w:type="spellStart"/>
      <w:r w:rsidRPr="009E048A">
        <w:rPr>
          <w:rFonts w:ascii="Arial" w:hAnsi="Arial" w:cs="Arial"/>
        </w:rPr>
        <w:t>Lereya</w:t>
      </w:r>
      <w:proofErr w:type="spellEnd"/>
      <w:r w:rsidRPr="009E048A">
        <w:rPr>
          <w:rFonts w:ascii="Arial" w:hAnsi="Arial" w:cs="Arial"/>
        </w:rPr>
        <w:t xml:space="preserve"> et al. (2015) explain that when agencies work together, they can identify needs earlier and deliver more joined-up support. Wickham et al. (2016) and Masten (2014) also highlight that continuity of care and shared understanding across services are key factors in building resilience. Improving communication pathways and breaking down organisational silos will help ensure that children and families do not fall through the gaps between different services.</w:t>
      </w:r>
    </w:p>
    <w:p w14:paraId="1A2C6C97" w14:textId="77777777" w:rsidR="00520A17" w:rsidRPr="00520A17" w:rsidRDefault="00520A17" w:rsidP="00520A17">
      <w:pPr>
        <w:rPr>
          <w:rFonts w:ascii="Arial" w:hAnsi="Arial" w:cs="Arial"/>
        </w:rPr>
      </w:pPr>
      <w:r w:rsidRPr="00520A17">
        <w:rPr>
          <w:rFonts w:ascii="Arial" w:hAnsi="Arial" w:cs="Arial"/>
        </w:rPr>
        <w:t>While these recommendations have been presented separately, they should be viewed as interconnected components of a wider strategy for reducing the long-term impact of Adverse Childhood Experiences. Improvements in trauma-informed practice are unlikely to achieve their full potential without simultaneous action to address socioeconomic inequalities, strengthen early intervention, and improve partnership working across services. Likewise, investment in community support and preventative programmes will have greater impact when professionals share a consistent understanding of trauma and work collaboratively towards common goals. A coordinated whole-system approach therefore provides the greatest opportunity to improve outcomes for individuals, families, and communities.</w:t>
      </w:r>
    </w:p>
    <w:p w14:paraId="354E9AA3" w14:textId="77777777" w:rsidR="00520A17" w:rsidRPr="00520A17" w:rsidRDefault="00520A17" w:rsidP="00520A17">
      <w:pPr>
        <w:rPr>
          <w:rFonts w:ascii="Arial" w:hAnsi="Arial" w:cs="Arial"/>
        </w:rPr>
      </w:pPr>
      <w:r w:rsidRPr="00520A17">
        <w:rPr>
          <w:rFonts w:ascii="Arial" w:hAnsi="Arial" w:cs="Arial"/>
        </w:rPr>
        <w:lastRenderedPageBreak/>
        <w:t xml:space="preserve">The findings of this review also highlight the importance of maintaining a long-term perspective when developing policy and practice. Although many interventions require significant investment during childhood, evidence consistently demonstrates that early support has the potential to reduce future demand on mental health services, social care, criminal justice systems, and wider public services. Preventative approaches may therefore provide both social and economic benefits while improving quality of life for individuals affected by adversity. Continued evaluation of these initiatives will be essential to ensure that future policies remain evidence-based, responsive to local need, and capable of reducing inequalities across different regions of the United Kingdom. </w:t>
      </w:r>
    </w:p>
    <w:p w14:paraId="3D8589B1" w14:textId="77777777" w:rsidR="009E048A" w:rsidRDefault="009E048A" w:rsidP="009E048A">
      <w:pPr>
        <w:rPr>
          <w:rFonts w:ascii="Arial" w:hAnsi="Arial" w:cs="Arial"/>
        </w:rPr>
      </w:pPr>
    </w:p>
    <w:p w14:paraId="7B73515A" w14:textId="34370347" w:rsidR="009E048A" w:rsidRPr="009E048A" w:rsidRDefault="009E048A" w:rsidP="009E048A">
      <w:pPr>
        <w:rPr>
          <w:rFonts w:ascii="Arial" w:hAnsi="Arial" w:cs="Arial"/>
          <w:b/>
          <w:bCs/>
        </w:rPr>
      </w:pPr>
      <w:r w:rsidRPr="009E048A">
        <w:rPr>
          <w:rFonts w:ascii="Arial" w:hAnsi="Arial" w:cs="Arial"/>
          <w:b/>
          <w:bCs/>
        </w:rPr>
        <w:t>5.3 Strengths and Limitations of the Study</w:t>
      </w:r>
    </w:p>
    <w:p w14:paraId="1204F5F7" w14:textId="77777777" w:rsidR="009E048A" w:rsidRPr="009E048A" w:rsidRDefault="009E048A" w:rsidP="009E048A">
      <w:pPr>
        <w:rPr>
          <w:rFonts w:ascii="Arial" w:hAnsi="Arial" w:cs="Arial"/>
          <w:b/>
          <w:bCs/>
        </w:rPr>
      </w:pPr>
      <w:r w:rsidRPr="009E048A">
        <w:rPr>
          <w:rFonts w:ascii="Arial" w:hAnsi="Arial" w:cs="Arial"/>
          <w:b/>
          <w:bCs/>
        </w:rPr>
        <w:t>Strengths</w:t>
      </w:r>
    </w:p>
    <w:p w14:paraId="635CB967" w14:textId="77777777" w:rsidR="009E048A" w:rsidRPr="009E048A" w:rsidRDefault="009E048A" w:rsidP="009E048A">
      <w:pPr>
        <w:rPr>
          <w:rFonts w:ascii="Arial" w:hAnsi="Arial" w:cs="Arial"/>
        </w:rPr>
      </w:pPr>
      <w:r w:rsidRPr="009E048A">
        <w:rPr>
          <w:rFonts w:ascii="Arial" w:hAnsi="Arial" w:cs="Arial"/>
        </w:rPr>
        <w:t>A key strength of this review is the systematic approach taken to identify, appraise and synthesise existing evidence. The study used recognised critical appraisal tools including the CASP checklist and AMSTAR 2 framework (CASP, 2019; Shea et al., 2017), which ensured that only high-quality, reliable research was included. The use of thematic analysis, following the guidelines of Braun and Clarke (2006), allowed for a clear and structured interpretation of complex findings. Furthermore, the focus on the West Midlands and Birmingham context makes the findings particularly relevant and applicable to local service planning.</w:t>
      </w:r>
    </w:p>
    <w:p w14:paraId="774198DA" w14:textId="77777777" w:rsidR="009E048A" w:rsidRPr="009E048A" w:rsidRDefault="009E048A" w:rsidP="009E048A">
      <w:pPr>
        <w:rPr>
          <w:rFonts w:ascii="Arial" w:hAnsi="Arial" w:cs="Arial"/>
          <w:b/>
          <w:bCs/>
        </w:rPr>
      </w:pPr>
      <w:r w:rsidRPr="009E048A">
        <w:rPr>
          <w:rFonts w:ascii="Arial" w:hAnsi="Arial" w:cs="Arial"/>
          <w:b/>
          <w:bCs/>
        </w:rPr>
        <w:t>Limitations</w:t>
      </w:r>
    </w:p>
    <w:p w14:paraId="3B5A3FF5" w14:textId="54C59DCB" w:rsidR="009E048A" w:rsidRDefault="009E048A" w:rsidP="009E048A">
      <w:pPr>
        <w:rPr>
          <w:rFonts w:ascii="Arial" w:hAnsi="Arial" w:cs="Arial"/>
        </w:rPr>
      </w:pPr>
      <w:r w:rsidRPr="009E048A">
        <w:rPr>
          <w:rFonts w:ascii="Arial" w:hAnsi="Arial" w:cs="Arial"/>
        </w:rPr>
        <w:t xml:space="preserve">This review is based on secondary analysis of published research and existing datasets, meaning it is dependent on the quality and availability of existing information. Like many studies in this field, there is potential for recall bias in survey-based data on ACEs, as responses rely on the memory of participants. In addition, the exclusion of non-English language sources may mean that some international perspectives are not included. It is also important to note that while the literature provides strong evidence of association, establishing direct cause and effect is challenging in social science research. Despite these limitations, the evidence base remains robust enough to draw meaningful conclusions and guide </w:t>
      </w:r>
      <w:r>
        <w:rPr>
          <w:rFonts w:ascii="Arial" w:hAnsi="Arial" w:cs="Arial"/>
        </w:rPr>
        <w:t>practice.</w:t>
      </w:r>
    </w:p>
    <w:p w14:paraId="2A484104" w14:textId="77777777" w:rsidR="00DA0E6F" w:rsidRPr="00DA0E6F" w:rsidRDefault="00DA0E6F" w:rsidP="00DA0E6F">
      <w:pPr>
        <w:rPr>
          <w:rFonts w:ascii="Arial" w:hAnsi="Arial" w:cs="Arial"/>
        </w:rPr>
      </w:pPr>
      <w:r w:rsidRPr="00DA0E6F">
        <w:rPr>
          <w:rFonts w:ascii="Arial" w:hAnsi="Arial" w:cs="Arial"/>
        </w:rPr>
        <w:t xml:space="preserve">Overall, the evidence reviewed throughout this dissertation demonstrates that reducing the long-term impact of Adverse Childhood Experiences requires sustained commitment from governments, healthcare providers, educational institutions, social care organisations, and the voluntary sector. No single intervention </w:t>
      </w:r>
      <w:proofErr w:type="gramStart"/>
      <w:r w:rsidRPr="00DA0E6F">
        <w:rPr>
          <w:rFonts w:ascii="Arial" w:hAnsi="Arial" w:cs="Arial"/>
        </w:rPr>
        <w:t>is capable of addressing</w:t>
      </w:r>
      <w:proofErr w:type="gramEnd"/>
      <w:r w:rsidRPr="00DA0E6F">
        <w:rPr>
          <w:rFonts w:ascii="Arial" w:hAnsi="Arial" w:cs="Arial"/>
        </w:rPr>
        <w:t xml:space="preserve"> the complex consequences associated with childhood adversity. Instead, effective responses depend upon coordinated </w:t>
      </w:r>
      <w:r w:rsidRPr="00DA0E6F">
        <w:rPr>
          <w:rFonts w:ascii="Arial" w:hAnsi="Arial" w:cs="Arial"/>
        </w:rPr>
        <w:lastRenderedPageBreak/>
        <w:t>systems that recognise trauma early, intervene promptly, and provide consistent support throughout the life course.</w:t>
      </w:r>
    </w:p>
    <w:p w14:paraId="30F30222" w14:textId="77777777" w:rsidR="00DA0E6F" w:rsidRPr="00DA0E6F" w:rsidRDefault="00DA0E6F" w:rsidP="00DA0E6F">
      <w:pPr>
        <w:rPr>
          <w:rFonts w:ascii="Arial" w:hAnsi="Arial" w:cs="Arial"/>
        </w:rPr>
      </w:pPr>
      <w:r w:rsidRPr="00DA0E6F">
        <w:rPr>
          <w:rFonts w:ascii="Arial" w:hAnsi="Arial" w:cs="Arial"/>
        </w:rPr>
        <w:t>The review further highlights that investment in prevention should be viewed not only as an ethical responsibility but also as a practical strategy for improving population health and reducing future demand on public services. Early intervention programmes have the potential to reduce the burden placed upon mental health services, social care systems, criminal justice agencies, and wider healthcare provision by addressing difficulties before they become entrenched during adulthood. Consequently, preventative approaches may generate significant long-term social and economic benefits alongside improved individual wellbeing.</w:t>
      </w:r>
    </w:p>
    <w:p w14:paraId="75A5975C" w14:textId="57305F52" w:rsidR="00DA0E6F" w:rsidRPr="00DA0E6F" w:rsidRDefault="00DA0E6F" w:rsidP="00DA0E6F">
      <w:pPr>
        <w:rPr>
          <w:rFonts w:ascii="Arial" w:hAnsi="Arial" w:cs="Arial"/>
        </w:rPr>
      </w:pPr>
      <w:r w:rsidRPr="00DA0E6F">
        <w:rPr>
          <w:rFonts w:ascii="Arial" w:hAnsi="Arial" w:cs="Arial"/>
        </w:rPr>
        <w:t xml:space="preserve">Future policy should therefore continue strengthening trauma-informed systems while addressing wider determinants including poverty, housing instability, educational inequality, and social exclusion. Continued research will remain essential to evaluate emerging interventions, identify groups experiencing the greatest inequalities, and ensure that future policy decisions remain </w:t>
      </w:r>
      <w:r w:rsidRPr="00DA0E6F">
        <w:rPr>
          <w:rFonts w:ascii="Arial" w:hAnsi="Arial" w:cs="Arial"/>
        </w:rPr>
        <w:t>evidence based</w:t>
      </w:r>
      <w:r w:rsidRPr="00DA0E6F">
        <w:rPr>
          <w:rFonts w:ascii="Arial" w:hAnsi="Arial" w:cs="Arial"/>
        </w:rPr>
        <w:t>. Collectively, these findings reinforce the importance of adopting a whole-system public health approach that places prevention, collaboration, and early intervention at the centre of efforts to improve adult mental health outcomes following childhood adversity.</w:t>
      </w:r>
    </w:p>
    <w:p w14:paraId="23882F5F" w14:textId="77777777" w:rsidR="00DA0E6F" w:rsidRPr="009E048A" w:rsidRDefault="00DA0E6F" w:rsidP="009E048A">
      <w:pPr>
        <w:rPr>
          <w:rFonts w:ascii="Arial" w:hAnsi="Arial" w:cs="Arial"/>
        </w:rPr>
      </w:pPr>
    </w:p>
    <w:p w14:paraId="10545ABF" w14:textId="0D7E41B5" w:rsidR="009E048A" w:rsidRPr="009E048A" w:rsidRDefault="009E048A" w:rsidP="009E048A">
      <w:pPr>
        <w:rPr>
          <w:rFonts w:ascii="Arial" w:hAnsi="Arial" w:cs="Arial"/>
          <w:b/>
          <w:bCs/>
        </w:rPr>
      </w:pPr>
      <w:r w:rsidRPr="009E048A">
        <w:rPr>
          <w:rFonts w:ascii="Arial" w:hAnsi="Arial" w:cs="Arial"/>
          <w:b/>
          <w:bCs/>
        </w:rPr>
        <w:t>Conclusion</w:t>
      </w:r>
    </w:p>
    <w:bookmarkEnd w:id="0"/>
    <w:p w14:paraId="331C5BE4" w14:textId="77777777" w:rsidR="00DA0E6F" w:rsidRPr="00DA0E6F" w:rsidRDefault="00DA0E6F" w:rsidP="00DA0E6F">
      <w:pPr>
        <w:rPr>
          <w:rFonts w:ascii="Arial" w:hAnsi="Arial" w:cs="Arial"/>
        </w:rPr>
      </w:pPr>
      <w:r w:rsidRPr="00DA0E6F">
        <w:rPr>
          <w:rFonts w:ascii="Arial" w:hAnsi="Arial" w:cs="Arial"/>
        </w:rPr>
        <w:t>This dissertation has critically explored the relationship between Adverse Childhood Experiences and adult mental health outcomes within the United Kingdom through a systematic review of contemporary literature. The evidence consistently demonstrated that exposure to childhood adversity is associated with an increased risk of depression, anxiety, post-traumatic stress, substance misuse, self-harm, suicidal behaviour, and poorer psychological wellbeing during adulthood. Importantly, the findings also highlighted that these outcomes are influenced by the cumulative nature of adversity, with increasing ACE exposure associated with progressively greater risks across multiple aspects of health and wellbeing.</w:t>
      </w:r>
    </w:p>
    <w:p w14:paraId="61FDFE9C" w14:textId="77777777" w:rsidR="00DA0E6F" w:rsidRPr="00DA0E6F" w:rsidRDefault="00DA0E6F" w:rsidP="00DA0E6F">
      <w:pPr>
        <w:rPr>
          <w:rFonts w:ascii="Arial" w:hAnsi="Arial" w:cs="Arial"/>
        </w:rPr>
      </w:pPr>
      <w:r w:rsidRPr="00DA0E6F">
        <w:rPr>
          <w:rFonts w:ascii="Arial" w:hAnsi="Arial" w:cs="Arial"/>
        </w:rPr>
        <w:t xml:space="preserve">The review further demonstrated that effective responses require more than individual clinical interventions. Improving long-term outcomes depends upon coordinated action across health, education, social care, housing, and community services to address both the immediate effects of trauma and the wider social determinants that contribute to health inequalities. Trauma-informed practice, early identification, preventative interventions, and collaborative partnership working emerged consistently throughout the literature as essential components of effective service delivery. These approaches have the potential not only to improve </w:t>
      </w:r>
      <w:r w:rsidRPr="00DA0E6F">
        <w:rPr>
          <w:rFonts w:ascii="Arial" w:hAnsi="Arial" w:cs="Arial"/>
        </w:rPr>
        <w:lastRenderedPageBreak/>
        <w:t>individual wellbeing but also to reduce long-term pressures on public services while promoting healthier and more resilient communities.</w:t>
      </w:r>
    </w:p>
    <w:p w14:paraId="681D9D22" w14:textId="77777777" w:rsidR="00DA0E6F" w:rsidRPr="00DA0E6F" w:rsidRDefault="00DA0E6F" w:rsidP="00DA0E6F">
      <w:pPr>
        <w:rPr>
          <w:rFonts w:ascii="Arial" w:hAnsi="Arial" w:cs="Arial"/>
        </w:rPr>
      </w:pPr>
      <w:r w:rsidRPr="00DA0E6F">
        <w:rPr>
          <w:rFonts w:ascii="Arial" w:hAnsi="Arial" w:cs="Arial"/>
        </w:rPr>
        <w:t>Although limitations within the available evidence remain, including methodological variation between studies and differences in definitions of ACEs, the overall body of literature provides strong support for continued investment in preventative public health strategies. Future research should continue evaluating the effectiveness of trauma-informed interventions across diverse populations while exploring approaches that reduce inequalities and improve access to support for vulnerable groups.</w:t>
      </w:r>
    </w:p>
    <w:p w14:paraId="532201DC" w14:textId="77777777" w:rsidR="00DA0E6F" w:rsidRPr="00DA0E6F" w:rsidRDefault="00DA0E6F" w:rsidP="00DA0E6F">
      <w:pPr>
        <w:rPr>
          <w:rFonts w:ascii="Arial" w:hAnsi="Arial" w:cs="Arial"/>
        </w:rPr>
      </w:pPr>
      <w:r w:rsidRPr="00DA0E6F">
        <w:rPr>
          <w:rFonts w:ascii="Arial" w:hAnsi="Arial" w:cs="Arial"/>
        </w:rPr>
        <w:t>In conclusion, this dissertation has demonstrated that Adverse Childhood Experiences represent a significant public health issue with implications extending far beyond childhood. Addressing these challenges requires sustained commitment from policymakers, practitioners, researchers, and communities working collaboratively to reduce adversity, strengthen protective factors, and improve mental health outcomes throughout the life course. By adopting integrated and evidence-informed approaches, the United Kingdom can continue progressing towards more equitable, trauma-informed systems that support healthier futures for children, families, and communities.</w:t>
      </w:r>
    </w:p>
    <w:bookmarkEnd w:id="1"/>
    <w:bookmarkEnd w:id="4"/>
    <w:p w14:paraId="71010707" w14:textId="77777777" w:rsidR="00636D9A" w:rsidRPr="005C5E80" w:rsidRDefault="00636D9A"/>
    <w:bookmarkEnd w:id="6"/>
    <w:bookmarkEnd w:id="13"/>
    <w:p w14:paraId="54494726" w14:textId="77777777" w:rsidR="000400E4" w:rsidRDefault="000400E4"/>
    <w:p w14:paraId="722FC155" w14:textId="77777777" w:rsidR="000400E4" w:rsidRDefault="000400E4"/>
    <w:bookmarkEnd w:id="3"/>
    <w:p w14:paraId="6CB43E8D" w14:textId="77777777" w:rsidR="004154B2" w:rsidRDefault="004154B2" w:rsidP="00211184">
      <w:pPr>
        <w:pStyle w:val="Heading1"/>
        <w:ind w:left="0"/>
        <w:rPr>
          <w:rFonts w:ascii="Aptos" w:hAnsi="Aptos"/>
          <w:u w:val="single"/>
        </w:rPr>
      </w:pPr>
    </w:p>
    <w:p w14:paraId="3D3F3B28" w14:textId="0820C863" w:rsidR="00211184" w:rsidRPr="00D210FE" w:rsidRDefault="00211184" w:rsidP="00211184">
      <w:pPr>
        <w:pStyle w:val="Heading1"/>
        <w:ind w:left="0"/>
        <w:rPr>
          <w:rFonts w:ascii="Aptos" w:hAnsi="Aptos"/>
          <w:u w:val="single"/>
        </w:rPr>
      </w:pPr>
      <w:r w:rsidRPr="00D210FE">
        <w:rPr>
          <w:rFonts w:ascii="Aptos" w:hAnsi="Aptos"/>
          <w:u w:val="single"/>
        </w:rPr>
        <w:t xml:space="preserve">CHAPTER 6 – References and Appendices </w:t>
      </w:r>
    </w:p>
    <w:p w14:paraId="2EE69DD1" w14:textId="77777777" w:rsidR="00211184" w:rsidRPr="00D210FE" w:rsidRDefault="00211184">
      <w:pPr>
        <w:rPr>
          <w:u w:val="single"/>
        </w:rPr>
      </w:pPr>
    </w:p>
    <w:p w14:paraId="348E0260" w14:textId="22724AEC" w:rsidR="00A926D3" w:rsidRPr="00A926D3" w:rsidRDefault="00621776" w:rsidP="00671F7F">
      <w:pPr>
        <w:pStyle w:val="Heading1"/>
        <w:spacing w:line="360" w:lineRule="auto"/>
        <w:ind w:left="0"/>
        <w:rPr>
          <w:rFonts w:cs="Arial"/>
          <w:i/>
          <w:iCs/>
        </w:rPr>
      </w:pPr>
      <w:r w:rsidRPr="00C6771C">
        <w:rPr>
          <w:rFonts w:cs="Arial"/>
          <w:i/>
          <w:iCs/>
          <w:sz w:val="22"/>
          <w:szCs w:val="22"/>
        </w:rPr>
        <w:t xml:space="preserve">6.1 – References </w:t>
      </w:r>
      <w:bookmarkStart w:id="14" w:name="OLE_LINK9"/>
    </w:p>
    <w:p w14:paraId="0E7ED1D9" w14:textId="50F00164" w:rsidR="00671F7F" w:rsidRPr="00671F7F" w:rsidRDefault="00671F7F" w:rsidP="00671F7F">
      <w:pPr>
        <w:ind w:left="720"/>
        <w:rPr>
          <w:rFonts w:ascii="Arial" w:hAnsi="Arial" w:cs="Arial"/>
          <w:i/>
          <w:iCs/>
        </w:rPr>
      </w:pPr>
      <w:r w:rsidRPr="00671F7F">
        <w:rPr>
          <w:rFonts w:ascii="Arial" w:hAnsi="Arial" w:cs="Arial"/>
          <w:i/>
          <w:iCs/>
        </w:rPr>
        <w:t xml:space="preserve">  Aveyard, H. (2019) Doing a literature review in health and social care: A practical guide. 4th </w:t>
      </w:r>
      <w:proofErr w:type="spellStart"/>
      <w:r w:rsidRPr="00671F7F">
        <w:rPr>
          <w:rFonts w:ascii="Arial" w:hAnsi="Arial" w:cs="Arial"/>
          <w:i/>
          <w:iCs/>
        </w:rPr>
        <w:t>edn</w:t>
      </w:r>
      <w:proofErr w:type="spellEnd"/>
      <w:r w:rsidRPr="00671F7F">
        <w:rPr>
          <w:rFonts w:ascii="Arial" w:hAnsi="Arial" w:cs="Arial"/>
          <w:i/>
          <w:iCs/>
        </w:rPr>
        <w:t>. Maidenhead: Open University Press.</w:t>
      </w:r>
    </w:p>
    <w:p w14:paraId="32452DC7" w14:textId="2941809E" w:rsidR="00671F7F" w:rsidRPr="00671F7F" w:rsidRDefault="00671F7F" w:rsidP="00671F7F">
      <w:pPr>
        <w:ind w:left="720"/>
        <w:rPr>
          <w:rFonts w:ascii="Arial" w:hAnsi="Arial" w:cs="Arial"/>
          <w:i/>
          <w:iCs/>
        </w:rPr>
      </w:pPr>
      <w:r w:rsidRPr="00671F7F">
        <w:rPr>
          <w:rFonts w:ascii="Arial" w:hAnsi="Arial" w:cs="Arial"/>
          <w:i/>
          <w:iCs/>
        </w:rPr>
        <w:t xml:space="preserve">  Baldry, E. and Wigfall, V. (2020) Supporting children affected by adversity: A guide to trauma-informed practice. London: Jessica Kingsley Publishers.</w:t>
      </w:r>
    </w:p>
    <w:p w14:paraId="22F9EAC2" w14:textId="68589463" w:rsidR="00671F7F" w:rsidRPr="00671F7F" w:rsidRDefault="00671F7F" w:rsidP="00671F7F">
      <w:pPr>
        <w:ind w:left="720"/>
        <w:rPr>
          <w:rFonts w:ascii="Arial" w:hAnsi="Arial" w:cs="Arial"/>
          <w:i/>
          <w:iCs/>
        </w:rPr>
      </w:pPr>
      <w:r w:rsidRPr="00671F7F">
        <w:rPr>
          <w:rFonts w:ascii="Arial" w:hAnsi="Arial" w:cs="Arial"/>
          <w:i/>
          <w:iCs/>
        </w:rPr>
        <w:t xml:space="preserve">  Bellis, M.A., Hughes, K., Leckenby, N., Hardcastle, K. and Perkins, C. (2015) ‘Measuring mortality and the burden of adult disease associated with adverse childhood experiences in England: a national survey’, Journal of Public Health, 37(3), pp. 445–454.</w:t>
      </w:r>
    </w:p>
    <w:p w14:paraId="68AFE88B" w14:textId="286FE95E" w:rsidR="00671F7F" w:rsidRPr="00671F7F" w:rsidRDefault="00671F7F" w:rsidP="00671F7F">
      <w:pPr>
        <w:ind w:left="720"/>
        <w:rPr>
          <w:rFonts w:ascii="Arial" w:hAnsi="Arial" w:cs="Arial"/>
          <w:i/>
          <w:iCs/>
        </w:rPr>
      </w:pPr>
      <w:r w:rsidRPr="00671F7F">
        <w:rPr>
          <w:rFonts w:ascii="Arial" w:hAnsi="Arial" w:cs="Arial"/>
          <w:i/>
          <w:iCs/>
        </w:rPr>
        <w:lastRenderedPageBreak/>
        <w:t xml:space="preserve"> Bellis, M.A., Hughes, K., Perkins, C. and Lowey, H. (2019) Adverse childhood experiences: from evidence to action. Liverpool: Centre for Public Health, Liverpool John Moores University.</w:t>
      </w:r>
    </w:p>
    <w:p w14:paraId="3F79150E" w14:textId="04458CFD" w:rsidR="00671F7F" w:rsidRPr="00671F7F" w:rsidRDefault="00671F7F" w:rsidP="00671F7F">
      <w:pPr>
        <w:ind w:left="720"/>
        <w:rPr>
          <w:rFonts w:ascii="Arial" w:hAnsi="Arial" w:cs="Arial"/>
          <w:i/>
          <w:iCs/>
        </w:rPr>
      </w:pPr>
      <w:r w:rsidRPr="00671F7F">
        <w:rPr>
          <w:rFonts w:ascii="Arial" w:hAnsi="Arial" w:cs="Arial"/>
          <w:i/>
          <w:iCs/>
        </w:rPr>
        <w:t xml:space="preserve">  Bowlby, J. (1988) A secure base: Parent child attachment and healthy human development. London: Routledge.</w:t>
      </w:r>
    </w:p>
    <w:p w14:paraId="23299DE4" w14:textId="08B43442" w:rsidR="00671F7F" w:rsidRPr="00671F7F" w:rsidRDefault="00671F7F" w:rsidP="00671F7F">
      <w:pPr>
        <w:ind w:left="720"/>
        <w:rPr>
          <w:rFonts w:ascii="Arial" w:hAnsi="Arial" w:cs="Arial"/>
          <w:i/>
          <w:iCs/>
        </w:rPr>
      </w:pPr>
      <w:r w:rsidRPr="00671F7F">
        <w:rPr>
          <w:rFonts w:ascii="Arial" w:hAnsi="Arial" w:cs="Arial"/>
          <w:i/>
          <w:iCs/>
        </w:rPr>
        <w:t xml:space="preserve">  Braun, V. and Clarke, V. (2006) ‘Using thematic analysis in psychology’, Qualitative Research in Psychology, 3(2), pp. 77–101.</w:t>
      </w:r>
    </w:p>
    <w:p w14:paraId="0E9B0B93" w14:textId="5C92D9A3" w:rsidR="00671F7F" w:rsidRPr="00671F7F" w:rsidRDefault="00671F7F" w:rsidP="00671F7F">
      <w:pPr>
        <w:ind w:left="720"/>
        <w:rPr>
          <w:rFonts w:ascii="Arial" w:hAnsi="Arial" w:cs="Arial"/>
          <w:i/>
          <w:iCs/>
        </w:rPr>
      </w:pPr>
      <w:r w:rsidRPr="00671F7F">
        <w:rPr>
          <w:rFonts w:ascii="Arial" w:hAnsi="Arial" w:cs="Arial"/>
          <w:i/>
          <w:iCs/>
        </w:rPr>
        <w:t xml:space="preserve">  Children’s Commissioner for England (2023) Children’s mental health services 2023. London: Children’s Commissioner for England.</w:t>
      </w:r>
    </w:p>
    <w:p w14:paraId="6D17AE69" w14:textId="30237D83" w:rsidR="00671F7F" w:rsidRPr="00671F7F" w:rsidRDefault="00671F7F" w:rsidP="00671F7F">
      <w:pPr>
        <w:ind w:left="720"/>
        <w:rPr>
          <w:rFonts w:ascii="Arial" w:hAnsi="Arial" w:cs="Arial"/>
          <w:i/>
          <w:iCs/>
        </w:rPr>
      </w:pPr>
      <w:r w:rsidRPr="00671F7F">
        <w:rPr>
          <w:rFonts w:ascii="Arial" w:hAnsi="Arial" w:cs="Arial"/>
          <w:i/>
          <w:iCs/>
        </w:rPr>
        <w:t xml:space="preserve">  Cooper, P. and Hetherington, R. (2018) Trauma, adversity and resilience in the early years. 2nd </w:t>
      </w:r>
      <w:proofErr w:type="spellStart"/>
      <w:r w:rsidRPr="00671F7F">
        <w:rPr>
          <w:rFonts w:ascii="Arial" w:hAnsi="Arial" w:cs="Arial"/>
          <w:i/>
          <w:iCs/>
        </w:rPr>
        <w:t>edn</w:t>
      </w:r>
      <w:proofErr w:type="spellEnd"/>
      <w:r w:rsidRPr="00671F7F">
        <w:rPr>
          <w:rFonts w:ascii="Arial" w:hAnsi="Arial" w:cs="Arial"/>
          <w:i/>
          <w:iCs/>
        </w:rPr>
        <w:t>. London: Jessica Kingsley.</w:t>
      </w:r>
    </w:p>
    <w:p w14:paraId="408AF233" w14:textId="09662EF1" w:rsidR="00671F7F" w:rsidRPr="00671F7F" w:rsidRDefault="00671F7F" w:rsidP="00671F7F">
      <w:pPr>
        <w:ind w:left="720"/>
        <w:rPr>
          <w:rFonts w:ascii="Arial" w:hAnsi="Arial" w:cs="Arial"/>
          <w:i/>
          <w:iCs/>
        </w:rPr>
      </w:pPr>
      <w:r w:rsidRPr="00671F7F">
        <w:rPr>
          <w:rFonts w:ascii="Arial" w:hAnsi="Arial" w:cs="Arial"/>
          <w:i/>
          <w:iCs/>
        </w:rPr>
        <w:t xml:space="preserve">  Cuthbert, C. (2020) Trauma informed care in practice. London: Pavilion Publishing.</w:t>
      </w:r>
    </w:p>
    <w:p w14:paraId="2D7A5257" w14:textId="26FB1520" w:rsidR="00671F7F" w:rsidRPr="00671F7F" w:rsidRDefault="00671F7F" w:rsidP="00671F7F">
      <w:pPr>
        <w:ind w:left="720"/>
        <w:rPr>
          <w:rFonts w:ascii="Arial" w:hAnsi="Arial" w:cs="Arial"/>
          <w:i/>
          <w:iCs/>
        </w:rPr>
      </w:pPr>
      <w:r w:rsidRPr="00671F7F">
        <w:rPr>
          <w:rFonts w:ascii="Arial" w:hAnsi="Arial" w:cs="Arial"/>
          <w:i/>
          <w:iCs/>
        </w:rPr>
        <w:t xml:space="preserve">  Department for Education (2023) Working together to safeguard children. London: HM Government.</w:t>
      </w:r>
    </w:p>
    <w:p w14:paraId="48B595D8" w14:textId="31BFD27F" w:rsidR="00671F7F" w:rsidRPr="00671F7F" w:rsidRDefault="00671F7F" w:rsidP="00671F7F">
      <w:pPr>
        <w:ind w:left="720"/>
        <w:rPr>
          <w:rFonts w:ascii="Arial" w:hAnsi="Arial" w:cs="Arial"/>
          <w:i/>
          <w:iCs/>
        </w:rPr>
      </w:pPr>
      <w:r w:rsidRPr="00671F7F">
        <w:rPr>
          <w:rFonts w:ascii="Arial" w:hAnsi="Arial" w:cs="Arial"/>
          <w:i/>
          <w:iCs/>
        </w:rPr>
        <w:t xml:space="preserve">  Department of Health and Social Care (2021) ACEs Agenda: A whole system approach to preventing adverse childhood experiences. London: HM Government.</w:t>
      </w:r>
    </w:p>
    <w:p w14:paraId="794248D2" w14:textId="517C89D0" w:rsidR="00671F7F" w:rsidRPr="00671F7F" w:rsidRDefault="00671F7F" w:rsidP="00671F7F">
      <w:pPr>
        <w:ind w:left="720"/>
        <w:rPr>
          <w:rFonts w:ascii="Arial" w:hAnsi="Arial" w:cs="Arial"/>
          <w:i/>
          <w:iCs/>
        </w:rPr>
      </w:pPr>
      <w:r w:rsidRPr="00671F7F">
        <w:rPr>
          <w:rFonts w:ascii="Arial" w:hAnsi="Arial" w:cs="Arial"/>
          <w:i/>
          <w:iCs/>
        </w:rPr>
        <w:t xml:space="preserve">  Evans, C. (2021) ‘Trauma and attachment in early years settings’, Early Years Educator, 23(4), pp. 211–218.</w:t>
      </w:r>
    </w:p>
    <w:p w14:paraId="7EF099D2" w14:textId="373398E0" w:rsidR="00671F7F" w:rsidRPr="00671F7F" w:rsidRDefault="00671F7F" w:rsidP="00671F7F">
      <w:pPr>
        <w:ind w:left="720"/>
        <w:rPr>
          <w:rFonts w:ascii="Arial" w:hAnsi="Arial" w:cs="Arial"/>
          <w:i/>
          <w:iCs/>
        </w:rPr>
      </w:pPr>
      <w:r w:rsidRPr="00671F7F">
        <w:rPr>
          <w:rFonts w:ascii="Arial" w:hAnsi="Arial" w:cs="Arial"/>
          <w:i/>
          <w:iCs/>
        </w:rPr>
        <w:t xml:space="preserve">  Fenton, A. et al. (2022) Understanding ACEs: A guide for practitioners. London: NICE.</w:t>
      </w:r>
    </w:p>
    <w:p w14:paraId="6F49FF1A" w14:textId="1E3A21E9" w:rsidR="00671F7F" w:rsidRPr="00671F7F" w:rsidRDefault="00671F7F" w:rsidP="00671F7F">
      <w:pPr>
        <w:ind w:left="720"/>
        <w:rPr>
          <w:rFonts w:ascii="Arial" w:hAnsi="Arial" w:cs="Arial"/>
          <w:i/>
          <w:iCs/>
        </w:rPr>
      </w:pPr>
      <w:r w:rsidRPr="00671F7F">
        <w:rPr>
          <w:rFonts w:ascii="Arial" w:hAnsi="Arial" w:cs="Arial"/>
          <w:i/>
          <w:iCs/>
        </w:rPr>
        <w:t xml:space="preserve">  Felitti, V.J., Anda, R.F., Nordenberg, D., Williamson, D.F., Spitz, A.M., Edwards, V., Koss, M.P. and Marks, J.S. (1998) ‘Relationship of childhood abuse and household dysfunction to many of the leading causes of death in adults’, American Journal of Preventive Medicine, 14(4), pp. 245–454.</w:t>
      </w:r>
    </w:p>
    <w:p w14:paraId="04CC855B" w14:textId="556EFF04" w:rsidR="00671F7F" w:rsidRPr="00671F7F" w:rsidRDefault="00671F7F" w:rsidP="00671F7F">
      <w:pPr>
        <w:ind w:left="720"/>
        <w:rPr>
          <w:rFonts w:ascii="Arial" w:hAnsi="Arial" w:cs="Arial"/>
          <w:i/>
          <w:iCs/>
        </w:rPr>
      </w:pPr>
      <w:r w:rsidRPr="00671F7F">
        <w:rPr>
          <w:rFonts w:ascii="Arial" w:hAnsi="Arial" w:cs="Arial"/>
          <w:i/>
          <w:iCs/>
        </w:rPr>
        <w:t xml:space="preserve">  </w:t>
      </w:r>
      <w:proofErr w:type="spellStart"/>
      <w:r w:rsidRPr="00671F7F">
        <w:rPr>
          <w:rFonts w:ascii="Arial" w:hAnsi="Arial" w:cs="Arial"/>
          <w:i/>
          <w:iCs/>
        </w:rPr>
        <w:t>Finkelhor</w:t>
      </w:r>
      <w:proofErr w:type="spellEnd"/>
      <w:r w:rsidRPr="00671F7F">
        <w:rPr>
          <w:rFonts w:ascii="Arial" w:hAnsi="Arial" w:cs="Arial"/>
          <w:i/>
          <w:iCs/>
        </w:rPr>
        <w:t>, D. (2018) ‘Screening for adverse childhood experiences (ACEs): Cautions and suggestions’, Child Abuse and Neglect, 85, pp. 174–179.</w:t>
      </w:r>
    </w:p>
    <w:p w14:paraId="35249FBE" w14:textId="20D2E384" w:rsidR="00671F7F" w:rsidRPr="00671F7F" w:rsidRDefault="00671F7F" w:rsidP="00671F7F">
      <w:pPr>
        <w:ind w:left="720"/>
        <w:rPr>
          <w:rFonts w:ascii="Arial" w:hAnsi="Arial" w:cs="Arial"/>
          <w:i/>
          <w:iCs/>
        </w:rPr>
      </w:pPr>
      <w:r w:rsidRPr="00671F7F">
        <w:rPr>
          <w:rFonts w:ascii="Arial" w:hAnsi="Arial" w:cs="Arial"/>
          <w:i/>
          <w:iCs/>
        </w:rPr>
        <w:t xml:space="preserve"> Green, L. et al. (2023) Inter-agency working for children affected by ACEs. Birmingham: West Midlands Combined Authority.</w:t>
      </w:r>
    </w:p>
    <w:p w14:paraId="591111E4" w14:textId="313EB339" w:rsidR="00671F7F" w:rsidRPr="00671F7F" w:rsidRDefault="00671F7F" w:rsidP="00671F7F">
      <w:pPr>
        <w:ind w:left="720"/>
        <w:rPr>
          <w:rFonts w:ascii="Arial" w:hAnsi="Arial" w:cs="Arial"/>
          <w:i/>
          <w:iCs/>
        </w:rPr>
      </w:pPr>
      <w:r w:rsidRPr="00671F7F">
        <w:rPr>
          <w:rFonts w:ascii="Arial" w:hAnsi="Arial" w:cs="Arial"/>
          <w:i/>
          <w:iCs/>
        </w:rPr>
        <w:t xml:space="preserve"> HM Government (2004) Every child </w:t>
      </w:r>
      <w:proofErr w:type="gramStart"/>
      <w:r w:rsidRPr="00671F7F">
        <w:rPr>
          <w:rFonts w:ascii="Arial" w:hAnsi="Arial" w:cs="Arial"/>
          <w:i/>
          <w:iCs/>
        </w:rPr>
        <w:t>matters</w:t>
      </w:r>
      <w:proofErr w:type="gramEnd"/>
      <w:r w:rsidRPr="00671F7F">
        <w:rPr>
          <w:rFonts w:ascii="Arial" w:hAnsi="Arial" w:cs="Arial"/>
          <w:i/>
          <w:iCs/>
        </w:rPr>
        <w:t xml:space="preserve">: Change for children. Available at: </w:t>
      </w:r>
      <w:hyperlink r:id="rId13" w:tgtFrame="_blank" w:tooltip="autolink" w:history="1">
        <w:r w:rsidRPr="00671F7F">
          <w:rPr>
            <w:rStyle w:val="Hyperlink"/>
            <w:rFonts w:ascii="Arial" w:hAnsi="Arial" w:cs="Arial"/>
            <w:i/>
            <w:iCs/>
          </w:rPr>
          <w:t>https://webarchive.nationalarchives.gov.uk/ukgwa/20130401151715/http://www.education.gov.uk/publications/eOrderingDownload/CM5860.pdf</w:t>
        </w:r>
      </w:hyperlink>
      <w:r w:rsidRPr="00671F7F">
        <w:rPr>
          <w:rFonts w:ascii="Arial" w:hAnsi="Arial" w:cs="Arial"/>
          <w:i/>
          <w:iCs/>
        </w:rPr>
        <w:t xml:space="preserve"> (Accessed: 14 June 2026).</w:t>
      </w:r>
    </w:p>
    <w:p w14:paraId="7EE837CF" w14:textId="388F87D4" w:rsidR="00671F7F" w:rsidRPr="00671F7F" w:rsidRDefault="00671F7F" w:rsidP="00671F7F">
      <w:pPr>
        <w:ind w:left="720"/>
        <w:rPr>
          <w:rFonts w:ascii="Arial" w:hAnsi="Arial" w:cs="Arial"/>
          <w:i/>
          <w:iCs/>
        </w:rPr>
      </w:pPr>
      <w:r w:rsidRPr="00671F7F">
        <w:rPr>
          <w:rFonts w:ascii="Arial" w:hAnsi="Arial" w:cs="Arial"/>
          <w:i/>
          <w:iCs/>
        </w:rPr>
        <w:lastRenderedPageBreak/>
        <w:t xml:space="preserve"> HM Government (2018) Working together to safeguard children. London: HM Government.</w:t>
      </w:r>
    </w:p>
    <w:p w14:paraId="2DB1F431" w14:textId="5DBA3BA8" w:rsidR="00671F7F" w:rsidRPr="00671F7F" w:rsidRDefault="00671F7F" w:rsidP="00671F7F">
      <w:pPr>
        <w:ind w:left="720"/>
        <w:rPr>
          <w:rFonts w:ascii="Arial" w:hAnsi="Arial" w:cs="Arial"/>
          <w:i/>
          <w:iCs/>
        </w:rPr>
      </w:pPr>
      <w:r w:rsidRPr="00671F7F">
        <w:rPr>
          <w:rFonts w:ascii="Arial" w:hAnsi="Arial" w:cs="Arial"/>
          <w:i/>
          <w:iCs/>
        </w:rPr>
        <w:t xml:space="preserve"> Howe, D. (2011) Attachment across the </w:t>
      </w:r>
      <w:proofErr w:type="spellStart"/>
      <w:r w:rsidRPr="00671F7F">
        <w:rPr>
          <w:rFonts w:ascii="Arial" w:hAnsi="Arial" w:cs="Arial"/>
          <w:i/>
          <w:iCs/>
        </w:rPr>
        <w:t>lifecourse</w:t>
      </w:r>
      <w:proofErr w:type="spellEnd"/>
      <w:r w:rsidRPr="00671F7F">
        <w:rPr>
          <w:rFonts w:ascii="Arial" w:hAnsi="Arial" w:cs="Arial"/>
          <w:i/>
          <w:iCs/>
        </w:rPr>
        <w:t>: A brief introduction. London: Palgrave Macmillan.</w:t>
      </w:r>
    </w:p>
    <w:p w14:paraId="1EF1B62C" w14:textId="689CAD88" w:rsidR="00671F7F" w:rsidRPr="00671F7F" w:rsidRDefault="00671F7F" w:rsidP="00671F7F">
      <w:pPr>
        <w:ind w:left="720"/>
        <w:rPr>
          <w:rFonts w:ascii="Arial" w:hAnsi="Arial" w:cs="Arial"/>
          <w:i/>
          <w:iCs/>
        </w:rPr>
      </w:pPr>
      <w:r w:rsidRPr="00671F7F">
        <w:rPr>
          <w:rFonts w:ascii="Arial" w:hAnsi="Arial" w:cs="Arial"/>
          <w:i/>
          <w:iCs/>
        </w:rPr>
        <w:t xml:space="preserve">  Hughes, K., Bellis, M.A., Hardcastle, K.A., Sethi, D., Butchart, A., </w:t>
      </w:r>
      <w:proofErr w:type="spellStart"/>
      <w:r w:rsidRPr="00671F7F">
        <w:rPr>
          <w:rFonts w:ascii="Arial" w:hAnsi="Arial" w:cs="Arial"/>
          <w:i/>
          <w:iCs/>
        </w:rPr>
        <w:t>Mikton</w:t>
      </w:r>
      <w:proofErr w:type="spellEnd"/>
      <w:r w:rsidRPr="00671F7F">
        <w:rPr>
          <w:rFonts w:ascii="Arial" w:hAnsi="Arial" w:cs="Arial"/>
          <w:i/>
          <w:iCs/>
        </w:rPr>
        <w:t>, C., Jones, L. and Dunne, M.P. (2017) ‘The effect of multiple adverse childhood experiences on health: a systematic review and meta-analysis’, The Lancet Public Health, 2(8), pp. e356–e366.</w:t>
      </w:r>
    </w:p>
    <w:p w14:paraId="39E67C91" w14:textId="6BD5153D" w:rsidR="00671F7F" w:rsidRPr="00671F7F" w:rsidRDefault="00671F7F" w:rsidP="00671F7F">
      <w:pPr>
        <w:ind w:left="720"/>
        <w:rPr>
          <w:rFonts w:ascii="Arial" w:hAnsi="Arial" w:cs="Arial"/>
          <w:i/>
          <w:iCs/>
        </w:rPr>
      </w:pPr>
      <w:r w:rsidRPr="00671F7F">
        <w:rPr>
          <w:rFonts w:ascii="Arial" w:hAnsi="Arial" w:cs="Arial"/>
          <w:i/>
          <w:iCs/>
        </w:rPr>
        <w:t xml:space="preserve">  Ipsos MORI (2023) Public attitudes to ACEs and trauma informed care in the UK. London: Ipsos MORI.</w:t>
      </w:r>
    </w:p>
    <w:p w14:paraId="5A45A48F" w14:textId="6D082089" w:rsidR="00671F7F" w:rsidRPr="00671F7F" w:rsidRDefault="00671F7F" w:rsidP="00671F7F">
      <w:pPr>
        <w:ind w:left="720"/>
        <w:rPr>
          <w:rFonts w:ascii="Arial" w:hAnsi="Arial" w:cs="Arial"/>
          <w:i/>
          <w:iCs/>
        </w:rPr>
      </w:pPr>
      <w:r w:rsidRPr="00671F7F">
        <w:rPr>
          <w:rFonts w:ascii="Arial" w:hAnsi="Arial" w:cs="Arial"/>
          <w:i/>
          <w:iCs/>
        </w:rPr>
        <w:t xml:space="preserve">  King, D. (2020) ‘Resilience as a community resource’, Community Development Journal, 55(3), pp. 345–358.</w:t>
      </w:r>
    </w:p>
    <w:p w14:paraId="3CC6F2A4" w14:textId="2FBC7CAF" w:rsidR="00671F7F" w:rsidRPr="00671F7F" w:rsidRDefault="00671F7F" w:rsidP="00671F7F">
      <w:pPr>
        <w:ind w:left="720"/>
        <w:rPr>
          <w:rFonts w:ascii="Arial" w:hAnsi="Arial" w:cs="Arial"/>
          <w:i/>
          <w:iCs/>
        </w:rPr>
      </w:pPr>
      <w:r w:rsidRPr="00671F7F">
        <w:rPr>
          <w:rFonts w:ascii="Arial" w:hAnsi="Arial" w:cs="Arial"/>
          <w:i/>
          <w:iCs/>
        </w:rPr>
        <w:t xml:space="preserve"> Lereya, S.T., Copeland, W.E., Costello, E.J. and Wolke, D. (2015) ‘Adult mental health consequences of peer bullying and maltreatment in childhood: two cohorts in two countries’, The Lancet Psychiatry, 2(6), pp. 524–531.</w:t>
      </w:r>
    </w:p>
    <w:p w14:paraId="37575E9C" w14:textId="7F813B7C" w:rsidR="00671F7F" w:rsidRPr="00671F7F" w:rsidRDefault="00671F7F" w:rsidP="00671F7F">
      <w:pPr>
        <w:ind w:left="720"/>
        <w:rPr>
          <w:rFonts w:ascii="Arial" w:hAnsi="Arial" w:cs="Arial"/>
          <w:i/>
          <w:iCs/>
        </w:rPr>
      </w:pPr>
      <w:r w:rsidRPr="00671F7F">
        <w:rPr>
          <w:rFonts w:ascii="Arial" w:hAnsi="Arial" w:cs="Arial"/>
          <w:i/>
          <w:iCs/>
        </w:rPr>
        <w:t xml:space="preserve"> Lieb, R., Wittchen, H.U. and </w:t>
      </w:r>
      <w:proofErr w:type="spellStart"/>
      <w:r w:rsidRPr="00671F7F">
        <w:rPr>
          <w:rFonts w:ascii="Arial" w:hAnsi="Arial" w:cs="Arial"/>
          <w:i/>
          <w:iCs/>
        </w:rPr>
        <w:t>Fydrich</w:t>
      </w:r>
      <w:proofErr w:type="spellEnd"/>
      <w:r w:rsidRPr="00671F7F">
        <w:rPr>
          <w:rFonts w:ascii="Arial" w:hAnsi="Arial" w:cs="Arial"/>
          <w:i/>
          <w:iCs/>
        </w:rPr>
        <w:t>, T. (2000) ‘Vulnerability and stress factors in the onset of mental disorders’, European Archives of Psychiatry and Clinical Neuroscience, 250(3), pp. 134–146.</w:t>
      </w:r>
    </w:p>
    <w:p w14:paraId="2DD56921" w14:textId="71A6B14F" w:rsidR="00671F7F" w:rsidRPr="00671F7F" w:rsidRDefault="00671F7F" w:rsidP="00671F7F">
      <w:pPr>
        <w:ind w:left="720"/>
        <w:rPr>
          <w:rFonts w:ascii="Arial" w:hAnsi="Arial" w:cs="Arial"/>
          <w:i/>
          <w:iCs/>
        </w:rPr>
      </w:pPr>
      <w:r w:rsidRPr="00671F7F">
        <w:rPr>
          <w:rFonts w:ascii="Arial" w:hAnsi="Arial" w:cs="Arial"/>
          <w:i/>
          <w:iCs/>
        </w:rPr>
        <w:t xml:space="preserve">  Marmot, M., Allen, J., Bell, R., Bloomer, E. and Goldblatt, P. (2020) Health inequalities in England: The Marmot Review 10 years on. London: UCL Institute of Health Equity.</w:t>
      </w:r>
    </w:p>
    <w:p w14:paraId="6F2EE463" w14:textId="38B422C5" w:rsidR="00671F7F" w:rsidRPr="00671F7F" w:rsidRDefault="00671F7F" w:rsidP="00671F7F">
      <w:pPr>
        <w:ind w:left="720"/>
        <w:rPr>
          <w:rFonts w:ascii="Arial" w:hAnsi="Arial" w:cs="Arial"/>
          <w:i/>
          <w:iCs/>
        </w:rPr>
      </w:pPr>
      <w:r w:rsidRPr="00671F7F">
        <w:rPr>
          <w:rFonts w:ascii="Arial" w:hAnsi="Arial" w:cs="Arial"/>
          <w:i/>
          <w:iCs/>
        </w:rPr>
        <w:t xml:space="preserve">  Masten, A.S. (2014) ‘Global perspectives on resilience in children and youth’, Child Development, 85(1), pp. 6–20.</w:t>
      </w:r>
    </w:p>
    <w:p w14:paraId="74FC9C27" w14:textId="6B1250D6" w:rsidR="00671F7F" w:rsidRPr="00671F7F" w:rsidRDefault="00671F7F" w:rsidP="00671F7F">
      <w:pPr>
        <w:ind w:left="720"/>
        <w:rPr>
          <w:rFonts w:ascii="Arial" w:hAnsi="Arial" w:cs="Arial"/>
          <w:i/>
          <w:iCs/>
        </w:rPr>
      </w:pPr>
      <w:r w:rsidRPr="00671F7F">
        <w:rPr>
          <w:rFonts w:ascii="Arial" w:hAnsi="Arial" w:cs="Arial"/>
          <w:i/>
          <w:iCs/>
        </w:rPr>
        <w:t xml:space="preserve">  Meriam Library (2010) The CRAAP Test. California State University, Chico. Available at: </w:t>
      </w:r>
      <w:hyperlink r:id="rId14" w:tgtFrame="_blank" w:tooltip="autolink" w:history="1">
        <w:r w:rsidRPr="00671F7F">
          <w:rPr>
            <w:rStyle w:val="Hyperlink"/>
            <w:rFonts w:ascii="Arial" w:hAnsi="Arial" w:cs="Arial"/>
            <w:i/>
            <w:iCs/>
          </w:rPr>
          <w:t>https://library.csuchico.edu/sites/default/files/craap-test.pdf</w:t>
        </w:r>
      </w:hyperlink>
      <w:r w:rsidRPr="00671F7F">
        <w:rPr>
          <w:rFonts w:ascii="Arial" w:hAnsi="Arial" w:cs="Arial"/>
          <w:i/>
          <w:iCs/>
        </w:rPr>
        <w:t xml:space="preserve"> (Accessed: 15 June 2026).</w:t>
      </w:r>
    </w:p>
    <w:p w14:paraId="19FF7D7B" w14:textId="5F9ED305" w:rsidR="00671F7F" w:rsidRPr="00671F7F" w:rsidRDefault="00671F7F" w:rsidP="00671F7F">
      <w:pPr>
        <w:ind w:left="720"/>
        <w:rPr>
          <w:rFonts w:ascii="Arial" w:hAnsi="Arial" w:cs="Arial"/>
          <w:i/>
          <w:iCs/>
        </w:rPr>
      </w:pPr>
      <w:r w:rsidRPr="00671F7F">
        <w:rPr>
          <w:rFonts w:ascii="Arial" w:hAnsi="Arial" w:cs="Arial"/>
          <w:i/>
          <w:iCs/>
        </w:rPr>
        <w:t xml:space="preserve">  Moore, E. et al. (2022) Mental health outcomes for children with multiple ACEs in the West Midlands. Birmingham: NHS West Midlands.</w:t>
      </w:r>
    </w:p>
    <w:p w14:paraId="797D8E27" w14:textId="337D0E6A" w:rsidR="00671F7F" w:rsidRPr="00671F7F" w:rsidRDefault="00671F7F" w:rsidP="00671F7F">
      <w:pPr>
        <w:ind w:left="720"/>
        <w:rPr>
          <w:rFonts w:ascii="Arial" w:hAnsi="Arial" w:cs="Arial"/>
          <w:i/>
          <w:iCs/>
        </w:rPr>
      </w:pPr>
      <w:r w:rsidRPr="00671F7F">
        <w:rPr>
          <w:rFonts w:ascii="Arial" w:hAnsi="Arial" w:cs="Arial"/>
          <w:i/>
          <w:iCs/>
        </w:rPr>
        <w:t xml:space="preserve">  National Institute for Health and Care Excellence (2018) Trauma-informed care and support for people using health and social care services (Guideline NG155). London: NICE.</w:t>
      </w:r>
    </w:p>
    <w:p w14:paraId="60C37064" w14:textId="3702F6B7" w:rsidR="00671F7F" w:rsidRPr="00671F7F" w:rsidRDefault="00671F7F" w:rsidP="00671F7F">
      <w:pPr>
        <w:ind w:left="720"/>
        <w:rPr>
          <w:rFonts w:ascii="Arial" w:hAnsi="Arial" w:cs="Arial"/>
          <w:i/>
          <w:iCs/>
        </w:rPr>
      </w:pPr>
      <w:r w:rsidRPr="00671F7F">
        <w:rPr>
          <w:rFonts w:ascii="Arial" w:hAnsi="Arial" w:cs="Arial"/>
          <w:i/>
          <w:iCs/>
        </w:rPr>
        <w:lastRenderedPageBreak/>
        <w:t> NHS Birmingham and Solihull Integrated Care Board (2025) Trauma informed care strategy 2025–2030. Birmingham: NHS Birmingham and Solihull Integrated Care Board.</w:t>
      </w:r>
    </w:p>
    <w:p w14:paraId="44BBA0D7" w14:textId="07BF99E9" w:rsidR="00671F7F" w:rsidRPr="00671F7F" w:rsidRDefault="00671F7F" w:rsidP="00671F7F">
      <w:pPr>
        <w:ind w:left="720"/>
        <w:rPr>
          <w:rFonts w:ascii="Arial" w:hAnsi="Arial" w:cs="Arial"/>
          <w:i/>
          <w:iCs/>
        </w:rPr>
      </w:pPr>
      <w:r w:rsidRPr="00671F7F">
        <w:rPr>
          <w:rFonts w:ascii="Arial" w:hAnsi="Arial" w:cs="Arial"/>
          <w:i/>
          <w:iCs/>
        </w:rPr>
        <w:t xml:space="preserve">  NHS Digital (2023) Mental Health of Children and Young People in England 2023. Leeds: NHS Digital.</w:t>
      </w:r>
    </w:p>
    <w:p w14:paraId="6D164340" w14:textId="3A8F9C75" w:rsidR="00671F7F" w:rsidRPr="00671F7F" w:rsidRDefault="00671F7F" w:rsidP="00671F7F">
      <w:pPr>
        <w:ind w:left="720"/>
        <w:rPr>
          <w:rFonts w:ascii="Arial" w:hAnsi="Arial" w:cs="Arial"/>
          <w:i/>
          <w:iCs/>
        </w:rPr>
      </w:pPr>
      <w:r w:rsidRPr="00671F7F">
        <w:rPr>
          <w:rFonts w:ascii="Arial" w:hAnsi="Arial" w:cs="Arial"/>
          <w:i/>
          <w:iCs/>
        </w:rPr>
        <w:t xml:space="preserve"> NHS England (2019) The NHS Long Term Plan. Available at: </w:t>
      </w:r>
      <w:hyperlink r:id="rId15" w:tgtFrame="_blank" w:tooltip="autolink" w:history="1">
        <w:r w:rsidRPr="00671F7F">
          <w:rPr>
            <w:rStyle w:val="Hyperlink"/>
            <w:rFonts w:ascii="Arial" w:hAnsi="Arial" w:cs="Arial"/>
            <w:i/>
            <w:iCs/>
          </w:rPr>
          <w:t>https://www.longtermplan.nhs.uk</w:t>
        </w:r>
      </w:hyperlink>
      <w:r w:rsidRPr="00671F7F">
        <w:rPr>
          <w:rFonts w:ascii="Arial" w:hAnsi="Arial" w:cs="Arial"/>
          <w:i/>
          <w:iCs/>
        </w:rPr>
        <w:t xml:space="preserve"> (Accessed: 14 June 2026).</w:t>
      </w:r>
    </w:p>
    <w:p w14:paraId="0A1EE4B7" w14:textId="3271F505" w:rsidR="00671F7F" w:rsidRPr="00671F7F" w:rsidRDefault="00671F7F" w:rsidP="00671F7F">
      <w:pPr>
        <w:ind w:left="720"/>
        <w:rPr>
          <w:rFonts w:ascii="Arial" w:hAnsi="Arial" w:cs="Arial"/>
          <w:i/>
          <w:iCs/>
        </w:rPr>
      </w:pPr>
      <w:r w:rsidRPr="00671F7F">
        <w:rPr>
          <w:rFonts w:ascii="Arial" w:hAnsi="Arial" w:cs="Arial"/>
          <w:i/>
          <w:iCs/>
        </w:rPr>
        <w:t xml:space="preserve">  NHS England (2022) Trauma informed care: A framework for mental health services. London: NHS England.</w:t>
      </w:r>
    </w:p>
    <w:p w14:paraId="5E38FAB3" w14:textId="58D1835A" w:rsidR="00671F7F" w:rsidRPr="00671F7F" w:rsidRDefault="00671F7F" w:rsidP="00671F7F">
      <w:pPr>
        <w:ind w:left="720"/>
        <w:rPr>
          <w:rFonts w:ascii="Arial" w:hAnsi="Arial" w:cs="Arial"/>
          <w:i/>
          <w:iCs/>
        </w:rPr>
      </w:pPr>
      <w:r w:rsidRPr="00671F7F">
        <w:rPr>
          <w:rFonts w:ascii="Arial" w:hAnsi="Arial" w:cs="Arial"/>
          <w:i/>
          <w:iCs/>
        </w:rPr>
        <w:t xml:space="preserve">  NHS Education for Scotland (2021) Transforming psychological trauma: A knowledge and skills framework. Edinburgh: NHS Education for Scotland. Available at: </w:t>
      </w:r>
      <w:hyperlink r:id="rId16" w:tgtFrame="_blank" w:tooltip="autolink" w:history="1">
        <w:r w:rsidRPr="00671F7F">
          <w:rPr>
            <w:rStyle w:val="Hyperlink"/>
            <w:rFonts w:ascii="Arial" w:hAnsi="Arial" w:cs="Arial"/>
            <w:i/>
            <w:iCs/>
          </w:rPr>
          <w:t>https://transformingpsychologicaltrauma.scot</w:t>
        </w:r>
      </w:hyperlink>
      <w:r w:rsidRPr="00671F7F">
        <w:rPr>
          <w:rFonts w:ascii="Arial" w:hAnsi="Arial" w:cs="Arial"/>
          <w:i/>
          <w:iCs/>
        </w:rPr>
        <w:t xml:space="preserve"> (Accessed: 14 June 2026).</w:t>
      </w:r>
    </w:p>
    <w:p w14:paraId="4AF68409" w14:textId="29DB11F9" w:rsidR="00671F7F" w:rsidRPr="00671F7F" w:rsidRDefault="00671F7F" w:rsidP="00671F7F">
      <w:pPr>
        <w:ind w:left="720"/>
        <w:rPr>
          <w:rFonts w:ascii="Arial" w:hAnsi="Arial" w:cs="Arial"/>
          <w:i/>
          <w:iCs/>
        </w:rPr>
      </w:pPr>
      <w:r w:rsidRPr="00671F7F">
        <w:rPr>
          <w:rFonts w:ascii="Arial" w:hAnsi="Arial" w:cs="Arial"/>
          <w:i/>
          <w:iCs/>
        </w:rPr>
        <w:t>Office for National Statistics (2023) Adverse childhood experiences and mental health in Great Britain. London: ONS.</w:t>
      </w:r>
    </w:p>
    <w:p w14:paraId="6E343365" w14:textId="544D45D6" w:rsidR="00671F7F" w:rsidRPr="00671F7F" w:rsidRDefault="00671F7F" w:rsidP="00671F7F">
      <w:pPr>
        <w:ind w:left="720"/>
        <w:rPr>
          <w:rFonts w:ascii="Arial" w:hAnsi="Arial" w:cs="Arial"/>
          <w:i/>
          <w:iCs/>
        </w:rPr>
      </w:pPr>
      <w:r w:rsidRPr="00671F7F">
        <w:rPr>
          <w:rFonts w:ascii="Arial" w:hAnsi="Arial" w:cs="Arial"/>
          <w:i/>
          <w:iCs/>
        </w:rPr>
        <w:t xml:space="preserve"> OECD (2021) Risks that matter 2020: The long reach of childhood trauma. Paris: OECD Publishing.</w:t>
      </w:r>
    </w:p>
    <w:p w14:paraId="63A499A2" w14:textId="7C672113" w:rsidR="00671F7F" w:rsidRPr="00671F7F" w:rsidRDefault="00671F7F" w:rsidP="00671F7F">
      <w:pPr>
        <w:ind w:left="720"/>
        <w:rPr>
          <w:rFonts w:ascii="Arial" w:hAnsi="Arial" w:cs="Arial"/>
          <w:i/>
          <w:iCs/>
        </w:rPr>
      </w:pPr>
      <w:r w:rsidRPr="00671F7F">
        <w:rPr>
          <w:rFonts w:ascii="Arial" w:hAnsi="Arial" w:cs="Arial"/>
          <w:i/>
          <w:iCs/>
        </w:rPr>
        <w:t xml:space="preserve">  Parton, N. (2014) The politics of child protection: Contemporary developments and future directions. London: Palgrave Macmillan.</w:t>
      </w:r>
    </w:p>
    <w:p w14:paraId="17CC982E" w14:textId="1EF6C819" w:rsidR="00671F7F" w:rsidRDefault="00671F7F" w:rsidP="00671F7F">
      <w:pPr>
        <w:ind w:left="720"/>
        <w:rPr>
          <w:rFonts w:ascii="Arial" w:hAnsi="Arial" w:cs="Arial"/>
          <w:i/>
          <w:iCs/>
        </w:rPr>
      </w:pPr>
      <w:r w:rsidRPr="00671F7F">
        <w:rPr>
          <w:rFonts w:ascii="Arial" w:hAnsi="Arial" w:cs="Arial"/>
          <w:i/>
          <w:iCs/>
        </w:rPr>
        <w:t xml:space="preserve">  Patel, S. (2021) ‘Trauma-informed care in health services: A systematic review’, Health &amp; Social Care in the Community, 29(5), pp. 1234–1245.</w:t>
      </w:r>
    </w:p>
    <w:p w14:paraId="64BD0024" w14:textId="733D755E" w:rsidR="00671F7F" w:rsidRPr="00671F7F" w:rsidRDefault="00671F7F" w:rsidP="00671F7F">
      <w:pPr>
        <w:ind w:left="720"/>
        <w:rPr>
          <w:rFonts w:ascii="Arial" w:hAnsi="Arial" w:cs="Arial"/>
          <w:i/>
          <w:iCs/>
        </w:rPr>
      </w:pPr>
      <w:r w:rsidRPr="00671F7F">
        <w:rPr>
          <w:rFonts w:ascii="Arial" w:hAnsi="Arial" w:cs="Arial"/>
          <w:i/>
          <w:iCs/>
        </w:rPr>
        <w:t xml:space="preserve">  Public Health Scotland (2021) Adverse Childhood Experiences (ACEs). Edinburgh: Public Health Scotland.</w:t>
      </w:r>
    </w:p>
    <w:p w14:paraId="41BB4CDB" w14:textId="0D59A6BF" w:rsidR="00671F7F" w:rsidRPr="00671F7F" w:rsidRDefault="00671F7F" w:rsidP="00671F7F">
      <w:pPr>
        <w:ind w:left="720"/>
        <w:rPr>
          <w:rFonts w:ascii="Arial" w:hAnsi="Arial" w:cs="Arial"/>
          <w:i/>
          <w:iCs/>
        </w:rPr>
      </w:pPr>
      <w:r w:rsidRPr="00671F7F">
        <w:rPr>
          <w:rFonts w:ascii="Arial" w:hAnsi="Arial" w:cs="Arial"/>
          <w:i/>
          <w:iCs/>
        </w:rPr>
        <w:t xml:space="preserve">  Public Health Wales (2015) Adverse Childhood Experiences and their impact on health-harming behaviours in the Welsh adult population. Cardiff: Public Health Wales.</w:t>
      </w:r>
    </w:p>
    <w:p w14:paraId="498036FD" w14:textId="5233192D" w:rsidR="00671F7F" w:rsidRPr="00671F7F" w:rsidRDefault="00671F7F" w:rsidP="00671F7F">
      <w:pPr>
        <w:ind w:left="720"/>
        <w:rPr>
          <w:rFonts w:ascii="Arial" w:hAnsi="Arial" w:cs="Arial"/>
          <w:i/>
          <w:iCs/>
        </w:rPr>
      </w:pPr>
      <w:r w:rsidRPr="00671F7F">
        <w:rPr>
          <w:rFonts w:ascii="Arial" w:hAnsi="Arial" w:cs="Arial"/>
          <w:i/>
          <w:iCs/>
        </w:rPr>
        <w:t xml:space="preserve">  Roberts, T. et al. (2023) Public funding for ACEs prevention: An economic analysis. London: Institute for Fiscal Studies.</w:t>
      </w:r>
    </w:p>
    <w:p w14:paraId="56CA620C" w14:textId="01A280C8" w:rsidR="00671F7F" w:rsidRPr="00671F7F" w:rsidRDefault="00671F7F" w:rsidP="00671F7F">
      <w:pPr>
        <w:ind w:left="720"/>
        <w:rPr>
          <w:rFonts w:ascii="Arial" w:hAnsi="Arial" w:cs="Arial"/>
          <w:i/>
          <w:iCs/>
        </w:rPr>
      </w:pPr>
      <w:r w:rsidRPr="00671F7F">
        <w:rPr>
          <w:rFonts w:ascii="Arial" w:hAnsi="Arial" w:cs="Arial"/>
          <w:i/>
          <w:iCs/>
        </w:rPr>
        <w:t xml:space="preserve"> Rutter, M. (2006) ‘Implications of resilience concepts for scientific understanding’, Annals of the New York Academy of Sciences, 1094(1), pp. 1–12.</w:t>
      </w:r>
    </w:p>
    <w:p w14:paraId="2D2053E8" w14:textId="6E6123FC" w:rsidR="00671F7F" w:rsidRPr="00671F7F" w:rsidRDefault="00671F7F" w:rsidP="00671F7F">
      <w:pPr>
        <w:ind w:left="720"/>
        <w:rPr>
          <w:rFonts w:ascii="Arial" w:hAnsi="Arial" w:cs="Arial"/>
          <w:i/>
          <w:iCs/>
        </w:rPr>
      </w:pPr>
      <w:r w:rsidRPr="00671F7F">
        <w:rPr>
          <w:rFonts w:ascii="Arial" w:hAnsi="Arial" w:cs="Arial"/>
          <w:i/>
          <w:iCs/>
        </w:rPr>
        <w:t xml:space="preserve"> Spatz Widom, C. (2017) ‘Long term impact of childhood abuse and neglect on mental health’, Current Directions in Psychological Science, 26(1), pp. 60–66.</w:t>
      </w:r>
    </w:p>
    <w:p w14:paraId="4C3FB430" w14:textId="37FB5829" w:rsidR="00671F7F" w:rsidRPr="00671F7F" w:rsidRDefault="00671F7F" w:rsidP="00671F7F">
      <w:pPr>
        <w:ind w:left="720"/>
        <w:rPr>
          <w:rFonts w:ascii="Arial" w:hAnsi="Arial" w:cs="Arial"/>
          <w:i/>
          <w:iCs/>
        </w:rPr>
      </w:pPr>
      <w:r w:rsidRPr="00671F7F">
        <w:rPr>
          <w:rFonts w:ascii="Arial" w:hAnsi="Arial" w:cs="Arial"/>
          <w:i/>
          <w:iCs/>
        </w:rPr>
        <w:lastRenderedPageBreak/>
        <w:t xml:space="preserve">  Substance Abuse and Mental Health Services Administration (2014) Trauma informed care in </w:t>
      </w:r>
      <w:proofErr w:type="spellStart"/>
      <w:r w:rsidRPr="00671F7F">
        <w:rPr>
          <w:rFonts w:ascii="Arial" w:hAnsi="Arial" w:cs="Arial"/>
          <w:i/>
          <w:iCs/>
        </w:rPr>
        <w:t>behavioral</w:t>
      </w:r>
      <w:proofErr w:type="spellEnd"/>
      <w:r w:rsidRPr="00671F7F">
        <w:rPr>
          <w:rFonts w:ascii="Arial" w:hAnsi="Arial" w:cs="Arial"/>
          <w:i/>
          <w:iCs/>
        </w:rPr>
        <w:t xml:space="preserve"> health services. Rockville, MD: SAMHSA.</w:t>
      </w:r>
    </w:p>
    <w:p w14:paraId="42F06529" w14:textId="2410EA5B" w:rsidR="00671F7F" w:rsidRPr="00671F7F" w:rsidRDefault="00671F7F" w:rsidP="00671F7F">
      <w:pPr>
        <w:ind w:left="720"/>
        <w:rPr>
          <w:rFonts w:ascii="Arial" w:hAnsi="Arial" w:cs="Arial"/>
          <w:i/>
          <w:iCs/>
        </w:rPr>
      </w:pPr>
      <w:r w:rsidRPr="00671F7F">
        <w:rPr>
          <w:rFonts w:ascii="Arial" w:hAnsi="Arial" w:cs="Arial"/>
          <w:i/>
          <w:iCs/>
        </w:rPr>
        <w:t xml:space="preserve">  Taylor, J. et al. (2022) ACEs screening in schools: Best practice guidelines. London: Department for Education.</w:t>
      </w:r>
    </w:p>
    <w:p w14:paraId="1B65B9ED" w14:textId="6851C574" w:rsidR="00671F7F" w:rsidRPr="00671F7F" w:rsidRDefault="00671F7F" w:rsidP="00671F7F">
      <w:pPr>
        <w:ind w:left="720"/>
        <w:rPr>
          <w:rFonts w:ascii="Arial" w:hAnsi="Arial" w:cs="Arial"/>
          <w:i/>
          <w:iCs/>
        </w:rPr>
      </w:pPr>
      <w:r w:rsidRPr="00671F7F">
        <w:rPr>
          <w:rFonts w:ascii="Arial" w:hAnsi="Arial" w:cs="Arial"/>
          <w:i/>
          <w:iCs/>
        </w:rPr>
        <w:t xml:space="preserve">  Welsh Government (2022) Trauma informed Wales Framework. Cardiff: Welsh Government.</w:t>
      </w:r>
    </w:p>
    <w:p w14:paraId="289A7F62" w14:textId="3F6D89F1" w:rsidR="00671F7F" w:rsidRPr="00671F7F" w:rsidRDefault="00671F7F" w:rsidP="00671F7F">
      <w:pPr>
        <w:ind w:left="720"/>
        <w:rPr>
          <w:rFonts w:ascii="Arial" w:hAnsi="Arial" w:cs="Arial"/>
          <w:i/>
          <w:iCs/>
        </w:rPr>
      </w:pPr>
      <w:r w:rsidRPr="00671F7F">
        <w:rPr>
          <w:rFonts w:ascii="Arial" w:hAnsi="Arial" w:cs="Arial"/>
          <w:i/>
          <w:iCs/>
        </w:rPr>
        <w:t xml:space="preserve">  Wickham, S., Hind, D., Baldry, E. and </w:t>
      </w:r>
      <w:proofErr w:type="spellStart"/>
      <w:r w:rsidRPr="00671F7F">
        <w:rPr>
          <w:rFonts w:ascii="Arial" w:hAnsi="Arial" w:cs="Arial"/>
          <w:i/>
          <w:iCs/>
        </w:rPr>
        <w:t>Vostanis</w:t>
      </w:r>
      <w:proofErr w:type="spellEnd"/>
      <w:r w:rsidRPr="00671F7F">
        <w:rPr>
          <w:rFonts w:ascii="Arial" w:hAnsi="Arial" w:cs="Arial"/>
          <w:i/>
          <w:iCs/>
        </w:rPr>
        <w:t>, P. (2016) ‘The implementation of trauma informed care in mental health services: a systematic review’, Journal of Mental Health, 25(6), pp. 444–454.</w:t>
      </w:r>
    </w:p>
    <w:p w14:paraId="4A15949D" w14:textId="15177198" w:rsidR="00671F7F" w:rsidRPr="00671F7F" w:rsidRDefault="00671F7F" w:rsidP="00671F7F">
      <w:pPr>
        <w:ind w:left="720"/>
        <w:rPr>
          <w:rFonts w:ascii="Arial" w:hAnsi="Arial" w:cs="Arial"/>
          <w:i/>
          <w:iCs/>
        </w:rPr>
      </w:pPr>
      <w:r w:rsidRPr="00671F7F">
        <w:rPr>
          <w:rFonts w:ascii="Arial" w:hAnsi="Arial" w:cs="Arial"/>
          <w:i/>
          <w:iCs/>
        </w:rPr>
        <w:t xml:space="preserve">  Wickham, S., Taylor, P., Shevlin, M. and Bentall, R.P. (2016) ‘The impact of social inequality on mental health: a critical review’, Social Psychiatry and Psychiatric Epidemiology, 51(1), pp. 1–12.</w:t>
      </w:r>
    </w:p>
    <w:p w14:paraId="38F325D9" w14:textId="28A9CC82" w:rsidR="00671F7F" w:rsidRPr="00671F7F" w:rsidRDefault="00671F7F" w:rsidP="00671F7F">
      <w:pPr>
        <w:ind w:left="720"/>
        <w:rPr>
          <w:rFonts w:ascii="Arial" w:hAnsi="Arial" w:cs="Arial"/>
          <w:i/>
          <w:iCs/>
        </w:rPr>
      </w:pPr>
      <w:r w:rsidRPr="00671F7F">
        <w:rPr>
          <w:rFonts w:ascii="Arial" w:hAnsi="Arial" w:cs="Arial"/>
          <w:i/>
          <w:iCs/>
        </w:rPr>
        <w:t xml:space="preserve">  World Health Organization (2010) Social determinants of health: The solid facts. 2nd </w:t>
      </w:r>
      <w:proofErr w:type="spellStart"/>
      <w:r w:rsidRPr="00671F7F">
        <w:rPr>
          <w:rFonts w:ascii="Arial" w:hAnsi="Arial" w:cs="Arial"/>
          <w:i/>
          <w:iCs/>
        </w:rPr>
        <w:t>edn</w:t>
      </w:r>
      <w:proofErr w:type="spellEnd"/>
      <w:r w:rsidRPr="00671F7F">
        <w:rPr>
          <w:rFonts w:ascii="Arial" w:hAnsi="Arial" w:cs="Arial"/>
          <w:i/>
          <w:iCs/>
        </w:rPr>
        <w:t>. Copenhagen: WHO Regional Office for Europe.</w:t>
      </w:r>
    </w:p>
    <w:p w14:paraId="62FFD55D" w14:textId="2CFE08F1" w:rsidR="00671F7F" w:rsidRPr="00671F7F" w:rsidRDefault="00671F7F" w:rsidP="00671F7F">
      <w:pPr>
        <w:ind w:left="720"/>
        <w:rPr>
          <w:rFonts w:ascii="Arial" w:hAnsi="Arial" w:cs="Arial"/>
          <w:i/>
          <w:iCs/>
        </w:rPr>
      </w:pPr>
      <w:r w:rsidRPr="00671F7F">
        <w:rPr>
          <w:rFonts w:ascii="Arial" w:hAnsi="Arial" w:cs="Arial"/>
          <w:i/>
          <w:iCs/>
        </w:rPr>
        <w:t xml:space="preserve">  World Health Organization (2021) Adverse childhood experiences and mental health: a global review. Geneva: WHO.</w:t>
      </w:r>
    </w:p>
    <w:p w14:paraId="0BA94155" w14:textId="10E7F065" w:rsidR="00671F7F" w:rsidRPr="00671F7F" w:rsidRDefault="00671F7F" w:rsidP="00671F7F">
      <w:pPr>
        <w:ind w:left="720"/>
        <w:rPr>
          <w:rFonts w:ascii="Arial" w:hAnsi="Arial" w:cs="Arial"/>
          <w:i/>
          <w:iCs/>
        </w:rPr>
      </w:pPr>
      <w:r w:rsidRPr="00671F7F">
        <w:rPr>
          <w:rFonts w:ascii="Arial" w:hAnsi="Arial" w:cs="Arial"/>
          <w:i/>
          <w:iCs/>
        </w:rPr>
        <w:t xml:space="preserve">  Young, K. et al. (2023) Resilience in children and young people: A practical guide. London: NICE.</w:t>
      </w:r>
    </w:p>
    <w:p w14:paraId="778B63D3" w14:textId="77777777" w:rsidR="002765CD" w:rsidRDefault="002765CD" w:rsidP="00A24E77">
      <w:pPr>
        <w:ind w:left="720"/>
        <w:rPr>
          <w:rFonts w:ascii="Arial" w:hAnsi="Arial" w:cs="Arial"/>
        </w:rPr>
      </w:pPr>
    </w:p>
    <w:p w14:paraId="130372A1" w14:textId="77777777" w:rsidR="00D210FE" w:rsidRDefault="00D210FE" w:rsidP="00A24E77">
      <w:pPr>
        <w:ind w:left="720"/>
        <w:rPr>
          <w:rFonts w:ascii="Arial" w:hAnsi="Arial" w:cs="Arial"/>
        </w:rPr>
      </w:pPr>
    </w:p>
    <w:p w14:paraId="58EA2A87" w14:textId="77777777" w:rsidR="00750D14" w:rsidRDefault="00750D14" w:rsidP="00D210FE">
      <w:pPr>
        <w:pStyle w:val="Heading1"/>
        <w:ind w:left="0" w:firstLine="720"/>
        <w:rPr>
          <w:rFonts w:cs="Arial"/>
          <w:u w:val="single"/>
        </w:rPr>
      </w:pPr>
    </w:p>
    <w:p w14:paraId="67C58531" w14:textId="77777777" w:rsidR="00750D14" w:rsidRDefault="00750D14" w:rsidP="00D210FE">
      <w:pPr>
        <w:pStyle w:val="Heading1"/>
        <w:ind w:left="0" w:firstLine="720"/>
        <w:rPr>
          <w:rFonts w:cs="Arial"/>
          <w:u w:val="single"/>
        </w:rPr>
      </w:pPr>
    </w:p>
    <w:p w14:paraId="2F369F20" w14:textId="77777777" w:rsidR="00727C46" w:rsidRPr="00727C46" w:rsidRDefault="00727C46" w:rsidP="00727C46">
      <w:pPr>
        <w:pStyle w:val="Heading1"/>
        <w:ind w:left="0" w:firstLine="720"/>
        <w:jc w:val="both"/>
        <w:rPr>
          <w:rFonts w:cs="Arial"/>
          <w:u w:val="single"/>
        </w:rPr>
      </w:pPr>
      <w:r w:rsidRPr="00727C46">
        <w:rPr>
          <w:rFonts w:cs="Arial"/>
          <w:u w:val="single"/>
        </w:rPr>
        <w:t xml:space="preserve">6.2 – Appendices </w:t>
      </w:r>
    </w:p>
    <w:p w14:paraId="153001DC" w14:textId="77777777" w:rsidR="00182524" w:rsidRPr="00182524" w:rsidRDefault="00182524" w:rsidP="00727C46">
      <w:pPr>
        <w:rPr>
          <w:rFonts w:ascii="Arial" w:hAnsi="Arial" w:cs="Arial"/>
        </w:rPr>
      </w:pPr>
    </w:p>
    <w:p w14:paraId="543802C6" w14:textId="0E52CEBC" w:rsidR="00182524" w:rsidRPr="001744CE" w:rsidRDefault="00182524" w:rsidP="001744CE">
      <w:pPr>
        <w:ind w:left="720"/>
        <w:rPr>
          <w:rFonts w:ascii="Arial" w:hAnsi="Arial" w:cs="Arial"/>
          <w:b/>
          <w:bCs/>
          <w:u w:val="single"/>
        </w:rPr>
      </w:pPr>
      <w:r w:rsidRPr="001744CE">
        <w:rPr>
          <w:rFonts w:ascii="Arial" w:hAnsi="Arial" w:cs="Arial"/>
          <w:b/>
          <w:bCs/>
          <w:u w:val="single"/>
        </w:rPr>
        <w:t>A</w:t>
      </w:r>
      <w:r w:rsidR="005B7E8E">
        <w:rPr>
          <w:rFonts w:ascii="Arial" w:hAnsi="Arial" w:cs="Arial"/>
          <w:b/>
          <w:bCs/>
          <w:u w:val="single"/>
        </w:rPr>
        <w:t>ppendix</w:t>
      </w:r>
      <w:r w:rsidRPr="001744CE">
        <w:rPr>
          <w:rFonts w:ascii="Arial" w:hAnsi="Arial" w:cs="Arial"/>
          <w:b/>
          <w:bCs/>
          <w:u w:val="single"/>
        </w:rPr>
        <w:t xml:space="preserve"> 1 – Source Tracking Table</w:t>
      </w:r>
    </w:p>
    <w:p w14:paraId="44C4EC96" w14:textId="323D0296" w:rsidR="00182524" w:rsidRPr="001744CE" w:rsidRDefault="00182524" w:rsidP="001744CE">
      <w:pPr>
        <w:ind w:left="720"/>
        <w:rPr>
          <w:rFonts w:ascii="Arial" w:hAnsi="Arial" w:cs="Arial"/>
          <w:b/>
          <w:bCs/>
        </w:rPr>
      </w:pPr>
      <w:r w:rsidRPr="001744CE">
        <w:rPr>
          <w:rFonts w:ascii="Arial" w:hAnsi="Arial" w:cs="Arial"/>
          <w:b/>
          <w:bCs/>
        </w:rPr>
        <w:t>Author / Organisation</w:t>
      </w:r>
      <w:r w:rsidRPr="001744CE">
        <w:rPr>
          <w:rFonts w:ascii="Arial" w:hAnsi="Arial" w:cs="Arial"/>
          <w:b/>
          <w:bCs/>
        </w:rPr>
        <w:tab/>
        <w:t>Year</w:t>
      </w:r>
      <w:r w:rsidRPr="001744CE">
        <w:rPr>
          <w:rFonts w:ascii="Arial" w:hAnsi="Arial" w:cs="Arial"/>
          <w:b/>
          <w:bCs/>
        </w:rPr>
        <w:tab/>
        <w:t>Source Type</w:t>
      </w:r>
      <w:r w:rsidRPr="001744CE">
        <w:rPr>
          <w:rFonts w:ascii="Arial" w:hAnsi="Arial" w:cs="Arial"/>
          <w:b/>
          <w:bCs/>
        </w:rPr>
        <w:tab/>
        <w:t>Key Focus</w:t>
      </w:r>
    </w:p>
    <w:p w14:paraId="2AA4FA07" w14:textId="7A15D298" w:rsidR="00182524" w:rsidRPr="001744CE" w:rsidRDefault="00182524" w:rsidP="001744CE">
      <w:pPr>
        <w:ind w:left="720"/>
        <w:rPr>
          <w:rFonts w:ascii="Arial" w:hAnsi="Arial" w:cs="Arial"/>
        </w:rPr>
      </w:pPr>
      <w:proofErr w:type="spellStart"/>
      <w:r w:rsidRPr="001744CE">
        <w:rPr>
          <w:rFonts w:ascii="Arial" w:hAnsi="Arial" w:cs="Arial"/>
        </w:rPr>
        <w:t>Felitti</w:t>
      </w:r>
      <w:proofErr w:type="spellEnd"/>
      <w:r w:rsidRPr="001744CE">
        <w:rPr>
          <w:rFonts w:ascii="Arial" w:hAnsi="Arial" w:cs="Arial"/>
        </w:rPr>
        <w:t xml:space="preserve"> et al.</w:t>
      </w:r>
      <w:r w:rsidRPr="001744CE">
        <w:rPr>
          <w:rFonts w:ascii="Arial" w:hAnsi="Arial" w:cs="Arial"/>
        </w:rPr>
        <w:tab/>
        <w:t>1998</w:t>
      </w:r>
      <w:r w:rsidRPr="001744CE">
        <w:rPr>
          <w:rFonts w:ascii="Arial" w:hAnsi="Arial" w:cs="Arial"/>
        </w:rPr>
        <w:tab/>
        <w:t>Journal Article</w:t>
      </w:r>
      <w:r w:rsidRPr="001744CE">
        <w:rPr>
          <w:rFonts w:ascii="Arial" w:hAnsi="Arial" w:cs="Arial"/>
        </w:rPr>
        <w:tab/>
        <w:t>Original ACE Study; links to adult health</w:t>
      </w:r>
    </w:p>
    <w:p w14:paraId="48F6EC5B" w14:textId="0142C896" w:rsidR="00182524" w:rsidRPr="001744CE" w:rsidRDefault="00182524" w:rsidP="001744CE">
      <w:pPr>
        <w:ind w:left="720"/>
        <w:rPr>
          <w:rFonts w:ascii="Arial" w:hAnsi="Arial" w:cs="Arial"/>
        </w:rPr>
      </w:pPr>
      <w:r w:rsidRPr="001744CE">
        <w:rPr>
          <w:rFonts w:ascii="Arial" w:hAnsi="Arial" w:cs="Arial"/>
        </w:rPr>
        <w:t>Public Health Wales</w:t>
      </w:r>
      <w:r w:rsidRPr="001744CE">
        <w:rPr>
          <w:rFonts w:ascii="Arial" w:hAnsi="Arial" w:cs="Arial"/>
        </w:rPr>
        <w:tab/>
        <w:t>2015</w:t>
      </w:r>
      <w:r w:rsidRPr="001744CE">
        <w:rPr>
          <w:rFonts w:ascii="Arial" w:hAnsi="Arial" w:cs="Arial"/>
        </w:rPr>
        <w:tab/>
        <w:t>Government Report</w:t>
      </w:r>
      <w:r w:rsidRPr="001744CE">
        <w:rPr>
          <w:rFonts w:ascii="Arial" w:hAnsi="Arial" w:cs="Arial"/>
        </w:rPr>
        <w:tab/>
        <w:t>Prevalence and impact of ACEs in Wales</w:t>
      </w:r>
    </w:p>
    <w:p w14:paraId="0EBBA56D" w14:textId="1A31BD95" w:rsidR="00182524" w:rsidRPr="001744CE" w:rsidRDefault="00182524" w:rsidP="001744CE">
      <w:pPr>
        <w:ind w:left="720"/>
        <w:rPr>
          <w:rFonts w:ascii="Arial" w:hAnsi="Arial" w:cs="Arial"/>
        </w:rPr>
      </w:pPr>
      <w:r w:rsidRPr="001744CE">
        <w:rPr>
          <w:rFonts w:ascii="Arial" w:hAnsi="Arial" w:cs="Arial"/>
        </w:rPr>
        <w:t>Bellis et al.</w:t>
      </w:r>
      <w:r w:rsidRPr="001744CE">
        <w:rPr>
          <w:rFonts w:ascii="Arial" w:hAnsi="Arial" w:cs="Arial"/>
        </w:rPr>
        <w:tab/>
        <w:t>2015</w:t>
      </w:r>
      <w:r w:rsidRPr="001744CE">
        <w:rPr>
          <w:rFonts w:ascii="Arial" w:hAnsi="Arial" w:cs="Arial"/>
        </w:rPr>
        <w:tab/>
        <w:t>Journal Article</w:t>
      </w:r>
      <w:r w:rsidRPr="001744CE">
        <w:rPr>
          <w:rFonts w:ascii="Arial" w:hAnsi="Arial" w:cs="Arial"/>
        </w:rPr>
        <w:tab/>
        <w:t>ACEs and disease burden in England</w:t>
      </w:r>
    </w:p>
    <w:p w14:paraId="787963AF" w14:textId="644DDD5A" w:rsidR="00182524" w:rsidRPr="001744CE" w:rsidRDefault="00182524" w:rsidP="001744CE">
      <w:pPr>
        <w:ind w:left="720"/>
        <w:rPr>
          <w:rFonts w:ascii="Arial" w:hAnsi="Arial" w:cs="Arial"/>
        </w:rPr>
      </w:pPr>
      <w:r w:rsidRPr="001744CE">
        <w:rPr>
          <w:rFonts w:ascii="Arial" w:hAnsi="Arial" w:cs="Arial"/>
        </w:rPr>
        <w:lastRenderedPageBreak/>
        <w:t>Hughes et al.</w:t>
      </w:r>
      <w:r w:rsidRPr="001744CE">
        <w:rPr>
          <w:rFonts w:ascii="Arial" w:hAnsi="Arial" w:cs="Arial"/>
        </w:rPr>
        <w:tab/>
        <w:t>2017</w:t>
      </w:r>
      <w:r w:rsidRPr="001744CE">
        <w:rPr>
          <w:rFonts w:ascii="Arial" w:hAnsi="Arial" w:cs="Arial"/>
        </w:rPr>
        <w:tab/>
        <w:t>Systematic Review</w:t>
      </w:r>
      <w:r w:rsidRPr="001744CE">
        <w:rPr>
          <w:rFonts w:ascii="Arial" w:hAnsi="Arial" w:cs="Arial"/>
        </w:rPr>
        <w:tab/>
        <w:t>Cumulative effects of multiple ACEs</w:t>
      </w:r>
    </w:p>
    <w:p w14:paraId="5CADBAF8" w14:textId="698667ED" w:rsidR="00182524" w:rsidRPr="001744CE" w:rsidRDefault="00182524" w:rsidP="001744CE">
      <w:pPr>
        <w:ind w:left="720"/>
        <w:rPr>
          <w:rFonts w:ascii="Arial" w:hAnsi="Arial" w:cs="Arial"/>
        </w:rPr>
      </w:pPr>
      <w:proofErr w:type="spellStart"/>
      <w:r w:rsidRPr="001744CE">
        <w:rPr>
          <w:rFonts w:ascii="Arial" w:hAnsi="Arial" w:cs="Arial"/>
        </w:rPr>
        <w:t>Lereya</w:t>
      </w:r>
      <w:proofErr w:type="spellEnd"/>
      <w:r w:rsidRPr="001744CE">
        <w:rPr>
          <w:rFonts w:ascii="Arial" w:hAnsi="Arial" w:cs="Arial"/>
        </w:rPr>
        <w:t xml:space="preserve"> et al.</w:t>
      </w:r>
      <w:r w:rsidRPr="001744CE">
        <w:rPr>
          <w:rFonts w:ascii="Arial" w:hAnsi="Arial" w:cs="Arial"/>
        </w:rPr>
        <w:tab/>
        <w:t>2015</w:t>
      </w:r>
      <w:r w:rsidRPr="001744CE">
        <w:rPr>
          <w:rFonts w:ascii="Arial" w:hAnsi="Arial" w:cs="Arial"/>
        </w:rPr>
        <w:tab/>
        <w:t>Journal Article</w:t>
      </w:r>
      <w:r w:rsidRPr="001744CE">
        <w:rPr>
          <w:rFonts w:ascii="Arial" w:hAnsi="Arial" w:cs="Arial"/>
        </w:rPr>
        <w:tab/>
        <w:t>Bullying, maltreatment and adult mental health</w:t>
      </w:r>
    </w:p>
    <w:p w14:paraId="35C8E086" w14:textId="5B55B9FB" w:rsidR="00182524" w:rsidRPr="001744CE" w:rsidRDefault="00182524" w:rsidP="001744CE">
      <w:pPr>
        <w:ind w:left="720"/>
        <w:rPr>
          <w:rFonts w:ascii="Arial" w:hAnsi="Arial" w:cs="Arial"/>
        </w:rPr>
      </w:pPr>
      <w:proofErr w:type="spellStart"/>
      <w:r w:rsidRPr="001744CE">
        <w:rPr>
          <w:rFonts w:ascii="Arial" w:hAnsi="Arial" w:cs="Arial"/>
        </w:rPr>
        <w:t>Finkelhor</w:t>
      </w:r>
      <w:proofErr w:type="spellEnd"/>
      <w:r w:rsidRPr="001744CE">
        <w:rPr>
          <w:rFonts w:ascii="Arial" w:hAnsi="Arial" w:cs="Arial"/>
        </w:rPr>
        <w:tab/>
        <w:t>2018</w:t>
      </w:r>
      <w:r w:rsidRPr="001744CE">
        <w:rPr>
          <w:rFonts w:ascii="Arial" w:hAnsi="Arial" w:cs="Arial"/>
        </w:rPr>
        <w:tab/>
        <w:t>Journal Article</w:t>
      </w:r>
      <w:r w:rsidRPr="001744CE">
        <w:rPr>
          <w:rFonts w:ascii="Arial" w:hAnsi="Arial" w:cs="Arial"/>
        </w:rPr>
        <w:tab/>
        <w:t>Critique of ACE measurement frameworks</w:t>
      </w:r>
    </w:p>
    <w:p w14:paraId="7EBD15EE" w14:textId="23E028B5" w:rsidR="00182524" w:rsidRPr="001744CE" w:rsidRDefault="00182524" w:rsidP="001744CE">
      <w:pPr>
        <w:ind w:left="720"/>
        <w:rPr>
          <w:rFonts w:ascii="Arial" w:hAnsi="Arial" w:cs="Arial"/>
        </w:rPr>
      </w:pPr>
      <w:r w:rsidRPr="001744CE">
        <w:rPr>
          <w:rFonts w:ascii="Arial" w:hAnsi="Arial" w:cs="Arial"/>
        </w:rPr>
        <w:t>Marmot et al.</w:t>
      </w:r>
      <w:r w:rsidRPr="001744CE">
        <w:rPr>
          <w:rFonts w:ascii="Arial" w:hAnsi="Arial" w:cs="Arial"/>
        </w:rPr>
        <w:tab/>
        <w:t>2020</w:t>
      </w:r>
      <w:r w:rsidRPr="001744CE">
        <w:rPr>
          <w:rFonts w:ascii="Arial" w:hAnsi="Arial" w:cs="Arial"/>
        </w:rPr>
        <w:tab/>
        <w:t>Independent Report</w:t>
      </w:r>
      <w:r w:rsidRPr="001744CE">
        <w:rPr>
          <w:rFonts w:ascii="Arial" w:hAnsi="Arial" w:cs="Arial"/>
        </w:rPr>
        <w:tab/>
        <w:t>Health inequalities and social determinants</w:t>
      </w:r>
    </w:p>
    <w:p w14:paraId="78492A0F" w14:textId="0006E732" w:rsidR="00182524" w:rsidRPr="001744CE" w:rsidRDefault="00182524" w:rsidP="001744CE">
      <w:pPr>
        <w:ind w:left="720"/>
        <w:rPr>
          <w:rFonts w:ascii="Arial" w:hAnsi="Arial" w:cs="Arial"/>
        </w:rPr>
      </w:pPr>
      <w:r w:rsidRPr="001744CE">
        <w:rPr>
          <w:rFonts w:ascii="Arial" w:hAnsi="Arial" w:cs="Arial"/>
        </w:rPr>
        <w:t>OECD</w:t>
      </w:r>
      <w:r w:rsidRPr="001744CE">
        <w:rPr>
          <w:rFonts w:ascii="Arial" w:hAnsi="Arial" w:cs="Arial"/>
        </w:rPr>
        <w:tab/>
        <w:t>2021</w:t>
      </w:r>
      <w:r w:rsidRPr="001744CE">
        <w:rPr>
          <w:rFonts w:ascii="Arial" w:hAnsi="Arial" w:cs="Arial"/>
        </w:rPr>
        <w:tab/>
        <w:t>International Report</w:t>
      </w:r>
      <w:r w:rsidRPr="001744CE">
        <w:rPr>
          <w:rFonts w:ascii="Arial" w:hAnsi="Arial" w:cs="Arial"/>
        </w:rPr>
        <w:tab/>
        <w:t>Long-term life-course effects of trauma</w:t>
      </w:r>
    </w:p>
    <w:p w14:paraId="29DF69E7" w14:textId="77777777" w:rsidR="00182524" w:rsidRPr="001744CE" w:rsidRDefault="00182524" w:rsidP="001744CE">
      <w:pPr>
        <w:ind w:left="720"/>
        <w:rPr>
          <w:rFonts w:ascii="Arial" w:hAnsi="Arial" w:cs="Arial"/>
        </w:rPr>
      </w:pPr>
      <w:r w:rsidRPr="001744CE">
        <w:rPr>
          <w:rFonts w:ascii="Arial" w:hAnsi="Arial" w:cs="Arial"/>
        </w:rPr>
        <w:t>NHS England</w:t>
      </w:r>
      <w:r w:rsidRPr="001744CE">
        <w:rPr>
          <w:rFonts w:ascii="Arial" w:hAnsi="Arial" w:cs="Arial"/>
        </w:rPr>
        <w:tab/>
        <w:t>2019 / 2022</w:t>
      </w:r>
      <w:r w:rsidRPr="001744CE">
        <w:rPr>
          <w:rFonts w:ascii="Arial" w:hAnsi="Arial" w:cs="Arial"/>
        </w:rPr>
        <w:tab/>
        <w:t>Policy Document</w:t>
      </w:r>
      <w:r w:rsidRPr="001744CE">
        <w:rPr>
          <w:rFonts w:ascii="Arial" w:hAnsi="Arial" w:cs="Arial"/>
        </w:rPr>
        <w:tab/>
        <w:t>Mental health strategy and trauma-informed care</w:t>
      </w:r>
    </w:p>
    <w:p w14:paraId="2A774466" w14:textId="77777777" w:rsidR="00182524" w:rsidRPr="001744CE" w:rsidRDefault="00182524" w:rsidP="001744CE">
      <w:pPr>
        <w:ind w:firstLine="720"/>
        <w:rPr>
          <w:rFonts w:ascii="Arial" w:hAnsi="Arial" w:cs="Arial"/>
        </w:rPr>
      </w:pPr>
      <w:r w:rsidRPr="001744CE">
        <w:rPr>
          <w:rFonts w:ascii="Arial" w:hAnsi="Arial" w:cs="Arial"/>
        </w:rPr>
        <w:t>NICE</w:t>
      </w:r>
      <w:r w:rsidRPr="001744CE">
        <w:rPr>
          <w:rFonts w:ascii="Arial" w:hAnsi="Arial" w:cs="Arial"/>
        </w:rPr>
        <w:tab/>
        <w:t>2018</w:t>
      </w:r>
      <w:r w:rsidRPr="001744CE">
        <w:rPr>
          <w:rFonts w:ascii="Arial" w:hAnsi="Arial" w:cs="Arial"/>
        </w:rPr>
        <w:tab/>
        <w:t>Clinical Guidance</w:t>
      </w:r>
      <w:r w:rsidRPr="001744CE">
        <w:rPr>
          <w:rFonts w:ascii="Arial" w:hAnsi="Arial" w:cs="Arial"/>
        </w:rPr>
        <w:tab/>
        <w:t>PTSD and trauma assessment guidelines</w:t>
      </w:r>
    </w:p>
    <w:p w14:paraId="3DD703DE" w14:textId="77777777" w:rsidR="009F20B6" w:rsidRPr="001744CE" w:rsidRDefault="009F20B6" w:rsidP="001744CE">
      <w:pPr>
        <w:ind w:firstLine="720"/>
        <w:rPr>
          <w:rFonts w:ascii="Arial" w:hAnsi="Arial" w:cs="Arial"/>
        </w:rPr>
      </w:pPr>
    </w:p>
    <w:p w14:paraId="58C1EC16" w14:textId="77777777" w:rsidR="009F20B6" w:rsidRPr="001744CE" w:rsidRDefault="009F20B6" w:rsidP="001744CE">
      <w:pPr>
        <w:ind w:firstLine="720"/>
        <w:rPr>
          <w:rFonts w:ascii="Arial" w:hAnsi="Arial" w:cs="Arial"/>
        </w:rPr>
      </w:pPr>
    </w:p>
    <w:p w14:paraId="1E9F24F9" w14:textId="5A5A172F" w:rsidR="009F20B6" w:rsidRPr="001744CE" w:rsidRDefault="009F20B6" w:rsidP="001744CE">
      <w:pPr>
        <w:ind w:left="720"/>
        <w:rPr>
          <w:rFonts w:ascii="Arial" w:hAnsi="Arial" w:cs="Arial"/>
        </w:rPr>
      </w:pPr>
      <w:r w:rsidRPr="001744CE">
        <w:rPr>
          <w:rFonts w:ascii="Arial" w:hAnsi="Arial" w:cs="Arial"/>
        </w:rPr>
        <w:t>NHS Education for Scotland</w:t>
      </w:r>
      <w:r w:rsidRPr="001744CE">
        <w:rPr>
          <w:rFonts w:ascii="Arial" w:hAnsi="Arial" w:cs="Arial"/>
        </w:rPr>
        <w:tab/>
        <w:t>2021</w:t>
      </w:r>
      <w:r w:rsidRPr="001744CE">
        <w:rPr>
          <w:rFonts w:ascii="Arial" w:hAnsi="Arial" w:cs="Arial"/>
        </w:rPr>
        <w:tab/>
        <w:t>Guidance</w:t>
      </w:r>
      <w:r w:rsidRPr="001744CE">
        <w:rPr>
          <w:rFonts w:ascii="Arial" w:hAnsi="Arial" w:cs="Arial"/>
        </w:rPr>
        <w:tab/>
        <w:t>Developing trauma-informed services</w:t>
      </w:r>
    </w:p>
    <w:p w14:paraId="5254B5B1" w14:textId="73DE487E" w:rsidR="009F20B6" w:rsidRPr="001744CE" w:rsidRDefault="009F20B6" w:rsidP="001744CE">
      <w:pPr>
        <w:ind w:firstLine="720"/>
        <w:rPr>
          <w:rFonts w:ascii="Arial" w:hAnsi="Arial" w:cs="Arial"/>
          <w:b/>
          <w:bCs/>
          <w:u w:val="single"/>
        </w:rPr>
      </w:pPr>
      <w:proofErr w:type="gramStart"/>
      <w:r w:rsidRPr="001744CE">
        <w:rPr>
          <w:rFonts w:ascii="Arial" w:hAnsi="Arial" w:cs="Arial"/>
          <w:b/>
          <w:bCs/>
          <w:u w:val="single"/>
        </w:rPr>
        <w:t>A</w:t>
      </w:r>
      <w:r w:rsidR="005B7E8E">
        <w:rPr>
          <w:rFonts w:ascii="Arial" w:hAnsi="Arial" w:cs="Arial"/>
          <w:b/>
          <w:bCs/>
          <w:u w:val="single"/>
        </w:rPr>
        <w:t xml:space="preserve">ppendix </w:t>
      </w:r>
      <w:r w:rsidRPr="001744CE">
        <w:rPr>
          <w:rFonts w:ascii="Arial" w:hAnsi="Arial" w:cs="Arial"/>
          <w:b/>
          <w:bCs/>
          <w:u w:val="single"/>
        </w:rPr>
        <w:t xml:space="preserve"> 2</w:t>
      </w:r>
      <w:proofErr w:type="gramEnd"/>
      <w:r w:rsidRPr="001744CE">
        <w:rPr>
          <w:rFonts w:ascii="Arial" w:hAnsi="Arial" w:cs="Arial"/>
          <w:b/>
          <w:bCs/>
          <w:u w:val="single"/>
        </w:rPr>
        <w:t xml:space="preserve"> – CRAAP Evaluation Table</w:t>
      </w:r>
    </w:p>
    <w:p w14:paraId="3C145B51" w14:textId="77777777" w:rsidR="009F20B6" w:rsidRPr="001744CE" w:rsidRDefault="009F20B6" w:rsidP="001744CE">
      <w:pPr>
        <w:ind w:firstLine="720"/>
        <w:rPr>
          <w:rFonts w:ascii="Arial" w:hAnsi="Arial" w:cs="Arial"/>
        </w:rPr>
      </w:pPr>
      <w:r w:rsidRPr="001744CE">
        <w:rPr>
          <w:rFonts w:ascii="Arial" w:hAnsi="Arial" w:cs="Arial"/>
        </w:rPr>
        <w:t>(Scored 1–5; Total /25)</w:t>
      </w:r>
    </w:p>
    <w:p w14:paraId="3E28DDCD" w14:textId="21FBA3C5" w:rsidR="009F20B6" w:rsidRPr="001744CE" w:rsidRDefault="009F20B6" w:rsidP="001744CE">
      <w:pPr>
        <w:ind w:firstLine="720"/>
        <w:rPr>
          <w:rFonts w:ascii="Arial" w:hAnsi="Arial" w:cs="Arial"/>
        </w:rPr>
      </w:pPr>
      <w:r w:rsidRPr="001744CE">
        <w:rPr>
          <w:rFonts w:ascii="Arial" w:hAnsi="Arial" w:cs="Arial"/>
        </w:rPr>
        <w:t>Source</w:t>
      </w:r>
      <w:r w:rsidRPr="001744CE">
        <w:rPr>
          <w:rFonts w:ascii="Arial" w:hAnsi="Arial" w:cs="Arial"/>
        </w:rPr>
        <w:tab/>
        <w:t>Currency /5</w:t>
      </w:r>
      <w:r w:rsidRPr="001744CE">
        <w:rPr>
          <w:rFonts w:ascii="Arial" w:hAnsi="Arial" w:cs="Arial"/>
        </w:rPr>
        <w:tab/>
        <w:t>Relevance /5</w:t>
      </w:r>
      <w:r w:rsidRPr="001744CE">
        <w:rPr>
          <w:rFonts w:ascii="Arial" w:hAnsi="Arial" w:cs="Arial"/>
        </w:rPr>
        <w:tab/>
        <w:t>Authority /5</w:t>
      </w:r>
      <w:r w:rsidRPr="001744CE">
        <w:rPr>
          <w:rFonts w:ascii="Arial" w:hAnsi="Arial" w:cs="Arial"/>
        </w:rPr>
        <w:tab/>
        <w:t>Accuracy /5</w:t>
      </w:r>
      <w:r w:rsidRPr="001744CE">
        <w:rPr>
          <w:rFonts w:ascii="Arial" w:hAnsi="Arial" w:cs="Arial"/>
        </w:rPr>
        <w:tab/>
        <w:t>Purpose /5</w:t>
      </w:r>
      <w:r w:rsidRPr="001744CE">
        <w:rPr>
          <w:rFonts w:ascii="Arial" w:hAnsi="Arial" w:cs="Arial"/>
        </w:rPr>
        <w:tab/>
        <w:t>Total /25</w:t>
      </w:r>
    </w:p>
    <w:p w14:paraId="4E615787" w14:textId="27C74054" w:rsidR="009F20B6" w:rsidRPr="001744CE" w:rsidRDefault="009F20B6" w:rsidP="001744CE">
      <w:pPr>
        <w:ind w:firstLine="720"/>
        <w:rPr>
          <w:rFonts w:ascii="Arial" w:hAnsi="Arial" w:cs="Arial"/>
        </w:rPr>
      </w:pPr>
      <w:proofErr w:type="spellStart"/>
      <w:r w:rsidRPr="001744CE">
        <w:rPr>
          <w:rFonts w:ascii="Arial" w:hAnsi="Arial" w:cs="Arial"/>
        </w:rPr>
        <w:t>Felitti</w:t>
      </w:r>
      <w:proofErr w:type="spellEnd"/>
      <w:r w:rsidRPr="001744CE">
        <w:rPr>
          <w:rFonts w:ascii="Arial" w:hAnsi="Arial" w:cs="Arial"/>
        </w:rPr>
        <w:t xml:space="preserve"> et al. (1998)</w:t>
      </w:r>
      <w:r w:rsidRPr="001744CE">
        <w:rPr>
          <w:rFonts w:ascii="Arial" w:hAnsi="Arial" w:cs="Arial"/>
        </w:rPr>
        <w:tab/>
        <w:t>3</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23</w:t>
      </w:r>
    </w:p>
    <w:p w14:paraId="2EDC0DE6" w14:textId="75E6869E" w:rsidR="009F20B6" w:rsidRPr="001744CE" w:rsidRDefault="009F20B6" w:rsidP="001744CE">
      <w:pPr>
        <w:ind w:firstLine="720"/>
        <w:rPr>
          <w:rFonts w:ascii="Arial" w:hAnsi="Arial" w:cs="Arial"/>
        </w:rPr>
      </w:pPr>
      <w:r w:rsidRPr="001744CE">
        <w:rPr>
          <w:rFonts w:ascii="Arial" w:hAnsi="Arial" w:cs="Arial"/>
        </w:rPr>
        <w:t>Bellis et al. (2015)</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25</w:t>
      </w:r>
    </w:p>
    <w:p w14:paraId="703F4993" w14:textId="097C055D" w:rsidR="009F20B6" w:rsidRPr="001744CE" w:rsidRDefault="009F20B6" w:rsidP="001744CE">
      <w:pPr>
        <w:ind w:firstLine="720"/>
        <w:rPr>
          <w:rFonts w:ascii="Arial" w:hAnsi="Arial" w:cs="Arial"/>
        </w:rPr>
      </w:pPr>
      <w:r w:rsidRPr="001744CE">
        <w:rPr>
          <w:rFonts w:ascii="Arial" w:hAnsi="Arial" w:cs="Arial"/>
        </w:rPr>
        <w:t>Hughes et al. (2017)</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25</w:t>
      </w:r>
    </w:p>
    <w:p w14:paraId="78C54759" w14:textId="27DAA1C0" w:rsidR="009F20B6" w:rsidRPr="001744CE" w:rsidRDefault="009F20B6" w:rsidP="001744CE">
      <w:pPr>
        <w:ind w:firstLine="720"/>
        <w:rPr>
          <w:rFonts w:ascii="Arial" w:hAnsi="Arial" w:cs="Arial"/>
        </w:rPr>
      </w:pPr>
      <w:r w:rsidRPr="001744CE">
        <w:rPr>
          <w:rFonts w:ascii="Arial" w:hAnsi="Arial" w:cs="Arial"/>
        </w:rPr>
        <w:t>Public Health Wales (2015)</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25</w:t>
      </w:r>
    </w:p>
    <w:p w14:paraId="4EBAAB73" w14:textId="095F4B5B" w:rsidR="009F20B6" w:rsidRPr="001744CE" w:rsidRDefault="009F20B6" w:rsidP="001744CE">
      <w:pPr>
        <w:ind w:firstLine="720"/>
        <w:rPr>
          <w:rFonts w:ascii="Arial" w:hAnsi="Arial" w:cs="Arial"/>
        </w:rPr>
      </w:pPr>
      <w:r w:rsidRPr="001744CE">
        <w:rPr>
          <w:rFonts w:ascii="Arial" w:hAnsi="Arial" w:cs="Arial"/>
        </w:rPr>
        <w:t>Marmot et al. (2020)</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25</w:t>
      </w:r>
    </w:p>
    <w:p w14:paraId="212D8C83" w14:textId="5A97B749" w:rsidR="009F20B6" w:rsidRPr="001744CE" w:rsidRDefault="009F20B6" w:rsidP="001744CE">
      <w:pPr>
        <w:ind w:firstLine="720"/>
        <w:rPr>
          <w:rFonts w:ascii="Arial" w:hAnsi="Arial" w:cs="Arial"/>
        </w:rPr>
      </w:pPr>
      <w:r w:rsidRPr="001744CE">
        <w:rPr>
          <w:rFonts w:ascii="Arial" w:hAnsi="Arial" w:cs="Arial"/>
        </w:rPr>
        <w:t>NICE (2018)</w:t>
      </w:r>
      <w:r w:rsidRPr="001744CE">
        <w:rPr>
          <w:rFonts w:ascii="Arial" w:hAnsi="Arial" w:cs="Arial"/>
        </w:rPr>
        <w:tab/>
        <w:t>5</w:t>
      </w:r>
      <w:r w:rsidRPr="001744CE">
        <w:rPr>
          <w:rFonts w:ascii="Arial" w:hAnsi="Arial" w:cs="Arial"/>
        </w:rPr>
        <w:tab/>
        <w:t>4</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24</w:t>
      </w:r>
    </w:p>
    <w:p w14:paraId="6850D3E2" w14:textId="77E656AA" w:rsidR="009F20B6" w:rsidRPr="001744CE" w:rsidRDefault="009F20B6" w:rsidP="001744CE">
      <w:pPr>
        <w:ind w:firstLine="720"/>
        <w:rPr>
          <w:rFonts w:ascii="Arial" w:hAnsi="Arial" w:cs="Arial"/>
        </w:rPr>
      </w:pPr>
      <w:r w:rsidRPr="001744CE">
        <w:rPr>
          <w:rFonts w:ascii="Arial" w:hAnsi="Arial" w:cs="Arial"/>
        </w:rPr>
        <w:t>NHS England (2022)</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25</w:t>
      </w:r>
    </w:p>
    <w:p w14:paraId="6C7E7EFA" w14:textId="6E805083" w:rsidR="009F20B6" w:rsidRPr="001744CE" w:rsidRDefault="009F20B6" w:rsidP="001744CE">
      <w:pPr>
        <w:ind w:firstLine="720"/>
        <w:rPr>
          <w:rFonts w:ascii="Arial" w:hAnsi="Arial" w:cs="Arial"/>
        </w:rPr>
      </w:pPr>
      <w:r w:rsidRPr="001744CE">
        <w:rPr>
          <w:rFonts w:ascii="Arial" w:hAnsi="Arial" w:cs="Arial"/>
        </w:rPr>
        <w:t>OECD (2021)</w:t>
      </w:r>
      <w:r w:rsidRPr="001744CE">
        <w:rPr>
          <w:rFonts w:ascii="Arial" w:hAnsi="Arial" w:cs="Arial"/>
        </w:rPr>
        <w:tab/>
        <w:t>5</w:t>
      </w:r>
      <w:r w:rsidRPr="001744CE">
        <w:rPr>
          <w:rFonts w:ascii="Arial" w:hAnsi="Arial" w:cs="Arial"/>
        </w:rPr>
        <w:tab/>
        <w:t>4</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24</w:t>
      </w:r>
    </w:p>
    <w:p w14:paraId="0B9B0101" w14:textId="4B9D983E" w:rsidR="009F20B6" w:rsidRPr="001744CE" w:rsidRDefault="009F20B6" w:rsidP="001744CE">
      <w:pPr>
        <w:ind w:firstLine="720"/>
        <w:rPr>
          <w:rFonts w:ascii="Arial" w:hAnsi="Arial" w:cs="Arial"/>
        </w:rPr>
      </w:pPr>
      <w:proofErr w:type="spellStart"/>
      <w:r w:rsidRPr="001744CE">
        <w:rPr>
          <w:rFonts w:ascii="Arial" w:hAnsi="Arial" w:cs="Arial"/>
        </w:rPr>
        <w:t>Lereya</w:t>
      </w:r>
      <w:proofErr w:type="spellEnd"/>
      <w:r w:rsidRPr="001744CE">
        <w:rPr>
          <w:rFonts w:ascii="Arial" w:hAnsi="Arial" w:cs="Arial"/>
        </w:rPr>
        <w:t xml:space="preserve"> et al. (2015)</w:t>
      </w:r>
      <w:r w:rsidRPr="001744CE">
        <w:rPr>
          <w:rFonts w:ascii="Arial" w:hAnsi="Arial" w:cs="Arial"/>
        </w:rPr>
        <w:tab/>
        <w:t>4</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5</w:t>
      </w:r>
      <w:r w:rsidRPr="001744CE">
        <w:rPr>
          <w:rFonts w:ascii="Arial" w:hAnsi="Arial" w:cs="Arial"/>
        </w:rPr>
        <w:tab/>
        <w:t>24</w:t>
      </w:r>
    </w:p>
    <w:p w14:paraId="54822F92" w14:textId="77777777" w:rsidR="009F20B6" w:rsidRPr="001744CE" w:rsidRDefault="009F20B6" w:rsidP="001744CE">
      <w:pPr>
        <w:ind w:firstLine="720"/>
        <w:rPr>
          <w:rFonts w:ascii="Arial" w:hAnsi="Arial" w:cs="Arial"/>
        </w:rPr>
      </w:pPr>
      <w:proofErr w:type="spellStart"/>
      <w:r w:rsidRPr="001744CE">
        <w:rPr>
          <w:rFonts w:ascii="Arial" w:hAnsi="Arial" w:cs="Arial"/>
        </w:rPr>
        <w:t>Finkelhor</w:t>
      </w:r>
      <w:proofErr w:type="spellEnd"/>
      <w:r w:rsidRPr="001744CE">
        <w:rPr>
          <w:rFonts w:ascii="Arial" w:hAnsi="Arial" w:cs="Arial"/>
        </w:rPr>
        <w:t xml:space="preserve"> (2018)</w:t>
      </w:r>
      <w:r w:rsidRPr="001744CE">
        <w:rPr>
          <w:rFonts w:ascii="Arial" w:hAnsi="Arial" w:cs="Arial"/>
        </w:rPr>
        <w:tab/>
        <w:t>5</w:t>
      </w:r>
      <w:r w:rsidRPr="001744CE">
        <w:rPr>
          <w:rFonts w:ascii="Arial" w:hAnsi="Arial" w:cs="Arial"/>
        </w:rPr>
        <w:tab/>
        <w:t>5</w:t>
      </w:r>
      <w:r w:rsidRPr="001744CE">
        <w:rPr>
          <w:rFonts w:ascii="Arial" w:hAnsi="Arial" w:cs="Arial"/>
        </w:rPr>
        <w:tab/>
        <w:t>4</w:t>
      </w:r>
      <w:r w:rsidRPr="001744CE">
        <w:rPr>
          <w:rFonts w:ascii="Arial" w:hAnsi="Arial" w:cs="Arial"/>
        </w:rPr>
        <w:tab/>
        <w:t>5</w:t>
      </w:r>
      <w:r w:rsidRPr="001744CE">
        <w:rPr>
          <w:rFonts w:ascii="Arial" w:hAnsi="Arial" w:cs="Arial"/>
        </w:rPr>
        <w:tab/>
        <w:t>5</w:t>
      </w:r>
      <w:r w:rsidRPr="001744CE">
        <w:rPr>
          <w:rFonts w:ascii="Arial" w:hAnsi="Arial" w:cs="Arial"/>
        </w:rPr>
        <w:tab/>
        <w:t>24</w:t>
      </w:r>
    </w:p>
    <w:p w14:paraId="2167D453" w14:textId="77777777" w:rsidR="009F20B6" w:rsidRPr="001744CE" w:rsidRDefault="009F20B6" w:rsidP="001744CE">
      <w:pPr>
        <w:ind w:firstLine="720"/>
        <w:rPr>
          <w:rFonts w:ascii="Arial" w:hAnsi="Arial" w:cs="Arial"/>
        </w:rPr>
      </w:pPr>
    </w:p>
    <w:p w14:paraId="2749374A" w14:textId="77777777" w:rsidR="009F20B6" w:rsidRPr="001744CE" w:rsidRDefault="009F20B6" w:rsidP="001744CE">
      <w:pPr>
        <w:rPr>
          <w:rFonts w:ascii="Arial" w:hAnsi="Arial" w:cs="Arial"/>
        </w:rPr>
      </w:pPr>
      <w:r w:rsidRPr="001744CE">
        <w:rPr>
          <w:rFonts w:ascii="Arial" w:hAnsi="Arial" w:cs="Arial"/>
          <w:b/>
          <w:bCs/>
        </w:rPr>
        <w:t>Summary:</w:t>
      </w:r>
      <w:r w:rsidRPr="001744CE">
        <w:rPr>
          <w:rFonts w:ascii="Arial" w:hAnsi="Arial" w:cs="Arial"/>
        </w:rPr>
        <w:t xml:space="preserve">  All sources score 23 or higher, well above the acceptable threshold of 20. Evidence base is robust and reliable.</w:t>
      </w:r>
    </w:p>
    <w:p w14:paraId="3D309380" w14:textId="77777777" w:rsidR="009F20B6" w:rsidRPr="001744CE" w:rsidRDefault="009F20B6" w:rsidP="001744CE">
      <w:pPr>
        <w:rPr>
          <w:rFonts w:ascii="Arial" w:hAnsi="Arial" w:cs="Arial"/>
        </w:rPr>
      </w:pPr>
    </w:p>
    <w:p w14:paraId="3D1EE469" w14:textId="77777777" w:rsidR="00220615" w:rsidRDefault="00220615" w:rsidP="001744CE">
      <w:pPr>
        <w:rPr>
          <w:rFonts w:ascii="Arial" w:hAnsi="Arial" w:cs="Arial"/>
          <w:b/>
          <w:bCs/>
          <w:u w:val="single"/>
        </w:rPr>
      </w:pPr>
    </w:p>
    <w:p w14:paraId="1767DB54" w14:textId="77777777" w:rsidR="00220615" w:rsidRDefault="00220615" w:rsidP="001744CE">
      <w:pPr>
        <w:rPr>
          <w:rFonts w:ascii="Arial" w:hAnsi="Arial" w:cs="Arial"/>
          <w:b/>
          <w:bCs/>
          <w:u w:val="single"/>
        </w:rPr>
      </w:pPr>
    </w:p>
    <w:p w14:paraId="47C4A9F8" w14:textId="5E4762E0" w:rsidR="009F20B6" w:rsidRPr="001744CE" w:rsidRDefault="009F20B6" w:rsidP="001744CE">
      <w:pPr>
        <w:rPr>
          <w:rFonts w:ascii="Arial" w:hAnsi="Arial" w:cs="Arial"/>
          <w:b/>
          <w:bCs/>
          <w:u w:val="single"/>
        </w:rPr>
      </w:pPr>
      <w:r w:rsidRPr="001744CE">
        <w:rPr>
          <w:rFonts w:ascii="Arial" w:hAnsi="Arial" w:cs="Arial"/>
          <w:b/>
          <w:bCs/>
          <w:u w:val="single"/>
        </w:rPr>
        <w:t>A</w:t>
      </w:r>
      <w:r w:rsidR="005B7E8E">
        <w:rPr>
          <w:rFonts w:ascii="Arial" w:hAnsi="Arial" w:cs="Arial"/>
          <w:b/>
          <w:bCs/>
          <w:u w:val="single"/>
        </w:rPr>
        <w:t>ppendix</w:t>
      </w:r>
      <w:r w:rsidRPr="001744CE">
        <w:rPr>
          <w:rFonts w:ascii="Arial" w:hAnsi="Arial" w:cs="Arial"/>
          <w:b/>
          <w:bCs/>
          <w:u w:val="single"/>
        </w:rPr>
        <w:t xml:space="preserve"> 3 – Results Summary Table</w:t>
      </w:r>
    </w:p>
    <w:p w14:paraId="0CB30B34" w14:textId="63BACAEF" w:rsidR="009F20B6" w:rsidRPr="001744CE" w:rsidRDefault="009F20B6" w:rsidP="001744CE">
      <w:pPr>
        <w:rPr>
          <w:rFonts w:ascii="Arial" w:hAnsi="Arial" w:cs="Arial"/>
        </w:rPr>
      </w:pPr>
      <w:r w:rsidRPr="001744CE">
        <w:rPr>
          <w:rFonts w:ascii="Arial" w:hAnsi="Arial" w:cs="Arial"/>
        </w:rPr>
        <w:t>Author</w:t>
      </w:r>
      <w:r w:rsidRPr="001744CE">
        <w:rPr>
          <w:rFonts w:ascii="Arial" w:hAnsi="Arial" w:cs="Arial"/>
        </w:rPr>
        <w:tab/>
      </w:r>
      <w:r w:rsidR="00C42D14" w:rsidRPr="001744CE">
        <w:rPr>
          <w:rFonts w:ascii="Arial" w:hAnsi="Arial" w:cs="Arial"/>
        </w:rPr>
        <w:tab/>
      </w:r>
      <w:r w:rsidRPr="001744CE">
        <w:rPr>
          <w:rFonts w:ascii="Arial" w:hAnsi="Arial" w:cs="Arial"/>
        </w:rPr>
        <w:t>Research</w:t>
      </w:r>
      <w:r w:rsidR="00C42D14" w:rsidRPr="001744CE">
        <w:rPr>
          <w:rFonts w:ascii="Arial" w:hAnsi="Arial" w:cs="Arial"/>
        </w:rPr>
        <w:tab/>
      </w:r>
      <w:r w:rsidRPr="001744CE">
        <w:rPr>
          <w:rFonts w:ascii="Arial" w:hAnsi="Arial" w:cs="Arial"/>
        </w:rPr>
        <w:t xml:space="preserve"> Aim</w:t>
      </w:r>
      <w:r w:rsidR="00C42D14" w:rsidRPr="001744CE">
        <w:rPr>
          <w:rFonts w:ascii="Arial" w:hAnsi="Arial" w:cs="Arial"/>
        </w:rPr>
        <w:tab/>
      </w:r>
      <w:r w:rsidRPr="001744CE">
        <w:rPr>
          <w:rFonts w:ascii="Arial" w:hAnsi="Arial" w:cs="Arial"/>
        </w:rPr>
        <w:tab/>
        <w:t>Method</w:t>
      </w:r>
      <w:r w:rsidRPr="001744CE">
        <w:rPr>
          <w:rFonts w:ascii="Arial" w:hAnsi="Arial" w:cs="Arial"/>
        </w:rPr>
        <w:tab/>
        <w:t>Key Findings</w:t>
      </w:r>
    </w:p>
    <w:p w14:paraId="4BC17D11" w14:textId="33F8329F" w:rsidR="009F20B6" w:rsidRPr="001744CE" w:rsidRDefault="009F20B6" w:rsidP="001744CE">
      <w:pPr>
        <w:rPr>
          <w:rFonts w:ascii="Arial" w:hAnsi="Arial" w:cs="Arial"/>
        </w:rPr>
      </w:pPr>
      <w:proofErr w:type="spellStart"/>
      <w:r w:rsidRPr="001744CE">
        <w:rPr>
          <w:rFonts w:ascii="Arial" w:hAnsi="Arial" w:cs="Arial"/>
        </w:rPr>
        <w:t>Felitti</w:t>
      </w:r>
      <w:proofErr w:type="spellEnd"/>
      <w:r w:rsidRPr="001744CE">
        <w:rPr>
          <w:rFonts w:ascii="Arial" w:hAnsi="Arial" w:cs="Arial"/>
        </w:rPr>
        <w:t xml:space="preserve"> et al. (1998)</w:t>
      </w:r>
      <w:r w:rsidRPr="001744CE">
        <w:rPr>
          <w:rFonts w:ascii="Arial" w:hAnsi="Arial" w:cs="Arial"/>
        </w:rPr>
        <w:tab/>
        <w:t xml:space="preserve">Examine link between childhood adversity and adult </w:t>
      </w:r>
      <w:proofErr w:type="spellStart"/>
      <w:r w:rsidRPr="001744CE">
        <w:rPr>
          <w:rFonts w:ascii="Arial" w:hAnsi="Arial" w:cs="Arial"/>
        </w:rPr>
        <w:t>healthRetrospective</w:t>
      </w:r>
      <w:proofErr w:type="spellEnd"/>
      <w:r w:rsidRPr="001744CE">
        <w:rPr>
          <w:rFonts w:ascii="Arial" w:hAnsi="Arial" w:cs="Arial"/>
        </w:rPr>
        <w:t xml:space="preserve"> survey</w:t>
      </w:r>
      <w:r w:rsidRPr="001744CE">
        <w:rPr>
          <w:rFonts w:ascii="Arial" w:hAnsi="Arial" w:cs="Arial"/>
        </w:rPr>
        <w:tab/>
        <w:t>Higher ACE exposure linked to increased risk of mental and physical illness</w:t>
      </w:r>
    </w:p>
    <w:p w14:paraId="2A2EDDA0" w14:textId="444C263D" w:rsidR="009F20B6" w:rsidRPr="001744CE" w:rsidRDefault="009F20B6" w:rsidP="001744CE">
      <w:pPr>
        <w:rPr>
          <w:rFonts w:ascii="Arial" w:hAnsi="Arial" w:cs="Arial"/>
        </w:rPr>
      </w:pPr>
      <w:r w:rsidRPr="001744CE">
        <w:rPr>
          <w:rFonts w:ascii="Arial" w:hAnsi="Arial" w:cs="Arial"/>
        </w:rPr>
        <w:t>Bellis et al. (2015)</w:t>
      </w:r>
      <w:r w:rsidRPr="001744CE">
        <w:rPr>
          <w:rFonts w:ascii="Arial" w:hAnsi="Arial" w:cs="Arial"/>
        </w:rPr>
        <w:tab/>
        <w:t>Measure ACE burden in England</w:t>
      </w:r>
      <w:r w:rsidRPr="001744CE">
        <w:rPr>
          <w:rFonts w:ascii="Arial" w:hAnsi="Arial" w:cs="Arial"/>
        </w:rPr>
        <w:tab/>
        <w:t>National population survey</w:t>
      </w:r>
      <w:r w:rsidRPr="001744CE">
        <w:rPr>
          <w:rFonts w:ascii="Arial" w:hAnsi="Arial" w:cs="Arial"/>
        </w:rPr>
        <w:tab/>
        <w:t>4+ ACEs increase risk of mental health disorders by 2–3 times</w:t>
      </w:r>
    </w:p>
    <w:p w14:paraId="09D90168" w14:textId="06173B57" w:rsidR="009F20B6" w:rsidRPr="001744CE" w:rsidRDefault="009F20B6" w:rsidP="001744CE">
      <w:pPr>
        <w:rPr>
          <w:rFonts w:ascii="Arial" w:hAnsi="Arial" w:cs="Arial"/>
        </w:rPr>
      </w:pPr>
      <w:r w:rsidRPr="001744CE">
        <w:rPr>
          <w:rFonts w:ascii="Arial" w:hAnsi="Arial" w:cs="Arial"/>
        </w:rPr>
        <w:t>Hughes et al. (2017)</w:t>
      </w:r>
      <w:r w:rsidRPr="001744CE">
        <w:rPr>
          <w:rFonts w:ascii="Arial" w:hAnsi="Arial" w:cs="Arial"/>
        </w:rPr>
        <w:tab/>
        <w:t>Synthesise evidence on ACEs and health</w:t>
      </w:r>
      <w:r w:rsidRPr="001744CE">
        <w:rPr>
          <w:rFonts w:ascii="Arial" w:hAnsi="Arial" w:cs="Arial"/>
        </w:rPr>
        <w:tab/>
        <w:t>Systematic review &amp; meta-analysis</w:t>
      </w:r>
      <w:r w:rsidRPr="001744CE">
        <w:rPr>
          <w:rFonts w:ascii="Arial" w:hAnsi="Arial" w:cs="Arial"/>
        </w:rPr>
        <w:tab/>
        <w:t>Strong dose-response relationship: more ACEs = worse outcomes</w:t>
      </w:r>
    </w:p>
    <w:p w14:paraId="5740C46C" w14:textId="06CD1E7C" w:rsidR="009F20B6" w:rsidRPr="001744CE" w:rsidRDefault="009F20B6" w:rsidP="001744CE">
      <w:pPr>
        <w:rPr>
          <w:rFonts w:ascii="Arial" w:hAnsi="Arial" w:cs="Arial"/>
        </w:rPr>
      </w:pPr>
      <w:r w:rsidRPr="001744CE">
        <w:rPr>
          <w:rFonts w:ascii="Arial" w:hAnsi="Arial" w:cs="Arial"/>
        </w:rPr>
        <w:t>Public Health Wales (2015)</w:t>
      </w:r>
      <w:r w:rsidRPr="001744CE">
        <w:rPr>
          <w:rFonts w:ascii="Arial" w:hAnsi="Arial" w:cs="Arial"/>
        </w:rPr>
        <w:tab/>
        <w:t>Assess prevalence and impact in Wales</w:t>
      </w:r>
      <w:r w:rsidRPr="001744CE">
        <w:rPr>
          <w:rFonts w:ascii="Arial" w:hAnsi="Arial" w:cs="Arial"/>
        </w:rPr>
        <w:tab/>
        <w:t>Cross-sectional survey</w:t>
      </w:r>
      <w:r w:rsidRPr="001744CE">
        <w:rPr>
          <w:rFonts w:ascii="Arial" w:hAnsi="Arial" w:cs="Arial"/>
        </w:rPr>
        <w:tab/>
        <w:t>46% of adults report ≥1 ACE; 12% report ≥4</w:t>
      </w:r>
    </w:p>
    <w:p w14:paraId="562329AC" w14:textId="1046CA57" w:rsidR="009F20B6" w:rsidRPr="001744CE" w:rsidRDefault="009F20B6" w:rsidP="001744CE">
      <w:pPr>
        <w:rPr>
          <w:rFonts w:ascii="Arial" w:hAnsi="Arial" w:cs="Arial"/>
        </w:rPr>
      </w:pPr>
      <w:proofErr w:type="spellStart"/>
      <w:r w:rsidRPr="001744CE">
        <w:rPr>
          <w:rFonts w:ascii="Arial" w:hAnsi="Arial" w:cs="Arial"/>
        </w:rPr>
        <w:t>Lereya</w:t>
      </w:r>
      <w:proofErr w:type="spellEnd"/>
      <w:r w:rsidRPr="001744CE">
        <w:rPr>
          <w:rFonts w:ascii="Arial" w:hAnsi="Arial" w:cs="Arial"/>
        </w:rPr>
        <w:t xml:space="preserve"> et al. (2015)</w:t>
      </w:r>
      <w:r w:rsidRPr="001744CE">
        <w:rPr>
          <w:rFonts w:ascii="Arial" w:hAnsi="Arial" w:cs="Arial"/>
        </w:rPr>
        <w:tab/>
        <w:t>Explore bullying and maltreatment effects</w:t>
      </w:r>
      <w:r w:rsidRPr="001744CE">
        <w:rPr>
          <w:rFonts w:ascii="Arial" w:hAnsi="Arial" w:cs="Arial"/>
        </w:rPr>
        <w:tab/>
        <w:t xml:space="preserve">Longitudinal cohort </w:t>
      </w:r>
      <w:proofErr w:type="spellStart"/>
      <w:r w:rsidRPr="001744CE">
        <w:rPr>
          <w:rFonts w:ascii="Arial" w:hAnsi="Arial" w:cs="Arial"/>
        </w:rPr>
        <w:t>studyChildhood</w:t>
      </w:r>
      <w:proofErr w:type="spellEnd"/>
      <w:r w:rsidRPr="001744CE">
        <w:rPr>
          <w:rFonts w:ascii="Arial" w:hAnsi="Arial" w:cs="Arial"/>
        </w:rPr>
        <w:t xml:space="preserve"> abuse/bullying increases risk of anxiety/depression in adulthood</w:t>
      </w:r>
    </w:p>
    <w:p w14:paraId="1E028C5E" w14:textId="69CE0FAA" w:rsidR="009F20B6" w:rsidRPr="001744CE" w:rsidRDefault="009F20B6" w:rsidP="001744CE">
      <w:pPr>
        <w:rPr>
          <w:rFonts w:ascii="Arial" w:hAnsi="Arial" w:cs="Arial"/>
        </w:rPr>
      </w:pPr>
      <w:r w:rsidRPr="001744CE">
        <w:rPr>
          <w:rFonts w:ascii="Arial" w:hAnsi="Arial" w:cs="Arial"/>
        </w:rPr>
        <w:t>Marmot et al. (2020)</w:t>
      </w:r>
      <w:r w:rsidRPr="001744CE">
        <w:rPr>
          <w:rFonts w:ascii="Arial" w:hAnsi="Arial" w:cs="Arial"/>
        </w:rPr>
        <w:tab/>
        <w:t>Analyse health inequalities in England</w:t>
      </w:r>
      <w:r w:rsidRPr="001744CE">
        <w:rPr>
          <w:rFonts w:ascii="Arial" w:hAnsi="Arial" w:cs="Arial"/>
        </w:rPr>
        <w:tab/>
        <w:t xml:space="preserve">Review of national </w:t>
      </w:r>
      <w:proofErr w:type="spellStart"/>
      <w:r w:rsidRPr="001744CE">
        <w:rPr>
          <w:rFonts w:ascii="Arial" w:hAnsi="Arial" w:cs="Arial"/>
        </w:rPr>
        <w:t>dataDeprivation</w:t>
      </w:r>
      <w:proofErr w:type="spellEnd"/>
      <w:r w:rsidRPr="001744CE">
        <w:rPr>
          <w:rFonts w:ascii="Arial" w:hAnsi="Arial" w:cs="Arial"/>
        </w:rPr>
        <w:t xml:space="preserve"> amplifies the negative effects of ACEs; social factors shape outcomes.</w:t>
      </w:r>
    </w:p>
    <w:p w14:paraId="4ABCB81B" w14:textId="77777777" w:rsidR="009F20B6" w:rsidRPr="001744CE" w:rsidRDefault="009F20B6" w:rsidP="001744CE">
      <w:pPr>
        <w:rPr>
          <w:rFonts w:ascii="Arial" w:hAnsi="Arial" w:cs="Arial"/>
        </w:rPr>
      </w:pPr>
    </w:p>
    <w:p w14:paraId="4487FFBE" w14:textId="77777777" w:rsidR="009F20B6" w:rsidRPr="001744CE" w:rsidRDefault="009F20B6" w:rsidP="001744CE">
      <w:pPr>
        <w:ind w:firstLine="720"/>
        <w:rPr>
          <w:rFonts w:ascii="Arial" w:hAnsi="Arial" w:cs="Arial"/>
        </w:rPr>
      </w:pPr>
    </w:p>
    <w:p w14:paraId="03FE280A" w14:textId="77777777" w:rsidR="00182524" w:rsidRPr="001744CE" w:rsidRDefault="00182524" w:rsidP="001744CE">
      <w:pPr>
        <w:ind w:left="720"/>
        <w:rPr>
          <w:rFonts w:ascii="Arial" w:hAnsi="Arial" w:cs="Arial"/>
        </w:rPr>
      </w:pPr>
    </w:p>
    <w:bookmarkEnd w:id="14"/>
    <w:p w14:paraId="03A49E8B" w14:textId="77777777" w:rsidR="00D908A5" w:rsidRPr="001744CE" w:rsidRDefault="00D908A5" w:rsidP="001744CE">
      <w:pPr>
        <w:ind w:left="720"/>
        <w:rPr>
          <w:rFonts w:ascii="Arial" w:hAnsi="Arial" w:cs="Arial"/>
          <w:i/>
          <w:iCs/>
        </w:rPr>
      </w:pPr>
    </w:p>
    <w:p w14:paraId="3C7AA80C" w14:textId="77777777" w:rsidR="00621776" w:rsidRPr="001744CE" w:rsidRDefault="00621776" w:rsidP="001744CE">
      <w:pPr>
        <w:rPr>
          <w:rFonts w:ascii="Arial" w:hAnsi="Arial" w:cs="Arial"/>
        </w:rPr>
      </w:pPr>
    </w:p>
    <w:p w14:paraId="0D5F3838" w14:textId="77777777" w:rsidR="008C38C3" w:rsidRPr="001744CE" w:rsidRDefault="008C38C3" w:rsidP="001744CE">
      <w:pPr>
        <w:rPr>
          <w:rFonts w:ascii="Arial" w:hAnsi="Arial" w:cs="Arial"/>
        </w:rPr>
      </w:pPr>
    </w:p>
    <w:p w14:paraId="438D3C08" w14:textId="77777777" w:rsidR="008C38C3" w:rsidRPr="001744CE" w:rsidRDefault="008C38C3" w:rsidP="001744CE">
      <w:pPr>
        <w:rPr>
          <w:rFonts w:ascii="Arial" w:hAnsi="Arial" w:cs="Arial"/>
        </w:rPr>
      </w:pPr>
    </w:p>
    <w:p w14:paraId="18FF6044" w14:textId="77777777" w:rsidR="008C38C3" w:rsidRPr="001744CE" w:rsidRDefault="008C38C3" w:rsidP="001744CE">
      <w:pPr>
        <w:rPr>
          <w:rFonts w:ascii="Arial" w:hAnsi="Arial" w:cs="Arial"/>
        </w:rPr>
      </w:pPr>
    </w:p>
    <w:p w14:paraId="268CFD1F" w14:textId="77777777" w:rsidR="008C38C3" w:rsidRPr="001744CE" w:rsidRDefault="008C38C3" w:rsidP="001744CE">
      <w:pPr>
        <w:rPr>
          <w:rFonts w:ascii="Arial" w:hAnsi="Arial" w:cs="Arial"/>
        </w:rPr>
      </w:pPr>
    </w:p>
    <w:p w14:paraId="2440A778" w14:textId="77777777" w:rsidR="008C38C3" w:rsidRPr="001744CE" w:rsidRDefault="008C38C3" w:rsidP="001744CE">
      <w:pPr>
        <w:rPr>
          <w:rFonts w:ascii="Arial" w:hAnsi="Arial" w:cs="Arial"/>
        </w:rPr>
      </w:pPr>
    </w:p>
    <w:p w14:paraId="5122D4D8" w14:textId="77777777" w:rsidR="008C38C3" w:rsidRPr="001744CE" w:rsidRDefault="008C38C3" w:rsidP="001744CE">
      <w:pPr>
        <w:rPr>
          <w:rFonts w:ascii="Arial" w:hAnsi="Arial" w:cs="Arial"/>
        </w:rPr>
      </w:pPr>
    </w:p>
    <w:p w14:paraId="4944E244" w14:textId="77777777" w:rsidR="008C38C3" w:rsidRPr="001744CE" w:rsidRDefault="008C38C3" w:rsidP="001744CE">
      <w:pPr>
        <w:rPr>
          <w:rFonts w:ascii="Arial" w:hAnsi="Arial" w:cs="Arial"/>
        </w:rPr>
      </w:pPr>
    </w:p>
    <w:p w14:paraId="5DA0FD87" w14:textId="77777777" w:rsidR="008C38C3" w:rsidRPr="001744CE" w:rsidRDefault="008C38C3" w:rsidP="001744CE">
      <w:pPr>
        <w:rPr>
          <w:rFonts w:ascii="Arial" w:hAnsi="Arial" w:cs="Arial"/>
        </w:rPr>
      </w:pPr>
    </w:p>
    <w:p w14:paraId="6ED1B63A" w14:textId="77777777" w:rsidR="000264A2" w:rsidRPr="001744CE" w:rsidRDefault="000264A2" w:rsidP="001744CE">
      <w:pPr>
        <w:rPr>
          <w:rFonts w:ascii="Arial" w:hAnsi="Arial" w:cs="Arial"/>
        </w:rPr>
      </w:pPr>
    </w:p>
    <w:p w14:paraId="01E01220" w14:textId="77777777" w:rsidR="008C38C3" w:rsidRPr="001744CE" w:rsidRDefault="008C38C3" w:rsidP="001744CE">
      <w:pPr>
        <w:rPr>
          <w:rFonts w:ascii="Arial" w:hAnsi="Arial" w:cs="Arial"/>
        </w:rPr>
      </w:pPr>
    </w:p>
    <w:p w14:paraId="5123C817" w14:textId="3943A614" w:rsidR="008C38C3" w:rsidRPr="001744CE" w:rsidRDefault="008C38C3" w:rsidP="001744CE">
      <w:pPr>
        <w:pStyle w:val="Heading1"/>
        <w:ind w:left="0"/>
        <w:jc w:val="both"/>
        <w:rPr>
          <w:rFonts w:cs="Arial"/>
          <w:sz w:val="22"/>
          <w:szCs w:val="22"/>
        </w:rPr>
      </w:pPr>
      <w:bookmarkStart w:id="15" w:name="OLE_LINK3"/>
      <w:r w:rsidRPr="001744CE">
        <w:rPr>
          <w:rFonts w:cs="Arial"/>
          <w:sz w:val="22"/>
          <w:szCs w:val="22"/>
        </w:rPr>
        <w:t xml:space="preserve">Additional Information </w:t>
      </w:r>
    </w:p>
    <w:p w14:paraId="2843727D" w14:textId="77777777" w:rsidR="008C38C3" w:rsidRPr="001744CE" w:rsidRDefault="008C38C3" w:rsidP="001744CE">
      <w:pPr>
        <w:rPr>
          <w:rFonts w:ascii="Arial" w:hAnsi="Arial" w:cs="Arial"/>
        </w:rPr>
      </w:pPr>
    </w:p>
    <w:p w14:paraId="231C6501" w14:textId="61EB1B81" w:rsidR="008C38C3" w:rsidRPr="001744CE" w:rsidRDefault="008C38C3">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jc w:val="both"/>
        <w:rPr>
          <w:rFonts w:ascii="Arial" w:eastAsia="Arial Unicode MS" w:hAnsi="Arial" w:cs="Arial"/>
        </w:rPr>
      </w:pPr>
      <w:r w:rsidRPr="001744CE">
        <w:rPr>
          <w:rFonts w:ascii="Arial" w:eastAsia="Arial Unicode MS" w:hAnsi="Arial" w:cs="Arial"/>
          <w:b/>
        </w:rPr>
        <w:t>It is important to remember that the word limit is part of the task.</w:t>
      </w:r>
      <w:r w:rsidRPr="001744CE">
        <w:rPr>
          <w:rFonts w:ascii="Arial" w:eastAsia="Arial Unicode MS" w:hAnsi="Arial" w:cs="Arial"/>
        </w:rPr>
        <w:t xml:space="preserve">  You will lose marks if you go over or under 10% of your given word count for the dissertation. </w:t>
      </w:r>
    </w:p>
    <w:p w14:paraId="3EB8746D" w14:textId="6CC3500C" w:rsidR="008C38C3" w:rsidRPr="001744CE" w:rsidRDefault="008C38C3">
      <w:pPr>
        <w:pStyle w:val="ListParagraph"/>
        <w:widowControl/>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rial" w:eastAsia="Arial Unicode MS" w:hAnsi="Arial" w:cs="Arial"/>
        </w:rPr>
      </w:pPr>
      <w:r w:rsidRPr="001744CE">
        <w:rPr>
          <w:rFonts w:ascii="Arial" w:eastAsia="Arial Unicode MS" w:hAnsi="Arial" w:cs="Arial"/>
        </w:rPr>
        <w:t>It is a requirement that you submit your work in a MS Word processed format.</w:t>
      </w:r>
    </w:p>
    <w:p w14:paraId="423A0095" w14:textId="197D7589" w:rsidR="008C38C3" w:rsidRPr="001744CE" w:rsidRDefault="008C38C3">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eastAsia="Arial Unicode MS" w:hAnsi="Arial" w:cs="Arial"/>
        </w:rPr>
      </w:pPr>
      <w:r w:rsidRPr="001744CE">
        <w:rPr>
          <w:rFonts w:ascii="Arial" w:eastAsia="Arial Unicode MS" w:hAnsi="Arial" w:cs="Arial"/>
        </w:rPr>
        <w:t>Pictures, diagrams and visuals are welcome within your work.  Seek guidance for illustrative material.</w:t>
      </w:r>
    </w:p>
    <w:p w14:paraId="032B3E02" w14:textId="029598FB" w:rsidR="008C38C3" w:rsidRPr="001744CE" w:rsidRDefault="008C38C3">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eastAsia="Arial Unicode MS" w:hAnsi="Arial" w:cs="Arial"/>
        </w:rPr>
      </w:pPr>
      <w:r w:rsidRPr="001744CE">
        <w:rPr>
          <w:rFonts w:ascii="Arial" w:eastAsia="Arial Unicode MS" w:hAnsi="Arial" w:cs="Arial"/>
        </w:rPr>
        <w:t xml:space="preserve">Black word-processed print to be used. The font chosen for the main body of the finished work is Arial, Calibri or Aptos, point 11.  </w:t>
      </w:r>
    </w:p>
    <w:p w14:paraId="09000523" w14:textId="5414A7D2" w:rsidR="008C38C3" w:rsidRPr="001744CE" w:rsidRDefault="008C38C3">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eastAsia="Arial Unicode MS" w:hAnsi="Arial" w:cs="Arial"/>
        </w:rPr>
      </w:pPr>
      <w:r w:rsidRPr="001744CE">
        <w:rPr>
          <w:rFonts w:ascii="Arial" w:eastAsia="Arial Unicode MS" w:hAnsi="Arial" w:cs="Arial"/>
        </w:rPr>
        <w:t>Text should be at least 1½ line spacing (usually double-spaced) and of justified alignment (straight edges both sides)</w:t>
      </w:r>
      <w:r w:rsidR="007F7847" w:rsidRPr="001744CE">
        <w:rPr>
          <w:rFonts w:ascii="Arial" w:eastAsia="Arial Unicode MS" w:hAnsi="Arial" w:cs="Arial"/>
        </w:rPr>
        <w:t>.</w:t>
      </w:r>
    </w:p>
    <w:p w14:paraId="1AEB1D16" w14:textId="6F67428D" w:rsidR="008C38C3" w:rsidRPr="001744CE" w:rsidRDefault="008C38C3">
      <w:pPr>
        <w:numPr>
          <w:ilvl w:val="0"/>
          <w:numId w:val="1"/>
        </w:numPr>
        <w:spacing w:after="0" w:line="600" w:lineRule="auto"/>
        <w:contextualSpacing/>
        <w:rPr>
          <w:rFonts w:ascii="Arial" w:eastAsia="Arial Unicode MS" w:hAnsi="Arial" w:cs="Arial"/>
        </w:rPr>
      </w:pPr>
      <w:r w:rsidRPr="001744CE">
        <w:rPr>
          <w:rFonts w:ascii="Arial" w:eastAsia="Arial Unicode MS" w:hAnsi="Arial" w:cs="Arial"/>
        </w:rPr>
        <w:t>Pages shall be numbered consecutively from the first page of the first chapter throughout the main text (including appendices) in Arabic numerals (i.e. 1, 2, 3, etc.).</w:t>
      </w:r>
    </w:p>
    <w:p w14:paraId="2A3E3018" w14:textId="3952441F" w:rsidR="008C38C3" w:rsidRPr="001744CE" w:rsidRDefault="008C38C3">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eastAsia="Arial Unicode MS" w:hAnsi="Arial" w:cs="Arial"/>
        </w:rPr>
      </w:pPr>
      <w:r w:rsidRPr="001744CE">
        <w:rPr>
          <w:rFonts w:ascii="Arial" w:eastAsia="Arial Unicode MS" w:hAnsi="Arial" w:cs="Arial"/>
        </w:rPr>
        <w:t>Page numbers should be located at the bottom of the page.</w:t>
      </w:r>
    </w:p>
    <w:p w14:paraId="2EC7D6B8" w14:textId="77777777" w:rsidR="008C38C3" w:rsidRPr="001744CE" w:rsidRDefault="008C38C3">
      <w:pPr>
        <w:numPr>
          <w:ilvl w:val="0"/>
          <w:numId w:val="1"/>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hAnsi="Arial" w:cs="Arial"/>
        </w:rPr>
      </w:pPr>
      <w:r w:rsidRPr="001744CE">
        <w:rPr>
          <w:rFonts w:ascii="Arial" w:eastAsia="Arial Unicode MS" w:hAnsi="Arial" w:cs="Arial"/>
        </w:rPr>
        <w:t>Main text should be divided into chapters beginning with an introductory chapter which sets the scene.  Each chapter should begin on a separate page.</w:t>
      </w:r>
    </w:p>
    <w:bookmarkEnd w:id="15"/>
    <w:p w14:paraId="70C7CA0C" w14:textId="77777777" w:rsidR="008C38C3" w:rsidRPr="001744CE" w:rsidRDefault="008C38C3" w:rsidP="001744CE">
      <w:pPr>
        <w:rPr>
          <w:rFonts w:ascii="Arial" w:hAnsi="Arial" w:cs="Arial"/>
        </w:rPr>
      </w:pPr>
    </w:p>
    <w:sectPr w:rsidR="008C38C3" w:rsidRPr="001744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4377C" w14:textId="77777777" w:rsidR="004B6D03" w:rsidRDefault="004B6D03" w:rsidP="00211184">
      <w:pPr>
        <w:spacing w:after="0" w:line="240" w:lineRule="auto"/>
      </w:pPr>
      <w:r>
        <w:separator/>
      </w:r>
    </w:p>
  </w:endnote>
  <w:endnote w:type="continuationSeparator" w:id="0">
    <w:p w14:paraId="716A7555" w14:textId="77777777" w:rsidR="004B6D03" w:rsidRDefault="004B6D03"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0D506" w14:textId="77777777" w:rsidR="004B6D03" w:rsidRDefault="004B6D03" w:rsidP="00211184">
      <w:pPr>
        <w:spacing w:after="0" w:line="240" w:lineRule="auto"/>
      </w:pPr>
      <w:r>
        <w:separator/>
      </w:r>
    </w:p>
  </w:footnote>
  <w:footnote w:type="continuationSeparator" w:id="0">
    <w:p w14:paraId="3A8F707C" w14:textId="77777777" w:rsidR="004B6D03" w:rsidRDefault="004B6D03"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2D32C8"/>
    <w:multiLevelType w:val="multilevel"/>
    <w:tmpl w:val="A04E3E0E"/>
    <w:lvl w:ilvl="0">
      <w:start w:val="1"/>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1" w15:restartNumberingAfterBreak="0">
    <w:nsid w:val="2BED5331"/>
    <w:multiLevelType w:val="multilevel"/>
    <w:tmpl w:val="8050DF7A"/>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1214E5"/>
    <w:multiLevelType w:val="multilevel"/>
    <w:tmpl w:val="B8E4A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194BF3"/>
    <w:multiLevelType w:val="multilevel"/>
    <w:tmpl w:val="493A8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0121260">
    <w:abstractNumId w:val="2"/>
  </w:num>
  <w:num w:numId="2" w16cid:durableId="438111508">
    <w:abstractNumId w:val="6"/>
  </w:num>
  <w:num w:numId="3" w16cid:durableId="1810784339">
    <w:abstractNumId w:val="5"/>
  </w:num>
  <w:num w:numId="4" w16cid:durableId="18512348">
    <w:abstractNumId w:val="0"/>
  </w:num>
  <w:num w:numId="5" w16cid:durableId="1051610124">
    <w:abstractNumId w:val="3"/>
  </w:num>
  <w:num w:numId="6" w16cid:durableId="1893879437">
    <w:abstractNumId w:val="1"/>
  </w:num>
  <w:num w:numId="7" w16cid:durableId="1720205218">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363C0"/>
    <w:rsid w:val="000400E4"/>
    <w:rsid w:val="00044DD2"/>
    <w:rsid w:val="00063B4C"/>
    <w:rsid w:val="00080777"/>
    <w:rsid w:val="000D05D8"/>
    <w:rsid w:val="000D0641"/>
    <w:rsid w:val="000D2B00"/>
    <w:rsid w:val="000F1F0F"/>
    <w:rsid w:val="000F624B"/>
    <w:rsid w:val="00117750"/>
    <w:rsid w:val="001363B8"/>
    <w:rsid w:val="00137723"/>
    <w:rsid w:val="001601E6"/>
    <w:rsid w:val="00162DBF"/>
    <w:rsid w:val="001744CE"/>
    <w:rsid w:val="00182524"/>
    <w:rsid w:val="00190506"/>
    <w:rsid w:val="001912D6"/>
    <w:rsid w:val="0019703D"/>
    <w:rsid w:val="001A0B2D"/>
    <w:rsid w:val="001C3AF6"/>
    <w:rsid w:val="001C62ED"/>
    <w:rsid w:val="001C7988"/>
    <w:rsid w:val="001C7D34"/>
    <w:rsid w:val="001D079B"/>
    <w:rsid w:val="001D1485"/>
    <w:rsid w:val="001D7AA9"/>
    <w:rsid w:val="001E6171"/>
    <w:rsid w:val="001F19A6"/>
    <w:rsid w:val="0020590F"/>
    <w:rsid w:val="00211184"/>
    <w:rsid w:val="0021364B"/>
    <w:rsid w:val="00220615"/>
    <w:rsid w:val="00235891"/>
    <w:rsid w:val="0023767E"/>
    <w:rsid w:val="0025020C"/>
    <w:rsid w:val="00256951"/>
    <w:rsid w:val="00257290"/>
    <w:rsid w:val="00260564"/>
    <w:rsid w:val="0026711F"/>
    <w:rsid w:val="002765CD"/>
    <w:rsid w:val="002865F5"/>
    <w:rsid w:val="00290658"/>
    <w:rsid w:val="00291A8A"/>
    <w:rsid w:val="002926F3"/>
    <w:rsid w:val="00292A36"/>
    <w:rsid w:val="002953DD"/>
    <w:rsid w:val="002C6482"/>
    <w:rsid w:val="002D46FA"/>
    <w:rsid w:val="002D64A3"/>
    <w:rsid w:val="002F5E53"/>
    <w:rsid w:val="0030073D"/>
    <w:rsid w:val="00312A5A"/>
    <w:rsid w:val="003135AD"/>
    <w:rsid w:val="0031547A"/>
    <w:rsid w:val="00332E09"/>
    <w:rsid w:val="003447E7"/>
    <w:rsid w:val="0034797F"/>
    <w:rsid w:val="00347D3B"/>
    <w:rsid w:val="003627EA"/>
    <w:rsid w:val="0037654A"/>
    <w:rsid w:val="00393F39"/>
    <w:rsid w:val="003A66FD"/>
    <w:rsid w:val="003B1E32"/>
    <w:rsid w:val="003D0557"/>
    <w:rsid w:val="003E69A7"/>
    <w:rsid w:val="003F1BFD"/>
    <w:rsid w:val="004154B2"/>
    <w:rsid w:val="00435FBA"/>
    <w:rsid w:val="00486126"/>
    <w:rsid w:val="004A00B4"/>
    <w:rsid w:val="004B0B2B"/>
    <w:rsid w:val="004B442D"/>
    <w:rsid w:val="004B6D03"/>
    <w:rsid w:val="004C6EFF"/>
    <w:rsid w:val="004D4021"/>
    <w:rsid w:val="004E1B85"/>
    <w:rsid w:val="004E38B6"/>
    <w:rsid w:val="004E7DB9"/>
    <w:rsid w:val="005119DE"/>
    <w:rsid w:val="00515B7C"/>
    <w:rsid w:val="00520A17"/>
    <w:rsid w:val="00524F01"/>
    <w:rsid w:val="005423AB"/>
    <w:rsid w:val="005446BF"/>
    <w:rsid w:val="0055147E"/>
    <w:rsid w:val="0056150D"/>
    <w:rsid w:val="00564CA5"/>
    <w:rsid w:val="00565B7F"/>
    <w:rsid w:val="005720E8"/>
    <w:rsid w:val="00594ED8"/>
    <w:rsid w:val="005B3EDE"/>
    <w:rsid w:val="005B6E67"/>
    <w:rsid w:val="005B7E8E"/>
    <w:rsid w:val="005C5E80"/>
    <w:rsid w:val="005D496B"/>
    <w:rsid w:val="005D7A1E"/>
    <w:rsid w:val="005E05DF"/>
    <w:rsid w:val="005E1650"/>
    <w:rsid w:val="005F297F"/>
    <w:rsid w:val="00604A87"/>
    <w:rsid w:val="00605758"/>
    <w:rsid w:val="00621776"/>
    <w:rsid w:val="00621872"/>
    <w:rsid w:val="00622EDC"/>
    <w:rsid w:val="00636D9A"/>
    <w:rsid w:val="0065403F"/>
    <w:rsid w:val="00655AD5"/>
    <w:rsid w:val="00671F7F"/>
    <w:rsid w:val="006777EA"/>
    <w:rsid w:val="00684276"/>
    <w:rsid w:val="00693FD7"/>
    <w:rsid w:val="006A3F0D"/>
    <w:rsid w:val="006A4515"/>
    <w:rsid w:val="006C78AA"/>
    <w:rsid w:val="006D3C15"/>
    <w:rsid w:val="006F04D4"/>
    <w:rsid w:val="006F4AB2"/>
    <w:rsid w:val="0070029F"/>
    <w:rsid w:val="0070110C"/>
    <w:rsid w:val="00705F2D"/>
    <w:rsid w:val="007063BA"/>
    <w:rsid w:val="00727C46"/>
    <w:rsid w:val="00727D30"/>
    <w:rsid w:val="00730C3C"/>
    <w:rsid w:val="0073280B"/>
    <w:rsid w:val="00746E7F"/>
    <w:rsid w:val="00750B5B"/>
    <w:rsid w:val="00750D14"/>
    <w:rsid w:val="0077163A"/>
    <w:rsid w:val="00777A7B"/>
    <w:rsid w:val="00785752"/>
    <w:rsid w:val="007A59C8"/>
    <w:rsid w:val="007A712E"/>
    <w:rsid w:val="007C246B"/>
    <w:rsid w:val="007C4296"/>
    <w:rsid w:val="007C685B"/>
    <w:rsid w:val="007D0926"/>
    <w:rsid w:val="007D6AC9"/>
    <w:rsid w:val="007F7847"/>
    <w:rsid w:val="00804B94"/>
    <w:rsid w:val="00807B11"/>
    <w:rsid w:val="0082760D"/>
    <w:rsid w:val="00835237"/>
    <w:rsid w:val="008528CB"/>
    <w:rsid w:val="00880B2D"/>
    <w:rsid w:val="00883AB0"/>
    <w:rsid w:val="00892948"/>
    <w:rsid w:val="00894108"/>
    <w:rsid w:val="008B1DFA"/>
    <w:rsid w:val="008C38C3"/>
    <w:rsid w:val="008D125D"/>
    <w:rsid w:val="008D62E1"/>
    <w:rsid w:val="008D6F0F"/>
    <w:rsid w:val="008E7B2E"/>
    <w:rsid w:val="008F0585"/>
    <w:rsid w:val="00916814"/>
    <w:rsid w:val="00920803"/>
    <w:rsid w:val="009240D1"/>
    <w:rsid w:val="0097159D"/>
    <w:rsid w:val="00980403"/>
    <w:rsid w:val="00995444"/>
    <w:rsid w:val="009A00B1"/>
    <w:rsid w:val="009C40BF"/>
    <w:rsid w:val="009D06C5"/>
    <w:rsid w:val="009D2F4C"/>
    <w:rsid w:val="009D534C"/>
    <w:rsid w:val="009D728C"/>
    <w:rsid w:val="009E048A"/>
    <w:rsid w:val="009E5B14"/>
    <w:rsid w:val="009F20B6"/>
    <w:rsid w:val="00A12976"/>
    <w:rsid w:val="00A153D4"/>
    <w:rsid w:val="00A246D0"/>
    <w:rsid w:val="00A24E77"/>
    <w:rsid w:val="00A44011"/>
    <w:rsid w:val="00A452FA"/>
    <w:rsid w:val="00A5171F"/>
    <w:rsid w:val="00A721D5"/>
    <w:rsid w:val="00A87C2B"/>
    <w:rsid w:val="00A90A7A"/>
    <w:rsid w:val="00A926D3"/>
    <w:rsid w:val="00A978B1"/>
    <w:rsid w:val="00AA437C"/>
    <w:rsid w:val="00AB78F0"/>
    <w:rsid w:val="00AB7951"/>
    <w:rsid w:val="00AF3A13"/>
    <w:rsid w:val="00B01396"/>
    <w:rsid w:val="00B23C27"/>
    <w:rsid w:val="00B2418B"/>
    <w:rsid w:val="00B26215"/>
    <w:rsid w:val="00B26973"/>
    <w:rsid w:val="00B4037A"/>
    <w:rsid w:val="00B545A2"/>
    <w:rsid w:val="00B575E2"/>
    <w:rsid w:val="00B57DCE"/>
    <w:rsid w:val="00B64170"/>
    <w:rsid w:val="00B7073C"/>
    <w:rsid w:val="00B81F2E"/>
    <w:rsid w:val="00B858A1"/>
    <w:rsid w:val="00BA135A"/>
    <w:rsid w:val="00BB263C"/>
    <w:rsid w:val="00BB2890"/>
    <w:rsid w:val="00BB4E1D"/>
    <w:rsid w:val="00BB65AC"/>
    <w:rsid w:val="00BB6870"/>
    <w:rsid w:val="00BD2909"/>
    <w:rsid w:val="00BF01C2"/>
    <w:rsid w:val="00BF4DA2"/>
    <w:rsid w:val="00BF61C7"/>
    <w:rsid w:val="00C026C3"/>
    <w:rsid w:val="00C04454"/>
    <w:rsid w:val="00C17A49"/>
    <w:rsid w:val="00C276C1"/>
    <w:rsid w:val="00C329A3"/>
    <w:rsid w:val="00C42D14"/>
    <w:rsid w:val="00C6209D"/>
    <w:rsid w:val="00C6771C"/>
    <w:rsid w:val="00C82931"/>
    <w:rsid w:val="00C91122"/>
    <w:rsid w:val="00C91479"/>
    <w:rsid w:val="00C952BA"/>
    <w:rsid w:val="00CB05F0"/>
    <w:rsid w:val="00CB3AF6"/>
    <w:rsid w:val="00CB3C13"/>
    <w:rsid w:val="00CB6956"/>
    <w:rsid w:val="00CC2787"/>
    <w:rsid w:val="00CD3983"/>
    <w:rsid w:val="00CD7E7E"/>
    <w:rsid w:val="00CE3FD1"/>
    <w:rsid w:val="00CE620E"/>
    <w:rsid w:val="00CF1ED5"/>
    <w:rsid w:val="00CF2543"/>
    <w:rsid w:val="00D117EE"/>
    <w:rsid w:val="00D13A82"/>
    <w:rsid w:val="00D13DB7"/>
    <w:rsid w:val="00D210FE"/>
    <w:rsid w:val="00D2173B"/>
    <w:rsid w:val="00D53C8D"/>
    <w:rsid w:val="00D908A5"/>
    <w:rsid w:val="00D92038"/>
    <w:rsid w:val="00D93A5C"/>
    <w:rsid w:val="00DA0E6F"/>
    <w:rsid w:val="00DA4C8B"/>
    <w:rsid w:val="00DA67B8"/>
    <w:rsid w:val="00DB20CC"/>
    <w:rsid w:val="00DB3118"/>
    <w:rsid w:val="00DB71AC"/>
    <w:rsid w:val="00DC00D1"/>
    <w:rsid w:val="00DC00DC"/>
    <w:rsid w:val="00DC2086"/>
    <w:rsid w:val="00DC4E1B"/>
    <w:rsid w:val="00DC7A8F"/>
    <w:rsid w:val="00DD02A4"/>
    <w:rsid w:val="00DD6EC4"/>
    <w:rsid w:val="00DE1A02"/>
    <w:rsid w:val="00E05C6C"/>
    <w:rsid w:val="00E157E1"/>
    <w:rsid w:val="00E166D4"/>
    <w:rsid w:val="00E2182C"/>
    <w:rsid w:val="00E25051"/>
    <w:rsid w:val="00E325CF"/>
    <w:rsid w:val="00E40B0D"/>
    <w:rsid w:val="00E46BB2"/>
    <w:rsid w:val="00E5013A"/>
    <w:rsid w:val="00E5689F"/>
    <w:rsid w:val="00E7096D"/>
    <w:rsid w:val="00E71420"/>
    <w:rsid w:val="00E74F11"/>
    <w:rsid w:val="00E768F1"/>
    <w:rsid w:val="00E94DA0"/>
    <w:rsid w:val="00EA5CC3"/>
    <w:rsid w:val="00EA61DD"/>
    <w:rsid w:val="00EC79FC"/>
    <w:rsid w:val="00ED4DA3"/>
    <w:rsid w:val="00EF1E7D"/>
    <w:rsid w:val="00EF6341"/>
    <w:rsid w:val="00F00301"/>
    <w:rsid w:val="00F01D37"/>
    <w:rsid w:val="00F0560A"/>
    <w:rsid w:val="00F158D7"/>
    <w:rsid w:val="00F20EE5"/>
    <w:rsid w:val="00F22A52"/>
    <w:rsid w:val="00F251F7"/>
    <w:rsid w:val="00F44833"/>
    <w:rsid w:val="00F544B0"/>
    <w:rsid w:val="00F55683"/>
    <w:rsid w:val="00F56BBE"/>
    <w:rsid w:val="00F612CF"/>
    <w:rsid w:val="00F67C87"/>
    <w:rsid w:val="00F80AAC"/>
    <w:rsid w:val="00F84C23"/>
    <w:rsid w:val="00FD3DE0"/>
    <w:rsid w:val="00FD7729"/>
    <w:rsid w:val="00FD7C22"/>
    <w:rsid w:val="00FE4E9B"/>
    <w:rsid w:val="00FE5C58"/>
    <w:rsid w:val="00FE75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paragraph" w:styleId="HTMLPreformatted">
    <w:name w:val="HTML Preformatted"/>
    <w:basedOn w:val="Normal"/>
    <w:link w:val="HTMLPreformattedChar"/>
    <w:uiPriority w:val="99"/>
    <w:semiHidden/>
    <w:unhideWhenUsed/>
    <w:rsid w:val="00A87C2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A87C2B"/>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A87C2B"/>
    <w:rPr>
      <w:rFonts w:ascii="Courier New" w:eastAsia="Times New Roman" w:hAnsi="Courier New" w:cs="Courier New"/>
      <w:sz w:val="20"/>
      <w:szCs w:val="20"/>
    </w:rPr>
  </w:style>
  <w:style w:type="character" w:styleId="Emphasis">
    <w:name w:val="Emphasis"/>
    <w:basedOn w:val="DefaultParagraphFont"/>
    <w:uiPriority w:val="20"/>
    <w:qFormat/>
    <w:rsid w:val="00727C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g-link.byteoversea.com/?target=https%3A%2F%2Fwebarchive.nationalarchives.gov.uk%2Fukgwa%2F20130401151715%2Fhttp%3A%2F%2Fwww.education.gov.uk%2Fpublications%2FeOrderingDownload%2FCM5860.pdf&amp;scene=im&amp;aid=582465&amp;lang=en-U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g-link.byteoversea.com/?target=https%3A%2F%2Ftransformingpsychologicaltrauma.scot&amp;scene=im&amp;aid=582465&amp;lang=en-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sg-link.byteoversea.com/?target=https%3A%2F%2Fwww.longtermplan.nhs.uk&amp;scene=im&amp;aid=582465&amp;lang=en-US"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g-link.byteoversea.com/?target=https%3A%2F%2Flibrary.csuchico.edu%2Fsites%2Fdefault%2Ffiles%2Fcraap-test.pdf&amp;scene=im&amp;aid=582465&amp;lang=en-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47</Pages>
  <Words>13142</Words>
  <Characters>74916</Characters>
  <Application>Microsoft Office Word</Application>
  <DocSecurity>0</DocSecurity>
  <Lines>624</Lines>
  <Paragraphs>175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salhma Parveen</cp:lastModifiedBy>
  <cp:revision>154</cp:revision>
  <dcterms:created xsi:type="dcterms:W3CDTF">2026-07-25T21:07:00Z</dcterms:created>
  <dcterms:modified xsi:type="dcterms:W3CDTF">2026-07-26T15:53:00Z</dcterms:modified>
</cp:coreProperties>
</file>