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E81F122">
      <w:pPr>
        <w:ind w:firstLine="0"/>
        <w:jc w:val="center"/>
        <w:rPr>
          <w:rFonts w:eastAsia="Times New Roman"/>
        </w:rPr>
      </w:pPr>
    </w:p>
    <w:p w14:paraId="692C735A">
      <w:pPr>
        <w:ind w:firstLine="0"/>
        <w:jc w:val="center"/>
        <w:rPr>
          <w:rFonts w:eastAsia="Times New Roman"/>
        </w:rPr>
      </w:pPr>
    </w:p>
    <w:p w14:paraId="7E1A4E38">
      <w:pPr>
        <w:ind w:firstLine="0"/>
        <w:jc w:val="center"/>
        <w:rPr>
          <w:rFonts w:eastAsia="Times New Roman"/>
        </w:rPr>
      </w:pPr>
    </w:p>
    <w:p w14:paraId="3C9AFA06">
      <w:pPr>
        <w:ind w:firstLine="0"/>
        <w:jc w:val="center"/>
        <w:rPr>
          <w:rFonts w:eastAsia="Times New Roman"/>
        </w:rPr>
      </w:pPr>
      <w:r>
        <w:rPr>
          <w:rFonts w:eastAsia="Times New Roman"/>
        </w:rPr>
        <w:drawing>
          <wp:inline distT="0" distB="0" distL="0" distR="0">
            <wp:extent cx="1810385" cy="7251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1810385" cy="725170"/>
                    </a:xfrm>
                    <a:prstGeom prst="rect">
                      <a:avLst/>
                    </a:prstGeom>
                    <a:noFill/>
                  </pic:spPr>
                </pic:pic>
              </a:graphicData>
            </a:graphic>
          </wp:inline>
        </w:drawing>
      </w:r>
    </w:p>
    <w:p w14:paraId="4F2D3B59">
      <w:pPr>
        <w:ind w:firstLine="0"/>
        <w:rPr>
          <w:rFonts w:eastAsia="Times New Roman"/>
        </w:rPr>
      </w:pPr>
    </w:p>
    <w:p w14:paraId="4BD81736">
      <w:pPr>
        <w:ind w:firstLine="0"/>
        <w:jc w:val="center"/>
        <w:rPr>
          <w:rFonts w:eastAsia="Times New Roman"/>
        </w:rPr>
      </w:pPr>
    </w:p>
    <w:p w14:paraId="1605977A">
      <w:pPr>
        <w:ind w:firstLine="0"/>
        <w:jc w:val="center"/>
        <w:rPr>
          <w:rFonts w:eastAsia="Times New Roman"/>
        </w:rPr>
      </w:pPr>
    </w:p>
    <w:p w14:paraId="256D00AD">
      <w:pPr>
        <w:ind w:firstLine="0"/>
        <w:jc w:val="center"/>
        <w:rPr>
          <w:rFonts w:eastAsia="Times New Roman"/>
        </w:rPr>
      </w:pPr>
    </w:p>
    <w:p w14:paraId="6A3541BE">
      <w:pPr>
        <w:ind w:firstLine="0"/>
        <w:jc w:val="center"/>
        <w:rPr>
          <w:rFonts w:eastAsia="Times New Roman"/>
        </w:rPr>
      </w:pPr>
      <w:r>
        <w:rPr>
          <w:rFonts w:eastAsia="Times New Roman"/>
        </w:rPr>
        <w:t xml:space="preserve">MSc Engineering Project Management </w:t>
      </w:r>
    </w:p>
    <w:p w14:paraId="2E58196C">
      <w:pPr>
        <w:ind w:firstLine="0"/>
        <w:jc w:val="center"/>
        <w:rPr>
          <w:rFonts w:eastAsia="Times New Roman"/>
          <w:bCs/>
        </w:rPr>
      </w:pPr>
      <w:r>
        <w:rPr>
          <w:rFonts w:eastAsia="Times New Roman"/>
          <w:bCs/>
        </w:rPr>
        <w:t xml:space="preserve">Applying Project Management Techniques </w:t>
      </w:r>
    </w:p>
    <w:p w14:paraId="65E71D50">
      <w:pPr>
        <w:ind w:firstLine="0"/>
        <w:jc w:val="center"/>
        <w:rPr>
          <w:rFonts w:eastAsia="Times New Roman"/>
          <w:bCs/>
        </w:rPr>
      </w:pPr>
      <w:r>
        <w:rPr>
          <w:rFonts w:eastAsia="Times New Roman"/>
          <w:bCs/>
        </w:rPr>
        <w:t>ACHA7025</w:t>
      </w:r>
    </w:p>
    <w:p w14:paraId="0D86B00A">
      <w:pPr>
        <w:ind w:firstLine="0"/>
        <w:jc w:val="center"/>
        <w:rPr>
          <w:rFonts w:hint="default" w:eastAsia="Times New Roman"/>
          <w:bCs/>
          <w:lang w:val="en-IN"/>
        </w:rPr>
      </w:pPr>
      <w:r>
        <w:rPr>
          <w:rFonts w:hint="default" w:eastAsia="Times New Roman"/>
          <w:bCs/>
          <w:lang w:val="en-IN"/>
        </w:rPr>
        <w:t xml:space="preserve">Durgesh Sunil Badhe </w:t>
      </w:r>
    </w:p>
    <w:p w14:paraId="1130B05C">
      <w:pPr>
        <w:ind w:firstLine="0"/>
        <w:jc w:val="center"/>
        <w:rPr>
          <w:rFonts w:hint="default" w:eastAsia="Times New Roman"/>
          <w:bCs/>
          <w:lang w:val="en-IN"/>
        </w:rPr>
      </w:pPr>
      <w:r>
        <w:rPr>
          <w:rFonts w:hint="default" w:eastAsia="Times New Roman"/>
          <w:bCs/>
          <w:lang w:val="en-IN"/>
        </w:rPr>
        <w:t>Student id = 2506741</w:t>
      </w:r>
      <w:bookmarkStart w:id="29" w:name="_GoBack"/>
      <w:bookmarkEnd w:id="29"/>
    </w:p>
    <w:p w14:paraId="48B79CA7">
      <w:pPr>
        <w:ind w:firstLine="0"/>
        <w:jc w:val="center"/>
        <w:rPr>
          <w:rFonts w:eastAsia="Times New Roman"/>
          <w:bCs/>
        </w:rPr>
      </w:pPr>
    </w:p>
    <w:p w14:paraId="20E58F7F">
      <w:pPr>
        <w:ind w:firstLine="0"/>
        <w:jc w:val="center"/>
        <w:rPr>
          <w:rFonts w:eastAsia="Times New Roman"/>
          <w:bCs/>
        </w:rPr>
      </w:pPr>
    </w:p>
    <w:p w14:paraId="2DEC8FCD">
      <w:pPr>
        <w:ind w:firstLine="0"/>
        <w:jc w:val="center"/>
        <w:rPr>
          <w:rFonts w:eastAsia="Times New Roman"/>
          <w:bCs/>
        </w:rPr>
      </w:pPr>
    </w:p>
    <w:p w14:paraId="52F72D20">
      <w:pPr>
        <w:ind w:firstLine="0"/>
        <w:jc w:val="center"/>
        <w:rPr>
          <w:rFonts w:eastAsia="Times New Roman"/>
          <w:bCs/>
        </w:rPr>
      </w:pPr>
    </w:p>
    <w:p w14:paraId="464D5EFE">
      <w:pPr>
        <w:ind w:firstLine="0"/>
        <w:jc w:val="center"/>
        <w:rPr>
          <w:rFonts w:eastAsia="Times New Roman"/>
          <w:bCs/>
        </w:rPr>
      </w:pPr>
    </w:p>
    <w:p w14:paraId="7D9C43C6">
      <w:pPr>
        <w:ind w:firstLine="0"/>
        <w:jc w:val="center"/>
        <w:rPr>
          <w:rFonts w:eastAsia="Times New Roman"/>
          <w:bCs/>
        </w:rPr>
      </w:pPr>
    </w:p>
    <w:sdt>
      <w:sdtPr>
        <w:id w:val="1574706247"/>
        <w:docPartObj>
          <w:docPartGallery w:val="Table of Contents"/>
          <w:docPartUnique/>
        </w:docPartObj>
      </w:sdtPr>
      <w:sdtEndPr>
        <w:rPr>
          <w:rFonts w:eastAsiaTheme="minorEastAsia" w:cstheme="minorBidi"/>
          <w:color w:val="auto"/>
          <w:szCs w:val="22"/>
        </w:rPr>
      </w:sdtEndPr>
      <w:sdtContent>
        <w:p w14:paraId="1019DD95">
          <w:pPr>
            <w:pStyle w:val="57"/>
            <w:numPr>
              <w:ilvl w:val="0"/>
              <w:numId w:val="0"/>
            </w:numPr>
            <w:spacing w:line="360" w:lineRule="auto"/>
            <w:ind w:left="432" w:hanging="432"/>
            <w:jc w:val="both"/>
          </w:pPr>
          <w:r>
            <w:t>Table of Contents</w:t>
          </w:r>
        </w:p>
        <w:p w14:paraId="0DC70394">
          <w:pPr>
            <w:pStyle w:val="28"/>
            <w:tabs>
              <w:tab w:val="left" w:pos="120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TOC \o "1-3" \h \z \u </w:instrText>
          </w:r>
          <w:r>
            <w:fldChar w:fldCharType="separate"/>
          </w:r>
          <w:r>
            <w:fldChar w:fldCharType="begin"/>
          </w:r>
          <w:r>
            <w:instrText xml:space="preserve"> HYPERLINK \l "_Toc220202053" </w:instrText>
          </w:r>
          <w:r>
            <w:fldChar w:fldCharType="separate"/>
          </w:r>
          <w:r>
            <w:rPr>
              <w:rStyle w:val="21"/>
            </w:rPr>
            <w:t>1</w:t>
          </w:r>
          <w:r>
            <w:rPr>
              <w:rFonts w:asciiTheme="minorHAnsi" w:hAnsiTheme="minorHAnsi"/>
              <w:kern w:val="2"/>
              <w:szCs w:val="24"/>
              <w:lang w:val="en-US"/>
              <w14:ligatures w14:val="standardContextual"/>
            </w:rPr>
            <w:tab/>
          </w:r>
          <w:r>
            <w:rPr>
              <w:rStyle w:val="21"/>
            </w:rPr>
            <w:t>Introduction and Background to Project</w:t>
          </w:r>
          <w:r>
            <w:tab/>
          </w:r>
          <w:r>
            <w:fldChar w:fldCharType="begin"/>
          </w:r>
          <w:r>
            <w:instrText xml:space="preserve"> PAGEREF _Toc220202053 \h </w:instrText>
          </w:r>
          <w:r>
            <w:fldChar w:fldCharType="separate"/>
          </w:r>
          <w:r>
            <w:t>3</w:t>
          </w:r>
          <w:r>
            <w:fldChar w:fldCharType="end"/>
          </w:r>
          <w:r>
            <w:fldChar w:fldCharType="end"/>
          </w:r>
        </w:p>
        <w:p w14:paraId="26E10848">
          <w:pPr>
            <w:pStyle w:val="28"/>
            <w:tabs>
              <w:tab w:val="left" w:pos="120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"_Toc220202054" </w:instrText>
          </w:r>
          <w:r>
            <w:fldChar w:fldCharType="separate"/>
          </w:r>
          <w:r>
            <w:rPr>
              <w:rStyle w:val="21"/>
            </w:rPr>
            <w:t>2</w:t>
          </w:r>
          <w:r>
            <w:rPr>
              <w:rFonts w:asciiTheme="minorHAnsi" w:hAnsiTheme="minorHAnsi"/>
              <w:kern w:val="2"/>
              <w:szCs w:val="24"/>
              <w:lang w:val="en-US"/>
              <w14:ligatures w14:val="standardContextual"/>
            </w:rPr>
            <w:tab/>
          </w:r>
          <w:r>
            <w:rPr>
              <w:rStyle w:val="21"/>
            </w:rPr>
            <w:t>Network diagram and Gantt chart Construction Listing and Critical Path</w:t>
          </w:r>
          <w:r>
            <w:tab/>
          </w:r>
          <w:r>
            <w:fldChar w:fldCharType="begin"/>
          </w:r>
          <w:r>
            <w:instrText xml:space="preserve"> PAGEREF _Toc220202054 \h </w:instrText>
          </w:r>
          <w:r>
            <w:fldChar w:fldCharType="separate"/>
          </w:r>
          <w:r>
            <w:t>4</w:t>
          </w:r>
          <w:r>
            <w:fldChar w:fldCharType="end"/>
          </w:r>
          <w:r>
            <w:fldChar w:fldCharType="end"/>
          </w:r>
        </w:p>
        <w:p w14:paraId="22076F86">
          <w:pPr>
            <w:pStyle w:val="29"/>
            <w:tabs>
              <w:tab w:val="left" w:pos="168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"_Toc220202055" </w:instrText>
          </w:r>
          <w:r>
            <w:fldChar w:fldCharType="separate"/>
          </w:r>
          <w:r>
            <w:rPr>
              <w:rStyle w:val="21"/>
            </w:rPr>
            <w:t>2.1</w:t>
          </w:r>
          <w:r>
            <w:rPr>
              <w:rFonts w:asciiTheme="minorHAnsi" w:hAnsiTheme="minorHAnsi"/>
              <w:kern w:val="2"/>
              <w:szCs w:val="24"/>
              <w:lang w:val="en-US"/>
              <w14:ligatures w14:val="standardContextual"/>
            </w:rPr>
            <w:tab/>
          </w:r>
          <w:r>
            <w:rPr>
              <w:rStyle w:val="21"/>
            </w:rPr>
            <w:t>Description of Network Diagram</w:t>
          </w:r>
          <w:r>
            <w:tab/>
          </w:r>
          <w:r>
            <w:fldChar w:fldCharType="begin"/>
          </w:r>
          <w:r>
            <w:instrText xml:space="preserve"> PAGEREF _Toc220202055 \h </w:instrText>
          </w:r>
          <w:r>
            <w:fldChar w:fldCharType="separate"/>
          </w:r>
          <w:r>
            <w:t>4</w:t>
          </w:r>
          <w:r>
            <w:fldChar w:fldCharType="end"/>
          </w:r>
          <w:r>
            <w:fldChar w:fldCharType="end"/>
          </w:r>
        </w:p>
        <w:p w14:paraId="124E3875">
          <w:pPr>
            <w:pStyle w:val="29"/>
            <w:tabs>
              <w:tab w:val="left" w:pos="168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"_Toc220202056" </w:instrText>
          </w:r>
          <w:r>
            <w:fldChar w:fldCharType="separate"/>
          </w:r>
          <w:r>
            <w:rPr>
              <w:rStyle w:val="21"/>
            </w:rPr>
            <w:t>2.2</w:t>
          </w:r>
          <w:r>
            <w:rPr>
              <w:rFonts w:asciiTheme="minorHAnsi" w:hAnsiTheme="minorHAnsi"/>
              <w:kern w:val="2"/>
              <w:szCs w:val="24"/>
              <w:lang w:val="en-US"/>
              <w14:ligatures w14:val="standardContextual"/>
            </w:rPr>
            <w:tab/>
          </w:r>
          <w:r>
            <w:rPr>
              <w:rStyle w:val="21"/>
            </w:rPr>
            <w:t>Critical Path</w:t>
          </w:r>
          <w:r>
            <w:tab/>
          </w:r>
          <w:r>
            <w:fldChar w:fldCharType="begin"/>
          </w:r>
          <w:r>
            <w:instrText xml:space="preserve"> PAGEREF _Toc220202056 \h </w:instrText>
          </w:r>
          <w:r>
            <w:fldChar w:fldCharType="separate"/>
          </w:r>
          <w:r>
            <w:t>6</w:t>
          </w:r>
          <w:r>
            <w:fldChar w:fldCharType="end"/>
          </w:r>
          <w:r>
            <w:fldChar w:fldCharType="end"/>
          </w:r>
        </w:p>
        <w:p w14:paraId="5DD88CA3">
          <w:pPr>
            <w:pStyle w:val="29"/>
            <w:tabs>
              <w:tab w:val="left" w:pos="168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"_Toc220202057" </w:instrText>
          </w:r>
          <w:r>
            <w:fldChar w:fldCharType="separate"/>
          </w:r>
          <w:r>
            <w:rPr>
              <w:rStyle w:val="21"/>
            </w:rPr>
            <w:t>2.3</w:t>
          </w:r>
          <w:r>
            <w:rPr>
              <w:rFonts w:asciiTheme="minorHAnsi" w:hAnsiTheme="minorHAnsi"/>
              <w:kern w:val="2"/>
              <w:szCs w:val="24"/>
              <w:lang w:val="en-US"/>
              <w14:ligatures w14:val="standardContextual"/>
            </w:rPr>
            <w:tab/>
          </w:r>
          <w:r>
            <w:rPr>
              <w:rStyle w:val="21"/>
            </w:rPr>
            <w:t>Gantt Chart</w:t>
          </w:r>
          <w:r>
            <w:tab/>
          </w:r>
          <w:r>
            <w:fldChar w:fldCharType="begin"/>
          </w:r>
          <w:r>
            <w:instrText xml:space="preserve"> PAGEREF _Toc220202057 \h </w:instrText>
          </w:r>
          <w:r>
            <w:fldChar w:fldCharType="separate"/>
          </w:r>
          <w:r>
            <w:t>7</w:t>
          </w:r>
          <w:r>
            <w:fldChar w:fldCharType="end"/>
          </w:r>
          <w:r>
            <w:fldChar w:fldCharType="end"/>
          </w:r>
        </w:p>
        <w:p w14:paraId="57982287">
          <w:pPr>
            <w:pStyle w:val="28"/>
            <w:tabs>
              <w:tab w:val="left" w:pos="120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"_Toc220202058" </w:instrText>
          </w:r>
          <w:r>
            <w:fldChar w:fldCharType="separate"/>
          </w:r>
          <w:r>
            <w:rPr>
              <w:rStyle w:val="21"/>
              <w:rFonts w:eastAsia="Times New Roman"/>
            </w:rPr>
            <w:t>3</w:t>
          </w:r>
          <w:r>
            <w:rPr>
              <w:rFonts w:asciiTheme="minorHAnsi" w:hAnsiTheme="minorHAnsi"/>
              <w:kern w:val="2"/>
              <w:szCs w:val="24"/>
              <w:lang w:val="en-US"/>
              <w14:ligatures w14:val="standardContextual"/>
            </w:rPr>
            <w:tab/>
          </w:r>
          <w:r>
            <w:rPr>
              <w:rStyle w:val="21"/>
              <w:rFonts w:eastAsia="Times New Roman"/>
            </w:rPr>
            <w:t>Communication Role in Project Management</w:t>
          </w:r>
          <w:r>
            <w:tab/>
          </w:r>
          <w:r>
            <w:fldChar w:fldCharType="begin"/>
          </w:r>
          <w:r>
            <w:instrText xml:space="preserve"> PAGEREF _Toc220202058 \h </w:instrText>
          </w:r>
          <w:r>
            <w:fldChar w:fldCharType="separate"/>
          </w:r>
          <w:r>
            <w:t>8</w:t>
          </w:r>
          <w:r>
            <w:fldChar w:fldCharType="end"/>
          </w:r>
          <w:r>
            <w:fldChar w:fldCharType="end"/>
          </w:r>
        </w:p>
        <w:p w14:paraId="027182AB">
          <w:pPr>
            <w:pStyle w:val="29"/>
            <w:tabs>
              <w:tab w:val="left" w:pos="168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"_Toc220202059" </w:instrText>
          </w:r>
          <w:r>
            <w:fldChar w:fldCharType="separate"/>
          </w:r>
          <w:r>
            <w:rPr>
              <w:rStyle w:val="21"/>
              <w:rFonts w:eastAsia="Times New Roman"/>
            </w:rPr>
            <w:t>3.1</w:t>
          </w:r>
          <w:r>
            <w:rPr>
              <w:rFonts w:asciiTheme="minorHAnsi" w:hAnsiTheme="minorHAnsi"/>
              <w:kern w:val="2"/>
              <w:szCs w:val="24"/>
              <w:lang w:val="en-US"/>
              <w14:ligatures w14:val="standardContextual"/>
            </w:rPr>
            <w:tab/>
          </w:r>
          <w:r>
            <w:rPr>
              <w:rStyle w:val="21"/>
              <w:rFonts w:eastAsia="Times New Roman"/>
            </w:rPr>
            <w:t>Strategic Value of Communication</w:t>
          </w:r>
          <w:r>
            <w:tab/>
          </w:r>
          <w:r>
            <w:fldChar w:fldCharType="begin"/>
          </w:r>
          <w:r>
            <w:instrText xml:space="preserve"> PAGEREF _Toc220202059 \h </w:instrText>
          </w:r>
          <w:r>
            <w:fldChar w:fldCharType="separate"/>
          </w:r>
          <w:r>
            <w:t>9</w:t>
          </w:r>
          <w:r>
            <w:fldChar w:fldCharType="end"/>
          </w:r>
          <w:r>
            <w:fldChar w:fldCharType="end"/>
          </w:r>
        </w:p>
        <w:p w14:paraId="57AE83A1">
          <w:pPr>
            <w:pStyle w:val="29"/>
            <w:tabs>
              <w:tab w:val="left" w:pos="168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"_Toc220202060" </w:instrText>
          </w:r>
          <w:r>
            <w:fldChar w:fldCharType="separate"/>
          </w:r>
          <w:r>
            <w:rPr>
              <w:rStyle w:val="21"/>
              <w:rFonts w:eastAsia="Times New Roman"/>
            </w:rPr>
            <w:t>3.2</w:t>
          </w:r>
          <w:r>
            <w:rPr>
              <w:rFonts w:asciiTheme="minorHAnsi" w:hAnsiTheme="minorHAnsi"/>
              <w:kern w:val="2"/>
              <w:szCs w:val="24"/>
              <w:lang w:val="en-US"/>
              <w14:ligatures w14:val="standardContextual"/>
            </w:rPr>
            <w:tab/>
          </w:r>
          <w:r>
            <w:rPr>
              <w:rStyle w:val="21"/>
              <w:rFonts w:eastAsia="Times New Roman"/>
            </w:rPr>
            <w:t>Enhancing the Current Performance</w:t>
          </w:r>
          <w:r>
            <w:tab/>
          </w:r>
          <w:r>
            <w:fldChar w:fldCharType="begin"/>
          </w:r>
          <w:r>
            <w:instrText xml:space="preserve"> PAGEREF _Toc220202060 \h </w:instrText>
          </w:r>
          <w:r>
            <w:fldChar w:fldCharType="separate"/>
          </w:r>
          <w:r>
            <w:t>9</w:t>
          </w:r>
          <w:r>
            <w:fldChar w:fldCharType="end"/>
          </w:r>
          <w:r>
            <w:fldChar w:fldCharType="end"/>
          </w:r>
        </w:p>
        <w:p w14:paraId="5CFCA975">
          <w:pPr>
            <w:pStyle w:val="29"/>
            <w:tabs>
              <w:tab w:val="left" w:pos="168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"_Toc220202061" </w:instrText>
          </w:r>
          <w:r>
            <w:fldChar w:fldCharType="separate"/>
          </w:r>
          <w:r>
            <w:rPr>
              <w:rStyle w:val="21"/>
              <w:rFonts w:eastAsia="Times New Roman"/>
            </w:rPr>
            <w:t>3.3</w:t>
          </w:r>
          <w:r>
            <w:rPr>
              <w:rFonts w:asciiTheme="minorHAnsi" w:hAnsiTheme="minorHAnsi"/>
              <w:kern w:val="2"/>
              <w:szCs w:val="24"/>
              <w:lang w:val="en-US"/>
              <w14:ligatures w14:val="standardContextual"/>
            </w:rPr>
            <w:tab/>
          </w:r>
          <w:r>
            <w:rPr>
              <w:rStyle w:val="21"/>
              <w:rFonts w:eastAsia="Times New Roman"/>
            </w:rPr>
            <w:t>Impact on Performance</w:t>
          </w:r>
          <w:r>
            <w:tab/>
          </w:r>
          <w:r>
            <w:fldChar w:fldCharType="begin"/>
          </w:r>
          <w:r>
            <w:instrText xml:space="preserve"> PAGEREF _Toc220202061 \h </w:instrText>
          </w:r>
          <w:r>
            <w:fldChar w:fldCharType="separate"/>
          </w:r>
          <w:r>
            <w:t>9</w:t>
          </w:r>
          <w:r>
            <w:fldChar w:fldCharType="end"/>
          </w:r>
          <w:r>
            <w:fldChar w:fldCharType="end"/>
          </w:r>
        </w:p>
        <w:p w14:paraId="63FDC28C">
          <w:pPr>
            <w:pStyle w:val="28"/>
            <w:tabs>
              <w:tab w:val="left" w:pos="120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"_Toc220202062" </w:instrText>
          </w:r>
          <w:r>
            <w:fldChar w:fldCharType="separate"/>
          </w:r>
          <w:r>
            <w:rPr>
              <w:rStyle w:val="21"/>
              <w:rFonts w:eastAsia="Times New Roman"/>
            </w:rPr>
            <w:t>4</w:t>
          </w:r>
          <w:r>
            <w:rPr>
              <w:rFonts w:asciiTheme="minorHAnsi" w:hAnsiTheme="minorHAnsi"/>
              <w:kern w:val="2"/>
              <w:szCs w:val="24"/>
              <w:lang w:val="en-US"/>
              <w14:ligatures w14:val="standardContextual"/>
            </w:rPr>
            <w:tab/>
          </w:r>
          <w:r>
            <w:rPr>
              <w:rStyle w:val="21"/>
              <w:rFonts w:eastAsia="Times New Roman"/>
            </w:rPr>
            <w:t>Use of PERT Analysis and Risk Management Methods</w:t>
          </w:r>
          <w:r>
            <w:tab/>
          </w:r>
          <w:r>
            <w:fldChar w:fldCharType="begin"/>
          </w:r>
          <w:r>
            <w:instrText xml:space="preserve"> PAGEREF _Toc220202062 \h </w:instrText>
          </w:r>
          <w:r>
            <w:fldChar w:fldCharType="separate"/>
          </w:r>
          <w:r>
            <w:t>10</w:t>
          </w:r>
          <w:r>
            <w:fldChar w:fldCharType="end"/>
          </w:r>
          <w:r>
            <w:fldChar w:fldCharType="end"/>
          </w:r>
        </w:p>
        <w:p w14:paraId="191D54EC">
          <w:pPr>
            <w:pStyle w:val="29"/>
            <w:tabs>
              <w:tab w:val="left" w:pos="168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"_Toc220202063" </w:instrText>
          </w:r>
          <w:r>
            <w:fldChar w:fldCharType="separate"/>
          </w:r>
          <w:r>
            <w:rPr>
              <w:rStyle w:val="21"/>
              <w:rFonts w:eastAsia="Times New Roman"/>
            </w:rPr>
            <w:t>4.1</w:t>
          </w:r>
          <w:r>
            <w:rPr>
              <w:rFonts w:asciiTheme="minorHAnsi" w:hAnsiTheme="minorHAnsi"/>
              <w:kern w:val="2"/>
              <w:szCs w:val="24"/>
              <w:lang w:val="en-US"/>
              <w14:ligatures w14:val="standardContextual"/>
            </w:rPr>
            <w:tab/>
          </w:r>
          <w:r>
            <w:rPr>
              <w:rStyle w:val="21"/>
              <w:rFonts w:eastAsia="Times New Roman"/>
            </w:rPr>
            <w:t>Risk Assessment</w:t>
          </w:r>
          <w:r>
            <w:tab/>
          </w:r>
          <w:r>
            <w:fldChar w:fldCharType="begin"/>
          </w:r>
          <w:r>
            <w:instrText xml:space="preserve"> PAGEREF _Toc220202063 \h </w:instrText>
          </w:r>
          <w:r>
            <w:fldChar w:fldCharType="separate"/>
          </w:r>
          <w:r>
            <w:t>10</w:t>
          </w:r>
          <w:r>
            <w:fldChar w:fldCharType="end"/>
          </w:r>
          <w:r>
            <w:fldChar w:fldCharType="end"/>
          </w:r>
        </w:p>
        <w:p w14:paraId="154F8FF8">
          <w:pPr>
            <w:pStyle w:val="29"/>
            <w:tabs>
              <w:tab w:val="left" w:pos="168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"_Toc220202064" </w:instrText>
          </w:r>
          <w:r>
            <w:fldChar w:fldCharType="separate"/>
          </w:r>
          <w:r>
            <w:rPr>
              <w:rStyle w:val="21"/>
              <w:rFonts w:eastAsia="Times New Roman"/>
            </w:rPr>
            <w:t>4.2</w:t>
          </w:r>
          <w:r>
            <w:rPr>
              <w:rFonts w:asciiTheme="minorHAnsi" w:hAnsiTheme="minorHAnsi"/>
              <w:kern w:val="2"/>
              <w:szCs w:val="24"/>
              <w:lang w:val="en-US"/>
              <w14:ligatures w14:val="standardContextual"/>
            </w:rPr>
            <w:tab/>
          </w:r>
          <w:r>
            <w:rPr>
              <w:rStyle w:val="21"/>
              <w:rFonts w:eastAsia="Times New Roman"/>
            </w:rPr>
            <w:t>Risk Management Models</w:t>
          </w:r>
          <w:r>
            <w:tab/>
          </w:r>
          <w:r>
            <w:fldChar w:fldCharType="begin"/>
          </w:r>
          <w:r>
            <w:instrText xml:space="preserve"> PAGEREF _Toc220202064 \h </w:instrText>
          </w:r>
          <w:r>
            <w:fldChar w:fldCharType="separate"/>
          </w:r>
          <w:r>
            <w:t>11</w:t>
          </w:r>
          <w:r>
            <w:fldChar w:fldCharType="end"/>
          </w:r>
          <w:r>
            <w:fldChar w:fldCharType="end"/>
          </w:r>
        </w:p>
        <w:p w14:paraId="2852D358">
          <w:pPr>
            <w:pStyle w:val="29"/>
            <w:tabs>
              <w:tab w:val="left" w:pos="168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"_Toc220202065" </w:instrText>
          </w:r>
          <w:r>
            <w:fldChar w:fldCharType="separate"/>
          </w:r>
          <w:r>
            <w:rPr>
              <w:rStyle w:val="21"/>
              <w:rFonts w:eastAsia="Times New Roman"/>
            </w:rPr>
            <w:t>4.3</w:t>
          </w:r>
          <w:r>
            <w:rPr>
              <w:rFonts w:asciiTheme="minorHAnsi" w:hAnsiTheme="minorHAnsi"/>
              <w:kern w:val="2"/>
              <w:szCs w:val="24"/>
              <w:lang w:val="en-US"/>
              <w14:ligatures w14:val="standardContextual"/>
            </w:rPr>
            <w:tab/>
          </w:r>
          <w:r>
            <w:rPr>
              <w:rStyle w:val="21"/>
              <w:rFonts w:eastAsia="Times New Roman"/>
            </w:rPr>
            <w:t>PERT Statistical Analysis</w:t>
          </w:r>
          <w:r>
            <w:tab/>
          </w:r>
          <w:r>
            <w:fldChar w:fldCharType="begin"/>
          </w:r>
          <w:r>
            <w:instrText xml:space="preserve"> PAGEREF _Toc220202065 \h </w:instrText>
          </w:r>
          <w:r>
            <w:fldChar w:fldCharType="separate"/>
          </w:r>
          <w:r>
            <w:t>11</w:t>
          </w:r>
          <w:r>
            <w:fldChar w:fldCharType="end"/>
          </w:r>
          <w:r>
            <w:fldChar w:fldCharType="end"/>
          </w:r>
        </w:p>
        <w:p w14:paraId="0C829DEE">
          <w:pPr>
            <w:pStyle w:val="28"/>
            <w:tabs>
              <w:tab w:val="left" w:pos="120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"_Toc220202066" </w:instrText>
          </w:r>
          <w:r>
            <w:fldChar w:fldCharType="separate"/>
          </w:r>
          <w:r>
            <w:rPr>
              <w:rStyle w:val="21"/>
              <w:rFonts w:eastAsia="Times New Roman"/>
            </w:rPr>
            <w:t>5</w:t>
          </w:r>
          <w:r>
            <w:rPr>
              <w:rFonts w:asciiTheme="minorHAnsi" w:hAnsiTheme="minorHAnsi"/>
              <w:kern w:val="2"/>
              <w:szCs w:val="24"/>
              <w:lang w:val="en-US"/>
              <w14:ligatures w14:val="standardContextual"/>
            </w:rPr>
            <w:tab/>
          </w:r>
          <w:r>
            <w:rPr>
              <w:rStyle w:val="21"/>
              <w:rFonts w:eastAsia="Times New Roman"/>
            </w:rPr>
            <w:t>Costs of Individual Activities and Cost of the Project</w:t>
          </w:r>
          <w:r>
            <w:tab/>
          </w:r>
          <w:r>
            <w:fldChar w:fldCharType="begin"/>
          </w:r>
          <w:r>
            <w:instrText xml:space="preserve"> PAGEREF _Toc220202066 \h </w:instrText>
          </w:r>
          <w:r>
            <w:fldChar w:fldCharType="separate"/>
          </w:r>
          <w:r>
            <w:t>12</w:t>
          </w:r>
          <w:r>
            <w:fldChar w:fldCharType="end"/>
          </w:r>
          <w:r>
            <w:fldChar w:fldCharType="end"/>
          </w:r>
        </w:p>
        <w:p w14:paraId="09F16777">
          <w:pPr>
            <w:pStyle w:val="28"/>
            <w:tabs>
              <w:tab w:val="left" w:pos="120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"_Toc220202067" </w:instrText>
          </w:r>
          <w:r>
            <w:fldChar w:fldCharType="separate"/>
          </w:r>
          <w:r>
            <w:rPr>
              <w:rStyle w:val="21"/>
              <w:rFonts w:eastAsia="Times New Roman"/>
            </w:rPr>
            <w:t>6</w:t>
          </w:r>
          <w:r>
            <w:rPr>
              <w:rFonts w:asciiTheme="minorHAnsi" w:hAnsiTheme="minorHAnsi"/>
              <w:kern w:val="2"/>
              <w:szCs w:val="24"/>
              <w:lang w:val="en-US"/>
              <w14:ligatures w14:val="standardContextual"/>
            </w:rPr>
            <w:tab/>
          </w:r>
          <w:r>
            <w:rPr>
              <w:rStyle w:val="21"/>
              <w:rFonts w:eastAsia="Times New Roman"/>
            </w:rPr>
            <w:t>Use of Crash Costing Techniques</w:t>
          </w:r>
          <w:r>
            <w:tab/>
          </w:r>
          <w:r>
            <w:fldChar w:fldCharType="begin"/>
          </w:r>
          <w:r>
            <w:instrText xml:space="preserve"> PAGEREF _Toc220202067 \h </w:instrText>
          </w:r>
          <w:r>
            <w:fldChar w:fldCharType="separate"/>
          </w:r>
          <w:r>
            <w:t>12</w:t>
          </w:r>
          <w:r>
            <w:fldChar w:fldCharType="end"/>
          </w:r>
          <w:r>
            <w:fldChar w:fldCharType="end"/>
          </w:r>
        </w:p>
        <w:p w14:paraId="0D1AF5F5">
          <w:pPr>
            <w:pStyle w:val="29"/>
            <w:tabs>
              <w:tab w:val="left" w:pos="168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"_Toc220202068" </w:instrText>
          </w:r>
          <w:r>
            <w:fldChar w:fldCharType="separate"/>
          </w:r>
          <w:r>
            <w:rPr>
              <w:rStyle w:val="21"/>
              <w:rFonts w:eastAsia="Times New Roman"/>
            </w:rPr>
            <w:t>6.1</w:t>
          </w:r>
          <w:r>
            <w:rPr>
              <w:rFonts w:asciiTheme="minorHAnsi" w:hAnsiTheme="minorHAnsi"/>
              <w:kern w:val="2"/>
              <w:szCs w:val="24"/>
              <w:lang w:val="en-US"/>
              <w14:ligatures w14:val="standardContextual"/>
            </w:rPr>
            <w:tab/>
          </w:r>
          <w:r>
            <w:rPr>
              <w:rStyle w:val="21"/>
              <w:rFonts w:eastAsia="Times New Roman"/>
            </w:rPr>
            <w:t>Selection Rationale</w:t>
          </w:r>
          <w:r>
            <w:tab/>
          </w:r>
          <w:r>
            <w:fldChar w:fldCharType="begin"/>
          </w:r>
          <w:r>
            <w:instrText xml:space="preserve"> PAGEREF _Toc220202068 \h </w:instrText>
          </w:r>
          <w:r>
            <w:fldChar w:fldCharType="separate"/>
          </w:r>
          <w:r>
            <w:t>13</w:t>
          </w:r>
          <w:r>
            <w:fldChar w:fldCharType="end"/>
          </w:r>
          <w:r>
            <w:fldChar w:fldCharType="end"/>
          </w:r>
        </w:p>
        <w:p w14:paraId="5E5A748B">
          <w:pPr>
            <w:pStyle w:val="29"/>
            <w:tabs>
              <w:tab w:val="left" w:pos="168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"_Toc220202069" </w:instrText>
          </w:r>
          <w:r>
            <w:fldChar w:fldCharType="separate"/>
          </w:r>
          <w:r>
            <w:rPr>
              <w:rStyle w:val="21"/>
              <w:rFonts w:eastAsia="Times New Roman"/>
            </w:rPr>
            <w:t>6.2</w:t>
          </w:r>
          <w:r>
            <w:rPr>
              <w:rFonts w:asciiTheme="minorHAnsi" w:hAnsiTheme="minorHAnsi"/>
              <w:kern w:val="2"/>
              <w:szCs w:val="24"/>
              <w:lang w:val="en-US"/>
              <w14:ligatures w14:val="standardContextual"/>
            </w:rPr>
            <w:tab/>
          </w:r>
          <w:r>
            <w:rPr>
              <w:rStyle w:val="21"/>
              <w:rFonts w:eastAsia="Times New Roman"/>
            </w:rPr>
            <w:t>Final Project Financial Implication</w:t>
          </w:r>
          <w:r>
            <w:tab/>
          </w:r>
          <w:r>
            <w:fldChar w:fldCharType="begin"/>
          </w:r>
          <w:r>
            <w:instrText xml:space="preserve"> PAGEREF _Toc220202069 \h </w:instrText>
          </w:r>
          <w:r>
            <w:fldChar w:fldCharType="separate"/>
          </w:r>
          <w:r>
            <w:t>13</w:t>
          </w:r>
          <w:r>
            <w:fldChar w:fldCharType="end"/>
          </w:r>
          <w:r>
            <w:fldChar w:fldCharType="end"/>
          </w:r>
        </w:p>
        <w:p w14:paraId="4F35EFB5">
          <w:pPr>
            <w:pStyle w:val="28"/>
            <w:tabs>
              <w:tab w:val="left" w:pos="120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"_Toc220202070" </w:instrText>
          </w:r>
          <w:r>
            <w:fldChar w:fldCharType="separate"/>
          </w:r>
          <w:r>
            <w:rPr>
              <w:rStyle w:val="21"/>
              <w:rFonts w:eastAsia="Times New Roman"/>
            </w:rPr>
            <w:t>7</w:t>
          </w:r>
          <w:r>
            <w:rPr>
              <w:rFonts w:asciiTheme="minorHAnsi" w:hAnsiTheme="minorHAnsi"/>
              <w:kern w:val="2"/>
              <w:szCs w:val="24"/>
              <w:lang w:val="en-US"/>
              <w14:ligatures w14:val="standardContextual"/>
            </w:rPr>
            <w:tab/>
          </w:r>
          <w:r>
            <w:rPr>
              <w:rStyle w:val="21"/>
              <w:rFonts w:eastAsia="Times New Roman"/>
            </w:rPr>
            <w:t>The Reflection of Project Handover Issues</w:t>
          </w:r>
          <w:r>
            <w:tab/>
          </w:r>
          <w:r>
            <w:fldChar w:fldCharType="begin"/>
          </w:r>
          <w:r>
            <w:instrText xml:space="preserve"> PAGEREF _Toc220202070 \h </w:instrText>
          </w:r>
          <w:r>
            <w:fldChar w:fldCharType="separate"/>
          </w:r>
          <w:r>
            <w:t>14</w:t>
          </w:r>
          <w:r>
            <w:fldChar w:fldCharType="end"/>
          </w:r>
          <w:r>
            <w:fldChar w:fldCharType="end"/>
          </w:r>
        </w:p>
        <w:p w14:paraId="6339CC37">
          <w:pPr>
            <w:pStyle w:val="28"/>
            <w:tabs>
              <w:tab w:val="left" w:pos="120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"_Toc220202071" </w:instrText>
          </w:r>
          <w:r>
            <w:fldChar w:fldCharType="separate"/>
          </w:r>
          <w:r>
            <w:rPr>
              <w:rStyle w:val="21"/>
              <w:rFonts w:eastAsia="Times New Roman"/>
            </w:rPr>
            <w:t>8</w:t>
          </w:r>
          <w:r>
            <w:rPr>
              <w:rFonts w:asciiTheme="minorHAnsi" w:hAnsiTheme="minorHAnsi"/>
              <w:kern w:val="2"/>
              <w:szCs w:val="24"/>
              <w:lang w:val="en-US"/>
              <w14:ligatures w14:val="standardContextual"/>
            </w:rPr>
            <w:tab/>
          </w:r>
          <w:r>
            <w:rPr>
              <w:rStyle w:val="21"/>
              <w:rFonts w:eastAsia="Times New Roman"/>
            </w:rPr>
            <w:t>Conclusion</w:t>
          </w:r>
          <w:r>
            <w:tab/>
          </w:r>
          <w:r>
            <w:fldChar w:fldCharType="begin"/>
          </w:r>
          <w:r>
            <w:instrText xml:space="preserve"> PAGEREF _Toc220202071 \h </w:instrText>
          </w:r>
          <w:r>
            <w:fldChar w:fldCharType="separate"/>
          </w:r>
          <w:r>
            <w:t>14</w:t>
          </w:r>
          <w:r>
            <w:fldChar w:fldCharType="end"/>
          </w:r>
          <w:r>
            <w:fldChar w:fldCharType="end"/>
          </w:r>
        </w:p>
        <w:p w14:paraId="3B5C558A">
          <w:pPr>
            <w:pStyle w:val="28"/>
            <w:tabs>
              <w:tab w:val="left" w:pos="120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"_Toc220202072" </w:instrText>
          </w:r>
          <w:r>
            <w:fldChar w:fldCharType="separate"/>
          </w:r>
          <w:r>
            <w:rPr>
              <w:rStyle w:val="21"/>
              <w:rFonts w:eastAsia="Times New Roman"/>
            </w:rPr>
            <w:t>9</w:t>
          </w:r>
          <w:r>
            <w:rPr>
              <w:rFonts w:asciiTheme="minorHAnsi" w:hAnsiTheme="minorHAnsi"/>
              <w:kern w:val="2"/>
              <w:szCs w:val="24"/>
              <w:lang w:val="en-US"/>
              <w14:ligatures w14:val="standardContextual"/>
            </w:rPr>
            <w:tab/>
          </w:r>
          <w:r>
            <w:rPr>
              <w:rStyle w:val="21"/>
              <w:rFonts w:eastAsia="Times New Roman"/>
            </w:rPr>
            <w:t>Recommendations</w:t>
          </w:r>
          <w:r>
            <w:tab/>
          </w:r>
          <w:r>
            <w:fldChar w:fldCharType="begin"/>
          </w:r>
          <w:r>
            <w:instrText xml:space="preserve"> PAGEREF _Toc220202072 \h </w:instrText>
          </w:r>
          <w:r>
            <w:fldChar w:fldCharType="separate"/>
          </w:r>
          <w:r>
            <w:t>15</w:t>
          </w:r>
          <w:r>
            <w:fldChar w:fldCharType="end"/>
          </w:r>
          <w:r>
            <w:fldChar w:fldCharType="end"/>
          </w:r>
        </w:p>
        <w:p w14:paraId="604A56C3">
          <w:pPr>
            <w:pStyle w:val="28"/>
            <w:tabs>
              <w:tab w:val="left" w:pos="1440"/>
              <w:tab w:val="right" w:leader="dot" w:pos="9350"/>
            </w:tabs>
            <w:spacing w:line="360" w:lineRule="auto"/>
            <w:rPr>
              <w:rFonts w:asciiTheme="minorHAnsi" w:hAnsiTheme="minorHAnsi"/>
              <w:kern w:val="2"/>
              <w:szCs w:val="24"/>
              <w:lang w:val="en-US"/>
              <w14:ligatures w14:val="standardContextual"/>
            </w:rPr>
          </w:pPr>
          <w:r>
            <w:fldChar w:fldCharType="begin"/>
          </w:r>
          <w:r>
            <w:instrText xml:space="preserve"> HYPERLINK \l "_Toc220202073" </w:instrText>
          </w:r>
          <w:r>
            <w:fldChar w:fldCharType="separate"/>
          </w:r>
          <w:r>
            <w:rPr>
              <w:rStyle w:val="21"/>
            </w:rPr>
            <w:t>10</w:t>
          </w:r>
          <w:r>
            <w:rPr>
              <w:rFonts w:asciiTheme="minorHAnsi" w:hAnsiTheme="minorHAnsi"/>
              <w:kern w:val="2"/>
              <w:szCs w:val="24"/>
              <w:lang w:val="en-US"/>
              <w14:ligatures w14:val="standardContextual"/>
            </w:rPr>
            <w:tab/>
          </w:r>
          <w:r>
            <w:rPr>
              <w:rStyle w:val="21"/>
            </w:rPr>
            <w:t>References</w:t>
          </w:r>
          <w:r>
            <w:tab/>
          </w:r>
          <w:r>
            <w:fldChar w:fldCharType="begin"/>
          </w:r>
          <w:r>
            <w:instrText xml:space="preserve"> PAGEREF _Toc220202073 \h </w:instrText>
          </w:r>
          <w:r>
            <w:fldChar w:fldCharType="separate"/>
          </w:r>
          <w:r>
            <w:t>16</w:t>
          </w:r>
          <w:r>
            <w:fldChar w:fldCharType="end"/>
          </w:r>
          <w:r>
            <w:fldChar w:fldCharType="end"/>
          </w:r>
        </w:p>
        <w:p w14:paraId="4B566775">
          <w:pPr>
            <w:spacing w:line="360" w:lineRule="auto"/>
          </w:pPr>
          <w:r>
            <w:rPr>
              <w:b/>
              <w:bCs/>
            </w:rPr>
            <w:fldChar w:fldCharType="end"/>
          </w:r>
        </w:p>
      </w:sdtContent>
    </w:sdt>
    <w:p w14:paraId="7CCA1E89">
      <w:pPr>
        <w:ind w:firstLine="0"/>
        <w:jc w:val="center"/>
        <w:rPr>
          <w:rFonts w:eastAsia="Times New Roman"/>
          <w:bCs/>
        </w:rPr>
      </w:pPr>
    </w:p>
    <w:p w14:paraId="21781021">
      <w:pPr>
        <w:ind w:firstLine="0"/>
        <w:jc w:val="center"/>
        <w:rPr>
          <w:rFonts w:eastAsia="Times New Roman"/>
          <w:bCs/>
        </w:rPr>
      </w:pPr>
    </w:p>
    <w:p w14:paraId="57495F2C">
      <w:pPr>
        <w:pStyle w:val="57"/>
        <w:numPr>
          <w:ilvl w:val="0"/>
          <w:numId w:val="0"/>
        </w:numPr>
        <w:spacing w:line="360" w:lineRule="auto"/>
        <w:ind w:left="432" w:hanging="432"/>
        <w:jc w:val="both"/>
      </w:pPr>
      <w:r>
        <w:t>List of Tables and Figures</w:t>
      </w:r>
    </w:p>
    <w:p w14:paraId="5EE26C0D">
      <w:pPr>
        <w:pStyle w:val="26"/>
        <w:tabs>
          <w:tab w:val="right" w:leader="dot" w:pos="9350"/>
        </w:tabs>
        <w:rPr>
          <w:rFonts w:asciiTheme="minorHAnsi" w:hAnsiTheme="minorHAnsi"/>
          <w:kern w:val="2"/>
          <w:szCs w:val="24"/>
          <w:lang w:val="en-US"/>
          <w14:ligatures w14:val="standardContextual"/>
        </w:rPr>
      </w:pPr>
      <w:r>
        <w:rPr>
          <w:rFonts w:eastAsia="Times New Roman"/>
          <w:bCs/>
        </w:rPr>
        <w:fldChar w:fldCharType="begin"/>
      </w:r>
      <w:r>
        <w:rPr>
          <w:rFonts w:eastAsia="Times New Roman"/>
          <w:bCs/>
        </w:rPr>
        <w:instrText xml:space="preserve"> TOC \h \z \t "Quote" \c </w:instrText>
      </w:r>
      <w:r>
        <w:rPr>
          <w:rFonts w:eastAsia="Times New Roman"/>
          <w:bCs/>
        </w:rPr>
        <w:fldChar w:fldCharType="separate"/>
      </w:r>
      <w:r>
        <w:fldChar w:fldCharType="begin"/>
      </w:r>
      <w:r>
        <w:instrText xml:space="preserve"> HYPERLINK \l "_Toc220202080" </w:instrText>
      </w:r>
      <w:r>
        <w:fldChar w:fldCharType="separate"/>
      </w:r>
      <w:r>
        <w:rPr>
          <w:rStyle w:val="21"/>
        </w:rPr>
        <w:t>Table 1. PERT/CPM Analysis for Logistics Warehouse Development  (30 Activities)</w:t>
      </w:r>
      <w:r>
        <w:tab/>
      </w:r>
      <w:r>
        <w:fldChar w:fldCharType="begin"/>
      </w:r>
      <w:r>
        <w:instrText xml:space="preserve"> PAGEREF _Toc220202080 \h </w:instrText>
      </w:r>
      <w:r>
        <w:fldChar w:fldCharType="separate"/>
      </w:r>
      <w:r>
        <w:t>5</w:t>
      </w:r>
      <w:r>
        <w:fldChar w:fldCharType="end"/>
      </w:r>
      <w:r>
        <w:fldChar w:fldCharType="end"/>
      </w:r>
    </w:p>
    <w:p w14:paraId="1FF5FEA9">
      <w:pPr>
        <w:pStyle w:val="26"/>
        <w:tabs>
          <w:tab w:val="right" w:leader="dot" w:pos="9350"/>
        </w:tabs>
        <w:rPr>
          <w:rFonts w:asciiTheme="minorHAnsi" w:hAnsiTheme="minorHAnsi"/>
          <w:kern w:val="2"/>
          <w:szCs w:val="24"/>
          <w:lang w:val="en-US"/>
          <w14:ligatures w14:val="standardContextual"/>
        </w:rPr>
      </w:pPr>
      <w:r>
        <w:fldChar w:fldCharType="begin"/>
      </w:r>
      <w:r>
        <w:instrText xml:space="preserve"> HYPERLINK \l "_Toc220202083" </w:instrText>
      </w:r>
      <w:r>
        <w:fldChar w:fldCharType="separate"/>
      </w:r>
      <w:r>
        <w:rPr>
          <w:rStyle w:val="21"/>
        </w:rPr>
        <w:t>Table 2. Gantt Chart</w:t>
      </w:r>
      <w:r>
        <w:tab/>
      </w:r>
      <w:r>
        <w:fldChar w:fldCharType="begin"/>
      </w:r>
      <w:r>
        <w:instrText xml:space="preserve"> PAGEREF _Toc220202083 \h </w:instrText>
      </w:r>
      <w:r>
        <w:fldChar w:fldCharType="separate"/>
      </w:r>
      <w:r>
        <w:t>8</w:t>
      </w:r>
      <w:r>
        <w:fldChar w:fldCharType="end"/>
      </w:r>
      <w:r>
        <w:fldChar w:fldCharType="end"/>
      </w:r>
    </w:p>
    <w:p w14:paraId="3B374C7F">
      <w:pPr>
        <w:pStyle w:val="26"/>
        <w:tabs>
          <w:tab w:val="right" w:leader="dot" w:pos="9350"/>
        </w:tabs>
        <w:rPr>
          <w:rFonts w:asciiTheme="minorHAnsi" w:hAnsiTheme="minorHAnsi"/>
          <w:kern w:val="2"/>
          <w:szCs w:val="24"/>
          <w:lang w:val="en-US"/>
          <w14:ligatures w14:val="standardContextual"/>
        </w:rPr>
      </w:pPr>
      <w:r>
        <w:fldChar w:fldCharType="begin"/>
      </w:r>
      <w:r>
        <w:instrText xml:space="preserve"> HYPERLINK \l "_Toc220202084" </w:instrText>
      </w:r>
      <w:r>
        <w:fldChar w:fldCharType="separate"/>
      </w:r>
      <w:r>
        <w:rPr>
          <w:rStyle w:val="21"/>
        </w:rPr>
        <w:t>Table 3. Probability-Impact Matrix</w:t>
      </w:r>
      <w:r>
        <w:tab/>
      </w:r>
      <w:r>
        <w:fldChar w:fldCharType="begin"/>
      </w:r>
      <w:r>
        <w:instrText xml:space="preserve"> PAGEREF _Toc220202084 \h </w:instrText>
      </w:r>
      <w:r>
        <w:fldChar w:fldCharType="separate"/>
      </w:r>
      <w:r>
        <w:t>11</w:t>
      </w:r>
      <w:r>
        <w:fldChar w:fldCharType="end"/>
      </w:r>
      <w:r>
        <w:fldChar w:fldCharType="end"/>
      </w:r>
    </w:p>
    <w:p w14:paraId="537E7954">
      <w:pPr>
        <w:pStyle w:val="26"/>
        <w:tabs>
          <w:tab w:val="right" w:leader="dot" w:pos="9350"/>
        </w:tabs>
        <w:rPr>
          <w:rFonts w:asciiTheme="minorHAnsi" w:hAnsiTheme="minorHAnsi"/>
          <w:kern w:val="2"/>
          <w:szCs w:val="24"/>
          <w:lang w:val="en-US"/>
          <w14:ligatures w14:val="standardContextual"/>
        </w:rPr>
      </w:pPr>
      <w:r>
        <w:fldChar w:fldCharType="begin"/>
      </w:r>
      <w:r>
        <w:instrText xml:space="preserve"> HYPERLINK \l "_Toc220202085" </w:instrText>
      </w:r>
      <w:r>
        <w:fldChar w:fldCharType="separate"/>
      </w:r>
      <w:r>
        <w:rPr>
          <w:rStyle w:val="21"/>
        </w:rPr>
        <w:t>Table 4. PERT Expected Time and Variance for Critical Path Activities</w:t>
      </w:r>
      <w:r>
        <w:tab/>
      </w:r>
      <w:r>
        <w:fldChar w:fldCharType="begin"/>
      </w:r>
      <w:r>
        <w:instrText xml:space="preserve"> PAGEREF _Toc220202085 \h </w:instrText>
      </w:r>
      <w:r>
        <w:fldChar w:fldCharType="separate"/>
      </w:r>
      <w:r>
        <w:t>12</w:t>
      </w:r>
      <w:r>
        <w:fldChar w:fldCharType="end"/>
      </w:r>
      <w:r>
        <w:fldChar w:fldCharType="end"/>
      </w:r>
    </w:p>
    <w:p w14:paraId="36017983">
      <w:pPr>
        <w:pStyle w:val="26"/>
        <w:tabs>
          <w:tab w:val="right" w:leader="dot" w:pos="9350"/>
        </w:tabs>
        <w:rPr>
          <w:rFonts w:asciiTheme="minorHAnsi" w:hAnsiTheme="minorHAnsi"/>
          <w:kern w:val="2"/>
          <w:szCs w:val="24"/>
          <w:lang w:val="en-US"/>
          <w14:ligatures w14:val="standardContextual"/>
        </w:rPr>
      </w:pPr>
      <w:r>
        <w:fldChar w:fldCharType="begin"/>
      </w:r>
      <w:r>
        <w:instrText xml:space="preserve"> HYPERLINK \l "_Toc220202086" </w:instrText>
      </w:r>
      <w:r>
        <w:fldChar w:fldCharType="separate"/>
      </w:r>
      <w:r>
        <w:rPr>
          <w:rStyle w:val="21"/>
        </w:rPr>
        <w:t>Table 5. Complete Cost of Activities &amp; Project</w:t>
      </w:r>
      <w:r>
        <w:tab/>
      </w:r>
      <w:r>
        <w:fldChar w:fldCharType="begin"/>
      </w:r>
      <w:r>
        <w:instrText xml:space="preserve"> PAGEREF _Toc220202086 \h </w:instrText>
      </w:r>
      <w:r>
        <w:fldChar w:fldCharType="separate"/>
      </w:r>
      <w:r>
        <w:t>12</w:t>
      </w:r>
      <w:r>
        <w:fldChar w:fldCharType="end"/>
      </w:r>
      <w:r>
        <w:fldChar w:fldCharType="end"/>
      </w:r>
    </w:p>
    <w:p w14:paraId="719F62F0">
      <w:pPr>
        <w:pStyle w:val="26"/>
        <w:tabs>
          <w:tab w:val="right" w:leader="dot" w:pos="9350"/>
        </w:tabs>
        <w:rPr>
          <w:rStyle w:val="21"/>
        </w:rPr>
      </w:pPr>
      <w:r>
        <w:fldChar w:fldCharType="begin"/>
      </w:r>
      <w:r>
        <w:instrText xml:space="preserve"> HYPERLINK \l "_Toc220202087" </w:instrText>
      </w:r>
      <w:r>
        <w:fldChar w:fldCharType="separate"/>
      </w:r>
      <w:r>
        <w:rPr>
          <w:rStyle w:val="21"/>
        </w:rPr>
        <w:t>Table 6. PERT Expected Time and Variance for Critical Path Activities</w:t>
      </w:r>
      <w:r>
        <w:tab/>
      </w:r>
      <w:r>
        <w:fldChar w:fldCharType="begin"/>
      </w:r>
      <w:r>
        <w:instrText xml:space="preserve"> PAGEREF _Toc220202087 \h </w:instrText>
      </w:r>
      <w:r>
        <w:fldChar w:fldCharType="separate"/>
      </w:r>
      <w:r>
        <w:t>13</w:t>
      </w:r>
      <w:r>
        <w:fldChar w:fldCharType="end"/>
      </w:r>
      <w:r>
        <w:fldChar w:fldCharType="end"/>
      </w:r>
    </w:p>
    <w:p w14:paraId="472EAB8C">
      <w:pPr>
        <w:rPr>
          <w:lang w:val="en-US"/>
        </w:rPr>
      </w:pPr>
    </w:p>
    <w:p w14:paraId="26D99599">
      <w:pPr>
        <w:pStyle w:val="26"/>
        <w:tabs>
          <w:tab w:val="right" w:leader="dot" w:pos="9350"/>
        </w:tabs>
        <w:rPr>
          <w:rFonts w:asciiTheme="minorHAnsi" w:hAnsiTheme="minorHAnsi"/>
          <w:kern w:val="2"/>
          <w:szCs w:val="24"/>
          <w:lang w:val="en-US"/>
          <w14:ligatures w14:val="standardContextual"/>
        </w:rPr>
      </w:pPr>
      <w:r>
        <w:rPr>
          <w:rFonts w:eastAsia="Times New Roman"/>
          <w:bCs/>
        </w:rPr>
        <w:fldChar w:fldCharType="end"/>
      </w:r>
      <w:r>
        <w:fldChar w:fldCharType="begin"/>
      </w:r>
      <w:r>
        <w:instrText xml:space="preserve"> HYPERLINK \l "_Toc220202081" </w:instrText>
      </w:r>
      <w:r>
        <w:fldChar w:fldCharType="separate"/>
      </w:r>
      <w:r>
        <w:rPr>
          <w:rStyle w:val="21"/>
          <w:color w:val="auto"/>
          <w:u w:val="none"/>
        </w:rPr>
        <w:t>Figure 1a. CPM Network Diagram with Activity-on-Arrow (AoA) notation</w:t>
      </w:r>
      <w:r>
        <w:tab/>
      </w:r>
      <w:r>
        <w:fldChar w:fldCharType="begin"/>
      </w:r>
      <w:r>
        <w:instrText xml:space="preserve"> PAGEREF _Toc220202081 \h </w:instrText>
      </w:r>
      <w:r>
        <w:fldChar w:fldCharType="separate"/>
      </w:r>
      <w:r>
        <w:t>6</w:t>
      </w:r>
      <w:r>
        <w:fldChar w:fldCharType="end"/>
      </w:r>
      <w:r>
        <w:fldChar w:fldCharType="end"/>
      </w:r>
    </w:p>
    <w:p w14:paraId="044CD4A5">
      <w:pPr>
        <w:pStyle w:val="26"/>
        <w:tabs>
          <w:tab w:val="right" w:leader="dot" w:pos="9350"/>
        </w:tabs>
        <w:rPr>
          <w:rFonts w:asciiTheme="minorHAnsi" w:hAnsiTheme="minorHAnsi"/>
          <w:kern w:val="2"/>
          <w:szCs w:val="24"/>
          <w:lang w:val="en-US"/>
          <w14:ligatures w14:val="standardContextual"/>
        </w:rPr>
      </w:pPr>
      <w:r>
        <w:fldChar w:fldCharType="begin"/>
      </w:r>
      <w:r>
        <w:instrText xml:space="preserve"> HYPERLINK \l "_Toc220202082" </w:instrText>
      </w:r>
      <w:r>
        <w:fldChar w:fldCharType="separate"/>
      </w:r>
      <w:r>
        <w:rPr>
          <w:rStyle w:val="21"/>
          <w:color w:val="auto"/>
          <w:u w:val="none"/>
        </w:rPr>
        <w:t>Figure 1b.  Network diagram</w:t>
      </w:r>
      <w:r>
        <w:tab/>
      </w:r>
      <w:r>
        <w:fldChar w:fldCharType="begin"/>
      </w:r>
      <w:r>
        <w:instrText xml:space="preserve"> PAGEREF _Toc220202082 \h </w:instrText>
      </w:r>
      <w:r>
        <w:fldChar w:fldCharType="separate"/>
      </w:r>
      <w:r>
        <w:t>7</w:t>
      </w:r>
      <w:r>
        <w:fldChar w:fldCharType="end"/>
      </w:r>
      <w:r>
        <w:fldChar w:fldCharType="end"/>
      </w:r>
    </w:p>
    <w:p w14:paraId="3635AE3B">
      <w:pPr>
        <w:ind w:firstLine="0"/>
        <w:rPr>
          <w:rFonts w:eastAsia="Times New Roman"/>
          <w:bCs/>
        </w:rPr>
      </w:pPr>
    </w:p>
    <w:p w14:paraId="6B75A84F">
      <w:pPr>
        <w:ind w:firstLine="0"/>
        <w:jc w:val="center"/>
        <w:rPr>
          <w:rFonts w:eastAsia="Times New Roman"/>
          <w:bCs/>
        </w:rPr>
      </w:pPr>
    </w:p>
    <w:p w14:paraId="348AD676">
      <w:pPr>
        <w:ind w:firstLine="0"/>
        <w:jc w:val="center"/>
        <w:rPr>
          <w:rFonts w:eastAsia="Times New Roman"/>
          <w:bCs/>
        </w:rPr>
      </w:pPr>
    </w:p>
    <w:p w14:paraId="6D9DDF6C">
      <w:pPr>
        <w:ind w:firstLine="0"/>
        <w:jc w:val="center"/>
        <w:rPr>
          <w:rFonts w:eastAsia="Times New Roman"/>
          <w:bCs/>
        </w:rPr>
      </w:pPr>
    </w:p>
    <w:p w14:paraId="45A28E8A">
      <w:pPr>
        <w:ind w:firstLine="0"/>
        <w:jc w:val="center"/>
        <w:rPr>
          <w:rFonts w:eastAsia="Times New Roman"/>
          <w:bCs/>
        </w:rPr>
      </w:pPr>
    </w:p>
    <w:p w14:paraId="1365B9AC">
      <w:pPr>
        <w:ind w:firstLine="0"/>
        <w:jc w:val="center"/>
        <w:rPr>
          <w:rFonts w:eastAsia="Times New Roman"/>
          <w:bCs/>
        </w:rPr>
      </w:pPr>
    </w:p>
    <w:p w14:paraId="0C60A4D7">
      <w:pPr>
        <w:ind w:firstLine="0"/>
        <w:jc w:val="center"/>
        <w:rPr>
          <w:rFonts w:eastAsia="Times New Roman"/>
          <w:bCs/>
        </w:rPr>
      </w:pPr>
    </w:p>
    <w:p w14:paraId="0B7633D0">
      <w:pPr>
        <w:ind w:firstLine="0"/>
        <w:jc w:val="center"/>
        <w:rPr>
          <w:rFonts w:eastAsia="Times New Roman"/>
          <w:bCs/>
        </w:rPr>
      </w:pPr>
    </w:p>
    <w:p w14:paraId="4CA769A6">
      <w:pPr>
        <w:ind w:firstLine="0"/>
        <w:jc w:val="center"/>
        <w:rPr>
          <w:rFonts w:eastAsia="Times New Roman"/>
          <w:bCs/>
        </w:rPr>
      </w:pPr>
    </w:p>
    <w:p w14:paraId="500F03D4">
      <w:pPr>
        <w:ind w:firstLine="0"/>
        <w:rPr>
          <w:rFonts w:eastAsia="Times New Roman"/>
          <w:bCs/>
        </w:rPr>
      </w:pPr>
    </w:p>
    <w:p w14:paraId="7814C2DC">
      <w:pPr>
        <w:ind w:firstLine="0"/>
        <w:jc w:val="center"/>
        <w:rPr>
          <w:rFonts w:eastAsia="Times New Roman"/>
          <w:bCs/>
        </w:rPr>
      </w:pPr>
      <w:r>
        <w:rPr>
          <w:rFonts w:eastAsia="Times New Roman"/>
          <w:bCs/>
        </w:rPr>
        <w:t>‘Development and Commissioning of a Regional Logistics Distribution Warehouse in UK’</w:t>
      </w:r>
    </w:p>
    <w:p w14:paraId="64447708">
      <w:pPr>
        <w:pStyle w:val="2"/>
      </w:pPr>
      <w:bookmarkStart w:id="0" w:name="_Toc220202053"/>
      <w:r>
        <w:t>Introduction and Background to Project</w:t>
      </w:r>
      <w:bookmarkEnd w:id="0"/>
    </w:p>
    <w:p w14:paraId="251B5E3D">
      <w:r>
        <w:t>The project is a mid-sized regional logistics distribution warehouse with planned construction, commissioning of operational activities in the Midlands region in the United Kingdom which is a good region as it is near major motorways networks like M1 and M6. The facility will also serve a fast-growing supply chain of e-commerce and retail in the UK in response to growing demand of customers to receive quicker fulfilment of orders and prompt distribution of products over a shorter distance.</w:t>
      </w:r>
    </w:p>
    <w:p w14:paraId="25FB0654">
      <w:r>
        <w:t>The suggested warehouse is estimated to cover 18,000 square metres and shall be the central distribution centre of the retailers in England and Wales. Its main operations will comprise bulk storage, automated processes of fulfilling orders, checking quality, packaging, and coordination of outbound transportation. Other aspects that are involved in the project include the modern elements of logistics which includes warehouses management systems (WMS), automated picking technology, and family loading bays, which are used to facilitate high volume freights.</w:t>
      </w:r>
    </w:p>
    <w:p w14:paraId="2A2E98E3">
      <w:r>
        <w:t>The sponsor of the project is a private logistics developer who provides the project in accordance with the UK planning regulations, Health and Safety Executive (HSE) standards, and Building regulations 2010. The total process aim is to provide a complete functional warehouse facility in a stipulated time and financial constraint to be ready to hand-over to the operational group of the client upon completion.</w:t>
      </w:r>
    </w:p>
    <w:p w14:paraId="58AC042C">
      <w:pPr>
        <w:pStyle w:val="2"/>
      </w:pPr>
      <w:bookmarkStart w:id="1" w:name="_Toc220202054"/>
      <w:r>
        <w:t>Network diagram and Gantt chart Construction Listing Individual Activities and Critical Path</w:t>
      </w:r>
      <w:bookmarkEnd w:id="1"/>
    </w:p>
    <w:p w14:paraId="5A28DF4E">
      <w:r>
        <w:t>In order to be able to cope with the complexity of the warehouse development, formal techniques of project scheduling were used. A network diagram and Gantt chart were elaborated to recognise individual activities, logical dependencies as well as the critical path. These tools will help to carry out proper planning, monitoring and control of the project start to commissioning.</w:t>
      </w:r>
    </w:p>
    <w:p w14:paraId="6D0B8C93">
      <w:pPr>
        <w:pStyle w:val="3"/>
      </w:pPr>
      <w:bookmarkStart w:id="2" w:name="_Toc220202055"/>
      <w:r>
        <w:t>Description of Network Diagram</w:t>
      </w:r>
      <w:bookmarkEnd w:id="2"/>
    </w:p>
    <w:p w14:paraId="064FB251">
      <w:r>
        <w:t>Site mobilisation and planning (A-B, A-C) such as clearance and regulatory approvals are the beginning of the project. This is followed by core construction which encompasses structural works and loading bay preparation (B-D, B-E, C-E) then culminates in with systems integration (F-G, F-H, G-I, H-I) and quality and safety audits (E-K, K-L, D-M, M-N).</w:t>
      </w:r>
    </w:p>
    <w:tbl>
      <w:tblPr>
        <w:tblStyle w:val="2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6"/>
        <w:gridCol w:w="894"/>
        <w:gridCol w:w="1183"/>
        <w:gridCol w:w="461"/>
        <w:gridCol w:w="472"/>
        <w:gridCol w:w="461"/>
        <w:gridCol w:w="472"/>
        <w:gridCol w:w="683"/>
      </w:tblGrid>
      <w:tr w14:paraId="3F0B84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1DDF200">
            <w:pPr>
              <w:spacing w:after="0" w:line="240" w:lineRule="auto"/>
              <w:ind w:firstLine="0"/>
              <w:jc w:val="left"/>
              <w:rPr>
                <w:rFonts w:eastAsia="Times New Roman" w:cs="Times New Roman"/>
                <w:color w:val="1F1F1F"/>
                <w:sz w:val="20"/>
                <w:szCs w:val="20"/>
              </w:rPr>
            </w:pPr>
            <w:r>
              <w:rPr>
                <w:rFonts w:eastAsia="Times New Roman" w:cs="Times New Roman"/>
                <w:b/>
                <w:bCs/>
                <w:color w:val="1F1F1F"/>
                <w:sz w:val="20"/>
                <w:szCs w:val="20"/>
              </w:rPr>
              <w:t>Act.</w:t>
            </w:r>
          </w:p>
        </w:tc>
        <w:tc>
          <w:tcPr>
            <w:tcW w:w="0" w:type="auto"/>
          </w:tcPr>
          <w:p w14:paraId="0A999337">
            <w:pPr>
              <w:spacing w:after="0" w:line="240" w:lineRule="auto"/>
              <w:ind w:firstLine="0"/>
              <w:jc w:val="left"/>
              <w:rPr>
                <w:rFonts w:eastAsia="Times New Roman" w:cs="Times New Roman"/>
                <w:color w:val="1F1F1F"/>
                <w:sz w:val="20"/>
                <w:szCs w:val="20"/>
              </w:rPr>
            </w:pPr>
            <w:r>
              <w:rPr>
                <w:rFonts w:eastAsia="Times New Roman" w:cs="Times New Roman"/>
                <w:b/>
                <w:bCs/>
                <w:color w:val="1F1F1F"/>
                <w:sz w:val="20"/>
                <w:szCs w:val="20"/>
              </w:rPr>
              <w:t>Activity</w:t>
            </w:r>
          </w:p>
        </w:tc>
        <w:tc>
          <w:tcPr>
            <w:tcW w:w="0" w:type="auto"/>
          </w:tcPr>
          <w:p w14:paraId="40B154B6">
            <w:pPr>
              <w:spacing w:after="0" w:line="240" w:lineRule="auto"/>
              <w:ind w:firstLine="0"/>
              <w:jc w:val="left"/>
              <w:rPr>
                <w:rFonts w:eastAsia="Times New Roman" w:cs="Times New Roman"/>
                <w:color w:val="1F1F1F"/>
                <w:sz w:val="20"/>
                <w:szCs w:val="20"/>
              </w:rPr>
            </w:pPr>
            <w:r>
              <w:rPr>
                <w:rFonts w:eastAsia="Times New Roman" w:cs="Times New Roman"/>
                <w:b/>
                <w:bCs/>
                <w:color w:val="1F1F1F"/>
                <w:sz w:val="20"/>
                <w:szCs w:val="20"/>
              </w:rPr>
              <w:t>Dur (Wks.)</w:t>
            </w:r>
          </w:p>
        </w:tc>
        <w:tc>
          <w:tcPr>
            <w:tcW w:w="0" w:type="auto"/>
          </w:tcPr>
          <w:p w14:paraId="6E0B98A4">
            <w:pPr>
              <w:spacing w:after="0" w:line="240" w:lineRule="auto"/>
              <w:ind w:firstLine="0"/>
              <w:jc w:val="left"/>
              <w:rPr>
                <w:rFonts w:eastAsia="Times New Roman" w:cs="Times New Roman"/>
                <w:color w:val="1F1F1F"/>
                <w:sz w:val="20"/>
                <w:szCs w:val="20"/>
              </w:rPr>
            </w:pPr>
            <w:r>
              <w:rPr>
                <w:rFonts w:eastAsia="Times New Roman" w:cs="Times New Roman"/>
                <w:b/>
                <w:bCs/>
                <w:color w:val="1F1F1F"/>
                <w:sz w:val="20"/>
                <w:szCs w:val="20"/>
              </w:rPr>
              <w:t>ES</w:t>
            </w:r>
          </w:p>
        </w:tc>
        <w:tc>
          <w:tcPr>
            <w:tcW w:w="0" w:type="auto"/>
          </w:tcPr>
          <w:p w14:paraId="4DEBB334">
            <w:pPr>
              <w:spacing w:after="0" w:line="240" w:lineRule="auto"/>
              <w:ind w:firstLine="0"/>
              <w:jc w:val="left"/>
              <w:rPr>
                <w:rFonts w:eastAsia="Times New Roman" w:cs="Times New Roman"/>
                <w:color w:val="1F1F1F"/>
                <w:sz w:val="20"/>
                <w:szCs w:val="20"/>
              </w:rPr>
            </w:pPr>
            <w:r>
              <w:rPr>
                <w:rFonts w:eastAsia="Times New Roman" w:cs="Times New Roman"/>
                <w:b/>
                <w:bCs/>
                <w:color w:val="1F1F1F"/>
                <w:sz w:val="20"/>
                <w:szCs w:val="20"/>
              </w:rPr>
              <w:t>EF</w:t>
            </w:r>
          </w:p>
        </w:tc>
        <w:tc>
          <w:tcPr>
            <w:tcW w:w="0" w:type="auto"/>
          </w:tcPr>
          <w:p w14:paraId="6646B3D2">
            <w:pPr>
              <w:spacing w:after="0" w:line="240" w:lineRule="auto"/>
              <w:ind w:firstLine="0"/>
              <w:jc w:val="left"/>
              <w:rPr>
                <w:rFonts w:eastAsia="Times New Roman" w:cs="Times New Roman"/>
                <w:color w:val="1F1F1F"/>
                <w:sz w:val="20"/>
                <w:szCs w:val="20"/>
              </w:rPr>
            </w:pPr>
            <w:r>
              <w:rPr>
                <w:rFonts w:eastAsia="Times New Roman" w:cs="Times New Roman"/>
                <w:b/>
                <w:bCs/>
                <w:color w:val="1F1F1F"/>
                <w:sz w:val="20"/>
                <w:szCs w:val="20"/>
              </w:rPr>
              <w:t>LS</w:t>
            </w:r>
          </w:p>
        </w:tc>
        <w:tc>
          <w:tcPr>
            <w:tcW w:w="0" w:type="auto"/>
          </w:tcPr>
          <w:p w14:paraId="416D68A3">
            <w:pPr>
              <w:spacing w:after="0" w:line="240" w:lineRule="auto"/>
              <w:ind w:firstLine="0"/>
              <w:jc w:val="left"/>
              <w:rPr>
                <w:rFonts w:eastAsia="Times New Roman" w:cs="Times New Roman"/>
                <w:color w:val="1F1F1F"/>
                <w:sz w:val="20"/>
                <w:szCs w:val="20"/>
              </w:rPr>
            </w:pPr>
            <w:r>
              <w:rPr>
                <w:rFonts w:eastAsia="Times New Roman" w:cs="Times New Roman"/>
                <w:b/>
                <w:bCs/>
                <w:color w:val="1F1F1F"/>
                <w:sz w:val="20"/>
                <w:szCs w:val="20"/>
              </w:rPr>
              <w:t>LF</w:t>
            </w:r>
          </w:p>
        </w:tc>
        <w:tc>
          <w:tcPr>
            <w:tcW w:w="0" w:type="auto"/>
          </w:tcPr>
          <w:p w14:paraId="1D541DE4">
            <w:pPr>
              <w:spacing w:after="0" w:line="240" w:lineRule="auto"/>
              <w:ind w:firstLine="0"/>
              <w:jc w:val="left"/>
              <w:rPr>
                <w:rFonts w:eastAsia="Times New Roman" w:cs="Times New Roman"/>
                <w:color w:val="1F1F1F"/>
                <w:sz w:val="20"/>
                <w:szCs w:val="20"/>
              </w:rPr>
            </w:pPr>
            <w:r>
              <w:rPr>
                <w:rFonts w:eastAsia="Times New Roman" w:cs="Times New Roman"/>
                <w:b/>
                <w:bCs/>
                <w:color w:val="1F1F1F"/>
                <w:sz w:val="20"/>
                <w:szCs w:val="20"/>
              </w:rPr>
              <w:t>Slack</w:t>
            </w:r>
          </w:p>
        </w:tc>
      </w:tr>
      <w:tr w14:paraId="7427A6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37D99B3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w:t>
            </w:r>
          </w:p>
        </w:tc>
        <w:tc>
          <w:tcPr>
            <w:tcW w:w="0" w:type="auto"/>
          </w:tcPr>
          <w:p w14:paraId="32247F0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A–B</w:t>
            </w:r>
          </w:p>
        </w:tc>
        <w:tc>
          <w:tcPr>
            <w:tcW w:w="0" w:type="auto"/>
          </w:tcPr>
          <w:p w14:paraId="3D29CE3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5</w:t>
            </w:r>
          </w:p>
        </w:tc>
        <w:tc>
          <w:tcPr>
            <w:tcW w:w="0" w:type="auto"/>
          </w:tcPr>
          <w:p w14:paraId="07D7EC7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c>
          <w:tcPr>
            <w:tcW w:w="0" w:type="auto"/>
          </w:tcPr>
          <w:p w14:paraId="01967F3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5</w:t>
            </w:r>
          </w:p>
        </w:tc>
        <w:tc>
          <w:tcPr>
            <w:tcW w:w="0" w:type="auto"/>
          </w:tcPr>
          <w:p w14:paraId="059A7A5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c>
          <w:tcPr>
            <w:tcW w:w="0" w:type="auto"/>
          </w:tcPr>
          <w:p w14:paraId="1253C83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5</w:t>
            </w:r>
          </w:p>
        </w:tc>
        <w:tc>
          <w:tcPr>
            <w:tcW w:w="0" w:type="auto"/>
          </w:tcPr>
          <w:p w14:paraId="3334302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r>
      <w:tr w14:paraId="4BE08E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303CD4C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28BCA78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A–C</w:t>
            </w:r>
          </w:p>
        </w:tc>
        <w:tc>
          <w:tcPr>
            <w:tcW w:w="0" w:type="auto"/>
          </w:tcPr>
          <w:p w14:paraId="68746EF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55D2C48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c>
          <w:tcPr>
            <w:tcW w:w="0" w:type="auto"/>
          </w:tcPr>
          <w:p w14:paraId="11CAB9C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2946B4E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1895F98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5</w:t>
            </w:r>
          </w:p>
        </w:tc>
        <w:tc>
          <w:tcPr>
            <w:tcW w:w="0" w:type="auto"/>
          </w:tcPr>
          <w:p w14:paraId="4C93599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r>
      <w:tr w14:paraId="0D85C0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0BF423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445CEF1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B–D</w:t>
            </w:r>
          </w:p>
        </w:tc>
        <w:tc>
          <w:tcPr>
            <w:tcW w:w="0" w:type="auto"/>
          </w:tcPr>
          <w:p w14:paraId="3C4CD91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6B30175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5</w:t>
            </w:r>
          </w:p>
        </w:tc>
        <w:tc>
          <w:tcPr>
            <w:tcW w:w="0" w:type="auto"/>
          </w:tcPr>
          <w:p w14:paraId="2EFC97A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7</w:t>
            </w:r>
          </w:p>
        </w:tc>
        <w:tc>
          <w:tcPr>
            <w:tcW w:w="0" w:type="auto"/>
          </w:tcPr>
          <w:p w14:paraId="2B53F33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9</w:t>
            </w:r>
          </w:p>
        </w:tc>
        <w:tc>
          <w:tcPr>
            <w:tcW w:w="0" w:type="auto"/>
          </w:tcPr>
          <w:p w14:paraId="4EA621E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11</w:t>
            </w:r>
          </w:p>
        </w:tc>
        <w:tc>
          <w:tcPr>
            <w:tcW w:w="0" w:type="auto"/>
          </w:tcPr>
          <w:p w14:paraId="566F791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4</w:t>
            </w:r>
          </w:p>
        </w:tc>
      </w:tr>
      <w:tr w14:paraId="7F007EC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5F3C70D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4</w:t>
            </w:r>
          </w:p>
        </w:tc>
        <w:tc>
          <w:tcPr>
            <w:tcW w:w="0" w:type="auto"/>
          </w:tcPr>
          <w:p w14:paraId="2CC23F2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B–E</w:t>
            </w:r>
          </w:p>
        </w:tc>
        <w:tc>
          <w:tcPr>
            <w:tcW w:w="0" w:type="auto"/>
          </w:tcPr>
          <w:p w14:paraId="32FD7A7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4150AD2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5</w:t>
            </w:r>
          </w:p>
        </w:tc>
        <w:tc>
          <w:tcPr>
            <w:tcW w:w="0" w:type="auto"/>
          </w:tcPr>
          <w:p w14:paraId="4F10982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8</w:t>
            </w:r>
          </w:p>
        </w:tc>
        <w:tc>
          <w:tcPr>
            <w:tcW w:w="0" w:type="auto"/>
          </w:tcPr>
          <w:p w14:paraId="4AA9CCD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5</w:t>
            </w:r>
          </w:p>
        </w:tc>
        <w:tc>
          <w:tcPr>
            <w:tcW w:w="0" w:type="auto"/>
          </w:tcPr>
          <w:p w14:paraId="6F24F2B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8</w:t>
            </w:r>
          </w:p>
        </w:tc>
        <w:tc>
          <w:tcPr>
            <w:tcW w:w="0" w:type="auto"/>
          </w:tcPr>
          <w:p w14:paraId="777FDAF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r>
      <w:tr w14:paraId="56BC83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510BE5D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5</w:t>
            </w:r>
          </w:p>
        </w:tc>
        <w:tc>
          <w:tcPr>
            <w:tcW w:w="0" w:type="auto"/>
          </w:tcPr>
          <w:p w14:paraId="507E463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C–E</w:t>
            </w:r>
          </w:p>
        </w:tc>
        <w:tc>
          <w:tcPr>
            <w:tcW w:w="0" w:type="auto"/>
          </w:tcPr>
          <w:p w14:paraId="1757D01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1ED7F49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5DCE97E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6</w:t>
            </w:r>
          </w:p>
        </w:tc>
        <w:tc>
          <w:tcPr>
            <w:tcW w:w="0" w:type="auto"/>
          </w:tcPr>
          <w:p w14:paraId="59A62CF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5</w:t>
            </w:r>
          </w:p>
        </w:tc>
        <w:tc>
          <w:tcPr>
            <w:tcW w:w="0" w:type="auto"/>
          </w:tcPr>
          <w:p w14:paraId="5718EF5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8</w:t>
            </w:r>
          </w:p>
        </w:tc>
        <w:tc>
          <w:tcPr>
            <w:tcW w:w="0" w:type="auto"/>
          </w:tcPr>
          <w:p w14:paraId="72A2484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r>
      <w:tr w14:paraId="4411EB5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901EB1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6</w:t>
            </w:r>
          </w:p>
        </w:tc>
        <w:tc>
          <w:tcPr>
            <w:tcW w:w="0" w:type="auto"/>
          </w:tcPr>
          <w:p w14:paraId="79A551C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D–F</w:t>
            </w:r>
          </w:p>
        </w:tc>
        <w:tc>
          <w:tcPr>
            <w:tcW w:w="0" w:type="auto"/>
          </w:tcPr>
          <w:p w14:paraId="563E6F5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3442642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7</w:t>
            </w:r>
          </w:p>
        </w:tc>
        <w:tc>
          <w:tcPr>
            <w:tcW w:w="0" w:type="auto"/>
          </w:tcPr>
          <w:p w14:paraId="7208F63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10</w:t>
            </w:r>
          </w:p>
        </w:tc>
        <w:tc>
          <w:tcPr>
            <w:tcW w:w="0" w:type="auto"/>
          </w:tcPr>
          <w:p w14:paraId="5CD9C7A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11</w:t>
            </w:r>
          </w:p>
        </w:tc>
        <w:tc>
          <w:tcPr>
            <w:tcW w:w="0" w:type="auto"/>
          </w:tcPr>
          <w:p w14:paraId="29CE779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14</w:t>
            </w:r>
          </w:p>
        </w:tc>
        <w:tc>
          <w:tcPr>
            <w:tcW w:w="0" w:type="auto"/>
          </w:tcPr>
          <w:p w14:paraId="70CEAEB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4</w:t>
            </w:r>
          </w:p>
        </w:tc>
      </w:tr>
      <w:tr w14:paraId="39E8183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7E7F27D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7</w:t>
            </w:r>
          </w:p>
        </w:tc>
        <w:tc>
          <w:tcPr>
            <w:tcW w:w="0" w:type="auto"/>
          </w:tcPr>
          <w:p w14:paraId="6F29951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E–F</w:t>
            </w:r>
          </w:p>
        </w:tc>
        <w:tc>
          <w:tcPr>
            <w:tcW w:w="0" w:type="auto"/>
          </w:tcPr>
          <w:p w14:paraId="29496F9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6</w:t>
            </w:r>
          </w:p>
        </w:tc>
        <w:tc>
          <w:tcPr>
            <w:tcW w:w="0" w:type="auto"/>
          </w:tcPr>
          <w:p w14:paraId="014AE4C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8</w:t>
            </w:r>
          </w:p>
        </w:tc>
        <w:tc>
          <w:tcPr>
            <w:tcW w:w="0" w:type="auto"/>
          </w:tcPr>
          <w:p w14:paraId="31374F8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14</w:t>
            </w:r>
          </w:p>
        </w:tc>
        <w:tc>
          <w:tcPr>
            <w:tcW w:w="0" w:type="auto"/>
          </w:tcPr>
          <w:p w14:paraId="31F1DDF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8</w:t>
            </w:r>
          </w:p>
        </w:tc>
        <w:tc>
          <w:tcPr>
            <w:tcW w:w="0" w:type="auto"/>
          </w:tcPr>
          <w:p w14:paraId="26DCDA0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14</w:t>
            </w:r>
          </w:p>
        </w:tc>
        <w:tc>
          <w:tcPr>
            <w:tcW w:w="0" w:type="auto"/>
          </w:tcPr>
          <w:p w14:paraId="01A534D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r>
      <w:tr w14:paraId="147A5C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7F5055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8</w:t>
            </w:r>
          </w:p>
        </w:tc>
        <w:tc>
          <w:tcPr>
            <w:tcW w:w="0" w:type="auto"/>
          </w:tcPr>
          <w:p w14:paraId="2DDA35F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F–G</w:t>
            </w:r>
          </w:p>
        </w:tc>
        <w:tc>
          <w:tcPr>
            <w:tcW w:w="0" w:type="auto"/>
          </w:tcPr>
          <w:p w14:paraId="2755256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08882CF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14</w:t>
            </w:r>
          </w:p>
        </w:tc>
        <w:tc>
          <w:tcPr>
            <w:tcW w:w="0" w:type="auto"/>
          </w:tcPr>
          <w:p w14:paraId="6B30FB8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16</w:t>
            </w:r>
          </w:p>
        </w:tc>
        <w:tc>
          <w:tcPr>
            <w:tcW w:w="0" w:type="auto"/>
          </w:tcPr>
          <w:p w14:paraId="512F66E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14</w:t>
            </w:r>
          </w:p>
        </w:tc>
        <w:tc>
          <w:tcPr>
            <w:tcW w:w="0" w:type="auto"/>
          </w:tcPr>
          <w:p w14:paraId="228B908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16</w:t>
            </w:r>
          </w:p>
        </w:tc>
        <w:tc>
          <w:tcPr>
            <w:tcW w:w="0" w:type="auto"/>
          </w:tcPr>
          <w:p w14:paraId="5F35228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r>
      <w:tr w14:paraId="3A88B1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3539859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9</w:t>
            </w:r>
          </w:p>
        </w:tc>
        <w:tc>
          <w:tcPr>
            <w:tcW w:w="0" w:type="auto"/>
          </w:tcPr>
          <w:p w14:paraId="7AC6B53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F–H</w:t>
            </w:r>
          </w:p>
        </w:tc>
        <w:tc>
          <w:tcPr>
            <w:tcW w:w="0" w:type="auto"/>
          </w:tcPr>
          <w:p w14:paraId="3422E42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3996CE9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14</w:t>
            </w:r>
          </w:p>
        </w:tc>
        <w:tc>
          <w:tcPr>
            <w:tcW w:w="0" w:type="auto"/>
          </w:tcPr>
          <w:p w14:paraId="698008F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17</w:t>
            </w:r>
          </w:p>
        </w:tc>
        <w:tc>
          <w:tcPr>
            <w:tcW w:w="0" w:type="auto"/>
          </w:tcPr>
          <w:p w14:paraId="6FE5AA1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15</w:t>
            </w:r>
          </w:p>
        </w:tc>
        <w:tc>
          <w:tcPr>
            <w:tcW w:w="0" w:type="auto"/>
          </w:tcPr>
          <w:p w14:paraId="58BB794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18</w:t>
            </w:r>
          </w:p>
        </w:tc>
        <w:tc>
          <w:tcPr>
            <w:tcW w:w="0" w:type="auto"/>
          </w:tcPr>
          <w:p w14:paraId="2B280D0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w:t>
            </w:r>
          </w:p>
        </w:tc>
      </w:tr>
      <w:tr w14:paraId="2F3EA0F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291D445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10</w:t>
            </w:r>
          </w:p>
        </w:tc>
        <w:tc>
          <w:tcPr>
            <w:tcW w:w="0" w:type="auto"/>
          </w:tcPr>
          <w:p w14:paraId="62D335D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G–I</w:t>
            </w:r>
          </w:p>
        </w:tc>
        <w:tc>
          <w:tcPr>
            <w:tcW w:w="0" w:type="auto"/>
          </w:tcPr>
          <w:p w14:paraId="5BC44A9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4</w:t>
            </w:r>
          </w:p>
        </w:tc>
        <w:tc>
          <w:tcPr>
            <w:tcW w:w="0" w:type="auto"/>
          </w:tcPr>
          <w:p w14:paraId="146EA7D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16</w:t>
            </w:r>
          </w:p>
        </w:tc>
        <w:tc>
          <w:tcPr>
            <w:tcW w:w="0" w:type="auto"/>
          </w:tcPr>
          <w:p w14:paraId="742A089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20</w:t>
            </w:r>
          </w:p>
        </w:tc>
        <w:tc>
          <w:tcPr>
            <w:tcW w:w="0" w:type="auto"/>
          </w:tcPr>
          <w:p w14:paraId="0B999EF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16</w:t>
            </w:r>
          </w:p>
        </w:tc>
        <w:tc>
          <w:tcPr>
            <w:tcW w:w="0" w:type="auto"/>
          </w:tcPr>
          <w:p w14:paraId="1F74567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20</w:t>
            </w:r>
          </w:p>
        </w:tc>
        <w:tc>
          <w:tcPr>
            <w:tcW w:w="0" w:type="auto"/>
          </w:tcPr>
          <w:p w14:paraId="4D25691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r>
      <w:tr w14:paraId="79B8193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0B1908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11</w:t>
            </w:r>
          </w:p>
        </w:tc>
        <w:tc>
          <w:tcPr>
            <w:tcW w:w="0" w:type="auto"/>
          </w:tcPr>
          <w:p w14:paraId="070337E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H–I</w:t>
            </w:r>
          </w:p>
        </w:tc>
        <w:tc>
          <w:tcPr>
            <w:tcW w:w="0" w:type="auto"/>
          </w:tcPr>
          <w:p w14:paraId="2183979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505B686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17</w:t>
            </w:r>
          </w:p>
        </w:tc>
        <w:tc>
          <w:tcPr>
            <w:tcW w:w="0" w:type="auto"/>
          </w:tcPr>
          <w:p w14:paraId="5DC1FF0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19</w:t>
            </w:r>
          </w:p>
        </w:tc>
        <w:tc>
          <w:tcPr>
            <w:tcW w:w="0" w:type="auto"/>
          </w:tcPr>
          <w:p w14:paraId="7660A84B">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18</w:t>
            </w:r>
          </w:p>
        </w:tc>
        <w:tc>
          <w:tcPr>
            <w:tcW w:w="0" w:type="auto"/>
          </w:tcPr>
          <w:p w14:paraId="75254AC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20</w:t>
            </w:r>
          </w:p>
        </w:tc>
        <w:tc>
          <w:tcPr>
            <w:tcW w:w="0" w:type="auto"/>
          </w:tcPr>
          <w:p w14:paraId="32B2356B">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w:t>
            </w:r>
          </w:p>
        </w:tc>
      </w:tr>
      <w:tr w14:paraId="437F1B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26AC60E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12</w:t>
            </w:r>
          </w:p>
        </w:tc>
        <w:tc>
          <w:tcPr>
            <w:tcW w:w="0" w:type="auto"/>
          </w:tcPr>
          <w:p w14:paraId="3E0E0C3B">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I–J</w:t>
            </w:r>
          </w:p>
        </w:tc>
        <w:tc>
          <w:tcPr>
            <w:tcW w:w="0" w:type="auto"/>
          </w:tcPr>
          <w:p w14:paraId="3BF8018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345EBC6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20</w:t>
            </w:r>
          </w:p>
        </w:tc>
        <w:tc>
          <w:tcPr>
            <w:tcW w:w="0" w:type="auto"/>
          </w:tcPr>
          <w:p w14:paraId="316EB60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23</w:t>
            </w:r>
          </w:p>
        </w:tc>
        <w:tc>
          <w:tcPr>
            <w:tcW w:w="0" w:type="auto"/>
          </w:tcPr>
          <w:p w14:paraId="7F48FE2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20</w:t>
            </w:r>
          </w:p>
        </w:tc>
        <w:tc>
          <w:tcPr>
            <w:tcW w:w="0" w:type="auto"/>
          </w:tcPr>
          <w:p w14:paraId="2E4A39E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23</w:t>
            </w:r>
          </w:p>
        </w:tc>
        <w:tc>
          <w:tcPr>
            <w:tcW w:w="0" w:type="auto"/>
          </w:tcPr>
          <w:p w14:paraId="709C9EA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r>
      <w:tr w14:paraId="74219F4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7E51A52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13</w:t>
            </w:r>
          </w:p>
        </w:tc>
        <w:tc>
          <w:tcPr>
            <w:tcW w:w="0" w:type="auto"/>
          </w:tcPr>
          <w:p w14:paraId="1D399F5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E–K</w:t>
            </w:r>
          </w:p>
        </w:tc>
        <w:tc>
          <w:tcPr>
            <w:tcW w:w="0" w:type="auto"/>
          </w:tcPr>
          <w:p w14:paraId="46A27BE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62777E8B">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8</w:t>
            </w:r>
          </w:p>
        </w:tc>
        <w:tc>
          <w:tcPr>
            <w:tcW w:w="0" w:type="auto"/>
          </w:tcPr>
          <w:p w14:paraId="1D3E747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10</w:t>
            </w:r>
          </w:p>
        </w:tc>
        <w:tc>
          <w:tcPr>
            <w:tcW w:w="0" w:type="auto"/>
          </w:tcPr>
          <w:p w14:paraId="000798A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18</w:t>
            </w:r>
          </w:p>
        </w:tc>
        <w:tc>
          <w:tcPr>
            <w:tcW w:w="0" w:type="auto"/>
          </w:tcPr>
          <w:p w14:paraId="3E78362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20</w:t>
            </w:r>
          </w:p>
        </w:tc>
        <w:tc>
          <w:tcPr>
            <w:tcW w:w="0" w:type="auto"/>
          </w:tcPr>
          <w:p w14:paraId="24C351B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12</w:t>
            </w:r>
          </w:p>
        </w:tc>
      </w:tr>
      <w:tr w14:paraId="00A366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48E87EE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14</w:t>
            </w:r>
          </w:p>
        </w:tc>
        <w:tc>
          <w:tcPr>
            <w:tcW w:w="0" w:type="auto"/>
          </w:tcPr>
          <w:p w14:paraId="1A590D3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K–L</w:t>
            </w:r>
          </w:p>
        </w:tc>
        <w:tc>
          <w:tcPr>
            <w:tcW w:w="0" w:type="auto"/>
          </w:tcPr>
          <w:p w14:paraId="655C60F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24003B0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10</w:t>
            </w:r>
          </w:p>
        </w:tc>
        <w:tc>
          <w:tcPr>
            <w:tcW w:w="0" w:type="auto"/>
          </w:tcPr>
          <w:p w14:paraId="37E5FCF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13</w:t>
            </w:r>
          </w:p>
        </w:tc>
        <w:tc>
          <w:tcPr>
            <w:tcW w:w="0" w:type="auto"/>
          </w:tcPr>
          <w:p w14:paraId="0D27A0F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20</w:t>
            </w:r>
          </w:p>
        </w:tc>
        <w:tc>
          <w:tcPr>
            <w:tcW w:w="0" w:type="auto"/>
          </w:tcPr>
          <w:p w14:paraId="44573E3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23</w:t>
            </w:r>
          </w:p>
        </w:tc>
        <w:tc>
          <w:tcPr>
            <w:tcW w:w="0" w:type="auto"/>
          </w:tcPr>
          <w:p w14:paraId="61FB4C1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10</w:t>
            </w:r>
          </w:p>
        </w:tc>
      </w:tr>
      <w:tr w14:paraId="06842A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7929E7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15</w:t>
            </w:r>
          </w:p>
        </w:tc>
        <w:tc>
          <w:tcPr>
            <w:tcW w:w="0" w:type="auto"/>
          </w:tcPr>
          <w:p w14:paraId="6ED5185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L–J</w:t>
            </w:r>
          </w:p>
        </w:tc>
        <w:tc>
          <w:tcPr>
            <w:tcW w:w="0" w:type="auto"/>
          </w:tcPr>
          <w:p w14:paraId="001384E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07DF6D1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13</w:t>
            </w:r>
          </w:p>
        </w:tc>
        <w:tc>
          <w:tcPr>
            <w:tcW w:w="0" w:type="auto"/>
          </w:tcPr>
          <w:p w14:paraId="2167C70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15</w:t>
            </w:r>
          </w:p>
        </w:tc>
        <w:tc>
          <w:tcPr>
            <w:tcW w:w="0" w:type="auto"/>
          </w:tcPr>
          <w:p w14:paraId="254BDC6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21</w:t>
            </w:r>
          </w:p>
        </w:tc>
        <w:tc>
          <w:tcPr>
            <w:tcW w:w="0" w:type="auto"/>
          </w:tcPr>
          <w:p w14:paraId="6A529F1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23</w:t>
            </w:r>
          </w:p>
        </w:tc>
        <w:tc>
          <w:tcPr>
            <w:tcW w:w="0" w:type="auto"/>
          </w:tcPr>
          <w:p w14:paraId="7EAE79D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8</w:t>
            </w:r>
          </w:p>
        </w:tc>
      </w:tr>
      <w:tr w14:paraId="1BEB9C3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76AFF9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16</w:t>
            </w:r>
          </w:p>
        </w:tc>
        <w:tc>
          <w:tcPr>
            <w:tcW w:w="0" w:type="auto"/>
          </w:tcPr>
          <w:p w14:paraId="7EDD47FB">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D–M</w:t>
            </w:r>
          </w:p>
        </w:tc>
        <w:tc>
          <w:tcPr>
            <w:tcW w:w="0" w:type="auto"/>
          </w:tcPr>
          <w:p w14:paraId="0A1F647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715EF66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7</w:t>
            </w:r>
          </w:p>
        </w:tc>
        <w:tc>
          <w:tcPr>
            <w:tcW w:w="0" w:type="auto"/>
          </w:tcPr>
          <w:p w14:paraId="6320F72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9</w:t>
            </w:r>
          </w:p>
        </w:tc>
        <w:tc>
          <w:tcPr>
            <w:tcW w:w="0" w:type="auto"/>
          </w:tcPr>
          <w:p w14:paraId="02B6BD0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13</w:t>
            </w:r>
          </w:p>
        </w:tc>
        <w:tc>
          <w:tcPr>
            <w:tcW w:w="0" w:type="auto"/>
          </w:tcPr>
          <w:p w14:paraId="377EAD4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15</w:t>
            </w:r>
          </w:p>
        </w:tc>
        <w:tc>
          <w:tcPr>
            <w:tcW w:w="0" w:type="auto"/>
          </w:tcPr>
          <w:p w14:paraId="11CA60A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6</w:t>
            </w:r>
          </w:p>
        </w:tc>
      </w:tr>
      <w:tr w14:paraId="7C8366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38D411B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17</w:t>
            </w:r>
          </w:p>
        </w:tc>
        <w:tc>
          <w:tcPr>
            <w:tcW w:w="0" w:type="auto"/>
          </w:tcPr>
          <w:p w14:paraId="3AB8745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M–N</w:t>
            </w:r>
          </w:p>
        </w:tc>
        <w:tc>
          <w:tcPr>
            <w:tcW w:w="0" w:type="auto"/>
          </w:tcPr>
          <w:p w14:paraId="515520A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49D26CB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9</w:t>
            </w:r>
          </w:p>
        </w:tc>
        <w:tc>
          <w:tcPr>
            <w:tcW w:w="0" w:type="auto"/>
          </w:tcPr>
          <w:p w14:paraId="28A1EF0B">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12</w:t>
            </w:r>
          </w:p>
        </w:tc>
        <w:tc>
          <w:tcPr>
            <w:tcW w:w="0" w:type="auto"/>
          </w:tcPr>
          <w:p w14:paraId="675C39C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15</w:t>
            </w:r>
          </w:p>
        </w:tc>
        <w:tc>
          <w:tcPr>
            <w:tcW w:w="0" w:type="auto"/>
          </w:tcPr>
          <w:p w14:paraId="5822989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18</w:t>
            </w:r>
          </w:p>
        </w:tc>
        <w:tc>
          <w:tcPr>
            <w:tcW w:w="0" w:type="auto"/>
          </w:tcPr>
          <w:p w14:paraId="42456D6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6</w:t>
            </w:r>
          </w:p>
        </w:tc>
      </w:tr>
      <w:tr w14:paraId="3976A08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57EF0C2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18</w:t>
            </w:r>
          </w:p>
        </w:tc>
        <w:tc>
          <w:tcPr>
            <w:tcW w:w="0" w:type="auto"/>
          </w:tcPr>
          <w:p w14:paraId="08B2827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N–I</w:t>
            </w:r>
          </w:p>
        </w:tc>
        <w:tc>
          <w:tcPr>
            <w:tcW w:w="0" w:type="auto"/>
          </w:tcPr>
          <w:p w14:paraId="43432B6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02E5D08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12</w:t>
            </w:r>
          </w:p>
        </w:tc>
        <w:tc>
          <w:tcPr>
            <w:tcW w:w="0" w:type="auto"/>
          </w:tcPr>
          <w:p w14:paraId="457DECB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14</w:t>
            </w:r>
          </w:p>
        </w:tc>
        <w:tc>
          <w:tcPr>
            <w:tcW w:w="0" w:type="auto"/>
          </w:tcPr>
          <w:p w14:paraId="0AEFE7C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18</w:t>
            </w:r>
          </w:p>
        </w:tc>
        <w:tc>
          <w:tcPr>
            <w:tcW w:w="0" w:type="auto"/>
          </w:tcPr>
          <w:p w14:paraId="309AA07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20</w:t>
            </w:r>
          </w:p>
        </w:tc>
        <w:tc>
          <w:tcPr>
            <w:tcW w:w="0" w:type="auto"/>
          </w:tcPr>
          <w:p w14:paraId="370AEEC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6</w:t>
            </w:r>
          </w:p>
        </w:tc>
      </w:tr>
      <w:tr w14:paraId="4FC938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6F863C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19</w:t>
            </w:r>
          </w:p>
        </w:tc>
        <w:tc>
          <w:tcPr>
            <w:tcW w:w="0" w:type="auto"/>
          </w:tcPr>
          <w:p w14:paraId="5217DCB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J–O</w:t>
            </w:r>
          </w:p>
        </w:tc>
        <w:tc>
          <w:tcPr>
            <w:tcW w:w="0" w:type="auto"/>
          </w:tcPr>
          <w:p w14:paraId="787B777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33A36E1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23</w:t>
            </w:r>
          </w:p>
        </w:tc>
        <w:tc>
          <w:tcPr>
            <w:tcW w:w="0" w:type="auto"/>
          </w:tcPr>
          <w:p w14:paraId="1FC3626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25</w:t>
            </w:r>
          </w:p>
        </w:tc>
        <w:tc>
          <w:tcPr>
            <w:tcW w:w="0" w:type="auto"/>
          </w:tcPr>
          <w:p w14:paraId="25A3523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23</w:t>
            </w:r>
          </w:p>
        </w:tc>
        <w:tc>
          <w:tcPr>
            <w:tcW w:w="0" w:type="auto"/>
          </w:tcPr>
          <w:p w14:paraId="05964D1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25</w:t>
            </w:r>
          </w:p>
        </w:tc>
        <w:tc>
          <w:tcPr>
            <w:tcW w:w="0" w:type="auto"/>
          </w:tcPr>
          <w:p w14:paraId="72194DC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r>
      <w:tr w14:paraId="51477D0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757D572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20</w:t>
            </w:r>
          </w:p>
        </w:tc>
        <w:tc>
          <w:tcPr>
            <w:tcW w:w="0" w:type="auto"/>
          </w:tcPr>
          <w:p w14:paraId="6484C16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O–P</w:t>
            </w:r>
          </w:p>
        </w:tc>
        <w:tc>
          <w:tcPr>
            <w:tcW w:w="0" w:type="auto"/>
          </w:tcPr>
          <w:p w14:paraId="53FCE85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2869E32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25</w:t>
            </w:r>
          </w:p>
        </w:tc>
        <w:tc>
          <w:tcPr>
            <w:tcW w:w="0" w:type="auto"/>
          </w:tcPr>
          <w:p w14:paraId="013BA2E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28</w:t>
            </w:r>
          </w:p>
        </w:tc>
        <w:tc>
          <w:tcPr>
            <w:tcW w:w="0" w:type="auto"/>
          </w:tcPr>
          <w:p w14:paraId="67E4AAE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25</w:t>
            </w:r>
          </w:p>
        </w:tc>
        <w:tc>
          <w:tcPr>
            <w:tcW w:w="0" w:type="auto"/>
          </w:tcPr>
          <w:p w14:paraId="4A7CD12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28</w:t>
            </w:r>
          </w:p>
        </w:tc>
        <w:tc>
          <w:tcPr>
            <w:tcW w:w="0" w:type="auto"/>
          </w:tcPr>
          <w:p w14:paraId="3170D92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r>
      <w:tr w14:paraId="04A32F9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3E94DA9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21</w:t>
            </w:r>
          </w:p>
        </w:tc>
        <w:tc>
          <w:tcPr>
            <w:tcW w:w="0" w:type="auto"/>
          </w:tcPr>
          <w:p w14:paraId="6F9303F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P–Q</w:t>
            </w:r>
          </w:p>
        </w:tc>
        <w:tc>
          <w:tcPr>
            <w:tcW w:w="0" w:type="auto"/>
          </w:tcPr>
          <w:p w14:paraId="760CC3AB">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62BB715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28</w:t>
            </w:r>
          </w:p>
        </w:tc>
        <w:tc>
          <w:tcPr>
            <w:tcW w:w="0" w:type="auto"/>
          </w:tcPr>
          <w:p w14:paraId="4BF7873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30</w:t>
            </w:r>
          </w:p>
        </w:tc>
        <w:tc>
          <w:tcPr>
            <w:tcW w:w="0" w:type="auto"/>
          </w:tcPr>
          <w:p w14:paraId="720C4CA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28</w:t>
            </w:r>
          </w:p>
        </w:tc>
        <w:tc>
          <w:tcPr>
            <w:tcW w:w="0" w:type="auto"/>
          </w:tcPr>
          <w:p w14:paraId="5CE5C1E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30</w:t>
            </w:r>
          </w:p>
        </w:tc>
        <w:tc>
          <w:tcPr>
            <w:tcW w:w="0" w:type="auto"/>
          </w:tcPr>
          <w:p w14:paraId="754C213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r>
      <w:tr w14:paraId="0F7864E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364BFC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22</w:t>
            </w:r>
          </w:p>
        </w:tc>
        <w:tc>
          <w:tcPr>
            <w:tcW w:w="0" w:type="auto"/>
          </w:tcPr>
          <w:p w14:paraId="4B1E9AB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O–R</w:t>
            </w:r>
          </w:p>
        </w:tc>
        <w:tc>
          <w:tcPr>
            <w:tcW w:w="0" w:type="auto"/>
          </w:tcPr>
          <w:p w14:paraId="70228C1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786522D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25</w:t>
            </w:r>
          </w:p>
        </w:tc>
        <w:tc>
          <w:tcPr>
            <w:tcW w:w="0" w:type="auto"/>
          </w:tcPr>
          <w:p w14:paraId="5AF7C10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27</w:t>
            </w:r>
          </w:p>
        </w:tc>
        <w:tc>
          <w:tcPr>
            <w:tcW w:w="0" w:type="auto"/>
          </w:tcPr>
          <w:p w14:paraId="6DB4A7F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26</w:t>
            </w:r>
          </w:p>
        </w:tc>
        <w:tc>
          <w:tcPr>
            <w:tcW w:w="0" w:type="auto"/>
          </w:tcPr>
          <w:p w14:paraId="469CB60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28</w:t>
            </w:r>
          </w:p>
        </w:tc>
        <w:tc>
          <w:tcPr>
            <w:tcW w:w="0" w:type="auto"/>
          </w:tcPr>
          <w:p w14:paraId="0500EC5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w:t>
            </w:r>
          </w:p>
        </w:tc>
      </w:tr>
      <w:tr w14:paraId="2E46D8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8C2F55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23</w:t>
            </w:r>
          </w:p>
        </w:tc>
        <w:tc>
          <w:tcPr>
            <w:tcW w:w="0" w:type="auto"/>
          </w:tcPr>
          <w:p w14:paraId="0A49D54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R–S</w:t>
            </w:r>
          </w:p>
        </w:tc>
        <w:tc>
          <w:tcPr>
            <w:tcW w:w="0" w:type="auto"/>
          </w:tcPr>
          <w:p w14:paraId="4D87EF1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72ED221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27</w:t>
            </w:r>
          </w:p>
        </w:tc>
        <w:tc>
          <w:tcPr>
            <w:tcW w:w="0" w:type="auto"/>
          </w:tcPr>
          <w:p w14:paraId="0E40F40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30</w:t>
            </w:r>
          </w:p>
        </w:tc>
        <w:tc>
          <w:tcPr>
            <w:tcW w:w="0" w:type="auto"/>
          </w:tcPr>
          <w:p w14:paraId="6CDE117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28</w:t>
            </w:r>
          </w:p>
        </w:tc>
        <w:tc>
          <w:tcPr>
            <w:tcW w:w="0" w:type="auto"/>
          </w:tcPr>
          <w:p w14:paraId="1E50340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31</w:t>
            </w:r>
          </w:p>
        </w:tc>
        <w:tc>
          <w:tcPr>
            <w:tcW w:w="0" w:type="auto"/>
          </w:tcPr>
          <w:p w14:paraId="05E7F24B">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w:t>
            </w:r>
          </w:p>
        </w:tc>
      </w:tr>
      <w:tr w14:paraId="5AF57D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6EE2E12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24</w:t>
            </w:r>
          </w:p>
        </w:tc>
        <w:tc>
          <w:tcPr>
            <w:tcW w:w="0" w:type="auto"/>
          </w:tcPr>
          <w:p w14:paraId="10E436B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Q–T</w:t>
            </w:r>
          </w:p>
        </w:tc>
        <w:tc>
          <w:tcPr>
            <w:tcW w:w="0" w:type="auto"/>
          </w:tcPr>
          <w:p w14:paraId="1E14B28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w:t>
            </w:r>
          </w:p>
        </w:tc>
        <w:tc>
          <w:tcPr>
            <w:tcW w:w="0" w:type="auto"/>
          </w:tcPr>
          <w:p w14:paraId="1B118B8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30</w:t>
            </w:r>
          </w:p>
        </w:tc>
        <w:tc>
          <w:tcPr>
            <w:tcW w:w="0" w:type="auto"/>
          </w:tcPr>
          <w:p w14:paraId="0B23AE5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31</w:t>
            </w:r>
          </w:p>
        </w:tc>
        <w:tc>
          <w:tcPr>
            <w:tcW w:w="0" w:type="auto"/>
          </w:tcPr>
          <w:p w14:paraId="72E4EF3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30</w:t>
            </w:r>
          </w:p>
        </w:tc>
        <w:tc>
          <w:tcPr>
            <w:tcW w:w="0" w:type="auto"/>
          </w:tcPr>
          <w:p w14:paraId="53B9EB1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31</w:t>
            </w:r>
          </w:p>
        </w:tc>
        <w:tc>
          <w:tcPr>
            <w:tcW w:w="0" w:type="auto"/>
          </w:tcPr>
          <w:p w14:paraId="1E7DCB8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r>
      <w:tr w14:paraId="6455D6F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6D08C6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25</w:t>
            </w:r>
          </w:p>
        </w:tc>
        <w:tc>
          <w:tcPr>
            <w:tcW w:w="0" w:type="auto"/>
          </w:tcPr>
          <w:p w14:paraId="59A72FD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S–T</w:t>
            </w:r>
          </w:p>
        </w:tc>
        <w:tc>
          <w:tcPr>
            <w:tcW w:w="0" w:type="auto"/>
          </w:tcPr>
          <w:p w14:paraId="7DE2746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w:t>
            </w:r>
          </w:p>
        </w:tc>
        <w:tc>
          <w:tcPr>
            <w:tcW w:w="0" w:type="auto"/>
          </w:tcPr>
          <w:p w14:paraId="7398DA4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30</w:t>
            </w:r>
          </w:p>
        </w:tc>
        <w:tc>
          <w:tcPr>
            <w:tcW w:w="0" w:type="auto"/>
          </w:tcPr>
          <w:p w14:paraId="49FAB2A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31</w:t>
            </w:r>
          </w:p>
        </w:tc>
        <w:tc>
          <w:tcPr>
            <w:tcW w:w="0" w:type="auto"/>
          </w:tcPr>
          <w:p w14:paraId="31A3A66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30</w:t>
            </w:r>
          </w:p>
        </w:tc>
        <w:tc>
          <w:tcPr>
            <w:tcW w:w="0" w:type="auto"/>
          </w:tcPr>
          <w:p w14:paraId="6E34789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31</w:t>
            </w:r>
          </w:p>
        </w:tc>
        <w:tc>
          <w:tcPr>
            <w:tcW w:w="0" w:type="auto"/>
          </w:tcPr>
          <w:p w14:paraId="6E022BC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r>
      <w:tr w14:paraId="0A6011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4C25B18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26</w:t>
            </w:r>
          </w:p>
        </w:tc>
        <w:tc>
          <w:tcPr>
            <w:tcW w:w="0" w:type="auto"/>
          </w:tcPr>
          <w:p w14:paraId="5D1961E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T–U</w:t>
            </w:r>
          </w:p>
        </w:tc>
        <w:tc>
          <w:tcPr>
            <w:tcW w:w="0" w:type="auto"/>
          </w:tcPr>
          <w:p w14:paraId="31CE12D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49B6A5B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31</w:t>
            </w:r>
          </w:p>
        </w:tc>
        <w:tc>
          <w:tcPr>
            <w:tcW w:w="0" w:type="auto"/>
          </w:tcPr>
          <w:p w14:paraId="7F0039D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33</w:t>
            </w:r>
          </w:p>
        </w:tc>
        <w:tc>
          <w:tcPr>
            <w:tcW w:w="0" w:type="auto"/>
          </w:tcPr>
          <w:p w14:paraId="46B8D21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31</w:t>
            </w:r>
          </w:p>
        </w:tc>
        <w:tc>
          <w:tcPr>
            <w:tcW w:w="0" w:type="auto"/>
          </w:tcPr>
          <w:p w14:paraId="3B5F968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33</w:t>
            </w:r>
          </w:p>
        </w:tc>
        <w:tc>
          <w:tcPr>
            <w:tcW w:w="0" w:type="auto"/>
          </w:tcPr>
          <w:p w14:paraId="5D1F071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r>
      <w:tr w14:paraId="57E2500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228046B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27</w:t>
            </w:r>
          </w:p>
        </w:tc>
        <w:tc>
          <w:tcPr>
            <w:tcW w:w="0" w:type="auto"/>
          </w:tcPr>
          <w:p w14:paraId="2E26948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U–V</w:t>
            </w:r>
          </w:p>
        </w:tc>
        <w:tc>
          <w:tcPr>
            <w:tcW w:w="0" w:type="auto"/>
          </w:tcPr>
          <w:p w14:paraId="191BFC8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w:t>
            </w:r>
          </w:p>
        </w:tc>
        <w:tc>
          <w:tcPr>
            <w:tcW w:w="0" w:type="auto"/>
          </w:tcPr>
          <w:p w14:paraId="61B3441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33</w:t>
            </w:r>
          </w:p>
        </w:tc>
        <w:tc>
          <w:tcPr>
            <w:tcW w:w="0" w:type="auto"/>
          </w:tcPr>
          <w:p w14:paraId="35492FE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34</w:t>
            </w:r>
          </w:p>
        </w:tc>
        <w:tc>
          <w:tcPr>
            <w:tcW w:w="0" w:type="auto"/>
          </w:tcPr>
          <w:p w14:paraId="53BEA3A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33</w:t>
            </w:r>
          </w:p>
        </w:tc>
        <w:tc>
          <w:tcPr>
            <w:tcW w:w="0" w:type="auto"/>
          </w:tcPr>
          <w:p w14:paraId="539A14F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34</w:t>
            </w:r>
          </w:p>
        </w:tc>
        <w:tc>
          <w:tcPr>
            <w:tcW w:w="0" w:type="auto"/>
          </w:tcPr>
          <w:p w14:paraId="5924126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r>
      <w:tr w14:paraId="074B1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20261F1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28</w:t>
            </w:r>
          </w:p>
        </w:tc>
        <w:tc>
          <w:tcPr>
            <w:tcW w:w="0" w:type="auto"/>
          </w:tcPr>
          <w:p w14:paraId="7183DF2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V–W</w:t>
            </w:r>
          </w:p>
        </w:tc>
        <w:tc>
          <w:tcPr>
            <w:tcW w:w="0" w:type="auto"/>
          </w:tcPr>
          <w:p w14:paraId="6B1458D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06A13E8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34</w:t>
            </w:r>
          </w:p>
        </w:tc>
        <w:tc>
          <w:tcPr>
            <w:tcW w:w="0" w:type="auto"/>
          </w:tcPr>
          <w:p w14:paraId="72E93FD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36</w:t>
            </w:r>
          </w:p>
        </w:tc>
        <w:tc>
          <w:tcPr>
            <w:tcW w:w="0" w:type="auto"/>
          </w:tcPr>
          <w:p w14:paraId="794444F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34</w:t>
            </w:r>
          </w:p>
        </w:tc>
        <w:tc>
          <w:tcPr>
            <w:tcW w:w="0" w:type="auto"/>
          </w:tcPr>
          <w:p w14:paraId="4B17D58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36</w:t>
            </w:r>
          </w:p>
        </w:tc>
        <w:tc>
          <w:tcPr>
            <w:tcW w:w="0" w:type="auto"/>
          </w:tcPr>
          <w:p w14:paraId="6C68B09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r>
      <w:tr w14:paraId="6AC0B03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65EF3A4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29</w:t>
            </w:r>
          </w:p>
        </w:tc>
        <w:tc>
          <w:tcPr>
            <w:tcW w:w="0" w:type="auto"/>
          </w:tcPr>
          <w:p w14:paraId="259AAC6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W–Y</w:t>
            </w:r>
          </w:p>
        </w:tc>
        <w:tc>
          <w:tcPr>
            <w:tcW w:w="0" w:type="auto"/>
          </w:tcPr>
          <w:p w14:paraId="39D3B3C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w:t>
            </w:r>
          </w:p>
        </w:tc>
        <w:tc>
          <w:tcPr>
            <w:tcW w:w="0" w:type="auto"/>
          </w:tcPr>
          <w:p w14:paraId="09A45EB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36</w:t>
            </w:r>
          </w:p>
        </w:tc>
        <w:tc>
          <w:tcPr>
            <w:tcW w:w="0" w:type="auto"/>
          </w:tcPr>
          <w:p w14:paraId="01D162C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37</w:t>
            </w:r>
          </w:p>
        </w:tc>
        <w:tc>
          <w:tcPr>
            <w:tcW w:w="0" w:type="auto"/>
          </w:tcPr>
          <w:p w14:paraId="58C721C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36</w:t>
            </w:r>
          </w:p>
        </w:tc>
        <w:tc>
          <w:tcPr>
            <w:tcW w:w="0" w:type="auto"/>
          </w:tcPr>
          <w:p w14:paraId="6A6836B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37</w:t>
            </w:r>
          </w:p>
        </w:tc>
        <w:tc>
          <w:tcPr>
            <w:tcW w:w="0" w:type="auto"/>
          </w:tcPr>
          <w:p w14:paraId="3B09319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r>
      <w:tr w14:paraId="23DA84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7D3534E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30</w:t>
            </w:r>
          </w:p>
        </w:tc>
        <w:tc>
          <w:tcPr>
            <w:tcW w:w="0" w:type="auto"/>
          </w:tcPr>
          <w:p w14:paraId="7D3C471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Y–Z</w:t>
            </w:r>
          </w:p>
        </w:tc>
        <w:tc>
          <w:tcPr>
            <w:tcW w:w="0" w:type="auto"/>
          </w:tcPr>
          <w:p w14:paraId="0C80BCF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41DD0CD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37</w:t>
            </w:r>
          </w:p>
        </w:tc>
        <w:tc>
          <w:tcPr>
            <w:tcW w:w="0" w:type="auto"/>
          </w:tcPr>
          <w:p w14:paraId="5842832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39</w:t>
            </w:r>
          </w:p>
        </w:tc>
        <w:tc>
          <w:tcPr>
            <w:tcW w:w="0" w:type="auto"/>
          </w:tcPr>
          <w:p w14:paraId="0AAE29F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37</w:t>
            </w:r>
          </w:p>
        </w:tc>
        <w:tc>
          <w:tcPr>
            <w:tcW w:w="0" w:type="auto"/>
          </w:tcPr>
          <w:p w14:paraId="568D98F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39</w:t>
            </w:r>
          </w:p>
        </w:tc>
        <w:tc>
          <w:tcPr>
            <w:tcW w:w="0" w:type="auto"/>
          </w:tcPr>
          <w:p w14:paraId="11311AB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w:t>
            </w:r>
          </w:p>
        </w:tc>
      </w:tr>
    </w:tbl>
    <w:p w14:paraId="5B3233DD"/>
    <w:p w14:paraId="1E203A08">
      <w:pPr>
        <w:pStyle w:val="48"/>
        <w:ind w:firstLine="0"/>
      </w:pPr>
      <w:bookmarkStart w:id="3" w:name="_Toc220202080"/>
      <w:r>
        <w:t>Table 1. PERT/CPM Analysis for a Logistics Warehouse Development Project (30 Activities)</w:t>
      </w:r>
      <w:bookmarkEnd w:id="3"/>
    </w:p>
    <w:p w14:paraId="555F07AB">
      <w:r>
        <w:t xml:space="preserve">Table 1 presents the PERT/CPM analysis for a logistics warehouse development project comprising 30 activities. The table summarises each activity’s duration, early start (ES), early finish (EF), late start (LS), late finish (LF), and total slack, providing a complete overview of the project schedule and sequencing. Following system integration, the project enters commissioning (I–J, J–O). Final stages involve stakeholder approvals (O–P, P–Q) and administrative closure (Q–T through Y–Z). </w:t>
      </w:r>
    </w:p>
    <w:p w14:paraId="555DDC51">
      <w:pPr>
        <w:ind w:firstLine="0"/>
      </w:pPr>
      <w:r>
        <w:drawing>
          <wp:inline distT="0" distB="0" distL="0" distR="0">
            <wp:extent cx="5934075" cy="3257550"/>
            <wp:effectExtent l="0" t="0" r="9525" b="0"/>
            <wp:docPr id="15818924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892442"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5934075" cy="3257550"/>
                    </a:xfrm>
                    <a:prstGeom prst="rect">
                      <a:avLst/>
                    </a:prstGeom>
                    <a:noFill/>
                    <a:ln>
                      <a:noFill/>
                    </a:ln>
                  </pic:spPr>
                </pic:pic>
              </a:graphicData>
            </a:graphic>
          </wp:inline>
        </w:drawing>
      </w:r>
    </w:p>
    <w:p w14:paraId="404B1ABF">
      <w:pPr>
        <w:pStyle w:val="48"/>
        <w:ind w:firstLine="0"/>
      </w:pPr>
      <w:bookmarkStart w:id="4" w:name="_Toc220202081"/>
      <w:r>
        <w:t>Figure 1a. CPM Network Diagram with Activity-on-Arrow (AoA) notation</w:t>
      </w:r>
      <w:bookmarkEnd w:id="4"/>
    </w:p>
    <w:p w14:paraId="029883C6"/>
    <w:p w14:paraId="01803247">
      <w:pPr>
        <w:ind w:firstLine="0"/>
      </w:pPr>
      <w:r>
        <w:rPr>
          <w:rFonts w:eastAsia="Times New Roman"/>
        </w:rPr>
        <w:drawing>
          <wp:inline distT="0" distB="0" distL="0" distR="0">
            <wp:extent cx="6268085" cy="2095500"/>
            <wp:effectExtent l="0" t="0" r="0" b="0"/>
            <wp:docPr id="362934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293404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a:xfrm>
                      <a:off x="0" y="0"/>
                      <a:ext cx="6285680" cy="2101254"/>
                    </a:xfrm>
                    <a:prstGeom prst="rect">
                      <a:avLst/>
                    </a:prstGeom>
                    <a:noFill/>
                  </pic:spPr>
                </pic:pic>
              </a:graphicData>
            </a:graphic>
          </wp:inline>
        </w:drawing>
      </w:r>
    </w:p>
    <w:p w14:paraId="291764BB">
      <w:pPr>
        <w:pStyle w:val="48"/>
        <w:ind w:firstLine="0"/>
      </w:pPr>
      <w:bookmarkStart w:id="5" w:name="_Toc220202082"/>
      <w:r>
        <w:t>Figure 1b.  Network diagram</w:t>
      </w:r>
      <w:bookmarkEnd w:id="5"/>
    </w:p>
    <w:p w14:paraId="39B5FEE4">
      <w:pPr>
        <w:pStyle w:val="3"/>
      </w:pPr>
      <w:bookmarkStart w:id="6" w:name="_Toc220202056"/>
      <w:r>
        <w:t>Critical Path</w:t>
      </w:r>
      <w:bookmarkEnd w:id="6"/>
    </w:p>
    <w:p w14:paraId="440C1220">
      <w:r>
        <w:t>The Critical Path, which determines the 39-week duration, follows: A → B → E → F → G → I → J → O → P → Q → T → U → V → W → Y → Z. As illustrated in Figure 1, activities O–R and R–S are parallel non-critical tasks. With a calculated slack of 1 week, these activities provide managerial flexibility for staff readiness without delaying the final handover.</w:t>
      </w:r>
    </w:p>
    <w:p w14:paraId="454E473E">
      <w:pPr>
        <w:pStyle w:val="3"/>
      </w:pPr>
      <w:bookmarkStart w:id="7" w:name="_Toc220202057"/>
      <w:r>
        <w:t>Gantt Chart</w:t>
      </w:r>
      <w:bookmarkEnd w:id="7"/>
    </w:p>
    <w:p w14:paraId="4B771E49">
      <w:r>
        <w:t>In the Gantt chart given below, the construction and commissioning of a regional logistics warehouse is presented in a schedule form (see table 2). It depicts all the project activities, their timeframes, starting date and deadline, and critical or non-critical tasks. This critical path will give a project duration of 39 weeks as A-B - B-E - E-F - F-G - G-I - I-J - J-O - O-P - P-Q - Q-T - T-U - U-V - V-W - W-Y - Y-Z. Events that are non-critical have slack time, which implies that they can be postponed without any impact on the end completion date. Parallel activities (including O-R and R-S) are introduced to provide some flexibilities as major construction, systems integration and end of project approvals advance to project handover.</w:t>
      </w:r>
    </w:p>
    <w:tbl>
      <w:tblPr>
        <w:tblStyle w:val="2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6"/>
        <w:gridCol w:w="894"/>
        <w:gridCol w:w="1183"/>
        <w:gridCol w:w="1116"/>
        <w:gridCol w:w="1200"/>
        <w:gridCol w:w="1227"/>
      </w:tblGrid>
      <w:tr w14:paraId="1DC848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5FFD2E67">
            <w:pPr>
              <w:spacing w:after="0" w:line="240" w:lineRule="auto"/>
              <w:ind w:firstLine="0"/>
              <w:jc w:val="left"/>
              <w:rPr>
                <w:rFonts w:eastAsia="Times New Roman" w:cs="Times New Roman"/>
                <w:b/>
                <w:bCs/>
                <w:color w:val="1F1F1F"/>
                <w:sz w:val="20"/>
                <w:szCs w:val="20"/>
              </w:rPr>
            </w:pPr>
            <w:r>
              <w:rPr>
                <w:rFonts w:eastAsia="Times New Roman" w:cs="Times New Roman"/>
                <w:b/>
                <w:bCs/>
                <w:color w:val="1F1F1F"/>
                <w:sz w:val="20"/>
                <w:szCs w:val="20"/>
              </w:rPr>
              <w:t>Act.</w:t>
            </w:r>
          </w:p>
        </w:tc>
        <w:tc>
          <w:tcPr>
            <w:tcW w:w="0" w:type="auto"/>
          </w:tcPr>
          <w:p w14:paraId="0EEA100B">
            <w:pPr>
              <w:spacing w:after="0" w:line="240" w:lineRule="auto"/>
              <w:ind w:firstLine="0"/>
              <w:jc w:val="left"/>
              <w:rPr>
                <w:rFonts w:eastAsia="Times New Roman" w:cs="Times New Roman"/>
                <w:b/>
                <w:bCs/>
                <w:color w:val="1F1F1F"/>
                <w:sz w:val="20"/>
                <w:szCs w:val="20"/>
              </w:rPr>
            </w:pPr>
            <w:r>
              <w:rPr>
                <w:rFonts w:eastAsia="Times New Roman" w:cs="Times New Roman"/>
                <w:b/>
                <w:bCs/>
                <w:color w:val="1F1F1F"/>
                <w:sz w:val="20"/>
                <w:szCs w:val="20"/>
              </w:rPr>
              <w:t>Activity</w:t>
            </w:r>
          </w:p>
        </w:tc>
        <w:tc>
          <w:tcPr>
            <w:tcW w:w="0" w:type="auto"/>
          </w:tcPr>
          <w:p w14:paraId="44763BAE">
            <w:pPr>
              <w:spacing w:after="0" w:line="240" w:lineRule="auto"/>
              <w:ind w:firstLine="0"/>
              <w:jc w:val="left"/>
              <w:rPr>
                <w:rFonts w:eastAsia="Times New Roman" w:cs="Times New Roman"/>
                <w:b/>
                <w:bCs/>
                <w:color w:val="1F1F1F"/>
                <w:sz w:val="20"/>
                <w:szCs w:val="20"/>
              </w:rPr>
            </w:pPr>
            <w:r>
              <w:rPr>
                <w:rFonts w:eastAsia="Times New Roman" w:cs="Times New Roman"/>
                <w:b/>
                <w:bCs/>
                <w:color w:val="1F1F1F"/>
                <w:sz w:val="20"/>
                <w:szCs w:val="20"/>
              </w:rPr>
              <w:t>Dur (Wks.)</w:t>
            </w:r>
          </w:p>
        </w:tc>
        <w:tc>
          <w:tcPr>
            <w:tcW w:w="0" w:type="auto"/>
          </w:tcPr>
          <w:p w14:paraId="06DC5935">
            <w:pPr>
              <w:spacing w:after="0" w:line="240" w:lineRule="auto"/>
              <w:ind w:firstLine="0"/>
              <w:jc w:val="left"/>
              <w:rPr>
                <w:rFonts w:eastAsia="Times New Roman" w:cs="Times New Roman"/>
                <w:b/>
                <w:bCs/>
                <w:color w:val="1F1F1F"/>
                <w:sz w:val="20"/>
                <w:szCs w:val="20"/>
              </w:rPr>
            </w:pPr>
            <w:r>
              <w:rPr>
                <w:rFonts w:eastAsia="Times New Roman" w:cs="Times New Roman"/>
                <w:b/>
                <w:bCs/>
                <w:color w:val="1F1F1F"/>
                <w:sz w:val="20"/>
                <w:szCs w:val="20"/>
              </w:rPr>
              <w:t>Start Date</w:t>
            </w:r>
          </w:p>
        </w:tc>
        <w:tc>
          <w:tcPr>
            <w:tcW w:w="0" w:type="auto"/>
          </w:tcPr>
          <w:p w14:paraId="4E56F54F">
            <w:pPr>
              <w:spacing w:after="0" w:line="240" w:lineRule="auto"/>
              <w:ind w:firstLine="0"/>
              <w:jc w:val="left"/>
              <w:rPr>
                <w:rFonts w:eastAsia="Times New Roman" w:cs="Times New Roman"/>
                <w:b/>
                <w:bCs/>
                <w:color w:val="1F1F1F"/>
                <w:sz w:val="20"/>
                <w:szCs w:val="20"/>
              </w:rPr>
            </w:pPr>
            <w:r>
              <w:rPr>
                <w:rFonts w:eastAsia="Times New Roman" w:cs="Times New Roman"/>
                <w:b/>
                <w:bCs/>
                <w:color w:val="1F1F1F"/>
                <w:sz w:val="20"/>
                <w:szCs w:val="20"/>
              </w:rPr>
              <w:t>Finish Date</w:t>
            </w:r>
          </w:p>
        </w:tc>
        <w:tc>
          <w:tcPr>
            <w:tcW w:w="0" w:type="auto"/>
          </w:tcPr>
          <w:p w14:paraId="790DB43C">
            <w:pPr>
              <w:spacing w:after="0" w:line="240" w:lineRule="auto"/>
              <w:ind w:firstLine="0"/>
              <w:jc w:val="left"/>
              <w:rPr>
                <w:rFonts w:eastAsia="Times New Roman" w:cs="Times New Roman"/>
                <w:b/>
                <w:bCs/>
                <w:color w:val="1F1F1F"/>
                <w:sz w:val="20"/>
                <w:szCs w:val="20"/>
              </w:rPr>
            </w:pPr>
            <w:r>
              <w:rPr>
                <w:rFonts w:eastAsia="Times New Roman" w:cs="Times New Roman"/>
                <w:b/>
                <w:bCs/>
                <w:color w:val="1F1F1F"/>
                <w:sz w:val="20"/>
                <w:szCs w:val="20"/>
              </w:rPr>
              <w:t>Status</w:t>
            </w:r>
          </w:p>
        </w:tc>
      </w:tr>
      <w:tr w14:paraId="6FA7AD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2784B87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w:t>
            </w:r>
          </w:p>
        </w:tc>
        <w:tc>
          <w:tcPr>
            <w:tcW w:w="0" w:type="auto"/>
          </w:tcPr>
          <w:p w14:paraId="29A48A5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A–B</w:t>
            </w:r>
          </w:p>
        </w:tc>
        <w:tc>
          <w:tcPr>
            <w:tcW w:w="0" w:type="auto"/>
          </w:tcPr>
          <w:p w14:paraId="285BE36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5</w:t>
            </w:r>
          </w:p>
        </w:tc>
        <w:tc>
          <w:tcPr>
            <w:tcW w:w="0" w:type="auto"/>
          </w:tcPr>
          <w:p w14:paraId="6830B2C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02-Feb-26</w:t>
            </w:r>
          </w:p>
        </w:tc>
        <w:tc>
          <w:tcPr>
            <w:tcW w:w="0" w:type="auto"/>
          </w:tcPr>
          <w:p w14:paraId="2F48330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09-Mar-26</w:t>
            </w:r>
          </w:p>
        </w:tc>
        <w:tc>
          <w:tcPr>
            <w:tcW w:w="0" w:type="auto"/>
          </w:tcPr>
          <w:p w14:paraId="7FDA2AC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Critical</w:t>
            </w:r>
          </w:p>
        </w:tc>
      </w:tr>
      <w:tr w14:paraId="30A73F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EAE101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46AC4A3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A–C</w:t>
            </w:r>
          </w:p>
        </w:tc>
        <w:tc>
          <w:tcPr>
            <w:tcW w:w="0" w:type="auto"/>
          </w:tcPr>
          <w:p w14:paraId="5AA76C6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63F792F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02-Feb-26</w:t>
            </w:r>
          </w:p>
        </w:tc>
        <w:tc>
          <w:tcPr>
            <w:tcW w:w="0" w:type="auto"/>
          </w:tcPr>
          <w:p w14:paraId="2BCF351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23-Feb-26</w:t>
            </w:r>
          </w:p>
        </w:tc>
        <w:tc>
          <w:tcPr>
            <w:tcW w:w="0" w:type="auto"/>
          </w:tcPr>
          <w:p w14:paraId="4733FE1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Non-Critical</w:t>
            </w:r>
          </w:p>
        </w:tc>
      </w:tr>
      <w:tr w14:paraId="6C813F0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B4947F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655AAA4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B–D</w:t>
            </w:r>
          </w:p>
        </w:tc>
        <w:tc>
          <w:tcPr>
            <w:tcW w:w="0" w:type="auto"/>
          </w:tcPr>
          <w:p w14:paraId="6243D7B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5FB834F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09-Mar-26</w:t>
            </w:r>
          </w:p>
        </w:tc>
        <w:tc>
          <w:tcPr>
            <w:tcW w:w="0" w:type="auto"/>
          </w:tcPr>
          <w:p w14:paraId="38D5CB1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23-Mar-26</w:t>
            </w:r>
          </w:p>
        </w:tc>
        <w:tc>
          <w:tcPr>
            <w:tcW w:w="0" w:type="auto"/>
          </w:tcPr>
          <w:p w14:paraId="7CDE056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Non-Critical</w:t>
            </w:r>
          </w:p>
        </w:tc>
      </w:tr>
      <w:tr w14:paraId="700740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355B622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4</w:t>
            </w:r>
          </w:p>
        </w:tc>
        <w:tc>
          <w:tcPr>
            <w:tcW w:w="0" w:type="auto"/>
          </w:tcPr>
          <w:p w14:paraId="0DD0789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B–E</w:t>
            </w:r>
          </w:p>
        </w:tc>
        <w:tc>
          <w:tcPr>
            <w:tcW w:w="0" w:type="auto"/>
          </w:tcPr>
          <w:p w14:paraId="11ADE75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57916CF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09-Mar-26</w:t>
            </w:r>
          </w:p>
        </w:tc>
        <w:tc>
          <w:tcPr>
            <w:tcW w:w="0" w:type="auto"/>
          </w:tcPr>
          <w:p w14:paraId="010F2B7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30-Mar-26</w:t>
            </w:r>
          </w:p>
        </w:tc>
        <w:tc>
          <w:tcPr>
            <w:tcW w:w="0" w:type="auto"/>
          </w:tcPr>
          <w:p w14:paraId="3E020F0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Critical</w:t>
            </w:r>
          </w:p>
        </w:tc>
      </w:tr>
      <w:tr w14:paraId="671956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6150EC0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5</w:t>
            </w:r>
          </w:p>
        </w:tc>
        <w:tc>
          <w:tcPr>
            <w:tcW w:w="0" w:type="auto"/>
          </w:tcPr>
          <w:p w14:paraId="787B9EC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C–E</w:t>
            </w:r>
          </w:p>
        </w:tc>
        <w:tc>
          <w:tcPr>
            <w:tcW w:w="0" w:type="auto"/>
          </w:tcPr>
          <w:p w14:paraId="3987617B">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19B38B3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23-Feb-26</w:t>
            </w:r>
          </w:p>
        </w:tc>
        <w:tc>
          <w:tcPr>
            <w:tcW w:w="0" w:type="auto"/>
          </w:tcPr>
          <w:p w14:paraId="17F0AD8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16-Mar-26</w:t>
            </w:r>
          </w:p>
        </w:tc>
        <w:tc>
          <w:tcPr>
            <w:tcW w:w="0" w:type="auto"/>
          </w:tcPr>
          <w:p w14:paraId="073DC0C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Non-Critical</w:t>
            </w:r>
          </w:p>
        </w:tc>
      </w:tr>
      <w:tr w14:paraId="03D1AD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521D2B2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6</w:t>
            </w:r>
          </w:p>
        </w:tc>
        <w:tc>
          <w:tcPr>
            <w:tcW w:w="0" w:type="auto"/>
          </w:tcPr>
          <w:p w14:paraId="440CD6F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D–F</w:t>
            </w:r>
          </w:p>
        </w:tc>
        <w:tc>
          <w:tcPr>
            <w:tcW w:w="0" w:type="auto"/>
          </w:tcPr>
          <w:p w14:paraId="3B9EFE1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5D85D18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23-Mar-26</w:t>
            </w:r>
          </w:p>
        </w:tc>
        <w:tc>
          <w:tcPr>
            <w:tcW w:w="0" w:type="auto"/>
          </w:tcPr>
          <w:p w14:paraId="71C5065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13-Apr-26</w:t>
            </w:r>
          </w:p>
        </w:tc>
        <w:tc>
          <w:tcPr>
            <w:tcW w:w="0" w:type="auto"/>
          </w:tcPr>
          <w:p w14:paraId="2E90CB3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Non-Critical</w:t>
            </w:r>
          </w:p>
        </w:tc>
      </w:tr>
      <w:tr w14:paraId="66BB2E6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DF6959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7</w:t>
            </w:r>
          </w:p>
        </w:tc>
        <w:tc>
          <w:tcPr>
            <w:tcW w:w="0" w:type="auto"/>
          </w:tcPr>
          <w:p w14:paraId="17D4E89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E–F</w:t>
            </w:r>
          </w:p>
        </w:tc>
        <w:tc>
          <w:tcPr>
            <w:tcW w:w="0" w:type="auto"/>
          </w:tcPr>
          <w:p w14:paraId="5DECC26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6</w:t>
            </w:r>
          </w:p>
        </w:tc>
        <w:tc>
          <w:tcPr>
            <w:tcW w:w="0" w:type="auto"/>
          </w:tcPr>
          <w:p w14:paraId="5EEB9EF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30-Mar-26</w:t>
            </w:r>
          </w:p>
        </w:tc>
        <w:tc>
          <w:tcPr>
            <w:tcW w:w="0" w:type="auto"/>
          </w:tcPr>
          <w:p w14:paraId="103D917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11-May-26</w:t>
            </w:r>
          </w:p>
        </w:tc>
        <w:tc>
          <w:tcPr>
            <w:tcW w:w="0" w:type="auto"/>
          </w:tcPr>
          <w:p w14:paraId="25025D1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Critical</w:t>
            </w:r>
          </w:p>
        </w:tc>
      </w:tr>
      <w:tr w14:paraId="378F4CC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35EFEB7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8</w:t>
            </w:r>
          </w:p>
        </w:tc>
        <w:tc>
          <w:tcPr>
            <w:tcW w:w="0" w:type="auto"/>
          </w:tcPr>
          <w:p w14:paraId="50297AC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F–G</w:t>
            </w:r>
          </w:p>
        </w:tc>
        <w:tc>
          <w:tcPr>
            <w:tcW w:w="0" w:type="auto"/>
          </w:tcPr>
          <w:p w14:paraId="62587E8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77FC125B">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11-May-26</w:t>
            </w:r>
          </w:p>
        </w:tc>
        <w:tc>
          <w:tcPr>
            <w:tcW w:w="0" w:type="auto"/>
          </w:tcPr>
          <w:p w14:paraId="1C59282B">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25-May-26</w:t>
            </w:r>
          </w:p>
        </w:tc>
        <w:tc>
          <w:tcPr>
            <w:tcW w:w="0" w:type="auto"/>
          </w:tcPr>
          <w:p w14:paraId="2366BDE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Critical</w:t>
            </w:r>
          </w:p>
        </w:tc>
      </w:tr>
      <w:tr w14:paraId="5CF11C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F81920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9</w:t>
            </w:r>
          </w:p>
        </w:tc>
        <w:tc>
          <w:tcPr>
            <w:tcW w:w="0" w:type="auto"/>
          </w:tcPr>
          <w:p w14:paraId="78CB528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F–H</w:t>
            </w:r>
          </w:p>
        </w:tc>
        <w:tc>
          <w:tcPr>
            <w:tcW w:w="0" w:type="auto"/>
          </w:tcPr>
          <w:p w14:paraId="2B2921C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64011C4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11-May-26</w:t>
            </w:r>
          </w:p>
        </w:tc>
        <w:tc>
          <w:tcPr>
            <w:tcW w:w="0" w:type="auto"/>
          </w:tcPr>
          <w:p w14:paraId="19A6422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01-Jun-26</w:t>
            </w:r>
          </w:p>
        </w:tc>
        <w:tc>
          <w:tcPr>
            <w:tcW w:w="0" w:type="auto"/>
          </w:tcPr>
          <w:p w14:paraId="1A44D02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Non-Critical</w:t>
            </w:r>
          </w:p>
        </w:tc>
      </w:tr>
      <w:tr w14:paraId="4DF74C3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28CE73B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10</w:t>
            </w:r>
          </w:p>
        </w:tc>
        <w:tc>
          <w:tcPr>
            <w:tcW w:w="0" w:type="auto"/>
          </w:tcPr>
          <w:p w14:paraId="133B296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G–I</w:t>
            </w:r>
          </w:p>
        </w:tc>
        <w:tc>
          <w:tcPr>
            <w:tcW w:w="0" w:type="auto"/>
          </w:tcPr>
          <w:p w14:paraId="5FAF0A2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4</w:t>
            </w:r>
          </w:p>
        </w:tc>
        <w:tc>
          <w:tcPr>
            <w:tcW w:w="0" w:type="auto"/>
          </w:tcPr>
          <w:p w14:paraId="5926A3C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25-May-26</w:t>
            </w:r>
          </w:p>
        </w:tc>
        <w:tc>
          <w:tcPr>
            <w:tcW w:w="0" w:type="auto"/>
          </w:tcPr>
          <w:p w14:paraId="3A653EE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22-Jun-26</w:t>
            </w:r>
          </w:p>
        </w:tc>
        <w:tc>
          <w:tcPr>
            <w:tcW w:w="0" w:type="auto"/>
          </w:tcPr>
          <w:p w14:paraId="592A7C8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Critical</w:t>
            </w:r>
          </w:p>
        </w:tc>
      </w:tr>
      <w:tr w14:paraId="54A99A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23347EC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11</w:t>
            </w:r>
          </w:p>
        </w:tc>
        <w:tc>
          <w:tcPr>
            <w:tcW w:w="0" w:type="auto"/>
          </w:tcPr>
          <w:p w14:paraId="2FF1529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H–I</w:t>
            </w:r>
          </w:p>
        </w:tc>
        <w:tc>
          <w:tcPr>
            <w:tcW w:w="0" w:type="auto"/>
          </w:tcPr>
          <w:p w14:paraId="57FB509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5F4E83F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01-Jun-26</w:t>
            </w:r>
          </w:p>
        </w:tc>
        <w:tc>
          <w:tcPr>
            <w:tcW w:w="0" w:type="auto"/>
          </w:tcPr>
          <w:p w14:paraId="622AA5C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15-Jun-26</w:t>
            </w:r>
          </w:p>
        </w:tc>
        <w:tc>
          <w:tcPr>
            <w:tcW w:w="0" w:type="auto"/>
          </w:tcPr>
          <w:p w14:paraId="1925A7F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Non-Critical</w:t>
            </w:r>
          </w:p>
        </w:tc>
      </w:tr>
      <w:tr w14:paraId="32AD7C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98C9C5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12</w:t>
            </w:r>
          </w:p>
        </w:tc>
        <w:tc>
          <w:tcPr>
            <w:tcW w:w="0" w:type="auto"/>
          </w:tcPr>
          <w:p w14:paraId="7255C5C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I–J</w:t>
            </w:r>
          </w:p>
        </w:tc>
        <w:tc>
          <w:tcPr>
            <w:tcW w:w="0" w:type="auto"/>
          </w:tcPr>
          <w:p w14:paraId="5F92961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15953FA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22-Jun-26</w:t>
            </w:r>
          </w:p>
        </w:tc>
        <w:tc>
          <w:tcPr>
            <w:tcW w:w="0" w:type="auto"/>
          </w:tcPr>
          <w:p w14:paraId="19B8E70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13-Jul-26</w:t>
            </w:r>
          </w:p>
        </w:tc>
        <w:tc>
          <w:tcPr>
            <w:tcW w:w="0" w:type="auto"/>
          </w:tcPr>
          <w:p w14:paraId="6584CCB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Critical</w:t>
            </w:r>
          </w:p>
        </w:tc>
      </w:tr>
      <w:tr w14:paraId="58C8D8F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448EA21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13</w:t>
            </w:r>
          </w:p>
        </w:tc>
        <w:tc>
          <w:tcPr>
            <w:tcW w:w="0" w:type="auto"/>
          </w:tcPr>
          <w:p w14:paraId="2EEDAA9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E–K</w:t>
            </w:r>
          </w:p>
        </w:tc>
        <w:tc>
          <w:tcPr>
            <w:tcW w:w="0" w:type="auto"/>
          </w:tcPr>
          <w:p w14:paraId="6EB6595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648D58E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30-Mar-26</w:t>
            </w:r>
          </w:p>
        </w:tc>
        <w:tc>
          <w:tcPr>
            <w:tcW w:w="0" w:type="auto"/>
          </w:tcPr>
          <w:p w14:paraId="1D99A0D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13-Apr-26</w:t>
            </w:r>
          </w:p>
        </w:tc>
        <w:tc>
          <w:tcPr>
            <w:tcW w:w="0" w:type="auto"/>
          </w:tcPr>
          <w:p w14:paraId="29BD288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Non-Critical</w:t>
            </w:r>
          </w:p>
        </w:tc>
      </w:tr>
      <w:tr w14:paraId="54EA86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2C38B40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14</w:t>
            </w:r>
          </w:p>
        </w:tc>
        <w:tc>
          <w:tcPr>
            <w:tcW w:w="0" w:type="auto"/>
          </w:tcPr>
          <w:p w14:paraId="166050A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K–L</w:t>
            </w:r>
          </w:p>
        </w:tc>
        <w:tc>
          <w:tcPr>
            <w:tcW w:w="0" w:type="auto"/>
          </w:tcPr>
          <w:p w14:paraId="08021EA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545E072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13-Apr-26</w:t>
            </w:r>
          </w:p>
        </w:tc>
        <w:tc>
          <w:tcPr>
            <w:tcW w:w="0" w:type="auto"/>
          </w:tcPr>
          <w:p w14:paraId="3644C53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04-May-26</w:t>
            </w:r>
          </w:p>
        </w:tc>
        <w:tc>
          <w:tcPr>
            <w:tcW w:w="0" w:type="auto"/>
          </w:tcPr>
          <w:p w14:paraId="074DF63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Non-Critical</w:t>
            </w:r>
          </w:p>
        </w:tc>
      </w:tr>
      <w:tr w14:paraId="22DA22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442E086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15</w:t>
            </w:r>
          </w:p>
        </w:tc>
        <w:tc>
          <w:tcPr>
            <w:tcW w:w="0" w:type="auto"/>
          </w:tcPr>
          <w:p w14:paraId="3505B44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L–J</w:t>
            </w:r>
          </w:p>
        </w:tc>
        <w:tc>
          <w:tcPr>
            <w:tcW w:w="0" w:type="auto"/>
          </w:tcPr>
          <w:p w14:paraId="36E3007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3D95667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04-May-26</w:t>
            </w:r>
          </w:p>
        </w:tc>
        <w:tc>
          <w:tcPr>
            <w:tcW w:w="0" w:type="auto"/>
          </w:tcPr>
          <w:p w14:paraId="2788B48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18-May-26</w:t>
            </w:r>
          </w:p>
        </w:tc>
        <w:tc>
          <w:tcPr>
            <w:tcW w:w="0" w:type="auto"/>
          </w:tcPr>
          <w:p w14:paraId="42827BF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Non-Critical</w:t>
            </w:r>
          </w:p>
        </w:tc>
      </w:tr>
      <w:tr w14:paraId="238A48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256945D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16</w:t>
            </w:r>
          </w:p>
        </w:tc>
        <w:tc>
          <w:tcPr>
            <w:tcW w:w="0" w:type="auto"/>
          </w:tcPr>
          <w:p w14:paraId="52A9005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D–M</w:t>
            </w:r>
          </w:p>
        </w:tc>
        <w:tc>
          <w:tcPr>
            <w:tcW w:w="0" w:type="auto"/>
          </w:tcPr>
          <w:p w14:paraId="387E6B5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64E88D6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23-Mar-26</w:t>
            </w:r>
          </w:p>
        </w:tc>
        <w:tc>
          <w:tcPr>
            <w:tcW w:w="0" w:type="auto"/>
          </w:tcPr>
          <w:p w14:paraId="48853CA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06-Apr-26</w:t>
            </w:r>
          </w:p>
        </w:tc>
        <w:tc>
          <w:tcPr>
            <w:tcW w:w="0" w:type="auto"/>
          </w:tcPr>
          <w:p w14:paraId="3A7487CB">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Non-Critical</w:t>
            </w:r>
          </w:p>
        </w:tc>
      </w:tr>
      <w:tr w14:paraId="385B19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B034A8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17</w:t>
            </w:r>
          </w:p>
        </w:tc>
        <w:tc>
          <w:tcPr>
            <w:tcW w:w="0" w:type="auto"/>
          </w:tcPr>
          <w:p w14:paraId="184EA6C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M–N</w:t>
            </w:r>
          </w:p>
        </w:tc>
        <w:tc>
          <w:tcPr>
            <w:tcW w:w="0" w:type="auto"/>
          </w:tcPr>
          <w:p w14:paraId="1C61380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58AF113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06-Apr-26</w:t>
            </w:r>
          </w:p>
        </w:tc>
        <w:tc>
          <w:tcPr>
            <w:tcW w:w="0" w:type="auto"/>
          </w:tcPr>
          <w:p w14:paraId="4F33B54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27-Apr-26</w:t>
            </w:r>
          </w:p>
        </w:tc>
        <w:tc>
          <w:tcPr>
            <w:tcW w:w="0" w:type="auto"/>
          </w:tcPr>
          <w:p w14:paraId="0DBD75C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Non-Critical</w:t>
            </w:r>
          </w:p>
        </w:tc>
      </w:tr>
      <w:tr w14:paraId="56F840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9E45F3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18</w:t>
            </w:r>
          </w:p>
        </w:tc>
        <w:tc>
          <w:tcPr>
            <w:tcW w:w="0" w:type="auto"/>
          </w:tcPr>
          <w:p w14:paraId="6925152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N–I</w:t>
            </w:r>
          </w:p>
        </w:tc>
        <w:tc>
          <w:tcPr>
            <w:tcW w:w="0" w:type="auto"/>
          </w:tcPr>
          <w:p w14:paraId="4EA922A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49A438D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27-Apr-26</w:t>
            </w:r>
          </w:p>
        </w:tc>
        <w:tc>
          <w:tcPr>
            <w:tcW w:w="0" w:type="auto"/>
          </w:tcPr>
          <w:p w14:paraId="3C2467F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11-May-26</w:t>
            </w:r>
          </w:p>
        </w:tc>
        <w:tc>
          <w:tcPr>
            <w:tcW w:w="0" w:type="auto"/>
          </w:tcPr>
          <w:p w14:paraId="5BB557D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Non-Critical</w:t>
            </w:r>
          </w:p>
        </w:tc>
      </w:tr>
      <w:tr w14:paraId="631496D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CC8B33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19</w:t>
            </w:r>
          </w:p>
        </w:tc>
        <w:tc>
          <w:tcPr>
            <w:tcW w:w="0" w:type="auto"/>
          </w:tcPr>
          <w:p w14:paraId="0A8F9FD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J–O</w:t>
            </w:r>
          </w:p>
        </w:tc>
        <w:tc>
          <w:tcPr>
            <w:tcW w:w="0" w:type="auto"/>
          </w:tcPr>
          <w:p w14:paraId="42F2EB2B">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7C34AD1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13-Jul-26</w:t>
            </w:r>
          </w:p>
        </w:tc>
        <w:tc>
          <w:tcPr>
            <w:tcW w:w="0" w:type="auto"/>
          </w:tcPr>
          <w:p w14:paraId="0BE0DE0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27-Jul-26</w:t>
            </w:r>
          </w:p>
        </w:tc>
        <w:tc>
          <w:tcPr>
            <w:tcW w:w="0" w:type="auto"/>
          </w:tcPr>
          <w:p w14:paraId="4CB1FBC5">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Critical</w:t>
            </w:r>
          </w:p>
        </w:tc>
      </w:tr>
      <w:tr w14:paraId="508028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27ECCED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20</w:t>
            </w:r>
          </w:p>
        </w:tc>
        <w:tc>
          <w:tcPr>
            <w:tcW w:w="0" w:type="auto"/>
          </w:tcPr>
          <w:p w14:paraId="42C7E22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O–P</w:t>
            </w:r>
          </w:p>
        </w:tc>
        <w:tc>
          <w:tcPr>
            <w:tcW w:w="0" w:type="auto"/>
          </w:tcPr>
          <w:p w14:paraId="093CAA8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77677A4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27-Jul-26</w:t>
            </w:r>
          </w:p>
        </w:tc>
        <w:tc>
          <w:tcPr>
            <w:tcW w:w="0" w:type="auto"/>
          </w:tcPr>
          <w:p w14:paraId="57CBB3B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17-Aug-26</w:t>
            </w:r>
          </w:p>
        </w:tc>
        <w:tc>
          <w:tcPr>
            <w:tcW w:w="0" w:type="auto"/>
          </w:tcPr>
          <w:p w14:paraId="3CBA41E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Critical</w:t>
            </w:r>
          </w:p>
        </w:tc>
      </w:tr>
      <w:tr w14:paraId="28CC23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5F8FECE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21</w:t>
            </w:r>
          </w:p>
        </w:tc>
        <w:tc>
          <w:tcPr>
            <w:tcW w:w="0" w:type="auto"/>
          </w:tcPr>
          <w:p w14:paraId="2F7F2F6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P–Q</w:t>
            </w:r>
          </w:p>
        </w:tc>
        <w:tc>
          <w:tcPr>
            <w:tcW w:w="0" w:type="auto"/>
          </w:tcPr>
          <w:p w14:paraId="3D498C8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49A2082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17-Aug-26</w:t>
            </w:r>
          </w:p>
        </w:tc>
        <w:tc>
          <w:tcPr>
            <w:tcW w:w="0" w:type="auto"/>
          </w:tcPr>
          <w:p w14:paraId="681F1DC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31-Aug-26</w:t>
            </w:r>
          </w:p>
        </w:tc>
        <w:tc>
          <w:tcPr>
            <w:tcW w:w="0" w:type="auto"/>
          </w:tcPr>
          <w:p w14:paraId="0CC626D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Critical</w:t>
            </w:r>
          </w:p>
        </w:tc>
      </w:tr>
      <w:tr w14:paraId="1D0F2B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3A835D7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22</w:t>
            </w:r>
          </w:p>
        </w:tc>
        <w:tc>
          <w:tcPr>
            <w:tcW w:w="0" w:type="auto"/>
          </w:tcPr>
          <w:p w14:paraId="5CA4FE8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O–R</w:t>
            </w:r>
          </w:p>
        </w:tc>
        <w:tc>
          <w:tcPr>
            <w:tcW w:w="0" w:type="auto"/>
          </w:tcPr>
          <w:p w14:paraId="40C5ADF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7AB0325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27-Jul-26</w:t>
            </w:r>
          </w:p>
        </w:tc>
        <w:tc>
          <w:tcPr>
            <w:tcW w:w="0" w:type="auto"/>
          </w:tcPr>
          <w:p w14:paraId="54887B10">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10-Aug-26</w:t>
            </w:r>
          </w:p>
        </w:tc>
        <w:tc>
          <w:tcPr>
            <w:tcW w:w="0" w:type="auto"/>
          </w:tcPr>
          <w:p w14:paraId="12E6030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Non-Critical</w:t>
            </w:r>
          </w:p>
        </w:tc>
      </w:tr>
      <w:tr w14:paraId="4252C03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69F7BB4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23</w:t>
            </w:r>
          </w:p>
        </w:tc>
        <w:tc>
          <w:tcPr>
            <w:tcW w:w="0" w:type="auto"/>
          </w:tcPr>
          <w:p w14:paraId="5FD7940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R–S</w:t>
            </w:r>
          </w:p>
        </w:tc>
        <w:tc>
          <w:tcPr>
            <w:tcW w:w="0" w:type="auto"/>
          </w:tcPr>
          <w:p w14:paraId="6C562A6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w:t>
            </w:r>
          </w:p>
        </w:tc>
        <w:tc>
          <w:tcPr>
            <w:tcW w:w="0" w:type="auto"/>
          </w:tcPr>
          <w:p w14:paraId="40A5A02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10-Aug-26</w:t>
            </w:r>
          </w:p>
        </w:tc>
        <w:tc>
          <w:tcPr>
            <w:tcW w:w="0" w:type="auto"/>
          </w:tcPr>
          <w:p w14:paraId="2CFE30B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31-Aug-26</w:t>
            </w:r>
          </w:p>
        </w:tc>
        <w:tc>
          <w:tcPr>
            <w:tcW w:w="0" w:type="auto"/>
          </w:tcPr>
          <w:p w14:paraId="2E9FC4E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Non-Critical</w:t>
            </w:r>
          </w:p>
        </w:tc>
      </w:tr>
      <w:tr w14:paraId="68377FF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7BA5E5E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24</w:t>
            </w:r>
          </w:p>
        </w:tc>
        <w:tc>
          <w:tcPr>
            <w:tcW w:w="0" w:type="auto"/>
          </w:tcPr>
          <w:p w14:paraId="2672F2B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Q–T</w:t>
            </w:r>
          </w:p>
        </w:tc>
        <w:tc>
          <w:tcPr>
            <w:tcW w:w="0" w:type="auto"/>
          </w:tcPr>
          <w:p w14:paraId="22D732A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w:t>
            </w:r>
          </w:p>
        </w:tc>
        <w:tc>
          <w:tcPr>
            <w:tcW w:w="0" w:type="auto"/>
          </w:tcPr>
          <w:p w14:paraId="34BFCD8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31-Aug-26</w:t>
            </w:r>
          </w:p>
        </w:tc>
        <w:tc>
          <w:tcPr>
            <w:tcW w:w="0" w:type="auto"/>
          </w:tcPr>
          <w:p w14:paraId="3D3D3E4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07-Sep-26</w:t>
            </w:r>
          </w:p>
        </w:tc>
        <w:tc>
          <w:tcPr>
            <w:tcW w:w="0" w:type="auto"/>
          </w:tcPr>
          <w:p w14:paraId="718A785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Critical</w:t>
            </w:r>
          </w:p>
        </w:tc>
      </w:tr>
      <w:tr w14:paraId="16C93BA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34340E67">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25</w:t>
            </w:r>
          </w:p>
        </w:tc>
        <w:tc>
          <w:tcPr>
            <w:tcW w:w="0" w:type="auto"/>
          </w:tcPr>
          <w:p w14:paraId="4C1954B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S–T</w:t>
            </w:r>
          </w:p>
        </w:tc>
        <w:tc>
          <w:tcPr>
            <w:tcW w:w="0" w:type="auto"/>
          </w:tcPr>
          <w:p w14:paraId="02D2EAE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w:t>
            </w:r>
          </w:p>
        </w:tc>
        <w:tc>
          <w:tcPr>
            <w:tcW w:w="0" w:type="auto"/>
          </w:tcPr>
          <w:p w14:paraId="7089BF1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31-Aug-26</w:t>
            </w:r>
          </w:p>
        </w:tc>
        <w:tc>
          <w:tcPr>
            <w:tcW w:w="0" w:type="auto"/>
          </w:tcPr>
          <w:p w14:paraId="6F757B4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07-Sep-26</w:t>
            </w:r>
          </w:p>
        </w:tc>
        <w:tc>
          <w:tcPr>
            <w:tcW w:w="0" w:type="auto"/>
          </w:tcPr>
          <w:p w14:paraId="0908198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Non-Critical</w:t>
            </w:r>
          </w:p>
        </w:tc>
      </w:tr>
      <w:tr w14:paraId="02068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4102FC3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26</w:t>
            </w:r>
          </w:p>
        </w:tc>
        <w:tc>
          <w:tcPr>
            <w:tcW w:w="0" w:type="auto"/>
          </w:tcPr>
          <w:p w14:paraId="2A92B5C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T–U</w:t>
            </w:r>
          </w:p>
        </w:tc>
        <w:tc>
          <w:tcPr>
            <w:tcW w:w="0" w:type="auto"/>
          </w:tcPr>
          <w:p w14:paraId="595561E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3B9A7C8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07-Sep-26</w:t>
            </w:r>
          </w:p>
        </w:tc>
        <w:tc>
          <w:tcPr>
            <w:tcW w:w="0" w:type="auto"/>
          </w:tcPr>
          <w:p w14:paraId="30A7AF5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21-Sep-26</w:t>
            </w:r>
          </w:p>
        </w:tc>
        <w:tc>
          <w:tcPr>
            <w:tcW w:w="0" w:type="auto"/>
          </w:tcPr>
          <w:p w14:paraId="2BFF73B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Critical</w:t>
            </w:r>
          </w:p>
        </w:tc>
      </w:tr>
      <w:tr w14:paraId="2482C17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50CDCCD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27</w:t>
            </w:r>
          </w:p>
        </w:tc>
        <w:tc>
          <w:tcPr>
            <w:tcW w:w="0" w:type="auto"/>
          </w:tcPr>
          <w:p w14:paraId="0237892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U–V</w:t>
            </w:r>
          </w:p>
        </w:tc>
        <w:tc>
          <w:tcPr>
            <w:tcW w:w="0" w:type="auto"/>
          </w:tcPr>
          <w:p w14:paraId="279681F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w:t>
            </w:r>
          </w:p>
        </w:tc>
        <w:tc>
          <w:tcPr>
            <w:tcW w:w="0" w:type="auto"/>
          </w:tcPr>
          <w:p w14:paraId="54052C9D">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21-Sep-26</w:t>
            </w:r>
          </w:p>
        </w:tc>
        <w:tc>
          <w:tcPr>
            <w:tcW w:w="0" w:type="auto"/>
          </w:tcPr>
          <w:p w14:paraId="658D56E1">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28-Sep-26</w:t>
            </w:r>
          </w:p>
        </w:tc>
        <w:tc>
          <w:tcPr>
            <w:tcW w:w="0" w:type="auto"/>
          </w:tcPr>
          <w:p w14:paraId="7A4AD96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Critical</w:t>
            </w:r>
          </w:p>
        </w:tc>
      </w:tr>
      <w:tr w14:paraId="015F706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4745FBD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28</w:t>
            </w:r>
          </w:p>
        </w:tc>
        <w:tc>
          <w:tcPr>
            <w:tcW w:w="0" w:type="auto"/>
          </w:tcPr>
          <w:p w14:paraId="62DAD3EC">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V–W</w:t>
            </w:r>
          </w:p>
        </w:tc>
        <w:tc>
          <w:tcPr>
            <w:tcW w:w="0" w:type="auto"/>
          </w:tcPr>
          <w:p w14:paraId="0000F1C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3F475DF8">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28-Sep-26</w:t>
            </w:r>
          </w:p>
        </w:tc>
        <w:tc>
          <w:tcPr>
            <w:tcW w:w="0" w:type="auto"/>
          </w:tcPr>
          <w:p w14:paraId="2FECB94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12-Oct-26</w:t>
            </w:r>
          </w:p>
        </w:tc>
        <w:tc>
          <w:tcPr>
            <w:tcW w:w="0" w:type="auto"/>
          </w:tcPr>
          <w:p w14:paraId="278DAE2B">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Critical</w:t>
            </w:r>
          </w:p>
        </w:tc>
      </w:tr>
      <w:tr w14:paraId="2CE3EB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4566FB06">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29</w:t>
            </w:r>
          </w:p>
        </w:tc>
        <w:tc>
          <w:tcPr>
            <w:tcW w:w="0" w:type="auto"/>
          </w:tcPr>
          <w:p w14:paraId="1AB9017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W–Y</w:t>
            </w:r>
          </w:p>
        </w:tc>
        <w:tc>
          <w:tcPr>
            <w:tcW w:w="0" w:type="auto"/>
          </w:tcPr>
          <w:p w14:paraId="4679902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w:t>
            </w:r>
          </w:p>
        </w:tc>
        <w:tc>
          <w:tcPr>
            <w:tcW w:w="0" w:type="auto"/>
          </w:tcPr>
          <w:p w14:paraId="409B761E">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12-Oct-26</w:t>
            </w:r>
          </w:p>
        </w:tc>
        <w:tc>
          <w:tcPr>
            <w:tcW w:w="0" w:type="auto"/>
          </w:tcPr>
          <w:p w14:paraId="270F29DA">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19-Oct-26</w:t>
            </w:r>
          </w:p>
        </w:tc>
        <w:tc>
          <w:tcPr>
            <w:tcW w:w="0" w:type="auto"/>
          </w:tcPr>
          <w:p w14:paraId="0BC55894">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Critical</w:t>
            </w:r>
          </w:p>
        </w:tc>
      </w:tr>
      <w:tr w14:paraId="2E3DE5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3EBE126B">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30</w:t>
            </w:r>
          </w:p>
        </w:tc>
        <w:tc>
          <w:tcPr>
            <w:tcW w:w="0" w:type="auto"/>
          </w:tcPr>
          <w:p w14:paraId="1CD55689">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Y–Z</w:t>
            </w:r>
          </w:p>
        </w:tc>
        <w:tc>
          <w:tcPr>
            <w:tcW w:w="0" w:type="auto"/>
          </w:tcPr>
          <w:p w14:paraId="3F657A1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2</w:t>
            </w:r>
          </w:p>
        </w:tc>
        <w:tc>
          <w:tcPr>
            <w:tcW w:w="0" w:type="auto"/>
          </w:tcPr>
          <w:p w14:paraId="3308D623">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19-Oct-26</w:t>
            </w:r>
          </w:p>
        </w:tc>
        <w:tc>
          <w:tcPr>
            <w:tcW w:w="0" w:type="auto"/>
          </w:tcPr>
          <w:p w14:paraId="750BCF22">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02-Nov-26</w:t>
            </w:r>
          </w:p>
        </w:tc>
        <w:tc>
          <w:tcPr>
            <w:tcW w:w="0" w:type="auto"/>
          </w:tcPr>
          <w:p w14:paraId="6116440F">
            <w:pPr>
              <w:spacing w:after="0" w:line="240" w:lineRule="auto"/>
              <w:ind w:firstLine="0"/>
              <w:jc w:val="left"/>
              <w:rPr>
                <w:rFonts w:eastAsia="Times New Roman" w:cs="Times New Roman"/>
                <w:color w:val="1F1F1F"/>
                <w:sz w:val="20"/>
                <w:szCs w:val="20"/>
              </w:rPr>
            </w:pPr>
            <w:r>
              <w:rPr>
                <w:rFonts w:eastAsia="Times New Roman" w:cs="Times New Roman"/>
                <w:color w:val="1F1F1F"/>
                <w:sz w:val="20"/>
                <w:szCs w:val="20"/>
              </w:rPr>
              <w:t>Critical</w:t>
            </w:r>
          </w:p>
        </w:tc>
      </w:tr>
    </w:tbl>
    <w:p w14:paraId="7ECF1F6F">
      <w:pPr>
        <w:pStyle w:val="48"/>
        <w:ind w:firstLine="0"/>
      </w:pPr>
    </w:p>
    <w:p w14:paraId="525FE739">
      <w:pPr>
        <w:ind w:firstLine="0"/>
        <w:jc w:val="center"/>
        <w:rPr>
          <w:rFonts w:hint="default"/>
          <w:lang w:val="en-IN"/>
        </w:rPr>
      </w:pPr>
      <w:r>
        <w:rPr>
          <w:rFonts w:hint="default"/>
          <w:lang w:val="en-IN"/>
        </w:rPr>
        <w:drawing>
          <wp:inline distT="0" distB="0" distL="114300" distR="114300">
            <wp:extent cx="5941060" cy="6934835"/>
            <wp:effectExtent l="0" t="0" r="2540" b="14605"/>
            <wp:docPr id="3" name="Picture 3" descr="output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output (2)"/>
                    <pic:cNvPicPr>
                      <a:picLocks noChangeAspect="1"/>
                    </pic:cNvPicPr>
                  </pic:nvPicPr>
                  <pic:blipFill>
                    <a:blip r:embed="rId11"/>
                    <a:stretch>
                      <a:fillRect/>
                    </a:stretch>
                  </pic:blipFill>
                  <pic:spPr>
                    <a:xfrm>
                      <a:off x="0" y="0"/>
                      <a:ext cx="5941060" cy="6934835"/>
                    </a:xfrm>
                    <a:prstGeom prst="rect">
                      <a:avLst/>
                    </a:prstGeom>
                  </pic:spPr>
                </pic:pic>
              </a:graphicData>
            </a:graphic>
          </wp:inline>
        </w:drawing>
      </w:r>
    </w:p>
    <w:p w14:paraId="3F7C4BB4">
      <w:pPr>
        <w:pStyle w:val="48"/>
        <w:ind w:firstLine="0"/>
      </w:pPr>
      <w:bookmarkStart w:id="8" w:name="_Toc220202083"/>
      <w:r>
        <w:t>Table 2. Gantt Chart</w:t>
      </w:r>
      <w:bookmarkEnd w:id="8"/>
    </w:p>
    <w:p w14:paraId="6AF5640B">
      <w:pPr>
        <w:pStyle w:val="2"/>
        <w:rPr>
          <w:rFonts w:eastAsia="Times New Roman"/>
        </w:rPr>
      </w:pPr>
      <w:bookmarkStart w:id="9" w:name="_Toc220202058"/>
      <w:r>
        <w:rPr>
          <w:rFonts w:eastAsia="Times New Roman"/>
        </w:rPr>
        <w:t>Communication Role in Project Management</w:t>
      </w:r>
      <w:bookmarkEnd w:id="9"/>
    </w:p>
    <w:p w14:paraId="630BF95F">
      <w:pPr>
        <w:rPr>
          <w:rFonts w:eastAsia="Times New Roman"/>
        </w:rPr>
      </w:pPr>
      <w:r>
        <w:rPr>
          <w:rFonts w:eastAsia="Times New Roman"/>
        </w:rPr>
        <w:t>In the implementation and commissioning of the Regional Logistics Distribution Warehouse, communication forms an integral part which is the nervous system of the project. Considering that the given venture requires a complex combination of construction crews, IT systems integrators, regulation agencies, and e-commerce stakeholder, any malfunction of the information flow may result in disastrous delays or structural preferences.</w:t>
      </w:r>
    </w:p>
    <w:p w14:paraId="5D6AA99F">
      <w:pPr>
        <w:pStyle w:val="3"/>
        <w:rPr>
          <w:rFonts w:eastAsia="Times New Roman"/>
        </w:rPr>
      </w:pPr>
      <w:bookmarkStart w:id="10" w:name="_Toc220202059"/>
      <w:r>
        <w:rPr>
          <w:rFonts w:eastAsia="Times New Roman"/>
        </w:rPr>
        <w:t>Strategic Value of Communication</w:t>
      </w:r>
      <w:bookmarkEnd w:id="10"/>
    </w:p>
    <w:p w14:paraId="5FFA191E">
      <w:pPr>
        <w:rPr>
          <w:rFonts w:eastAsia="Times New Roman"/>
        </w:rPr>
      </w:pPr>
      <w:r>
        <w:rPr>
          <w:rFonts w:eastAsia="Times New Roman"/>
        </w:rPr>
        <w:t>Good communication makes sure that the project goals are consistent throughout the levels of organisation. Communication plays the primary role in the management of interdependences of tasks in a 39-week project where 30 different activities have been well-defined. An example is when structural works (Activity B-E) is to be transformed into systems integration (Activity F-G), it would need to be coordinated carefully. The communication between the construction team about the loading bay flooring being uncured may make the IT team arrive and instal automated sorting sensors, and the result is a waste of labour costs and equipment loss.</w:t>
      </w:r>
    </w:p>
    <w:p w14:paraId="18A2845E">
      <w:pPr>
        <w:pStyle w:val="3"/>
        <w:rPr>
          <w:rFonts w:eastAsia="Times New Roman"/>
        </w:rPr>
      </w:pPr>
      <w:bookmarkStart w:id="11" w:name="_Toc220202060"/>
      <w:r>
        <w:rPr>
          <w:rFonts w:eastAsia="Times New Roman"/>
        </w:rPr>
        <w:t>Enhancing the Current Performance</w:t>
      </w:r>
      <w:bookmarkEnd w:id="11"/>
    </w:p>
    <w:p w14:paraId="2DBCD647">
      <w:pPr>
        <w:rPr>
          <w:rFonts w:eastAsia="Times New Roman"/>
        </w:rPr>
      </w:pPr>
      <w:r>
        <w:rPr>
          <w:rFonts w:eastAsia="Times New Roman"/>
        </w:rPr>
        <w:t>A centralised Project Management Information System (PMIS) would help a lot in the current project structure. Through the status of the critical path (A -B -E -F -G -I - J...), all the stakeholders will be able to see the status in real time with the help of real-time dashboards. As it is, the non-critical tasks, including Activity D-M (site safety audits), have a slack of 6 weeks. Lack of better communication may result in what is known as Student Syndrome</w:t>
      </w:r>
      <w:r>
        <w:t xml:space="preserve"> (</w:t>
      </w:r>
      <w:r>
        <w:rPr>
          <w:rFonts w:eastAsia="Times New Roman"/>
        </w:rPr>
        <w:t>Aljaz and Aljaž, 2023); these tasks are placed on the teams until the last possible minute, which may turn a non-bottleneck task into a bottleneck provided something wrong happens.</w:t>
      </w:r>
    </w:p>
    <w:p w14:paraId="40752A40">
      <w:pPr>
        <w:pStyle w:val="3"/>
        <w:rPr>
          <w:rFonts w:eastAsia="Times New Roman"/>
        </w:rPr>
      </w:pPr>
      <w:bookmarkStart w:id="12" w:name="_Toc220202061"/>
      <w:r>
        <w:rPr>
          <w:rFonts w:eastAsia="Times New Roman"/>
        </w:rPr>
        <w:t>Impact on Performance</w:t>
      </w:r>
      <w:bookmarkEnd w:id="12"/>
    </w:p>
    <w:p w14:paraId="643B5ABD">
      <w:pPr>
        <w:rPr>
          <w:rFonts w:eastAsia="Times New Roman"/>
        </w:rPr>
      </w:pPr>
      <w:r>
        <w:rPr>
          <w:rFonts w:eastAsia="Times New Roman"/>
        </w:rPr>
        <w:t>There is a direct relationship between performance and the aspect of improved communication (Nyandongo and Davids, 2020); this is as follows:</w:t>
      </w:r>
    </w:p>
    <w:p w14:paraId="36F50270">
      <w:pPr>
        <w:pStyle w:val="31"/>
        <w:numPr>
          <w:ilvl w:val="0"/>
          <w:numId w:val="2"/>
        </w:numPr>
        <w:rPr>
          <w:rFonts w:eastAsia="Times New Roman"/>
        </w:rPr>
      </w:pPr>
      <w:r>
        <w:rPr>
          <w:rFonts w:eastAsia="Times New Roman"/>
        </w:rPr>
        <w:t>Cutting down on Rework: The errors in the warehouse design are minimised with the aid of shared specifications through digital blueprints.</w:t>
      </w:r>
    </w:p>
    <w:p w14:paraId="706B46B8">
      <w:pPr>
        <w:pStyle w:val="31"/>
        <w:numPr>
          <w:ilvl w:val="0"/>
          <w:numId w:val="2"/>
        </w:numPr>
        <w:rPr>
          <w:rFonts w:eastAsia="Times New Roman"/>
        </w:rPr>
      </w:pPr>
      <w:r>
        <w:rPr>
          <w:rFonts w:eastAsia="Times New Roman"/>
        </w:rPr>
        <w:t>Stakeholder Buy-in: There should be regular updates of the clients of the retail supply chain to the effect that the ultimate commissioning (Activity Y-Z) is tailored to suit the clients peculiarities of operation.</w:t>
      </w:r>
    </w:p>
    <w:p w14:paraId="2F1E7FC3">
      <w:pPr>
        <w:pStyle w:val="31"/>
        <w:numPr>
          <w:ilvl w:val="0"/>
          <w:numId w:val="2"/>
        </w:numPr>
        <w:rPr>
          <w:rFonts w:eastAsia="Times New Roman"/>
        </w:rPr>
      </w:pPr>
      <w:r>
        <w:rPr>
          <w:rFonts w:eastAsia="Times New Roman"/>
        </w:rPr>
        <w:t>Conflict Resolution: Resources clashes can be solved through the identification of the conflict early (e.g. shared heavy machinery between B-D and B-E) and is feasible through proactive rescheduling instead of in-reaction to the crisis.</w:t>
      </w:r>
    </w:p>
    <w:p w14:paraId="4018371A">
      <w:pPr>
        <w:pStyle w:val="2"/>
        <w:rPr>
          <w:rFonts w:eastAsia="Times New Roman"/>
        </w:rPr>
      </w:pPr>
      <w:bookmarkStart w:id="13" w:name="_Toc220202062"/>
      <w:r>
        <w:rPr>
          <w:rFonts w:eastAsia="Times New Roman"/>
        </w:rPr>
        <w:t>Use of PERT Analysis and Risk Management Methods</w:t>
      </w:r>
      <w:bookmarkEnd w:id="13"/>
    </w:p>
    <w:p w14:paraId="7C06C36C">
      <w:pPr>
        <w:rPr>
          <w:rFonts w:eastAsia="Times New Roman"/>
        </w:rPr>
      </w:pPr>
      <w:r>
        <w:rPr>
          <w:rFonts w:eastAsia="Times New Roman"/>
        </w:rPr>
        <w:t>Project management, in itself, is an uncertain study (Cleden, 2017). In the case of the warehouse project, we use PERT (Programme Evaluation and Review Technique) and structured risk management models in order to protect the 39-week schedule.</w:t>
      </w:r>
    </w:p>
    <w:p w14:paraId="2A84046A">
      <w:pPr>
        <w:pStyle w:val="3"/>
        <w:rPr>
          <w:rFonts w:eastAsia="Times New Roman"/>
        </w:rPr>
      </w:pPr>
      <w:bookmarkStart w:id="14" w:name="_Toc220202063"/>
      <w:r>
        <w:rPr>
          <w:rFonts w:eastAsia="Times New Roman"/>
        </w:rPr>
        <w:t>Risk Assessment</w:t>
      </w:r>
      <w:bookmarkEnd w:id="14"/>
    </w:p>
    <w:p w14:paraId="25AA2BDA">
      <w:pPr>
        <w:rPr>
          <w:rFonts w:eastAsia="Times New Roman"/>
        </w:rPr>
      </w:pPr>
      <w:r>
        <w:rPr>
          <w:rFonts w:eastAsia="Times New Roman"/>
        </w:rPr>
        <w:t>Various risks of high impact occur in a project of this scale:</w:t>
      </w:r>
    </w:p>
    <w:p w14:paraId="0C611FC4">
      <w:pPr>
        <w:pStyle w:val="31"/>
        <w:numPr>
          <w:ilvl w:val="0"/>
          <w:numId w:val="3"/>
        </w:numPr>
        <w:rPr>
          <w:rFonts w:eastAsia="Times New Roman"/>
        </w:rPr>
      </w:pPr>
      <w:r>
        <w:rPr>
          <w:rFonts w:eastAsia="Times New Roman"/>
        </w:rPr>
        <w:t>Supply Chain Disruptions (Activity B-D/B-E): Any stalling of the critical path could be caused by delays in steel or specialised automation hardware.</w:t>
      </w:r>
    </w:p>
    <w:p w14:paraId="050C6651">
      <w:pPr>
        <w:pStyle w:val="31"/>
        <w:numPr>
          <w:ilvl w:val="0"/>
          <w:numId w:val="3"/>
        </w:numPr>
        <w:rPr>
          <w:rFonts w:eastAsia="Times New Roman"/>
        </w:rPr>
      </w:pPr>
      <w:r>
        <w:rPr>
          <w:rFonts w:eastAsia="Times New Roman"/>
        </w:rPr>
        <w:t>Regulatory Hurdles (Activity A-B): A negligence in the acquisition of local planning permits would ensure that the whole project was delayed at the beginning.</w:t>
      </w:r>
    </w:p>
    <w:p w14:paraId="47BDE92C">
      <w:pPr>
        <w:pStyle w:val="31"/>
        <w:numPr>
          <w:ilvl w:val="0"/>
          <w:numId w:val="3"/>
        </w:numPr>
        <w:rPr>
          <w:rFonts w:eastAsia="Times New Roman"/>
        </w:rPr>
      </w:pPr>
      <w:r>
        <w:rPr>
          <w:rFonts w:eastAsia="Times New Roman"/>
        </w:rPr>
        <w:t>Integration Failure (Activity G-I): The software which manages the fulfilment of the orders may not work in tandem with the physical hardware.</w:t>
      </w:r>
    </w:p>
    <w:p w14:paraId="5BA71C38">
      <w:pPr>
        <w:pStyle w:val="3"/>
        <w:rPr>
          <w:rFonts w:eastAsia="Times New Roman"/>
        </w:rPr>
      </w:pPr>
      <w:bookmarkStart w:id="15" w:name="_Toc220202064"/>
      <w:r>
        <w:rPr>
          <w:rFonts w:eastAsia="Times New Roman"/>
        </w:rPr>
        <w:t>Risk Management Models</w:t>
      </w:r>
      <w:bookmarkEnd w:id="15"/>
    </w:p>
    <w:p w14:paraId="681ED95C">
      <w:pPr>
        <w:rPr>
          <w:rFonts w:eastAsia="Times New Roman"/>
        </w:rPr>
      </w:pPr>
      <w:r>
        <w:rPr>
          <w:rFonts w:eastAsia="Times New Roman"/>
        </w:rPr>
        <w:t>In order to deal with these, we use the Probability-Impact Matrix (see table 3). In this model, risks are divided into groups according to their probability of occurrence and extent of impact on the project completion date</w:t>
      </w:r>
      <w:r>
        <w:t xml:space="preserve"> (</w:t>
      </w:r>
      <w:r>
        <w:rPr>
          <w:rFonts w:eastAsia="Times New Roman"/>
        </w:rPr>
        <w:t xml:space="preserve">Al-Zuheri et al, 2019). </w:t>
      </w:r>
    </w:p>
    <w:tbl>
      <w:tblPr>
        <w:tblStyle w:val="2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405"/>
        <w:gridCol w:w="3216"/>
        <w:gridCol w:w="3744"/>
      </w:tblGrid>
      <w:tr w14:paraId="1A59B0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BFC16A4">
            <w:pPr>
              <w:spacing w:after="0" w:line="240" w:lineRule="auto"/>
              <w:ind w:firstLine="0"/>
              <w:jc w:val="left"/>
              <w:rPr>
                <w:rFonts w:eastAsia="Times New Roman" w:cs="Times New Roman"/>
                <w:sz w:val="20"/>
                <w:szCs w:val="20"/>
              </w:rPr>
            </w:pPr>
            <w:r>
              <w:rPr>
                <w:rFonts w:eastAsia="Times New Roman" w:cs="Times New Roman"/>
                <w:sz w:val="20"/>
                <w:szCs w:val="20"/>
              </w:rPr>
              <w:t>Risk Category</w:t>
            </w:r>
          </w:p>
        </w:tc>
        <w:tc>
          <w:tcPr>
            <w:tcW w:w="0" w:type="auto"/>
          </w:tcPr>
          <w:p w14:paraId="60FD5576">
            <w:pPr>
              <w:spacing w:after="0" w:line="240" w:lineRule="auto"/>
              <w:ind w:firstLine="0"/>
              <w:jc w:val="left"/>
              <w:rPr>
                <w:rFonts w:eastAsia="Times New Roman" w:cs="Times New Roman"/>
                <w:sz w:val="20"/>
                <w:szCs w:val="20"/>
              </w:rPr>
            </w:pPr>
            <w:r>
              <w:rPr>
                <w:rFonts w:eastAsia="Times New Roman" w:cs="Times New Roman"/>
                <w:sz w:val="20"/>
                <w:szCs w:val="20"/>
              </w:rPr>
              <w:t>Mitigation Strategy</w:t>
            </w:r>
          </w:p>
        </w:tc>
        <w:tc>
          <w:tcPr>
            <w:tcW w:w="0" w:type="auto"/>
          </w:tcPr>
          <w:p w14:paraId="71C47F6F">
            <w:pPr>
              <w:spacing w:after="0" w:line="240" w:lineRule="auto"/>
              <w:ind w:firstLine="0"/>
              <w:jc w:val="left"/>
              <w:rPr>
                <w:rFonts w:eastAsia="Times New Roman" w:cs="Times New Roman"/>
                <w:sz w:val="20"/>
                <w:szCs w:val="20"/>
              </w:rPr>
            </w:pPr>
            <w:r>
              <w:rPr>
                <w:rFonts w:eastAsia="Times New Roman" w:cs="Times New Roman"/>
                <w:sz w:val="20"/>
                <w:szCs w:val="20"/>
              </w:rPr>
              <w:t>Technique Applied</w:t>
            </w:r>
          </w:p>
        </w:tc>
      </w:tr>
      <w:tr w14:paraId="3FB6482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7DE52147">
            <w:pPr>
              <w:spacing w:after="0" w:line="240" w:lineRule="auto"/>
              <w:ind w:firstLine="0"/>
              <w:jc w:val="left"/>
              <w:rPr>
                <w:rFonts w:eastAsia="Times New Roman" w:cs="Times New Roman"/>
                <w:sz w:val="20"/>
                <w:szCs w:val="20"/>
              </w:rPr>
            </w:pPr>
            <w:r>
              <w:rPr>
                <w:rFonts w:eastAsia="Times New Roman" w:cs="Times New Roman"/>
                <w:sz w:val="20"/>
                <w:szCs w:val="20"/>
              </w:rPr>
              <w:t>Technical</w:t>
            </w:r>
          </w:p>
        </w:tc>
        <w:tc>
          <w:tcPr>
            <w:tcW w:w="0" w:type="auto"/>
          </w:tcPr>
          <w:p w14:paraId="5A3A8EF0">
            <w:pPr>
              <w:spacing w:after="0" w:line="240" w:lineRule="auto"/>
              <w:ind w:firstLine="0"/>
              <w:jc w:val="left"/>
              <w:rPr>
                <w:rFonts w:eastAsia="Times New Roman" w:cs="Times New Roman"/>
                <w:sz w:val="20"/>
                <w:szCs w:val="20"/>
              </w:rPr>
            </w:pPr>
            <w:r>
              <w:rPr>
                <w:rFonts w:eastAsia="Times New Roman" w:cs="Times New Roman"/>
                <w:sz w:val="20"/>
                <w:szCs w:val="20"/>
              </w:rPr>
              <w:t>Rigorous testing during Activity F–G</w:t>
            </w:r>
          </w:p>
        </w:tc>
        <w:tc>
          <w:tcPr>
            <w:tcW w:w="0" w:type="auto"/>
          </w:tcPr>
          <w:p w14:paraId="138A67A1">
            <w:pPr>
              <w:spacing w:after="0" w:line="240" w:lineRule="auto"/>
              <w:ind w:firstLine="0"/>
              <w:jc w:val="left"/>
              <w:rPr>
                <w:rFonts w:eastAsia="Times New Roman" w:cs="Times New Roman"/>
                <w:sz w:val="20"/>
                <w:szCs w:val="20"/>
              </w:rPr>
            </w:pPr>
            <w:r>
              <w:rPr>
                <w:rFonts w:eastAsia="Times New Roman" w:cs="Times New Roman"/>
                <w:sz w:val="20"/>
                <w:szCs w:val="20"/>
              </w:rPr>
              <w:t>Failure Mode and Effects Analysis (FMEA)</w:t>
            </w:r>
          </w:p>
        </w:tc>
      </w:tr>
      <w:tr w14:paraId="291A91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4EFBEB7F">
            <w:pPr>
              <w:spacing w:after="0" w:line="240" w:lineRule="auto"/>
              <w:ind w:firstLine="0"/>
              <w:jc w:val="left"/>
              <w:rPr>
                <w:rFonts w:eastAsia="Times New Roman" w:cs="Times New Roman"/>
                <w:sz w:val="20"/>
                <w:szCs w:val="20"/>
              </w:rPr>
            </w:pPr>
            <w:r>
              <w:rPr>
                <w:rFonts w:eastAsia="Times New Roman" w:cs="Times New Roman"/>
                <w:sz w:val="20"/>
                <w:szCs w:val="20"/>
              </w:rPr>
              <w:t>Environmental</w:t>
            </w:r>
          </w:p>
        </w:tc>
        <w:tc>
          <w:tcPr>
            <w:tcW w:w="0" w:type="auto"/>
          </w:tcPr>
          <w:p w14:paraId="3186385C">
            <w:pPr>
              <w:spacing w:after="0" w:line="240" w:lineRule="auto"/>
              <w:ind w:firstLine="0"/>
              <w:jc w:val="left"/>
              <w:rPr>
                <w:rFonts w:eastAsia="Times New Roman" w:cs="Times New Roman"/>
                <w:sz w:val="20"/>
                <w:szCs w:val="20"/>
              </w:rPr>
            </w:pPr>
            <w:r>
              <w:rPr>
                <w:rFonts w:eastAsia="Times New Roman" w:cs="Times New Roman"/>
                <w:sz w:val="20"/>
                <w:szCs w:val="20"/>
              </w:rPr>
              <w:t>Buffer periods in construction phases</w:t>
            </w:r>
          </w:p>
        </w:tc>
        <w:tc>
          <w:tcPr>
            <w:tcW w:w="0" w:type="auto"/>
          </w:tcPr>
          <w:p w14:paraId="052CF75E">
            <w:pPr>
              <w:spacing w:after="0" w:line="240" w:lineRule="auto"/>
              <w:ind w:firstLine="0"/>
              <w:jc w:val="left"/>
              <w:rPr>
                <w:rFonts w:eastAsia="Times New Roman" w:cs="Times New Roman"/>
                <w:sz w:val="20"/>
                <w:szCs w:val="20"/>
              </w:rPr>
            </w:pPr>
            <w:r>
              <w:rPr>
                <w:rFonts w:eastAsia="Times New Roman" w:cs="Times New Roman"/>
                <w:sz w:val="20"/>
                <w:szCs w:val="20"/>
              </w:rPr>
              <w:t>PERT Three-Point Estimating</w:t>
            </w:r>
          </w:p>
        </w:tc>
      </w:tr>
      <w:tr w14:paraId="464A2E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7B55C929">
            <w:pPr>
              <w:spacing w:after="0" w:line="240" w:lineRule="auto"/>
              <w:ind w:firstLine="0"/>
              <w:jc w:val="left"/>
              <w:rPr>
                <w:rFonts w:eastAsia="Times New Roman" w:cs="Times New Roman"/>
                <w:sz w:val="20"/>
                <w:szCs w:val="20"/>
              </w:rPr>
            </w:pPr>
            <w:r>
              <w:rPr>
                <w:rFonts w:eastAsia="Times New Roman" w:cs="Times New Roman"/>
                <w:sz w:val="20"/>
                <w:szCs w:val="20"/>
              </w:rPr>
              <w:t>Operational</w:t>
            </w:r>
          </w:p>
        </w:tc>
        <w:tc>
          <w:tcPr>
            <w:tcW w:w="0" w:type="auto"/>
          </w:tcPr>
          <w:p w14:paraId="2513315E">
            <w:pPr>
              <w:spacing w:after="0" w:line="240" w:lineRule="auto"/>
              <w:ind w:firstLine="0"/>
              <w:jc w:val="left"/>
              <w:rPr>
                <w:rFonts w:eastAsia="Times New Roman" w:cs="Times New Roman"/>
                <w:sz w:val="20"/>
                <w:szCs w:val="20"/>
              </w:rPr>
            </w:pPr>
            <w:r>
              <w:rPr>
                <w:rFonts w:eastAsia="Times New Roman" w:cs="Times New Roman"/>
                <w:sz w:val="20"/>
                <w:szCs w:val="20"/>
              </w:rPr>
              <w:t>Cross-training staff in Activity O–R</w:t>
            </w:r>
          </w:p>
        </w:tc>
        <w:tc>
          <w:tcPr>
            <w:tcW w:w="0" w:type="auto"/>
          </w:tcPr>
          <w:p w14:paraId="6C59A635">
            <w:pPr>
              <w:spacing w:after="0" w:line="240" w:lineRule="auto"/>
              <w:ind w:firstLine="0"/>
              <w:jc w:val="left"/>
              <w:rPr>
                <w:rFonts w:eastAsia="Times New Roman" w:cs="Times New Roman"/>
                <w:sz w:val="20"/>
                <w:szCs w:val="20"/>
              </w:rPr>
            </w:pPr>
            <w:r>
              <w:rPr>
                <w:rFonts w:eastAsia="Times New Roman" w:cs="Times New Roman"/>
                <w:sz w:val="20"/>
                <w:szCs w:val="20"/>
              </w:rPr>
              <w:t>Contingency Planning</w:t>
            </w:r>
          </w:p>
        </w:tc>
      </w:tr>
    </w:tbl>
    <w:p w14:paraId="54EB8D79">
      <w:pPr>
        <w:pStyle w:val="48"/>
        <w:ind w:firstLine="0"/>
      </w:pPr>
      <w:bookmarkStart w:id="16" w:name="_Toc220202084"/>
      <w:r>
        <w:t>Table 3. Probability-Impact Matrix</w:t>
      </w:r>
      <w:bookmarkEnd w:id="16"/>
    </w:p>
    <w:p w14:paraId="428417A8">
      <w:pPr>
        <w:pStyle w:val="3"/>
        <w:rPr>
          <w:rFonts w:eastAsia="Times New Roman"/>
        </w:rPr>
      </w:pPr>
      <w:bookmarkStart w:id="17" w:name="_Toc220202065"/>
      <w:r>
        <w:rPr>
          <w:rFonts w:eastAsia="Times New Roman"/>
        </w:rPr>
        <w:t>PERT Statistical Analysis</w:t>
      </w:r>
      <w:bookmarkEnd w:id="17"/>
    </w:p>
    <w:p w14:paraId="70C0F9D4">
      <w:r>
        <w:rPr>
          <w:rFonts w:eastAsia="Times New Roman"/>
        </w:rPr>
        <w:t xml:space="preserve">PERT analysis will help the management deal with uncertainty in project scheduling through incorporation of optimistic (O), most likely (M), and pessimistic (P) time estimates of each activity (Itani, 2023). The probable time required in an activity is calculated by using the formula. This weighted average focuses more on the probably used duration and still takes into consideration variability possible. In this project, the PERT formula is considered to the identified activities in the network diagram where the critical path is applied because these have a direct impact on the overall time of the project </w:t>
      </w:r>
      <w:r>
        <w:t>completion.</w:t>
      </w:r>
    </w:p>
    <w:p w14:paraId="66F54373">
      <w:pPr>
        <w:spacing w:after="0" w:line="240" w:lineRule="auto"/>
        <w:ind w:firstLine="0"/>
        <w:jc w:val="left"/>
        <w:rPr>
          <w:rFonts w:eastAsia="Times New Roman"/>
          <w:sz w:val="28"/>
          <w:szCs w:val="28"/>
        </w:rPr>
      </w:pPr>
      <m:oMathPara>
        <m:oMath>
          <m:sSub>
            <m:sSubPr>
              <m:ctrlPr>
                <w:rPr>
                  <w:rFonts w:ascii="Cambria Math" w:hAnsi="Cambria Math" w:eastAsia="Times New Roman" w:cs="Times New Roman"/>
                  <w:sz w:val="28"/>
                  <w:szCs w:val="28"/>
                </w:rPr>
              </m:ctrlPr>
            </m:sSubPr>
            <m:e>
              <m:r>
                <m:rPr/>
                <w:rPr>
                  <w:rFonts w:ascii="Cambria Math" w:hAnsi="Cambria Math" w:eastAsia="Times New Roman" w:cs="Times New Roman"/>
                  <w:sz w:val="28"/>
                  <w:szCs w:val="28"/>
                </w:rPr>
                <m:t>T</m:t>
              </m:r>
              <m:ctrlPr>
                <w:rPr>
                  <w:rFonts w:ascii="Cambria Math" w:hAnsi="Cambria Math" w:eastAsia="Times New Roman" w:cs="Times New Roman"/>
                  <w:sz w:val="28"/>
                  <w:szCs w:val="28"/>
                </w:rPr>
              </m:ctrlPr>
            </m:e>
            <m:sub>
              <m:r>
                <m:rPr/>
                <w:rPr>
                  <w:rFonts w:ascii="Cambria Math" w:hAnsi="Cambria Math" w:eastAsia="Times New Roman" w:cs="Times New Roman"/>
                  <w:sz w:val="28"/>
                  <w:szCs w:val="28"/>
                </w:rPr>
                <m:t>e</m:t>
              </m:r>
              <m:ctrlPr>
                <w:rPr>
                  <w:rFonts w:ascii="Cambria Math" w:hAnsi="Cambria Math" w:eastAsia="Times New Roman" w:cs="Times New Roman"/>
                  <w:sz w:val="28"/>
                  <w:szCs w:val="28"/>
                </w:rPr>
              </m:ctrlPr>
            </m:sub>
          </m:sSub>
          <m:r>
            <m:rPr/>
            <w:rPr>
              <w:rFonts w:ascii="Cambria Math" w:hAnsi="Cambria Math" w:eastAsia="Times New Roman" w:cs="Times New Roman"/>
              <w:sz w:val="28"/>
              <w:szCs w:val="28"/>
            </w:rPr>
            <m:t>=</m:t>
          </m:r>
          <m:f>
            <m:fPr>
              <m:ctrlPr>
                <w:rPr>
                  <w:rFonts w:ascii="Cambria Math" w:hAnsi="Cambria Math" w:eastAsia="Times New Roman" w:cs="Times New Roman"/>
                  <w:sz w:val="28"/>
                  <w:szCs w:val="28"/>
                </w:rPr>
              </m:ctrlPr>
            </m:fPr>
            <m:num>
              <m:r>
                <m:rPr/>
                <w:rPr>
                  <w:rFonts w:ascii="Cambria Math" w:hAnsi="Cambria Math" w:eastAsia="Times New Roman" w:cs="Times New Roman"/>
                  <w:sz w:val="28"/>
                  <w:szCs w:val="28"/>
                </w:rPr>
                <m:t>O+4M+P</m:t>
              </m:r>
              <m:ctrlPr>
                <w:rPr>
                  <w:rFonts w:ascii="Cambria Math" w:hAnsi="Cambria Math" w:eastAsia="Times New Roman" w:cs="Times New Roman"/>
                  <w:sz w:val="28"/>
                  <w:szCs w:val="28"/>
                </w:rPr>
              </m:ctrlPr>
            </m:num>
            <m:den>
              <m:r>
                <m:rPr/>
                <w:rPr>
                  <w:rFonts w:ascii="Cambria Math" w:hAnsi="Cambria Math" w:eastAsia="Times New Roman" w:cs="Times New Roman"/>
                  <w:sz w:val="28"/>
                  <w:szCs w:val="28"/>
                </w:rPr>
                <m:t>6</m:t>
              </m:r>
              <m:ctrlPr>
                <w:rPr>
                  <w:rFonts w:ascii="Cambria Math" w:hAnsi="Cambria Math" w:eastAsia="Times New Roman" w:cs="Times New Roman"/>
                  <w:sz w:val="28"/>
                  <w:szCs w:val="28"/>
                </w:rPr>
              </m:ctrlPr>
            </m:den>
          </m:f>
        </m:oMath>
      </m:oMathPara>
    </w:p>
    <w:p w14:paraId="1305D975">
      <w:pPr>
        <w:spacing w:after="0" w:line="240" w:lineRule="auto"/>
        <w:ind w:firstLine="0"/>
        <w:jc w:val="left"/>
        <w:rPr>
          <w:rFonts w:eastAsia="Times New Roman"/>
          <w:szCs w:val="24"/>
        </w:rPr>
      </w:pPr>
    </w:p>
    <w:p w14:paraId="1E0249E7">
      <w:pPr>
        <w:spacing w:after="0" w:line="240" w:lineRule="auto"/>
        <w:ind w:firstLine="0"/>
        <w:jc w:val="left"/>
        <w:rPr>
          <w:rFonts w:eastAsia="Times New Roman" w:cs="Times New Roman"/>
          <w:szCs w:val="24"/>
        </w:rPr>
      </w:pPr>
    </w:p>
    <w:tbl>
      <w:tblPr>
        <w:tblStyle w:val="2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71"/>
        <w:gridCol w:w="1425"/>
        <w:gridCol w:w="1502"/>
        <w:gridCol w:w="1430"/>
        <w:gridCol w:w="1753"/>
        <w:gridCol w:w="1295"/>
      </w:tblGrid>
      <w:tr w14:paraId="6D6643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43E1BD0E">
            <w:pPr>
              <w:spacing w:after="0" w:line="240" w:lineRule="auto"/>
              <w:ind w:firstLine="0"/>
              <w:jc w:val="center"/>
              <w:rPr>
                <w:rFonts w:eastAsia="Times New Roman" w:cs="Times New Roman"/>
                <w:b/>
                <w:bCs/>
                <w:sz w:val="20"/>
                <w:szCs w:val="20"/>
              </w:rPr>
            </w:pPr>
            <w:r>
              <w:rPr>
                <w:rFonts w:eastAsia="Times New Roman" w:cs="Times New Roman"/>
                <w:b/>
                <w:bCs/>
                <w:sz w:val="20"/>
                <w:szCs w:val="20"/>
              </w:rPr>
              <w:t>Activity (Critical Path)</w:t>
            </w:r>
          </w:p>
        </w:tc>
        <w:tc>
          <w:tcPr>
            <w:tcW w:w="0" w:type="auto"/>
          </w:tcPr>
          <w:p w14:paraId="461EA883">
            <w:pPr>
              <w:spacing w:after="0" w:line="240" w:lineRule="auto"/>
              <w:ind w:firstLine="0"/>
              <w:jc w:val="center"/>
              <w:rPr>
                <w:rFonts w:eastAsia="Times New Roman" w:cs="Times New Roman"/>
                <w:b/>
                <w:bCs/>
                <w:sz w:val="20"/>
                <w:szCs w:val="20"/>
              </w:rPr>
            </w:pPr>
            <w:r>
              <w:rPr>
                <w:rFonts w:eastAsia="Times New Roman" w:cs="Times New Roman"/>
                <w:b/>
                <w:bCs/>
                <w:sz w:val="20"/>
                <w:szCs w:val="20"/>
              </w:rPr>
              <w:t>O (Optimistic)</w:t>
            </w:r>
          </w:p>
        </w:tc>
        <w:tc>
          <w:tcPr>
            <w:tcW w:w="0" w:type="auto"/>
          </w:tcPr>
          <w:p w14:paraId="21338F0C">
            <w:pPr>
              <w:spacing w:after="0" w:line="240" w:lineRule="auto"/>
              <w:ind w:firstLine="0"/>
              <w:jc w:val="center"/>
              <w:rPr>
                <w:rFonts w:eastAsia="Times New Roman" w:cs="Times New Roman"/>
                <w:b/>
                <w:bCs/>
                <w:sz w:val="20"/>
                <w:szCs w:val="20"/>
              </w:rPr>
            </w:pPr>
            <w:r>
              <w:rPr>
                <w:rFonts w:eastAsia="Times New Roman" w:cs="Times New Roman"/>
                <w:b/>
                <w:bCs/>
                <w:sz w:val="20"/>
                <w:szCs w:val="20"/>
              </w:rPr>
              <w:t>M (Most Likely)</w:t>
            </w:r>
          </w:p>
        </w:tc>
        <w:tc>
          <w:tcPr>
            <w:tcW w:w="0" w:type="auto"/>
          </w:tcPr>
          <w:p w14:paraId="52037096">
            <w:pPr>
              <w:spacing w:after="0" w:line="240" w:lineRule="auto"/>
              <w:ind w:firstLine="0"/>
              <w:jc w:val="center"/>
              <w:rPr>
                <w:rFonts w:eastAsia="Times New Roman" w:cs="Times New Roman"/>
                <w:b/>
                <w:bCs/>
                <w:sz w:val="20"/>
                <w:szCs w:val="20"/>
              </w:rPr>
            </w:pPr>
            <w:r>
              <w:rPr>
                <w:rFonts w:eastAsia="Times New Roman" w:cs="Times New Roman"/>
                <w:b/>
                <w:bCs/>
                <w:sz w:val="20"/>
                <w:szCs w:val="20"/>
              </w:rPr>
              <w:t>P (Pessimistic)</w:t>
            </w:r>
          </w:p>
        </w:tc>
        <w:tc>
          <w:tcPr>
            <w:tcW w:w="0" w:type="auto"/>
          </w:tcPr>
          <w:p w14:paraId="6903114B">
            <w:pPr>
              <w:spacing w:after="0" w:line="240" w:lineRule="auto"/>
              <w:ind w:firstLine="0"/>
              <w:jc w:val="center"/>
              <w:rPr>
                <w:rFonts w:eastAsia="Times New Roman" w:cs="Times New Roman"/>
                <w:b/>
                <w:bCs/>
                <w:sz w:val="20"/>
                <w:szCs w:val="20"/>
              </w:rPr>
            </w:pPr>
            <w:r>
              <w:rPr>
                <w:rFonts w:eastAsia="Times New Roman" w:cs="Times New Roman"/>
                <w:b/>
                <w:bCs/>
                <w:sz w:val="20"/>
                <w:szCs w:val="20"/>
              </w:rPr>
              <w:t>Tₑ (Expected Time)</w:t>
            </w:r>
          </w:p>
        </w:tc>
        <w:tc>
          <w:tcPr>
            <w:tcW w:w="0" w:type="auto"/>
          </w:tcPr>
          <w:p w14:paraId="35BB4C2E">
            <w:pPr>
              <w:spacing w:after="0" w:line="240" w:lineRule="auto"/>
              <w:ind w:firstLine="0"/>
              <w:jc w:val="center"/>
              <w:rPr>
                <w:rFonts w:eastAsia="Times New Roman" w:cs="Times New Roman"/>
                <w:b/>
                <w:bCs/>
                <w:sz w:val="20"/>
                <w:szCs w:val="20"/>
              </w:rPr>
            </w:pPr>
            <w:r>
              <w:rPr>
                <w:rFonts w:eastAsia="Times New Roman" w:cs="Times New Roman"/>
                <w:b/>
                <w:bCs/>
                <w:sz w:val="20"/>
                <w:szCs w:val="20"/>
              </w:rPr>
              <w:t>Variance (σ²)</w:t>
            </w:r>
          </w:p>
        </w:tc>
      </w:tr>
      <w:tr w14:paraId="1F861B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73FEC58">
            <w:pPr>
              <w:spacing w:after="0" w:line="240" w:lineRule="auto"/>
              <w:ind w:firstLine="0"/>
              <w:jc w:val="left"/>
              <w:rPr>
                <w:rFonts w:eastAsia="Times New Roman" w:cs="Times New Roman"/>
                <w:sz w:val="20"/>
                <w:szCs w:val="20"/>
              </w:rPr>
            </w:pPr>
            <w:r>
              <w:rPr>
                <w:rFonts w:eastAsia="Times New Roman" w:cs="Times New Roman"/>
                <w:sz w:val="20"/>
                <w:szCs w:val="20"/>
              </w:rPr>
              <w:t>A–B (Mobilisation)</w:t>
            </w:r>
          </w:p>
        </w:tc>
        <w:tc>
          <w:tcPr>
            <w:tcW w:w="0" w:type="auto"/>
          </w:tcPr>
          <w:p w14:paraId="3A5A9601">
            <w:pPr>
              <w:spacing w:after="0" w:line="240" w:lineRule="auto"/>
              <w:ind w:firstLine="0"/>
              <w:jc w:val="left"/>
              <w:rPr>
                <w:rFonts w:eastAsia="Times New Roman" w:cs="Times New Roman"/>
                <w:sz w:val="20"/>
                <w:szCs w:val="20"/>
              </w:rPr>
            </w:pPr>
            <w:r>
              <w:rPr>
                <w:rFonts w:eastAsia="Times New Roman" w:cs="Times New Roman"/>
                <w:sz w:val="20"/>
                <w:szCs w:val="20"/>
              </w:rPr>
              <w:t>4</w:t>
            </w:r>
          </w:p>
        </w:tc>
        <w:tc>
          <w:tcPr>
            <w:tcW w:w="0" w:type="auto"/>
          </w:tcPr>
          <w:p w14:paraId="40397A62">
            <w:pPr>
              <w:spacing w:after="0" w:line="240" w:lineRule="auto"/>
              <w:ind w:firstLine="0"/>
              <w:jc w:val="left"/>
              <w:rPr>
                <w:rFonts w:eastAsia="Times New Roman" w:cs="Times New Roman"/>
                <w:sz w:val="20"/>
                <w:szCs w:val="20"/>
              </w:rPr>
            </w:pPr>
            <w:r>
              <w:rPr>
                <w:rFonts w:eastAsia="Times New Roman" w:cs="Times New Roman"/>
                <w:sz w:val="20"/>
                <w:szCs w:val="20"/>
              </w:rPr>
              <w:t>5</w:t>
            </w:r>
          </w:p>
        </w:tc>
        <w:tc>
          <w:tcPr>
            <w:tcW w:w="0" w:type="auto"/>
          </w:tcPr>
          <w:p w14:paraId="7818C928">
            <w:pPr>
              <w:spacing w:after="0" w:line="240" w:lineRule="auto"/>
              <w:ind w:firstLine="0"/>
              <w:jc w:val="left"/>
              <w:rPr>
                <w:rFonts w:eastAsia="Times New Roman" w:cs="Times New Roman"/>
                <w:sz w:val="20"/>
                <w:szCs w:val="20"/>
              </w:rPr>
            </w:pPr>
            <w:r>
              <w:rPr>
                <w:rFonts w:eastAsia="Times New Roman" w:cs="Times New Roman"/>
                <w:sz w:val="20"/>
                <w:szCs w:val="20"/>
              </w:rPr>
              <w:t>12</w:t>
            </w:r>
          </w:p>
        </w:tc>
        <w:tc>
          <w:tcPr>
            <w:tcW w:w="0" w:type="auto"/>
          </w:tcPr>
          <w:p w14:paraId="69E9EF47">
            <w:pPr>
              <w:spacing w:after="0" w:line="240" w:lineRule="auto"/>
              <w:ind w:firstLine="0"/>
              <w:jc w:val="left"/>
              <w:rPr>
                <w:rFonts w:eastAsia="Times New Roman" w:cs="Times New Roman"/>
                <w:sz w:val="20"/>
                <w:szCs w:val="20"/>
              </w:rPr>
            </w:pPr>
            <w:r>
              <w:rPr>
                <w:rFonts w:eastAsia="Times New Roman" w:cs="Times New Roman"/>
                <w:sz w:val="20"/>
                <w:szCs w:val="20"/>
              </w:rPr>
              <w:t>6.00</w:t>
            </w:r>
          </w:p>
        </w:tc>
        <w:tc>
          <w:tcPr>
            <w:tcW w:w="0" w:type="auto"/>
          </w:tcPr>
          <w:p w14:paraId="4E8D586D">
            <w:pPr>
              <w:spacing w:after="0" w:line="240" w:lineRule="auto"/>
              <w:ind w:firstLine="0"/>
              <w:jc w:val="left"/>
              <w:rPr>
                <w:rFonts w:eastAsia="Times New Roman" w:cs="Times New Roman"/>
                <w:sz w:val="20"/>
                <w:szCs w:val="20"/>
              </w:rPr>
            </w:pPr>
            <w:r>
              <w:rPr>
                <w:rFonts w:eastAsia="Times New Roman" w:cs="Times New Roman"/>
                <w:sz w:val="20"/>
                <w:szCs w:val="20"/>
              </w:rPr>
              <w:t>1.77</w:t>
            </w:r>
          </w:p>
        </w:tc>
      </w:tr>
      <w:tr w14:paraId="1D0285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76C97AB2">
            <w:pPr>
              <w:spacing w:after="0" w:line="240" w:lineRule="auto"/>
              <w:ind w:firstLine="0"/>
              <w:jc w:val="left"/>
              <w:rPr>
                <w:rFonts w:eastAsia="Times New Roman" w:cs="Times New Roman"/>
                <w:sz w:val="20"/>
                <w:szCs w:val="20"/>
              </w:rPr>
            </w:pPr>
            <w:r>
              <w:rPr>
                <w:rFonts w:eastAsia="Times New Roman" w:cs="Times New Roman"/>
                <w:sz w:val="20"/>
                <w:szCs w:val="20"/>
              </w:rPr>
              <w:t>B–E (Structural Works)</w:t>
            </w:r>
          </w:p>
        </w:tc>
        <w:tc>
          <w:tcPr>
            <w:tcW w:w="0" w:type="auto"/>
          </w:tcPr>
          <w:p w14:paraId="2A74F3DB">
            <w:pPr>
              <w:spacing w:after="0" w:line="240" w:lineRule="auto"/>
              <w:ind w:firstLine="0"/>
              <w:jc w:val="left"/>
              <w:rPr>
                <w:rFonts w:eastAsia="Times New Roman" w:cs="Times New Roman"/>
                <w:sz w:val="20"/>
                <w:szCs w:val="20"/>
              </w:rPr>
            </w:pPr>
            <w:r>
              <w:rPr>
                <w:rFonts w:eastAsia="Times New Roman" w:cs="Times New Roman"/>
                <w:sz w:val="20"/>
                <w:szCs w:val="20"/>
              </w:rPr>
              <w:t>2</w:t>
            </w:r>
          </w:p>
        </w:tc>
        <w:tc>
          <w:tcPr>
            <w:tcW w:w="0" w:type="auto"/>
          </w:tcPr>
          <w:p w14:paraId="63BBCF54">
            <w:pPr>
              <w:spacing w:after="0" w:line="240" w:lineRule="auto"/>
              <w:ind w:firstLine="0"/>
              <w:jc w:val="left"/>
              <w:rPr>
                <w:rFonts w:eastAsia="Times New Roman" w:cs="Times New Roman"/>
                <w:sz w:val="20"/>
                <w:szCs w:val="20"/>
              </w:rPr>
            </w:pPr>
            <w:r>
              <w:rPr>
                <w:rFonts w:eastAsia="Times New Roman" w:cs="Times New Roman"/>
                <w:sz w:val="20"/>
                <w:szCs w:val="20"/>
              </w:rPr>
              <w:t>3</w:t>
            </w:r>
          </w:p>
        </w:tc>
        <w:tc>
          <w:tcPr>
            <w:tcW w:w="0" w:type="auto"/>
          </w:tcPr>
          <w:p w14:paraId="370DC140">
            <w:pPr>
              <w:spacing w:after="0" w:line="240" w:lineRule="auto"/>
              <w:ind w:firstLine="0"/>
              <w:jc w:val="left"/>
              <w:rPr>
                <w:rFonts w:eastAsia="Times New Roman" w:cs="Times New Roman"/>
                <w:sz w:val="20"/>
                <w:szCs w:val="20"/>
              </w:rPr>
            </w:pPr>
            <w:r>
              <w:rPr>
                <w:rFonts w:eastAsia="Times New Roman" w:cs="Times New Roman"/>
                <w:sz w:val="20"/>
                <w:szCs w:val="20"/>
              </w:rPr>
              <w:t>10</w:t>
            </w:r>
          </w:p>
        </w:tc>
        <w:tc>
          <w:tcPr>
            <w:tcW w:w="0" w:type="auto"/>
          </w:tcPr>
          <w:p w14:paraId="25BB9822">
            <w:pPr>
              <w:spacing w:after="0" w:line="240" w:lineRule="auto"/>
              <w:ind w:firstLine="0"/>
              <w:jc w:val="left"/>
              <w:rPr>
                <w:rFonts w:eastAsia="Times New Roman" w:cs="Times New Roman"/>
                <w:sz w:val="20"/>
                <w:szCs w:val="20"/>
              </w:rPr>
            </w:pPr>
            <w:r>
              <w:rPr>
                <w:rFonts w:eastAsia="Times New Roman" w:cs="Times New Roman"/>
                <w:sz w:val="20"/>
                <w:szCs w:val="20"/>
              </w:rPr>
              <w:t>4.00</w:t>
            </w:r>
          </w:p>
        </w:tc>
        <w:tc>
          <w:tcPr>
            <w:tcW w:w="0" w:type="auto"/>
          </w:tcPr>
          <w:p w14:paraId="28C808B3">
            <w:pPr>
              <w:spacing w:after="0" w:line="240" w:lineRule="auto"/>
              <w:ind w:firstLine="0"/>
              <w:jc w:val="left"/>
              <w:rPr>
                <w:rFonts w:eastAsia="Times New Roman" w:cs="Times New Roman"/>
                <w:sz w:val="20"/>
                <w:szCs w:val="20"/>
              </w:rPr>
            </w:pPr>
            <w:r>
              <w:rPr>
                <w:rFonts w:eastAsia="Times New Roman" w:cs="Times New Roman"/>
                <w:sz w:val="20"/>
                <w:szCs w:val="20"/>
              </w:rPr>
              <w:t>1.77</w:t>
            </w:r>
          </w:p>
        </w:tc>
      </w:tr>
      <w:tr w14:paraId="075A65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4BFF539">
            <w:pPr>
              <w:spacing w:after="0" w:line="240" w:lineRule="auto"/>
              <w:ind w:firstLine="0"/>
              <w:jc w:val="left"/>
              <w:rPr>
                <w:rFonts w:eastAsia="Times New Roman" w:cs="Times New Roman"/>
                <w:sz w:val="20"/>
                <w:szCs w:val="20"/>
              </w:rPr>
            </w:pPr>
            <w:r>
              <w:rPr>
                <w:rFonts w:eastAsia="Times New Roman" w:cs="Times New Roman"/>
                <w:sz w:val="20"/>
                <w:szCs w:val="20"/>
              </w:rPr>
              <w:t>E–F (Construction)</w:t>
            </w:r>
          </w:p>
        </w:tc>
        <w:tc>
          <w:tcPr>
            <w:tcW w:w="0" w:type="auto"/>
          </w:tcPr>
          <w:p w14:paraId="532F4BEB">
            <w:pPr>
              <w:spacing w:after="0" w:line="240" w:lineRule="auto"/>
              <w:ind w:firstLine="0"/>
              <w:jc w:val="left"/>
              <w:rPr>
                <w:rFonts w:eastAsia="Times New Roman" w:cs="Times New Roman"/>
                <w:sz w:val="20"/>
                <w:szCs w:val="20"/>
              </w:rPr>
            </w:pPr>
            <w:r>
              <w:rPr>
                <w:rFonts w:eastAsia="Times New Roman" w:cs="Times New Roman"/>
                <w:sz w:val="20"/>
                <w:szCs w:val="20"/>
              </w:rPr>
              <w:t>5</w:t>
            </w:r>
          </w:p>
        </w:tc>
        <w:tc>
          <w:tcPr>
            <w:tcW w:w="0" w:type="auto"/>
          </w:tcPr>
          <w:p w14:paraId="588069C2">
            <w:pPr>
              <w:spacing w:after="0" w:line="240" w:lineRule="auto"/>
              <w:ind w:firstLine="0"/>
              <w:jc w:val="left"/>
              <w:rPr>
                <w:rFonts w:eastAsia="Times New Roman" w:cs="Times New Roman"/>
                <w:sz w:val="20"/>
                <w:szCs w:val="20"/>
              </w:rPr>
            </w:pPr>
            <w:r>
              <w:rPr>
                <w:rFonts w:eastAsia="Times New Roman" w:cs="Times New Roman"/>
                <w:sz w:val="20"/>
                <w:szCs w:val="20"/>
              </w:rPr>
              <w:t>6</w:t>
            </w:r>
          </w:p>
        </w:tc>
        <w:tc>
          <w:tcPr>
            <w:tcW w:w="0" w:type="auto"/>
          </w:tcPr>
          <w:p w14:paraId="51662D30">
            <w:pPr>
              <w:spacing w:after="0" w:line="240" w:lineRule="auto"/>
              <w:ind w:firstLine="0"/>
              <w:jc w:val="left"/>
              <w:rPr>
                <w:rFonts w:eastAsia="Times New Roman" w:cs="Times New Roman"/>
                <w:sz w:val="20"/>
                <w:szCs w:val="20"/>
              </w:rPr>
            </w:pPr>
            <w:r>
              <w:rPr>
                <w:rFonts w:eastAsia="Times New Roman" w:cs="Times New Roman"/>
                <w:sz w:val="20"/>
                <w:szCs w:val="20"/>
              </w:rPr>
              <w:t>13</w:t>
            </w:r>
          </w:p>
        </w:tc>
        <w:tc>
          <w:tcPr>
            <w:tcW w:w="0" w:type="auto"/>
          </w:tcPr>
          <w:p w14:paraId="57E071FD">
            <w:pPr>
              <w:spacing w:after="0" w:line="240" w:lineRule="auto"/>
              <w:ind w:firstLine="0"/>
              <w:jc w:val="left"/>
              <w:rPr>
                <w:rFonts w:eastAsia="Times New Roman" w:cs="Times New Roman"/>
                <w:sz w:val="20"/>
                <w:szCs w:val="20"/>
              </w:rPr>
            </w:pPr>
            <w:r>
              <w:rPr>
                <w:rFonts w:eastAsia="Times New Roman" w:cs="Times New Roman"/>
                <w:sz w:val="20"/>
                <w:szCs w:val="20"/>
              </w:rPr>
              <w:t>7.00</w:t>
            </w:r>
          </w:p>
        </w:tc>
        <w:tc>
          <w:tcPr>
            <w:tcW w:w="0" w:type="auto"/>
          </w:tcPr>
          <w:p w14:paraId="5881D1CC">
            <w:pPr>
              <w:spacing w:after="0" w:line="240" w:lineRule="auto"/>
              <w:ind w:firstLine="0"/>
              <w:jc w:val="left"/>
              <w:rPr>
                <w:rFonts w:eastAsia="Times New Roman" w:cs="Times New Roman"/>
                <w:sz w:val="20"/>
                <w:szCs w:val="20"/>
              </w:rPr>
            </w:pPr>
            <w:r>
              <w:rPr>
                <w:rFonts w:eastAsia="Times New Roman" w:cs="Times New Roman"/>
                <w:sz w:val="20"/>
                <w:szCs w:val="20"/>
              </w:rPr>
              <w:t>1.77</w:t>
            </w:r>
          </w:p>
        </w:tc>
      </w:tr>
      <w:tr w14:paraId="47A59E7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31F8FE18">
            <w:pPr>
              <w:spacing w:after="0" w:line="240" w:lineRule="auto"/>
              <w:ind w:firstLine="0"/>
              <w:jc w:val="left"/>
              <w:rPr>
                <w:rFonts w:eastAsia="Times New Roman" w:cs="Times New Roman"/>
                <w:sz w:val="20"/>
                <w:szCs w:val="20"/>
              </w:rPr>
            </w:pPr>
            <w:r>
              <w:rPr>
                <w:rFonts w:eastAsia="Times New Roman" w:cs="Times New Roman"/>
                <w:sz w:val="20"/>
                <w:szCs w:val="20"/>
              </w:rPr>
              <w:t>G–I (Fulfilment Systems)</w:t>
            </w:r>
          </w:p>
        </w:tc>
        <w:tc>
          <w:tcPr>
            <w:tcW w:w="0" w:type="auto"/>
          </w:tcPr>
          <w:p w14:paraId="3838B231">
            <w:pPr>
              <w:spacing w:after="0" w:line="240" w:lineRule="auto"/>
              <w:ind w:firstLine="0"/>
              <w:jc w:val="left"/>
              <w:rPr>
                <w:rFonts w:eastAsia="Times New Roman" w:cs="Times New Roman"/>
                <w:sz w:val="20"/>
                <w:szCs w:val="20"/>
              </w:rPr>
            </w:pPr>
            <w:r>
              <w:rPr>
                <w:rFonts w:eastAsia="Times New Roman" w:cs="Times New Roman"/>
                <w:sz w:val="20"/>
                <w:szCs w:val="20"/>
              </w:rPr>
              <w:t>3</w:t>
            </w:r>
          </w:p>
        </w:tc>
        <w:tc>
          <w:tcPr>
            <w:tcW w:w="0" w:type="auto"/>
          </w:tcPr>
          <w:p w14:paraId="7218C29C">
            <w:pPr>
              <w:spacing w:after="0" w:line="240" w:lineRule="auto"/>
              <w:ind w:firstLine="0"/>
              <w:jc w:val="left"/>
              <w:rPr>
                <w:rFonts w:eastAsia="Times New Roman" w:cs="Times New Roman"/>
                <w:sz w:val="20"/>
                <w:szCs w:val="20"/>
              </w:rPr>
            </w:pPr>
            <w:r>
              <w:rPr>
                <w:rFonts w:eastAsia="Times New Roman" w:cs="Times New Roman"/>
                <w:sz w:val="20"/>
                <w:szCs w:val="20"/>
              </w:rPr>
              <w:t>4</w:t>
            </w:r>
          </w:p>
        </w:tc>
        <w:tc>
          <w:tcPr>
            <w:tcW w:w="0" w:type="auto"/>
          </w:tcPr>
          <w:p w14:paraId="3AEEDF72">
            <w:pPr>
              <w:spacing w:after="0" w:line="240" w:lineRule="auto"/>
              <w:ind w:firstLine="0"/>
              <w:jc w:val="left"/>
              <w:rPr>
                <w:rFonts w:eastAsia="Times New Roman" w:cs="Times New Roman"/>
                <w:sz w:val="20"/>
                <w:szCs w:val="20"/>
              </w:rPr>
            </w:pPr>
            <w:r>
              <w:rPr>
                <w:rFonts w:eastAsia="Times New Roman" w:cs="Times New Roman"/>
                <w:sz w:val="20"/>
                <w:szCs w:val="20"/>
              </w:rPr>
              <w:t>11</w:t>
            </w:r>
          </w:p>
        </w:tc>
        <w:tc>
          <w:tcPr>
            <w:tcW w:w="0" w:type="auto"/>
          </w:tcPr>
          <w:p w14:paraId="78FEED28">
            <w:pPr>
              <w:spacing w:after="0" w:line="240" w:lineRule="auto"/>
              <w:ind w:firstLine="0"/>
              <w:jc w:val="left"/>
              <w:rPr>
                <w:rFonts w:eastAsia="Times New Roman" w:cs="Times New Roman"/>
                <w:sz w:val="20"/>
                <w:szCs w:val="20"/>
              </w:rPr>
            </w:pPr>
            <w:r>
              <w:rPr>
                <w:rFonts w:eastAsia="Times New Roman" w:cs="Times New Roman"/>
                <w:sz w:val="20"/>
                <w:szCs w:val="20"/>
              </w:rPr>
              <w:t>5.00</w:t>
            </w:r>
          </w:p>
        </w:tc>
        <w:tc>
          <w:tcPr>
            <w:tcW w:w="0" w:type="auto"/>
          </w:tcPr>
          <w:p w14:paraId="66DD0214">
            <w:pPr>
              <w:spacing w:after="0" w:line="240" w:lineRule="auto"/>
              <w:ind w:firstLine="0"/>
              <w:jc w:val="left"/>
              <w:rPr>
                <w:rFonts w:eastAsia="Times New Roman" w:cs="Times New Roman"/>
                <w:sz w:val="20"/>
                <w:szCs w:val="20"/>
              </w:rPr>
            </w:pPr>
            <w:r>
              <w:rPr>
                <w:rFonts w:eastAsia="Times New Roman" w:cs="Times New Roman"/>
                <w:sz w:val="20"/>
                <w:szCs w:val="20"/>
              </w:rPr>
              <w:t>1.77</w:t>
            </w:r>
          </w:p>
        </w:tc>
      </w:tr>
      <w:tr w14:paraId="44B93F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37BE30D3">
            <w:pPr>
              <w:spacing w:after="0" w:line="240" w:lineRule="auto"/>
              <w:ind w:firstLine="0"/>
              <w:jc w:val="left"/>
              <w:rPr>
                <w:rFonts w:eastAsia="Times New Roman" w:cs="Times New Roman"/>
                <w:sz w:val="20"/>
                <w:szCs w:val="20"/>
              </w:rPr>
            </w:pPr>
            <w:r>
              <w:rPr>
                <w:rFonts w:eastAsia="Times New Roman" w:cs="Times New Roman"/>
                <w:sz w:val="20"/>
                <w:szCs w:val="20"/>
              </w:rPr>
              <w:t>Subsequent Critical Tasks</w:t>
            </w:r>
          </w:p>
        </w:tc>
        <w:tc>
          <w:tcPr>
            <w:tcW w:w="0" w:type="auto"/>
          </w:tcPr>
          <w:p w14:paraId="1663DB75">
            <w:pPr>
              <w:spacing w:after="0" w:line="240" w:lineRule="auto"/>
              <w:ind w:firstLine="0"/>
              <w:jc w:val="left"/>
              <w:rPr>
                <w:rFonts w:eastAsia="Times New Roman" w:cs="Times New Roman"/>
                <w:sz w:val="20"/>
                <w:szCs w:val="20"/>
              </w:rPr>
            </w:pPr>
            <w:r>
              <w:rPr>
                <w:rFonts w:eastAsia="Times New Roman" w:cs="Times New Roman"/>
                <w:sz w:val="20"/>
                <w:szCs w:val="20"/>
              </w:rPr>
              <w:t>Var</w:t>
            </w:r>
          </w:p>
        </w:tc>
        <w:tc>
          <w:tcPr>
            <w:tcW w:w="0" w:type="auto"/>
          </w:tcPr>
          <w:p w14:paraId="0FE6D1F4">
            <w:pPr>
              <w:spacing w:after="0" w:line="240" w:lineRule="auto"/>
              <w:ind w:firstLine="0"/>
              <w:jc w:val="left"/>
              <w:rPr>
                <w:rFonts w:eastAsia="Times New Roman" w:cs="Times New Roman"/>
                <w:sz w:val="20"/>
                <w:szCs w:val="20"/>
              </w:rPr>
            </w:pPr>
            <w:r>
              <w:rPr>
                <w:rFonts w:eastAsia="Times New Roman" w:cs="Times New Roman"/>
                <w:sz w:val="20"/>
                <w:szCs w:val="20"/>
              </w:rPr>
              <w:t>Var</w:t>
            </w:r>
          </w:p>
        </w:tc>
        <w:tc>
          <w:tcPr>
            <w:tcW w:w="0" w:type="auto"/>
          </w:tcPr>
          <w:p w14:paraId="251124D5">
            <w:pPr>
              <w:spacing w:after="0" w:line="240" w:lineRule="auto"/>
              <w:ind w:firstLine="0"/>
              <w:jc w:val="left"/>
              <w:rPr>
                <w:rFonts w:eastAsia="Times New Roman" w:cs="Times New Roman"/>
                <w:sz w:val="20"/>
                <w:szCs w:val="20"/>
              </w:rPr>
            </w:pPr>
            <w:r>
              <w:rPr>
                <w:rFonts w:eastAsia="Times New Roman" w:cs="Times New Roman"/>
                <w:sz w:val="20"/>
                <w:szCs w:val="20"/>
              </w:rPr>
              <w:t>Var</w:t>
            </w:r>
          </w:p>
        </w:tc>
        <w:tc>
          <w:tcPr>
            <w:tcW w:w="0" w:type="auto"/>
          </w:tcPr>
          <w:p w14:paraId="1DBEB2C8">
            <w:pPr>
              <w:spacing w:after="0" w:line="240" w:lineRule="auto"/>
              <w:ind w:firstLine="0"/>
              <w:jc w:val="left"/>
              <w:rPr>
                <w:rFonts w:eastAsia="Times New Roman" w:cs="Times New Roman"/>
                <w:sz w:val="20"/>
                <w:szCs w:val="20"/>
              </w:rPr>
            </w:pPr>
            <w:r>
              <w:rPr>
                <w:rFonts w:eastAsia="Times New Roman" w:cs="Times New Roman"/>
                <w:sz w:val="20"/>
                <w:szCs w:val="20"/>
              </w:rPr>
              <w:t>22.00</w:t>
            </w:r>
          </w:p>
        </w:tc>
        <w:tc>
          <w:tcPr>
            <w:tcW w:w="0" w:type="auto"/>
          </w:tcPr>
          <w:p w14:paraId="37DD6D5C">
            <w:pPr>
              <w:spacing w:after="0" w:line="240" w:lineRule="auto"/>
              <w:ind w:firstLine="0"/>
              <w:jc w:val="left"/>
              <w:rPr>
                <w:rFonts w:eastAsia="Times New Roman" w:cs="Times New Roman"/>
                <w:sz w:val="20"/>
                <w:szCs w:val="20"/>
              </w:rPr>
            </w:pPr>
            <w:r>
              <w:rPr>
                <w:rFonts w:eastAsia="Times New Roman" w:cs="Times New Roman"/>
                <w:sz w:val="20"/>
                <w:szCs w:val="20"/>
              </w:rPr>
              <w:t>0.97</w:t>
            </w:r>
          </w:p>
        </w:tc>
      </w:tr>
      <w:tr w14:paraId="6487355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1D681AE">
            <w:pPr>
              <w:spacing w:after="0" w:line="240" w:lineRule="auto"/>
              <w:ind w:firstLine="0"/>
              <w:jc w:val="left"/>
              <w:rPr>
                <w:rFonts w:eastAsia="Times New Roman" w:cs="Times New Roman"/>
                <w:sz w:val="20"/>
                <w:szCs w:val="20"/>
              </w:rPr>
            </w:pPr>
            <w:r>
              <w:rPr>
                <w:rFonts w:eastAsia="Times New Roman" w:cs="Times New Roman"/>
                <w:sz w:val="20"/>
                <w:szCs w:val="20"/>
              </w:rPr>
              <w:t>Project Total</w:t>
            </w:r>
          </w:p>
        </w:tc>
        <w:tc>
          <w:tcPr>
            <w:tcW w:w="0" w:type="auto"/>
          </w:tcPr>
          <w:p w14:paraId="6D39991F">
            <w:pPr>
              <w:spacing w:after="0" w:line="240" w:lineRule="auto"/>
              <w:ind w:firstLine="0"/>
              <w:jc w:val="left"/>
              <w:rPr>
                <w:rFonts w:eastAsia="Times New Roman" w:cs="Times New Roman"/>
                <w:sz w:val="20"/>
                <w:szCs w:val="20"/>
              </w:rPr>
            </w:pPr>
            <w:r>
              <w:rPr>
                <w:rFonts w:eastAsia="Times New Roman" w:cs="Times New Roman"/>
                <w:sz w:val="20"/>
                <w:szCs w:val="20"/>
              </w:rPr>
              <w:t>—</w:t>
            </w:r>
          </w:p>
        </w:tc>
        <w:tc>
          <w:tcPr>
            <w:tcW w:w="0" w:type="auto"/>
          </w:tcPr>
          <w:p w14:paraId="55B41AD8">
            <w:pPr>
              <w:spacing w:after="0" w:line="240" w:lineRule="auto"/>
              <w:ind w:firstLine="0"/>
              <w:jc w:val="left"/>
              <w:rPr>
                <w:rFonts w:eastAsia="Times New Roman" w:cs="Times New Roman"/>
                <w:sz w:val="20"/>
                <w:szCs w:val="20"/>
              </w:rPr>
            </w:pPr>
            <w:r>
              <w:rPr>
                <w:rFonts w:eastAsia="Times New Roman" w:cs="Times New Roman"/>
                <w:sz w:val="20"/>
                <w:szCs w:val="20"/>
              </w:rPr>
              <w:t>—</w:t>
            </w:r>
          </w:p>
        </w:tc>
        <w:tc>
          <w:tcPr>
            <w:tcW w:w="0" w:type="auto"/>
          </w:tcPr>
          <w:p w14:paraId="7976AF8D">
            <w:pPr>
              <w:spacing w:after="0" w:line="240" w:lineRule="auto"/>
              <w:ind w:firstLine="0"/>
              <w:jc w:val="left"/>
              <w:rPr>
                <w:rFonts w:eastAsia="Times New Roman" w:cs="Times New Roman"/>
                <w:sz w:val="20"/>
                <w:szCs w:val="20"/>
              </w:rPr>
            </w:pPr>
            <w:r>
              <w:rPr>
                <w:rFonts w:eastAsia="Times New Roman" w:cs="Times New Roman"/>
                <w:sz w:val="20"/>
                <w:szCs w:val="20"/>
              </w:rPr>
              <w:t>—</w:t>
            </w:r>
          </w:p>
        </w:tc>
        <w:tc>
          <w:tcPr>
            <w:tcW w:w="0" w:type="auto"/>
          </w:tcPr>
          <w:p w14:paraId="5939A151">
            <w:pPr>
              <w:spacing w:after="0" w:line="240" w:lineRule="auto"/>
              <w:ind w:firstLine="0"/>
              <w:jc w:val="left"/>
              <w:rPr>
                <w:rFonts w:eastAsia="Times New Roman" w:cs="Times New Roman"/>
                <w:sz w:val="20"/>
                <w:szCs w:val="20"/>
              </w:rPr>
            </w:pPr>
            <w:r>
              <w:rPr>
                <w:rFonts w:eastAsia="Times New Roman" w:cs="Times New Roman"/>
                <w:sz w:val="20"/>
                <w:szCs w:val="20"/>
              </w:rPr>
              <w:t>44.00</w:t>
            </w:r>
          </w:p>
        </w:tc>
        <w:tc>
          <w:tcPr>
            <w:tcW w:w="0" w:type="auto"/>
          </w:tcPr>
          <w:p w14:paraId="12EE8C40">
            <w:pPr>
              <w:spacing w:after="0" w:line="240" w:lineRule="auto"/>
              <w:ind w:firstLine="0"/>
              <w:jc w:val="left"/>
              <w:rPr>
                <w:rFonts w:eastAsia="Times New Roman" w:cs="Times New Roman"/>
                <w:sz w:val="20"/>
                <w:szCs w:val="20"/>
              </w:rPr>
            </w:pPr>
            <w:r>
              <w:rPr>
                <w:rFonts w:eastAsia="Times New Roman" w:cs="Times New Roman"/>
                <w:sz w:val="20"/>
                <w:szCs w:val="20"/>
              </w:rPr>
              <w:t>8.05</w:t>
            </w:r>
          </w:p>
        </w:tc>
      </w:tr>
    </w:tbl>
    <w:p w14:paraId="1DF3FEDA">
      <w:pPr>
        <w:pStyle w:val="48"/>
        <w:ind w:firstLine="0"/>
      </w:pPr>
      <w:bookmarkStart w:id="18" w:name="_Toc220202085"/>
      <w:r>
        <w:t>Table 4. PERT Expected Time and Variance for Critical Path Activities</w:t>
      </w:r>
      <w:bookmarkEnd w:id="18"/>
    </w:p>
    <w:p w14:paraId="5FDEBF39">
      <w:pPr>
        <w:rPr>
          <w:rFonts w:eastAsia="Times New Roman"/>
        </w:rPr>
      </w:pPr>
      <w:r>
        <w:rPr>
          <w:rFonts w:eastAsia="Times New Roman"/>
        </w:rPr>
        <w:t>The PERT expected time is 44 weeks as opposed to 39 weeks (from the original Gantt chart). This explains that when it comes to building constructions, negative delays tend to prevail over positive early finishes. Mathematically, it has a 4 per cent chance of reaching the 39 weeks without falling.</w:t>
      </w:r>
    </w:p>
    <w:p w14:paraId="59C2C1BB">
      <w:pPr>
        <w:pStyle w:val="2"/>
        <w:rPr>
          <w:rFonts w:eastAsia="Times New Roman"/>
        </w:rPr>
      </w:pPr>
      <w:bookmarkStart w:id="19" w:name="_Toc220202066"/>
      <w:r>
        <w:rPr>
          <w:rFonts w:eastAsia="Times New Roman"/>
        </w:rPr>
        <w:t>Costs of Individual Activities and Cost of the Project</w:t>
      </w:r>
      <w:bookmarkEnd w:id="19"/>
    </w:p>
    <w:p w14:paraId="7A272570">
      <w:pPr>
        <w:rPr>
          <w:rFonts w:eastAsia="Times New Roman"/>
        </w:rPr>
      </w:pPr>
      <w:r>
        <w:rPr>
          <w:rFonts w:eastAsia="Times New Roman"/>
        </w:rPr>
        <w:t>The economic sustainability of the warehouse will be determined by proper estimating of expenses in construction, technology, and administration (see table 5).</w:t>
      </w:r>
    </w:p>
    <w:tbl>
      <w:tblPr>
        <w:tblStyle w:val="2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94"/>
        <w:gridCol w:w="2083"/>
        <w:gridCol w:w="1583"/>
        <w:gridCol w:w="1617"/>
        <w:gridCol w:w="1394"/>
      </w:tblGrid>
      <w:tr w14:paraId="43D56AE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24701EB9">
            <w:pPr>
              <w:spacing w:after="0" w:line="240" w:lineRule="auto"/>
              <w:ind w:firstLine="0"/>
              <w:jc w:val="left"/>
              <w:rPr>
                <w:rFonts w:eastAsia="Times New Roman" w:cs="Times New Roman"/>
                <w:b/>
                <w:bCs/>
                <w:sz w:val="20"/>
                <w:szCs w:val="20"/>
              </w:rPr>
            </w:pPr>
            <w:r>
              <w:rPr>
                <w:rFonts w:eastAsia="Times New Roman" w:cs="Times New Roman"/>
                <w:b/>
                <w:bCs/>
                <w:sz w:val="20"/>
                <w:szCs w:val="20"/>
              </w:rPr>
              <w:t>Activity</w:t>
            </w:r>
          </w:p>
        </w:tc>
        <w:tc>
          <w:tcPr>
            <w:tcW w:w="0" w:type="auto"/>
          </w:tcPr>
          <w:p w14:paraId="7C5770CD">
            <w:pPr>
              <w:spacing w:after="0" w:line="240" w:lineRule="auto"/>
              <w:ind w:firstLine="0"/>
              <w:jc w:val="left"/>
              <w:rPr>
                <w:rFonts w:eastAsia="Times New Roman" w:cs="Times New Roman"/>
                <w:b/>
                <w:bCs/>
                <w:sz w:val="20"/>
                <w:szCs w:val="20"/>
              </w:rPr>
            </w:pPr>
            <w:r>
              <w:rPr>
                <w:rFonts w:eastAsia="Times New Roman" w:cs="Times New Roman"/>
                <w:b/>
                <w:bCs/>
                <w:sz w:val="20"/>
                <w:szCs w:val="20"/>
              </w:rPr>
              <w:t>Description</w:t>
            </w:r>
          </w:p>
        </w:tc>
        <w:tc>
          <w:tcPr>
            <w:tcW w:w="0" w:type="auto"/>
          </w:tcPr>
          <w:p w14:paraId="418F6142">
            <w:pPr>
              <w:spacing w:after="0" w:line="240" w:lineRule="auto"/>
              <w:ind w:firstLine="0"/>
              <w:jc w:val="left"/>
              <w:rPr>
                <w:rFonts w:eastAsia="Times New Roman" w:cs="Times New Roman"/>
                <w:b/>
                <w:bCs/>
                <w:sz w:val="20"/>
                <w:szCs w:val="20"/>
              </w:rPr>
            </w:pPr>
            <w:r>
              <w:rPr>
                <w:rFonts w:eastAsia="Times New Roman" w:cs="Times New Roman"/>
                <w:b/>
                <w:bCs/>
                <w:sz w:val="20"/>
                <w:szCs w:val="20"/>
              </w:rPr>
              <w:t>Weekly Cost (£)</w:t>
            </w:r>
          </w:p>
        </w:tc>
        <w:tc>
          <w:tcPr>
            <w:tcW w:w="0" w:type="auto"/>
          </w:tcPr>
          <w:p w14:paraId="3492F353">
            <w:pPr>
              <w:spacing w:after="0" w:line="240" w:lineRule="auto"/>
              <w:ind w:firstLine="0"/>
              <w:jc w:val="left"/>
              <w:rPr>
                <w:rFonts w:eastAsia="Times New Roman" w:cs="Times New Roman"/>
                <w:b/>
                <w:bCs/>
                <w:sz w:val="20"/>
                <w:szCs w:val="20"/>
              </w:rPr>
            </w:pPr>
            <w:r>
              <w:rPr>
                <w:rFonts w:eastAsia="Times New Roman" w:cs="Times New Roman"/>
                <w:b/>
                <w:bCs/>
                <w:sz w:val="20"/>
                <w:szCs w:val="20"/>
              </w:rPr>
              <w:t>Duration (Wks.)</w:t>
            </w:r>
          </w:p>
        </w:tc>
        <w:tc>
          <w:tcPr>
            <w:tcW w:w="0" w:type="auto"/>
          </w:tcPr>
          <w:p w14:paraId="048D8289">
            <w:pPr>
              <w:spacing w:after="0" w:line="240" w:lineRule="auto"/>
              <w:ind w:firstLine="0"/>
              <w:jc w:val="left"/>
              <w:rPr>
                <w:rFonts w:eastAsia="Times New Roman" w:cs="Times New Roman"/>
                <w:b/>
                <w:bCs/>
                <w:sz w:val="20"/>
                <w:szCs w:val="20"/>
              </w:rPr>
            </w:pPr>
            <w:r>
              <w:rPr>
                <w:rFonts w:eastAsia="Times New Roman" w:cs="Times New Roman"/>
                <w:b/>
                <w:bCs/>
                <w:sz w:val="20"/>
                <w:szCs w:val="20"/>
              </w:rPr>
              <w:t>Total Cost (£)</w:t>
            </w:r>
          </w:p>
        </w:tc>
      </w:tr>
      <w:tr w14:paraId="710CD02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6D731567">
            <w:pPr>
              <w:spacing w:after="0" w:line="240" w:lineRule="auto"/>
              <w:ind w:firstLine="0"/>
              <w:jc w:val="left"/>
              <w:rPr>
                <w:rFonts w:eastAsia="Times New Roman" w:cs="Times New Roman"/>
                <w:sz w:val="20"/>
                <w:szCs w:val="20"/>
              </w:rPr>
            </w:pPr>
            <w:r>
              <w:rPr>
                <w:rFonts w:eastAsia="Times New Roman" w:cs="Times New Roman"/>
                <w:sz w:val="20"/>
                <w:szCs w:val="20"/>
              </w:rPr>
              <w:t>A–B</w:t>
            </w:r>
          </w:p>
        </w:tc>
        <w:tc>
          <w:tcPr>
            <w:tcW w:w="0" w:type="auto"/>
          </w:tcPr>
          <w:p w14:paraId="7309096D">
            <w:pPr>
              <w:spacing w:after="0" w:line="240" w:lineRule="auto"/>
              <w:ind w:firstLine="0"/>
              <w:jc w:val="left"/>
              <w:rPr>
                <w:rFonts w:eastAsia="Times New Roman" w:cs="Times New Roman"/>
                <w:sz w:val="20"/>
                <w:szCs w:val="20"/>
              </w:rPr>
            </w:pPr>
            <w:r>
              <w:rPr>
                <w:rFonts w:eastAsia="Times New Roman" w:cs="Times New Roman"/>
                <w:sz w:val="20"/>
                <w:szCs w:val="20"/>
              </w:rPr>
              <w:t>Site Mobilisation</w:t>
            </w:r>
          </w:p>
        </w:tc>
        <w:tc>
          <w:tcPr>
            <w:tcW w:w="0" w:type="auto"/>
          </w:tcPr>
          <w:p w14:paraId="3CBB81ED">
            <w:pPr>
              <w:spacing w:after="0" w:line="240" w:lineRule="auto"/>
              <w:ind w:firstLine="0"/>
              <w:jc w:val="left"/>
              <w:rPr>
                <w:rFonts w:eastAsia="Times New Roman" w:cs="Times New Roman"/>
                <w:sz w:val="20"/>
                <w:szCs w:val="20"/>
              </w:rPr>
            </w:pPr>
            <w:r>
              <w:rPr>
                <w:rFonts w:eastAsia="Times New Roman" w:cs="Times New Roman"/>
                <w:sz w:val="20"/>
                <w:szCs w:val="20"/>
              </w:rPr>
              <w:t>15,000</w:t>
            </w:r>
          </w:p>
        </w:tc>
        <w:tc>
          <w:tcPr>
            <w:tcW w:w="0" w:type="auto"/>
          </w:tcPr>
          <w:p w14:paraId="00742729">
            <w:pPr>
              <w:spacing w:after="0" w:line="240" w:lineRule="auto"/>
              <w:ind w:firstLine="0"/>
              <w:jc w:val="left"/>
              <w:rPr>
                <w:rFonts w:eastAsia="Times New Roman" w:cs="Times New Roman"/>
                <w:sz w:val="20"/>
                <w:szCs w:val="20"/>
              </w:rPr>
            </w:pPr>
            <w:r>
              <w:rPr>
                <w:rFonts w:eastAsia="Times New Roman" w:cs="Times New Roman"/>
                <w:sz w:val="20"/>
                <w:szCs w:val="20"/>
              </w:rPr>
              <w:t>5</w:t>
            </w:r>
          </w:p>
        </w:tc>
        <w:tc>
          <w:tcPr>
            <w:tcW w:w="0" w:type="auto"/>
          </w:tcPr>
          <w:p w14:paraId="030EFD01">
            <w:pPr>
              <w:spacing w:after="0" w:line="240" w:lineRule="auto"/>
              <w:ind w:firstLine="0"/>
              <w:jc w:val="left"/>
              <w:rPr>
                <w:rFonts w:eastAsia="Times New Roman" w:cs="Times New Roman"/>
                <w:sz w:val="20"/>
                <w:szCs w:val="20"/>
              </w:rPr>
            </w:pPr>
            <w:r>
              <w:rPr>
                <w:rFonts w:eastAsia="Times New Roman" w:cs="Times New Roman"/>
                <w:sz w:val="20"/>
                <w:szCs w:val="20"/>
              </w:rPr>
              <w:t>75,000</w:t>
            </w:r>
          </w:p>
        </w:tc>
      </w:tr>
      <w:tr w14:paraId="36E175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39B3842">
            <w:pPr>
              <w:spacing w:after="0" w:line="240" w:lineRule="auto"/>
              <w:ind w:firstLine="0"/>
              <w:jc w:val="left"/>
              <w:rPr>
                <w:rFonts w:eastAsia="Times New Roman" w:cs="Times New Roman"/>
                <w:sz w:val="20"/>
                <w:szCs w:val="20"/>
              </w:rPr>
            </w:pPr>
            <w:r>
              <w:rPr>
                <w:rFonts w:eastAsia="Times New Roman" w:cs="Times New Roman"/>
                <w:sz w:val="20"/>
                <w:szCs w:val="20"/>
              </w:rPr>
              <w:t>B–E</w:t>
            </w:r>
          </w:p>
        </w:tc>
        <w:tc>
          <w:tcPr>
            <w:tcW w:w="0" w:type="auto"/>
          </w:tcPr>
          <w:p w14:paraId="44CA087A">
            <w:pPr>
              <w:spacing w:after="0" w:line="240" w:lineRule="auto"/>
              <w:ind w:firstLine="0"/>
              <w:jc w:val="left"/>
              <w:rPr>
                <w:rFonts w:eastAsia="Times New Roman" w:cs="Times New Roman"/>
                <w:sz w:val="20"/>
                <w:szCs w:val="20"/>
              </w:rPr>
            </w:pPr>
            <w:r>
              <w:rPr>
                <w:rFonts w:eastAsia="Times New Roman" w:cs="Times New Roman"/>
                <w:sz w:val="20"/>
                <w:szCs w:val="20"/>
              </w:rPr>
              <w:t>Structural Works</w:t>
            </w:r>
          </w:p>
        </w:tc>
        <w:tc>
          <w:tcPr>
            <w:tcW w:w="0" w:type="auto"/>
          </w:tcPr>
          <w:p w14:paraId="15B41B9F">
            <w:pPr>
              <w:spacing w:after="0" w:line="240" w:lineRule="auto"/>
              <w:ind w:firstLine="0"/>
              <w:jc w:val="left"/>
              <w:rPr>
                <w:rFonts w:eastAsia="Times New Roman" w:cs="Times New Roman"/>
                <w:sz w:val="20"/>
                <w:szCs w:val="20"/>
              </w:rPr>
            </w:pPr>
            <w:r>
              <w:rPr>
                <w:rFonts w:eastAsia="Times New Roman" w:cs="Times New Roman"/>
                <w:sz w:val="20"/>
                <w:szCs w:val="20"/>
              </w:rPr>
              <w:t>60,000</w:t>
            </w:r>
          </w:p>
        </w:tc>
        <w:tc>
          <w:tcPr>
            <w:tcW w:w="0" w:type="auto"/>
          </w:tcPr>
          <w:p w14:paraId="39945A6F">
            <w:pPr>
              <w:spacing w:after="0" w:line="240" w:lineRule="auto"/>
              <w:ind w:firstLine="0"/>
              <w:jc w:val="left"/>
              <w:rPr>
                <w:rFonts w:eastAsia="Times New Roman" w:cs="Times New Roman"/>
                <w:sz w:val="20"/>
                <w:szCs w:val="20"/>
              </w:rPr>
            </w:pPr>
            <w:r>
              <w:rPr>
                <w:rFonts w:eastAsia="Times New Roman" w:cs="Times New Roman"/>
                <w:sz w:val="20"/>
                <w:szCs w:val="20"/>
              </w:rPr>
              <w:t>3</w:t>
            </w:r>
          </w:p>
        </w:tc>
        <w:tc>
          <w:tcPr>
            <w:tcW w:w="0" w:type="auto"/>
          </w:tcPr>
          <w:p w14:paraId="0B5E2C98">
            <w:pPr>
              <w:spacing w:after="0" w:line="240" w:lineRule="auto"/>
              <w:ind w:firstLine="0"/>
              <w:jc w:val="left"/>
              <w:rPr>
                <w:rFonts w:eastAsia="Times New Roman" w:cs="Times New Roman"/>
                <w:sz w:val="20"/>
                <w:szCs w:val="20"/>
              </w:rPr>
            </w:pPr>
            <w:r>
              <w:rPr>
                <w:rFonts w:eastAsia="Times New Roman" w:cs="Times New Roman"/>
                <w:sz w:val="20"/>
                <w:szCs w:val="20"/>
              </w:rPr>
              <w:t>180,000</w:t>
            </w:r>
          </w:p>
        </w:tc>
      </w:tr>
      <w:tr w14:paraId="3E10B9E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26B1E27">
            <w:pPr>
              <w:spacing w:after="0" w:line="240" w:lineRule="auto"/>
              <w:ind w:firstLine="0"/>
              <w:jc w:val="left"/>
              <w:rPr>
                <w:rFonts w:eastAsia="Times New Roman" w:cs="Times New Roman"/>
                <w:sz w:val="20"/>
                <w:szCs w:val="20"/>
              </w:rPr>
            </w:pPr>
            <w:r>
              <w:rPr>
                <w:rFonts w:eastAsia="Times New Roman" w:cs="Times New Roman"/>
                <w:sz w:val="20"/>
                <w:szCs w:val="20"/>
              </w:rPr>
              <w:t>E–F</w:t>
            </w:r>
          </w:p>
        </w:tc>
        <w:tc>
          <w:tcPr>
            <w:tcW w:w="0" w:type="auto"/>
          </w:tcPr>
          <w:p w14:paraId="62705E29">
            <w:pPr>
              <w:spacing w:after="0" w:line="240" w:lineRule="auto"/>
              <w:ind w:firstLine="0"/>
              <w:jc w:val="left"/>
              <w:rPr>
                <w:rFonts w:eastAsia="Times New Roman" w:cs="Times New Roman"/>
                <w:sz w:val="20"/>
                <w:szCs w:val="20"/>
              </w:rPr>
            </w:pPr>
            <w:r>
              <w:rPr>
                <w:rFonts w:eastAsia="Times New Roman" w:cs="Times New Roman"/>
                <w:sz w:val="20"/>
                <w:szCs w:val="20"/>
              </w:rPr>
              <w:t>Core Construction</w:t>
            </w:r>
          </w:p>
        </w:tc>
        <w:tc>
          <w:tcPr>
            <w:tcW w:w="0" w:type="auto"/>
          </w:tcPr>
          <w:p w14:paraId="0BD93A3E">
            <w:pPr>
              <w:spacing w:after="0" w:line="240" w:lineRule="auto"/>
              <w:ind w:firstLine="0"/>
              <w:jc w:val="left"/>
              <w:rPr>
                <w:rFonts w:eastAsia="Times New Roman" w:cs="Times New Roman"/>
                <w:sz w:val="20"/>
                <w:szCs w:val="20"/>
              </w:rPr>
            </w:pPr>
            <w:r>
              <w:rPr>
                <w:rFonts w:eastAsia="Times New Roman" w:cs="Times New Roman"/>
                <w:sz w:val="20"/>
                <w:szCs w:val="20"/>
              </w:rPr>
              <w:t>85,000</w:t>
            </w:r>
          </w:p>
        </w:tc>
        <w:tc>
          <w:tcPr>
            <w:tcW w:w="0" w:type="auto"/>
          </w:tcPr>
          <w:p w14:paraId="279C23DB">
            <w:pPr>
              <w:spacing w:after="0" w:line="240" w:lineRule="auto"/>
              <w:ind w:firstLine="0"/>
              <w:jc w:val="left"/>
              <w:rPr>
                <w:rFonts w:eastAsia="Times New Roman" w:cs="Times New Roman"/>
                <w:sz w:val="20"/>
                <w:szCs w:val="20"/>
              </w:rPr>
            </w:pPr>
            <w:r>
              <w:rPr>
                <w:rFonts w:eastAsia="Times New Roman" w:cs="Times New Roman"/>
                <w:sz w:val="20"/>
                <w:szCs w:val="20"/>
              </w:rPr>
              <w:t>6</w:t>
            </w:r>
          </w:p>
        </w:tc>
        <w:tc>
          <w:tcPr>
            <w:tcW w:w="0" w:type="auto"/>
          </w:tcPr>
          <w:p w14:paraId="2C185F67">
            <w:pPr>
              <w:spacing w:after="0" w:line="240" w:lineRule="auto"/>
              <w:ind w:firstLine="0"/>
              <w:jc w:val="left"/>
              <w:rPr>
                <w:rFonts w:eastAsia="Times New Roman" w:cs="Times New Roman"/>
                <w:sz w:val="20"/>
                <w:szCs w:val="20"/>
              </w:rPr>
            </w:pPr>
            <w:r>
              <w:rPr>
                <w:rFonts w:eastAsia="Times New Roman" w:cs="Times New Roman"/>
                <w:sz w:val="20"/>
                <w:szCs w:val="20"/>
              </w:rPr>
              <w:t>510,000</w:t>
            </w:r>
          </w:p>
        </w:tc>
      </w:tr>
      <w:tr w14:paraId="4CE0749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22B89156">
            <w:pPr>
              <w:spacing w:after="0" w:line="240" w:lineRule="auto"/>
              <w:ind w:firstLine="0"/>
              <w:jc w:val="left"/>
              <w:rPr>
                <w:rFonts w:eastAsia="Times New Roman" w:cs="Times New Roman"/>
                <w:sz w:val="20"/>
                <w:szCs w:val="20"/>
              </w:rPr>
            </w:pPr>
            <w:r>
              <w:rPr>
                <w:rFonts w:eastAsia="Times New Roman" w:cs="Times New Roman"/>
                <w:sz w:val="20"/>
                <w:szCs w:val="20"/>
              </w:rPr>
              <w:t>F–G</w:t>
            </w:r>
          </w:p>
        </w:tc>
        <w:tc>
          <w:tcPr>
            <w:tcW w:w="0" w:type="auto"/>
          </w:tcPr>
          <w:p w14:paraId="1DAC4F7C">
            <w:pPr>
              <w:spacing w:after="0" w:line="240" w:lineRule="auto"/>
              <w:ind w:firstLine="0"/>
              <w:jc w:val="left"/>
              <w:rPr>
                <w:rFonts w:eastAsia="Times New Roman" w:cs="Times New Roman"/>
                <w:sz w:val="20"/>
                <w:szCs w:val="20"/>
              </w:rPr>
            </w:pPr>
            <w:r>
              <w:rPr>
                <w:rFonts w:eastAsia="Times New Roman" w:cs="Times New Roman"/>
                <w:sz w:val="20"/>
                <w:szCs w:val="20"/>
              </w:rPr>
              <w:t>Systems Integration</w:t>
            </w:r>
          </w:p>
        </w:tc>
        <w:tc>
          <w:tcPr>
            <w:tcW w:w="0" w:type="auto"/>
          </w:tcPr>
          <w:p w14:paraId="76720735">
            <w:pPr>
              <w:spacing w:after="0" w:line="240" w:lineRule="auto"/>
              <w:ind w:firstLine="0"/>
              <w:jc w:val="left"/>
              <w:rPr>
                <w:rFonts w:eastAsia="Times New Roman" w:cs="Times New Roman"/>
                <w:sz w:val="20"/>
                <w:szCs w:val="20"/>
              </w:rPr>
            </w:pPr>
            <w:r>
              <w:rPr>
                <w:rFonts w:eastAsia="Times New Roman" w:cs="Times New Roman"/>
                <w:sz w:val="20"/>
                <w:szCs w:val="20"/>
              </w:rPr>
              <w:t>40,000</w:t>
            </w:r>
          </w:p>
        </w:tc>
        <w:tc>
          <w:tcPr>
            <w:tcW w:w="0" w:type="auto"/>
          </w:tcPr>
          <w:p w14:paraId="0F8B812E">
            <w:pPr>
              <w:spacing w:after="0" w:line="240" w:lineRule="auto"/>
              <w:ind w:firstLine="0"/>
              <w:jc w:val="left"/>
              <w:rPr>
                <w:rFonts w:eastAsia="Times New Roman" w:cs="Times New Roman"/>
                <w:sz w:val="20"/>
                <w:szCs w:val="20"/>
              </w:rPr>
            </w:pPr>
            <w:r>
              <w:rPr>
                <w:rFonts w:eastAsia="Times New Roman" w:cs="Times New Roman"/>
                <w:sz w:val="20"/>
                <w:szCs w:val="20"/>
              </w:rPr>
              <w:t>2</w:t>
            </w:r>
          </w:p>
        </w:tc>
        <w:tc>
          <w:tcPr>
            <w:tcW w:w="0" w:type="auto"/>
          </w:tcPr>
          <w:p w14:paraId="75E77E2D">
            <w:pPr>
              <w:spacing w:after="0" w:line="240" w:lineRule="auto"/>
              <w:ind w:firstLine="0"/>
              <w:jc w:val="left"/>
              <w:rPr>
                <w:rFonts w:eastAsia="Times New Roman" w:cs="Times New Roman"/>
                <w:sz w:val="20"/>
                <w:szCs w:val="20"/>
              </w:rPr>
            </w:pPr>
            <w:r>
              <w:rPr>
                <w:rFonts w:eastAsia="Times New Roman" w:cs="Times New Roman"/>
                <w:sz w:val="20"/>
                <w:szCs w:val="20"/>
              </w:rPr>
              <w:t>80,000</w:t>
            </w:r>
          </w:p>
        </w:tc>
      </w:tr>
      <w:tr w14:paraId="7B3C2E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59E5A297">
            <w:pPr>
              <w:spacing w:after="0" w:line="240" w:lineRule="auto"/>
              <w:ind w:firstLine="0"/>
              <w:jc w:val="left"/>
              <w:rPr>
                <w:rFonts w:eastAsia="Times New Roman" w:cs="Times New Roman"/>
                <w:sz w:val="20"/>
                <w:szCs w:val="20"/>
              </w:rPr>
            </w:pPr>
            <w:r>
              <w:rPr>
                <w:rFonts w:eastAsia="Times New Roman" w:cs="Times New Roman"/>
                <w:sz w:val="20"/>
                <w:szCs w:val="20"/>
              </w:rPr>
              <w:t>G–I</w:t>
            </w:r>
          </w:p>
        </w:tc>
        <w:tc>
          <w:tcPr>
            <w:tcW w:w="0" w:type="auto"/>
          </w:tcPr>
          <w:p w14:paraId="599B5D9C">
            <w:pPr>
              <w:spacing w:after="0" w:line="240" w:lineRule="auto"/>
              <w:ind w:firstLine="0"/>
              <w:jc w:val="left"/>
              <w:rPr>
                <w:rFonts w:eastAsia="Times New Roman" w:cs="Times New Roman"/>
                <w:sz w:val="20"/>
                <w:szCs w:val="20"/>
              </w:rPr>
            </w:pPr>
            <w:r>
              <w:rPr>
                <w:rFonts w:eastAsia="Times New Roman" w:cs="Times New Roman"/>
                <w:sz w:val="20"/>
                <w:szCs w:val="20"/>
              </w:rPr>
              <w:t>Order Fulfilment Setup</w:t>
            </w:r>
          </w:p>
        </w:tc>
        <w:tc>
          <w:tcPr>
            <w:tcW w:w="0" w:type="auto"/>
          </w:tcPr>
          <w:p w14:paraId="386312F2">
            <w:pPr>
              <w:spacing w:after="0" w:line="240" w:lineRule="auto"/>
              <w:ind w:firstLine="0"/>
              <w:jc w:val="left"/>
              <w:rPr>
                <w:rFonts w:eastAsia="Times New Roman" w:cs="Times New Roman"/>
                <w:sz w:val="20"/>
                <w:szCs w:val="20"/>
              </w:rPr>
            </w:pPr>
            <w:r>
              <w:rPr>
                <w:rFonts w:eastAsia="Times New Roman" w:cs="Times New Roman"/>
                <w:sz w:val="20"/>
                <w:szCs w:val="20"/>
              </w:rPr>
              <w:t>50,000</w:t>
            </w:r>
          </w:p>
        </w:tc>
        <w:tc>
          <w:tcPr>
            <w:tcW w:w="0" w:type="auto"/>
          </w:tcPr>
          <w:p w14:paraId="4BDAAF9F">
            <w:pPr>
              <w:spacing w:after="0" w:line="240" w:lineRule="auto"/>
              <w:ind w:firstLine="0"/>
              <w:jc w:val="left"/>
              <w:rPr>
                <w:rFonts w:eastAsia="Times New Roman" w:cs="Times New Roman"/>
                <w:sz w:val="20"/>
                <w:szCs w:val="20"/>
              </w:rPr>
            </w:pPr>
            <w:r>
              <w:rPr>
                <w:rFonts w:eastAsia="Times New Roman" w:cs="Times New Roman"/>
                <w:sz w:val="20"/>
                <w:szCs w:val="20"/>
              </w:rPr>
              <w:t>4</w:t>
            </w:r>
          </w:p>
        </w:tc>
        <w:tc>
          <w:tcPr>
            <w:tcW w:w="0" w:type="auto"/>
          </w:tcPr>
          <w:p w14:paraId="1F903B35">
            <w:pPr>
              <w:spacing w:after="0" w:line="240" w:lineRule="auto"/>
              <w:ind w:firstLine="0"/>
              <w:jc w:val="left"/>
              <w:rPr>
                <w:rFonts w:eastAsia="Times New Roman" w:cs="Times New Roman"/>
                <w:sz w:val="20"/>
                <w:szCs w:val="20"/>
              </w:rPr>
            </w:pPr>
            <w:r>
              <w:rPr>
                <w:rFonts w:eastAsia="Times New Roman" w:cs="Times New Roman"/>
                <w:sz w:val="20"/>
                <w:szCs w:val="20"/>
              </w:rPr>
              <w:t>200,000</w:t>
            </w:r>
          </w:p>
        </w:tc>
      </w:tr>
      <w:tr w14:paraId="55ED34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4EE12FA9">
            <w:pPr>
              <w:spacing w:after="0" w:line="240" w:lineRule="auto"/>
              <w:ind w:firstLine="0"/>
              <w:jc w:val="left"/>
              <w:rPr>
                <w:rFonts w:eastAsia="Times New Roman" w:cs="Times New Roman"/>
                <w:sz w:val="20"/>
                <w:szCs w:val="20"/>
              </w:rPr>
            </w:pPr>
            <w:r>
              <w:rPr>
                <w:rFonts w:eastAsia="Times New Roman" w:cs="Times New Roman"/>
                <w:sz w:val="20"/>
                <w:szCs w:val="20"/>
              </w:rPr>
              <w:t>I–J</w:t>
            </w:r>
          </w:p>
        </w:tc>
        <w:tc>
          <w:tcPr>
            <w:tcW w:w="0" w:type="auto"/>
          </w:tcPr>
          <w:p w14:paraId="2FEE4016">
            <w:pPr>
              <w:spacing w:after="0" w:line="240" w:lineRule="auto"/>
              <w:ind w:firstLine="0"/>
              <w:jc w:val="left"/>
              <w:rPr>
                <w:rFonts w:eastAsia="Times New Roman" w:cs="Times New Roman"/>
                <w:sz w:val="20"/>
                <w:szCs w:val="20"/>
              </w:rPr>
            </w:pPr>
            <w:r>
              <w:rPr>
                <w:rFonts w:eastAsia="Times New Roman" w:cs="Times New Roman"/>
                <w:sz w:val="20"/>
                <w:szCs w:val="20"/>
              </w:rPr>
              <w:t>Commissioning</w:t>
            </w:r>
          </w:p>
        </w:tc>
        <w:tc>
          <w:tcPr>
            <w:tcW w:w="0" w:type="auto"/>
          </w:tcPr>
          <w:p w14:paraId="621D4FBA">
            <w:pPr>
              <w:spacing w:after="0" w:line="240" w:lineRule="auto"/>
              <w:ind w:firstLine="0"/>
              <w:jc w:val="left"/>
              <w:rPr>
                <w:rFonts w:eastAsia="Times New Roman" w:cs="Times New Roman"/>
                <w:sz w:val="20"/>
                <w:szCs w:val="20"/>
              </w:rPr>
            </w:pPr>
            <w:r>
              <w:rPr>
                <w:rFonts w:eastAsia="Times New Roman" w:cs="Times New Roman"/>
                <w:sz w:val="20"/>
                <w:szCs w:val="20"/>
              </w:rPr>
              <w:t>30,000</w:t>
            </w:r>
          </w:p>
        </w:tc>
        <w:tc>
          <w:tcPr>
            <w:tcW w:w="0" w:type="auto"/>
          </w:tcPr>
          <w:p w14:paraId="19887434">
            <w:pPr>
              <w:spacing w:after="0" w:line="240" w:lineRule="auto"/>
              <w:ind w:firstLine="0"/>
              <w:jc w:val="left"/>
              <w:rPr>
                <w:rFonts w:eastAsia="Times New Roman" w:cs="Times New Roman"/>
                <w:sz w:val="20"/>
                <w:szCs w:val="20"/>
              </w:rPr>
            </w:pPr>
            <w:r>
              <w:rPr>
                <w:rFonts w:eastAsia="Times New Roman" w:cs="Times New Roman"/>
                <w:sz w:val="20"/>
                <w:szCs w:val="20"/>
              </w:rPr>
              <w:t>3</w:t>
            </w:r>
          </w:p>
        </w:tc>
        <w:tc>
          <w:tcPr>
            <w:tcW w:w="0" w:type="auto"/>
          </w:tcPr>
          <w:p w14:paraId="22DEBC5E">
            <w:pPr>
              <w:spacing w:after="0" w:line="240" w:lineRule="auto"/>
              <w:ind w:firstLine="0"/>
              <w:jc w:val="left"/>
              <w:rPr>
                <w:rFonts w:eastAsia="Times New Roman" w:cs="Times New Roman"/>
                <w:sz w:val="20"/>
                <w:szCs w:val="20"/>
              </w:rPr>
            </w:pPr>
            <w:r>
              <w:rPr>
                <w:rFonts w:eastAsia="Times New Roman" w:cs="Times New Roman"/>
                <w:sz w:val="20"/>
                <w:szCs w:val="20"/>
              </w:rPr>
              <w:t>90,000</w:t>
            </w:r>
          </w:p>
        </w:tc>
      </w:tr>
      <w:tr w14:paraId="6590C5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814F6BE">
            <w:pPr>
              <w:spacing w:after="0" w:line="240" w:lineRule="auto"/>
              <w:ind w:firstLine="0"/>
              <w:jc w:val="left"/>
              <w:rPr>
                <w:rFonts w:eastAsia="Times New Roman" w:cs="Times New Roman"/>
                <w:sz w:val="20"/>
                <w:szCs w:val="20"/>
              </w:rPr>
            </w:pPr>
            <w:r>
              <w:rPr>
                <w:rFonts w:eastAsia="Times New Roman" w:cs="Times New Roman"/>
                <w:sz w:val="20"/>
                <w:szCs w:val="20"/>
              </w:rPr>
              <w:t>J–O</w:t>
            </w:r>
          </w:p>
        </w:tc>
        <w:tc>
          <w:tcPr>
            <w:tcW w:w="0" w:type="auto"/>
          </w:tcPr>
          <w:p w14:paraId="274A8DCC">
            <w:pPr>
              <w:spacing w:after="0" w:line="240" w:lineRule="auto"/>
              <w:ind w:firstLine="0"/>
              <w:jc w:val="left"/>
              <w:rPr>
                <w:rFonts w:eastAsia="Times New Roman" w:cs="Times New Roman"/>
                <w:sz w:val="20"/>
                <w:szCs w:val="20"/>
              </w:rPr>
            </w:pPr>
            <w:r>
              <w:rPr>
                <w:rFonts w:eastAsia="Times New Roman" w:cs="Times New Roman"/>
                <w:sz w:val="20"/>
                <w:szCs w:val="20"/>
              </w:rPr>
              <w:t>Operational Readiness</w:t>
            </w:r>
          </w:p>
        </w:tc>
        <w:tc>
          <w:tcPr>
            <w:tcW w:w="0" w:type="auto"/>
          </w:tcPr>
          <w:p w14:paraId="722E9C7B">
            <w:pPr>
              <w:spacing w:after="0" w:line="240" w:lineRule="auto"/>
              <w:ind w:firstLine="0"/>
              <w:jc w:val="left"/>
              <w:rPr>
                <w:rFonts w:eastAsia="Times New Roman" w:cs="Times New Roman"/>
                <w:sz w:val="20"/>
                <w:szCs w:val="20"/>
              </w:rPr>
            </w:pPr>
            <w:r>
              <w:rPr>
                <w:rFonts w:eastAsia="Times New Roman" w:cs="Times New Roman"/>
                <w:sz w:val="20"/>
                <w:szCs w:val="20"/>
              </w:rPr>
              <w:t>25,000</w:t>
            </w:r>
          </w:p>
        </w:tc>
        <w:tc>
          <w:tcPr>
            <w:tcW w:w="0" w:type="auto"/>
          </w:tcPr>
          <w:p w14:paraId="0135FE91">
            <w:pPr>
              <w:spacing w:after="0" w:line="240" w:lineRule="auto"/>
              <w:ind w:firstLine="0"/>
              <w:jc w:val="left"/>
              <w:rPr>
                <w:rFonts w:eastAsia="Times New Roman" w:cs="Times New Roman"/>
                <w:sz w:val="20"/>
                <w:szCs w:val="20"/>
              </w:rPr>
            </w:pPr>
            <w:r>
              <w:rPr>
                <w:rFonts w:eastAsia="Times New Roman" w:cs="Times New Roman"/>
                <w:sz w:val="20"/>
                <w:szCs w:val="20"/>
              </w:rPr>
              <w:t>2</w:t>
            </w:r>
          </w:p>
        </w:tc>
        <w:tc>
          <w:tcPr>
            <w:tcW w:w="0" w:type="auto"/>
          </w:tcPr>
          <w:p w14:paraId="0F73B91A">
            <w:pPr>
              <w:spacing w:after="0" w:line="240" w:lineRule="auto"/>
              <w:ind w:firstLine="0"/>
              <w:jc w:val="left"/>
              <w:rPr>
                <w:rFonts w:eastAsia="Times New Roman" w:cs="Times New Roman"/>
                <w:sz w:val="20"/>
                <w:szCs w:val="20"/>
              </w:rPr>
            </w:pPr>
            <w:r>
              <w:rPr>
                <w:rFonts w:eastAsia="Times New Roman" w:cs="Times New Roman"/>
                <w:sz w:val="20"/>
                <w:szCs w:val="20"/>
              </w:rPr>
              <w:t>50,000</w:t>
            </w:r>
          </w:p>
        </w:tc>
      </w:tr>
      <w:tr w14:paraId="72CABC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7DEE22C7">
            <w:pPr>
              <w:spacing w:after="0" w:line="240" w:lineRule="auto"/>
              <w:ind w:firstLine="0"/>
              <w:jc w:val="left"/>
              <w:rPr>
                <w:rFonts w:eastAsia="Times New Roman" w:cs="Times New Roman"/>
                <w:sz w:val="20"/>
                <w:szCs w:val="20"/>
              </w:rPr>
            </w:pPr>
            <w:r>
              <w:rPr>
                <w:rFonts w:eastAsia="Times New Roman" w:cs="Times New Roman"/>
                <w:sz w:val="20"/>
                <w:szCs w:val="20"/>
              </w:rPr>
              <w:t>O–P</w:t>
            </w:r>
          </w:p>
        </w:tc>
        <w:tc>
          <w:tcPr>
            <w:tcW w:w="0" w:type="auto"/>
          </w:tcPr>
          <w:p w14:paraId="33B921EE">
            <w:pPr>
              <w:spacing w:after="0" w:line="240" w:lineRule="auto"/>
              <w:ind w:firstLine="0"/>
              <w:jc w:val="left"/>
              <w:rPr>
                <w:rFonts w:eastAsia="Times New Roman" w:cs="Times New Roman"/>
                <w:sz w:val="20"/>
                <w:szCs w:val="20"/>
              </w:rPr>
            </w:pPr>
            <w:r>
              <w:rPr>
                <w:rFonts w:eastAsia="Times New Roman" w:cs="Times New Roman"/>
                <w:sz w:val="20"/>
                <w:szCs w:val="20"/>
              </w:rPr>
              <w:t>Stakeholder Approval</w:t>
            </w:r>
          </w:p>
        </w:tc>
        <w:tc>
          <w:tcPr>
            <w:tcW w:w="0" w:type="auto"/>
          </w:tcPr>
          <w:p w14:paraId="60578831">
            <w:pPr>
              <w:spacing w:after="0" w:line="240" w:lineRule="auto"/>
              <w:ind w:firstLine="0"/>
              <w:jc w:val="left"/>
              <w:rPr>
                <w:rFonts w:eastAsia="Times New Roman" w:cs="Times New Roman"/>
                <w:sz w:val="20"/>
                <w:szCs w:val="20"/>
              </w:rPr>
            </w:pPr>
            <w:r>
              <w:rPr>
                <w:rFonts w:eastAsia="Times New Roman" w:cs="Times New Roman"/>
                <w:sz w:val="20"/>
                <w:szCs w:val="20"/>
              </w:rPr>
              <w:t>10,000</w:t>
            </w:r>
          </w:p>
        </w:tc>
        <w:tc>
          <w:tcPr>
            <w:tcW w:w="0" w:type="auto"/>
          </w:tcPr>
          <w:p w14:paraId="1910ACC0">
            <w:pPr>
              <w:spacing w:after="0" w:line="240" w:lineRule="auto"/>
              <w:ind w:firstLine="0"/>
              <w:jc w:val="left"/>
              <w:rPr>
                <w:rFonts w:eastAsia="Times New Roman" w:cs="Times New Roman"/>
                <w:sz w:val="20"/>
                <w:szCs w:val="20"/>
              </w:rPr>
            </w:pPr>
            <w:r>
              <w:rPr>
                <w:rFonts w:eastAsia="Times New Roman" w:cs="Times New Roman"/>
                <w:sz w:val="20"/>
                <w:szCs w:val="20"/>
              </w:rPr>
              <w:t>3</w:t>
            </w:r>
          </w:p>
        </w:tc>
        <w:tc>
          <w:tcPr>
            <w:tcW w:w="0" w:type="auto"/>
          </w:tcPr>
          <w:p w14:paraId="2FBFF946">
            <w:pPr>
              <w:spacing w:after="0" w:line="240" w:lineRule="auto"/>
              <w:ind w:firstLine="0"/>
              <w:jc w:val="left"/>
              <w:rPr>
                <w:rFonts w:eastAsia="Times New Roman" w:cs="Times New Roman"/>
                <w:sz w:val="20"/>
                <w:szCs w:val="20"/>
              </w:rPr>
            </w:pPr>
            <w:r>
              <w:rPr>
                <w:rFonts w:eastAsia="Times New Roman" w:cs="Times New Roman"/>
                <w:sz w:val="20"/>
                <w:szCs w:val="20"/>
              </w:rPr>
              <w:t>30,000</w:t>
            </w:r>
          </w:p>
        </w:tc>
      </w:tr>
      <w:tr w14:paraId="444E62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66B83F82">
            <w:pPr>
              <w:spacing w:after="0" w:line="240" w:lineRule="auto"/>
              <w:ind w:firstLine="0"/>
              <w:jc w:val="left"/>
              <w:rPr>
                <w:rFonts w:eastAsia="Times New Roman" w:cs="Times New Roman"/>
                <w:sz w:val="20"/>
                <w:szCs w:val="20"/>
              </w:rPr>
            </w:pPr>
            <w:r>
              <w:rPr>
                <w:rFonts w:eastAsia="Times New Roman" w:cs="Times New Roman"/>
                <w:sz w:val="20"/>
                <w:szCs w:val="20"/>
              </w:rPr>
              <w:t>Other</w:t>
            </w:r>
          </w:p>
        </w:tc>
        <w:tc>
          <w:tcPr>
            <w:tcW w:w="0" w:type="auto"/>
          </w:tcPr>
          <w:p w14:paraId="456940C2">
            <w:pPr>
              <w:spacing w:after="0" w:line="240" w:lineRule="auto"/>
              <w:ind w:firstLine="0"/>
              <w:jc w:val="left"/>
              <w:rPr>
                <w:rFonts w:eastAsia="Times New Roman" w:cs="Times New Roman"/>
                <w:sz w:val="20"/>
                <w:szCs w:val="20"/>
              </w:rPr>
            </w:pPr>
            <w:r>
              <w:rPr>
                <w:rFonts w:eastAsia="Times New Roman" w:cs="Times New Roman"/>
                <w:sz w:val="20"/>
                <w:szCs w:val="20"/>
              </w:rPr>
              <w:t>Non-Critical Tasks</w:t>
            </w:r>
          </w:p>
        </w:tc>
        <w:tc>
          <w:tcPr>
            <w:tcW w:w="0" w:type="auto"/>
          </w:tcPr>
          <w:p w14:paraId="71E626D8">
            <w:pPr>
              <w:spacing w:after="0" w:line="240" w:lineRule="auto"/>
              <w:ind w:firstLine="0"/>
              <w:jc w:val="left"/>
              <w:rPr>
                <w:rFonts w:eastAsia="Times New Roman" w:cs="Times New Roman"/>
                <w:sz w:val="20"/>
                <w:szCs w:val="20"/>
              </w:rPr>
            </w:pPr>
            <w:r>
              <w:rPr>
                <w:rFonts w:eastAsia="Times New Roman" w:cs="Times New Roman"/>
                <w:sz w:val="20"/>
                <w:szCs w:val="20"/>
              </w:rPr>
              <w:t>Variable</w:t>
            </w:r>
          </w:p>
        </w:tc>
        <w:tc>
          <w:tcPr>
            <w:tcW w:w="0" w:type="auto"/>
          </w:tcPr>
          <w:p w14:paraId="256D1A8A">
            <w:pPr>
              <w:spacing w:after="0" w:line="240" w:lineRule="auto"/>
              <w:ind w:firstLine="0"/>
              <w:jc w:val="left"/>
              <w:rPr>
                <w:rFonts w:eastAsia="Times New Roman" w:cs="Times New Roman"/>
                <w:sz w:val="20"/>
                <w:szCs w:val="20"/>
              </w:rPr>
            </w:pPr>
            <w:r>
              <w:rPr>
                <w:rFonts w:eastAsia="Times New Roman" w:cs="Times New Roman"/>
                <w:sz w:val="20"/>
                <w:szCs w:val="20"/>
              </w:rPr>
              <w:t>—</w:t>
            </w:r>
          </w:p>
        </w:tc>
        <w:tc>
          <w:tcPr>
            <w:tcW w:w="0" w:type="auto"/>
          </w:tcPr>
          <w:p w14:paraId="659FF387">
            <w:pPr>
              <w:spacing w:after="0" w:line="240" w:lineRule="auto"/>
              <w:ind w:firstLine="0"/>
              <w:jc w:val="left"/>
              <w:rPr>
                <w:rFonts w:eastAsia="Times New Roman" w:cs="Times New Roman"/>
                <w:sz w:val="20"/>
                <w:szCs w:val="20"/>
              </w:rPr>
            </w:pPr>
            <w:r>
              <w:rPr>
                <w:rFonts w:eastAsia="Times New Roman" w:cs="Times New Roman"/>
                <w:sz w:val="20"/>
                <w:szCs w:val="20"/>
              </w:rPr>
              <w:t>385,000</w:t>
            </w:r>
          </w:p>
        </w:tc>
      </w:tr>
      <w:tr w14:paraId="346F6E7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0E1C13C9">
            <w:pPr>
              <w:spacing w:after="0" w:line="240" w:lineRule="auto"/>
              <w:ind w:firstLine="0"/>
              <w:jc w:val="left"/>
              <w:rPr>
                <w:rFonts w:eastAsia="Times New Roman" w:cs="Times New Roman"/>
                <w:sz w:val="20"/>
                <w:szCs w:val="20"/>
              </w:rPr>
            </w:pPr>
            <w:r>
              <w:rPr>
                <w:rFonts w:eastAsia="Times New Roman" w:cs="Times New Roman"/>
                <w:sz w:val="20"/>
                <w:szCs w:val="20"/>
              </w:rPr>
              <w:t>Total</w:t>
            </w:r>
          </w:p>
        </w:tc>
        <w:tc>
          <w:tcPr>
            <w:tcW w:w="0" w:type="auto"/>
          </w:tcPr>
          <w:p w14:paraId="662FB406">
            <w:pPr>
              <w:spacing w:after="0" w:line="240" w:lineRule="auto"/>
              <w:ind w:firstLine="0"/>
              <w:jc w:val="left"/>
              <w:rPr>
                <w:rFonts w:eastAsia="Times New Roman" w:cs="Times New Roman"/>
                <w:sz w:val="20"/>
                <w:szCs w:val="20"/>
              </w:rPr>
            </w:pPr>
            <w:r>
              <w:rPr>
                <w:rFonts w:eastAsia="Times New Roman" w:cs="Times New Roman"/>
                <w:sz w:val="20"/>
                <w:szCs w:val="20"/>
              </w:rPr>
              <w:t>Grand Total</w:t>
            </w:r>
          </w:p>
        </w:tc>
        <w:tc>
          <w:tcPr>
            <w:tcW w:w="0" w:type="auto"/>
          </w:tcPr>
          <w:p w14:paraId="4F1A3840">
            <w:pPr>
              <w:spacing w:after="0" w:line="240" w:lineRule="auto"/>
              <w:ind w:firstLine="0"/>
              <w:jc w:val="left"/>
              <w:rPr>
                <w:rFonts w:eastAsia="Times New Roman" w:cs="Times New Roman"/>
                <w:sz w:val="20"/>
                <w:szCs w:val="20"/>
              </w:rPr>
            </w:pPr>
          </w:p>
        </w:tc>
        <w:tc>
          <w:tcPr>
            <w:tcW w:w="0" w:type="auto"/>
          </w:tcPr>
          <w:p w14:paraId="3BECC292">
            <w:pPr>
              <w:spacing w:after="0" w:line="240" w:lineRule="auto"/>
              <w:ind w:firstLine="0"/>
              <w:jc w:val="left"/>
              <w:rPr>
                <w:rFonts w:eastAsia="Times New Roman" w:cs="Times New Roman"/>
                <w:sz w:val="20"/>
                <w:szCs w:val="20"/>
              </w:rPr>
            </w:pPr>
          </w:p>
        </w:tc>
        <w:tc>
          <w:tcPr>
            <w:tcW w:w="0" w:type="auto"/>
          </w:tcPr>
          <w:p w14:paraId="04F13448">
            <w:pPr>
              <w:spacing w:after="0" w:line="240" w:lineRule="auto"/>
              <w:ind w:firstLine="0"/>
              <w:jc w:val="left"/>
              <w:rPr>
                <w:rFonts w:eastAsia="Times New Roman" w:cs="Times New Roman"/>
                <w:sz w:val="20"/>
                <w:szCs w:val="20"/>
              </w:rPr>
            </w:pPr>
            <w:r>
              <w:rPr>
                <w:rFonts w:eastAsia="Times New Roman" w:cs="Times New Roman"/>
                <w:sz w:val="20"/>
                <w:szCs w:val="20"/>
              </w:rPr>
              <w:t>£1,600,000</w:t>
            </w:r>
          </w:p>
        </w:tc>
      </w:tr>
    </w:tbl>
    <w:p w14:paraId="49BC72F0">
      <w:pPr>
        <w:pStyle w:val="48"/>
        <w:ind w:firstLine="0"/>
      </w:pPr>
      <w:bookmarkStart w:id="20" w:name="_Toc220202086"/>
      <w:r>
        <w:t>Table 5. Complete Cost of Activities &amp; Project</w:t>
      </w:r>
      <w:bookmarkEnd w:id="20"/>
      <w:r>
        <w:t xml:space="preserve"> </w:t>
      </w:r>
    </w:p>
    <w:p w14:paraId="4571DA9E">
      <w:pPr>
        <w:pStyle w:val="2"/>
        <w:rPr>
          <w:rFonts w:eastAsia="Times New Roman"/>
        </w:rPr>
      </w:pPr>
      <w:bookmarkStart w:id="21" w:name="_Toc220202067"/>
      <w:r>
        <w:rPr>
          <w:rFonts w:eastAsia="Times New Roman"/>
        </w:rPr>
        <w:t>Use of Crash Costing Techniques</w:t>
      </w:r>
      <w:bookmarkEnd w:id="21"/>
    </w:p>
    <w:p w14:paraId="665A0737">
      <w:pPr>
        <w:rPr>
          <w:rFonts w:eastAsia="Times New Roman"/>
        </w:rPr>
      </w:pPr>
      <w:r>
        <w:rPr>
          <w:rFonts w:eastAsia="Times New Roman"/>
        </w:rPr>
        <w:t>The management should make an intervention in the critical path to decrease the project by 1 week (7 days). Crashing entails the intentional trade off with elevated variable costs (overtime or extra equipment supporting high shipping costs) to reduce the time taken in activities (see table 6). Critical Path activities only can be crashed because minimising non-critical activities will not compromise the project cost as it will not expedite the final date (Kresis et al., 2019). The table below determines the compression activities to be compressed and the financial implication:</w:t>
      </w:r>
    </w:p>
    <w:tbl>
      <w:tblPr>
        <w:tblStyle w:val="25"/>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872"/>
        <w:gridCol w:w="816"/>
        <w:gridCol w:w="1322"/>
        <w:gridCol w:w="1350"/>
        <w:gridCol w:w="988"/>
        <w:gridCol w:w="1262"/>
        <w:gridCol w:w="1548"/>
        <w:gridCol w:w="1418"/>
      </w:tblGrid>
      <w:tr w14:paraId="530B273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13B03B59">
            <w:pPr>
              <w:spacing w:after="0" w:line="240" w:lineRule="auto"/>
              <w:ind w:firstLine="0"/>
              <w:jc w:val="left"/>
              <w:rPr>
                <w:rFonts w:eastAsia="Times New Roman" w:cs="Times New Roman"/>
                <w:sz w:val="20"/>
                <w:szCs w:val="20"/>
              </w:rPr>
            </w:pPr>
            <w:r>
              <w:rPr>
                <w:rFonts w:eastAsia="Times New Roman" w:cs="Times New Roman"/>
                <w:sz w:val="20"/>
                <w:szCs w:val="20"/>
              </w:rPr>
              <w:t>Activity</w:t>
            </w:r>
          </w:p>
        </w:tc>
        <w:tc>
          <w:tcPr>
            <w:tcW w:w="0" w:type="auto"/>
          </w:tcPr>
          <w:p w14:paraId="6AE180AC">
            <w:pPr>
              <w:spacing w:after="0" w:line="240" w:lineRule="auto"/>
              <w:ind w:firstLine="0"/>
              <w:jc w:val="left"/>
              <w:rPr>
                <w:rFonts w:eastAsia="Times New Roman" w:cs="Times New Roman"/>
                <w:sz w:val="20"/>
                <w:szCs w:val="20"/>
              </w:rPr>
            </w:pPr>
            <w:r>
              <w:rPr>
                <w:rFonts w:eastAsia="Times New Roman" w:cs="Times New Roman"/>
                <w:sz w:val="20"/>
                <w:szCs w:val="20"/>
              </w:rPr>
              <w:t>Status</w:t>
            </w:r>
          </w:p>
        </w:tc>
        <w:tc>
          <w:tcPr>
            <w:tcW w:w="0" w:type="auto"/>
          </w:tcPr>
          <w:p w14:paraId="6812414A">
            <w:pPr>
              <w:spacing w:after="0" w:line="240" w:lineRule="auto"/>
              <w:ind w:firstLine="0"/>
              <w:jc w:val="left"/>
              <w:rPr>
                <w:rFonts w:eastAsia="Times New Roman" w:cs="Times New Roman"/>
                <w:sz w:val="20"/>
                <w:szCs w:val="20"/>
              </w:rPr>
            </w:pPr>
            <w:r>
              <w:rPr>
                <w:rFonts w:eastAsia="Times New Roman" w:cs="Times New Roman"/>
                <w:sz w:val="20"/>
                <w:szCs w:val="20"/>
              </w:rPr>
              <w:t>Normal Duration</w:t>
            </w:r>
          </w:p>
        </w:tc>
        <w:tc>
          <w:tcPr>
            <w:tcW w:w="0" w:type="auto"/>
          </w:tcPr>
          <w:p w14:paraId="1F5FA900">
            <w:pPr>
              <w:spacing w:after="0" w:line="240" w:lineRule="auto"/>
              <w:ind w:firstLine="0"/>
              <w:jc w:val="left"/>
              <w:rPr>
                <w:rFonts w:eastAsia="Times New Roman" w:cs="Times New Roman"/>
                <w:sz w:val="20"/>
                <w:szCs w:val="20"/>
              </w:rPr>
            </w:pPr>
            <w:r>
              <w:rPr>
                <w:rFonts w:eastAsia="Times New Roman" w:cs="Times New Roman"/>
                <w:sz w:val="20"/>
                <w:szCs w:val="20"/>
              </w:rPr>
              <w:t>Crashed Duration</w:t>
            </w:r>
          </w:p>
        </w:tc>
        <w:tc>
          <w:tcPr>
            <w:tcW w:w="0" w:type="auto"/>
          </w:tcPr>
          <w:p w14:paraId="33E314CE">
            <w:pPr>
              <w:spacing w:after="0" w:line="240" w:lineRule="auto"/>
              <w:ind w:firstLine="0"/>
              <w:jc w:val="left"/>
              <w:rPr>
                <w:rFonts w:eastAsia="Times New Roman" w:cs="Times New Roman"/>
                <w:sz w:val="20"/>
                <w:szCs w:val="20"/>
              </w:rPr>
            </w:pPr>
            <w:r>
              <w:rPr>
                <w:rFonts w:eastAsia="Times New Roman" w:cs="Times New Roman"/>
                <w:sz w:val="20"/>
                <w:szCs w:val="20"/>
              </w:rPr>
              <w:t>Time Saved</w:t>
            </w:r>
          </w:p>
        </w:tc>
        <w:tc>
          <w:tcPr>
            <w:tcW w:w="0" w:type="auto"/>
          </w:tcPr>
          <w:p w14:paraId="29A1F855">
            <w:pPr>
              <w:spacing w:after="0" w:line="240" w:lineRule="auto"/>
              <w:ind w:firstLine="0"/>
              <w:jc w:val="left"/>
              <w:rPr>
                <w:rFonts w:eastAsia="Times New Roman" w:cs="Times New Roman"/>
                <w:sz w:val="20"/>
                <w:szCs w:val="20"/>
              </w:rPr>
            </w:pPr>
            <w:r>
              <w:rPr>
                <w:rFonts w:eastAsia="Times New Roman" w:cs="Times New Roman"/>
                <w:sz w:val="20"/>
                <w:szCs w:val="20"/>
              </w:rPr>
              <w:t>Normal Cost (£)</w:t>
            </w:r>
          </w:p>
        </w:tc>
        <w:tc>
          <w:tcPr>
            <w:tcW w:w="0" w:type="auto"/>
          </w:tcPr>
          <w:p w14:paraId="45C09205">
            <w:pPr>
              <w:spacing w:after="0" w:line="240" w:lineRule="auto"/>
              <w:ind w:firstLine="0"/>
              <w:jc w:val="left"/>
              <w:rPr>
                <w:rFonts w:eastAsia="Times New Roman" w:cs="Times New Roman"/>
                <w:sz w:val="20"/>
                <w:szCs w:val="20"/>
              </w:rPr>
            </w:pPr>
            <w:r>
              <w:rPr>
                <w:rFonts w:eastAsia="Times New Roman" w:cs="Times New Roman"/>
                <w:sz w:val="20"/>
                <w:szCs w:val="20"/>
              </w:rPr>
              <w:t>Crash Cost per Day (£)</w:t>
            </w:r>
          </w:p>
        </w:tc>
        <w:tc>
          <w:tcPr>
            <w:tcW w:w="0" w:type="auto"/>
          </w:tcPr>
          <w:p w14:paraId="07AEAC0D">
            <w:pPr>
              <w:spacing w:after="0" w:line="240" w:lineRule="auto"/>
              <w:ind w:firstLine="0"/>
              <w:jc w:val="left"/>
              <w:rPr>
                <w:rFonts w:eastAsia="Times New Roman" w:cs="Times New Roman"/>
                <w:sz w:val="20"/>
                <w:szCs w:val="20"/>
              </w:rPr>
            </w:pPr>
            <w:r>
              <w:rPr>
                <w:rFonts w:eastAsia="Times New Roman" w:cs="Times New Roman"/>
                <w:sz w:val="20"/>
                <w:szCs w:val="20"/>
              </w:rPr>
              <w:t>Total Crash Cost (£)</w:t>
            </w:r>
          </w:p>
        </w:tc>
      </w:tr>
      <w:tr w14:paraId="32D6B34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6DEC6788">
            <w:pPr>
              <w:spacing w:after="0" w:line="240" w:lineRule="auto"/>
              <w:ind w:firstLine="0"/>
              <w:jc w:val="left"/>
              <w:rPr>
                <w:rFonts w:eastAsia="Times New Roman" w:cs="Times New Roman"/>
                <w:sz w:val="20"/>
                <w:szCs w:val="20"/>
              </w:rPr>
            </w:pPr>
            <w:r>
              <w:rPr>
                <w:rFonts w:eastAsia="Times New Roman" w:cs="Times New Roman"/>
                <w:sz w:val="20"/>
                <w:szCs w:val="20"/>
              </w:rPr>
              <w:t>E–F</w:t>
            </w:r>
          </w:p>
        </w:tc>
        <w:tc>
          <w:tcPr>
            <w:tcW w:w="0" w:type="auto"/>
          </w:tcPr>
          <w:p w14:paraId="214CC498">
            <w:pPr>
              <w:spacing w:after="0" w:line="240" w:lineRule="auto"/>
              <w:ind w:firstLine="0"/>
              <w:jc w:val="left"/>
              <w:rPr>
                <w:rFonts w:eastAsia="Times New Roman" w:cs="Times New Roman"/>
                <w:sz w:val="20"/>
                <w:szCs w:val="20"/>
              </w:rPr>
            </w:pPr>
            <w:r>
              <w:rPr>
                <w:rFonts w:eastAsia="Times New Roman" w:cs="Times New Roman"/>
                <w:sz w:val="20"/>
                <w:szCs w:val="20"/>
              </w:rPr>
              <w:t>Critical</w:t>
            </w:r>
          </w:p>
        </w:tc>
        <w:tc>
          <w:tcPr>
            <w:tcW w:w="0" w:type="auto"/>
          </w:tcPr>
          <w:p w14:paraId="191EBC2F">
            <w:pPr>
              <w:spacing w:after="0" w:line="240" w:lineRule="auto"/>
              <w:ind w:firstLine="0"/>
              <w:jc w:val="left"/>
              <w:rPr>
                <w:rFonts w:eastAsia="Times New Roman" w:cs="Times New Roman"/>
                <w:sz w:val="20"/>
                <w:szCs w:val="20"/>
              </w:rPr>
            </w:pPr>
            <w:r>
              <w:rPr>
                <w:rFonts w:eastAsia="Times New Roman" w:cs="Times New Roman"/>
                <w:sz w:val="20"/>
                <w:szCs w:val="20"/>
              </w:rPr>
              <w:t>6 Weeks</w:t>
            </w:r>
          </w:p>
        </w:tc>
        <w:tc>
          <w:tcPr>
            <w:tcW w:w="0" w:type="auto"/>
          </w:tcPr>
          <w:p w14:paraId="4B261D0F">
            <w:pPr>
              <w:spacing w:after="0" w:line="240" w:lineRule="auto"/>
              <w:ind w:firstLine="0"/>
              <w:jc w:val="left"/>
              <w:rPr>
                <w:rFonts w:eastAsia="Times New Roman" w:cs="Times New Roman"/>
                <w:sz w:val="20"/>
                <w:szCs w:val="20"/>
              </w:rPr>
            </w:pPr>
            <w:r>
              <w:rPr>
                <w:rFonts w:eastAsia="Times New Roman" w:cs="Times New Roman"/>
                <w:sz w:val="20"/>
                <w:szCs w:val="20"/>
              </w:rPr>
              <w:t>5.2 Weeks</w:t>
            </w:r>
          </w:p>
        </w:tc>
        <w:tc>
          <w:tcPr>
            <w:tcW w:w="0" w:type="auto"/>
          </w:tcPr>
          <w:p w14:paraId="103594F4">
            <w:pPr>
              <w:spacing w:after="0" w:line="240" w:lineRule="auto"/>
              <w:ind w:firstLine="0"/>
              <w:jc w:val="left"/>
              <w:rPr>
                <w:rFonts w:eastAsia="Times New Roman" w:cs="Times New Roman"/>
                <w:sz w:val="20"/>
                <w:szCs w:val="20"/>
              </w:rPr>
            </w:pPr>
            <w:r>
              <w:rPr>
                <w:rFonts w:eastAsia="Times New Roman" w:cs="Times New Roman"/>
                <w:sz w:val="20"/>
                <w:szCs w:val="20"/>
              </w:rPr>
              <w:t>4 Days</w:t>
            </w:r>
          </w:p>
        </w:tc>
        <w:tc>
          <w:tcPr>
            <w:tcW w:w="0" w:type="auto"/>
          </w:tcPr>
          <w:p w14:paraId="72A01992">
            <w:pPr>
              <w:spacing w:after="0" w:line="240" w:lineRule="auto"/>
              <w:ind w:firstLine="0"/>
              <w:jc w:val="left"/>
              <w:rPr>
                <w:rFonts w:eastAsia="Times New Roman" w:cs="Times New Roman"/>
                <w:sz w:val="20"/>
                <w:szCs w:val="20"/>
              </w:rPr>
            </w:pPr>
            <w:r>
              <w:rPr>
                <w:rFonts w:eastAsia="Times New Roman" w:cs="Times New Roman"/>
                <w:sz w:val="20"/>
                <w:szCs w:val="20"/>
              </w:rPr>
              <w:t>510,000</w:t>
            </w:r>
          </w:p>
        </w:tc>
        <w:tc>
          <w:tcPr>
            <w:tcW w:w="0" w:type="auto"/>
          </w:tcPr>
          <w:p w14:paraId="0301FA71">
            <w:pPr>
              <w:spacing w:after="0" w:line="240" w:lineRule="auto"/>
              <w:ind w:firstLine="0"/>
              <w:jc w:val="left"/>
              <w:rPr>
                <w:rFonts w:eastAsia="Times New Roman" w:cs="Times New Roman"/>
                <w:sz w:val="20"/>
                <w:szCs w:val="20"/>
              </w:rPr>
            </w:pPr>
            <w:r>
              <w:rPr>
                <w:rFonts w:eastAsia="Times New Roman" w:cs="Times New Roman"/>
                <w:sz w:val="20"/>
                <w:szCs w:val="20"/>
              </w:rPr>
              <w:t>15,000</w:t>
            </w:r>
          </w:p>
        </w:tc>
        <w:tc>
          <w:tcPr>
            <w:tcW w:w="0" w:type="auto"/>
          </w:tcPr>
          <w:p w14:paraId="7DF17306">
            <w:pPr>
              <w:spacing w:after="0" w:line="240" w:lineRule="auto"/>
              <w:ind w:firstLine="0"/>
              <w:jc w:val="left"/>
              <w:rPr>
                <w:rFonts w:eastAsia="Times New Roman" w:cs="Times New Roman"/>
                <w:sz w:val="20"/>
                <w:szCs w:val="20"/>
              </w:rPr>
            </w:pPr>
            <w:r>
              <w:rPr>
                <w:rFonts w:eastAsia="Times New Roman" w:cs="Times New Roman"/>
                <w:sz w:val="20"/>
                <w:szCs w:val="20"/>
              </w:rPr>
              <w:t>60,000</w:t>
            </w:r>
          </w:p>
        </w:tc>
      </w:tr>
      <w:tr w14:paraId="2731C0D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71A98722">
            <w:pPr>
              <w:spacing w:after="0" w:line="240" w:lineRule="auto"/>
              <w:ind w:firstLine="0"/>
              <w:jc w:val="left"/>
              <w:rPr>
                <w:rFonts w:eastAsia="Times New Roman" w:cs="Times New Roman"/>
                <w:sz w:val="20"/>
                <w:szCs w:val="20"/>
              </w:rPr>
            </w:pPr>
            <w:r>
              <w:rPr>
                <w:rFonts w:eastAsia="Times New Roman" w:cs="Times New Roman"/>
                <w:sz w:val="20"/>
                <w:szCs w:val="20"/>
              </w:rPr>
              <w:t>G–I</w:t>
            </w:r>
          </w:p>
        </w:tc>
        <w:tc>
          <w:tcPr>
            <w:tcW w:w="0" w:type="auto"/>
          </w:tcPr>
          <w:p w14:paraId="0FB20E5A">
            <w:pPr>
              <w:spacing w:after="0" w:line="240" w:lineRule="auto"/>
              <w:ind w:firstLine="0"/>
              <w:jc w:val="left"/>
              <w:rPr>
                <w:rFonts w:eastAsia="Times New Roman" w:cs="Times New Roman"/>
                <w:sz w:val="20"/>
                <w:szCs w:val="20"/>
              </w:rPr>
            </w:pPr>
            <w:r>
              <w:rPr>
                <w:rFonts w:eastAsia="Times New Roman" w:cs="Times New Roman"/>
                <w:sz w:val="20"/>
                <w:szCs w:val="20"/>
              </w:rPr>
              <w:t>Critical</w:t>
            </w:r>
          </w:p>
        </w:tc>
        <w:tc>
          <w:tcPr>
            <w:tcW w:w="0" w:type="auto"/>
          </w:tcPr>
          <w:p w14:paraId="3CDD54DC">
            <w:pPr>
              <w:spacing w:after="0" w:line="240" w:lineRule="auto"/>
              <w:ind w:firstLine="0"/>
              <w:jc w:val="left"/>
              <w:rPr>
                <w:rFonts w:eastAsia="Times New Roman" w:cs="Times New Roman"/>
                <w:sz w:val="20"/>
                <w:szCs w:val="20"/>
              </w:rPr>
            </w:pPr>
            <w:r>
              <w:rPr>
                <w:rFonts w:eastAsia="Times New Roman" w:cs="Times New Roman"/>
                <w:sz w:val="20"/>
                <w:szCs w:val="20"/>
              </w:rPr>
              <w:t>4 Weeks</w:t>
            </w:r>
          </w:p>
        </w:tc>
        <w:tc>
          <w:tcPr>
            <w:tcW w:w="0" w:type="auto"/>
          </w:tcPr>
          <w:p w14:paraId="120D3E50">
            <w:pPr>
              <w:spacing w:after="0" w:line="240" w:lineRule="auto"/>
              <w:ind w:firstLine="0"/>
              <w:jc w:val="left"/>
              <w:rPr>
                <w:rFonts w:eastAsia="Times New Roman" w:cs="Times New Roman"/>
                <w:sz w:val="20"/>
                <w:szCs w:val="20"/>
              </w:rPr>
            </w:pPr>
            <w:r>
              <w:rPr>
                <w:rFonts w:eastAsia="Times New Roman" w:cs="Times New Roman"/>
                <w:sz w:val="20"/>
                <w:szCs w:val="20"/>
              </w:rPr>
              <w:t>3.4 Weeks</w:t>
            </w:r>
          </w:p>
        </w:tc>
        <w:tc>
          <w:tcPr>
            <w:tcW w:w="0" w:type="auto"/>
          </w:tcPr>
          <w:p w14:paraId="211C33FE">
            <w:pPr>
              <w:spacing w:after="0" w:line="240" w:lineRule="auto"/>
              <w:ind w:firstLine="0"/>
              <w:jc w:val="left"/>
              <w:rPr>
                <w:rFonts w:eastAsia="Times New Roman" w:cs="Times New Roman"/>
                <w:sz w:val="20"/>
                <w:szCs w:val="20"/>
              </w:rPr>
            </w:pPr>
            <w:r>
              <w:rPr>
                <w:rFonts w:eastAsia="Times New Roman" w:cs="Times New Roman"/>
                <w:sz w:val="20"/>
                <w:szCs w:val="20"/>
              </w:rPr>
              <w:t>3 Days</w:t>
            </w:r>
          </w:p>
        </w:tc>
        <w:tc>
          <w:tcPr>
            <w:tcW w:w="0" w:type="auto"/>
          </w:tcPr>
          <w:p w14:paraId="52036233">
            <w:pPr>
              <w:spacing w:after="0" w:line="240" w:lineRule="auto"/>
              <w:ind w:firstLine="0"/>
              <w:jc w:val="left"/>
              <w:rPr>
                <w:rFonts w:eastAsia="Times New Roman" w:cs="Times New Roman"/>
                <w:sz w:val="20"/>
                <w:szCs w:val="20"/>
              </w:rPr>
            </w:pPr>
            <w:r>
              <w:rPr>
                <w:rFonts w:eastAsia="Times New Roman" w:cs="Times New Roman"/>
                <w:sz w:val="20"/>
                <w:szCs w:val="20"/>
              </w:rPr>
              <w:t>200,000</w:t>
            </w:r>
          </w:p>
        </w:tc>
        <w:tc>
          <w:tcPr>
            <w:tcW w:w="0" w:type="auto"/>
          </w:tcPr>
          <w:p w14:paraId="66DB30F1">
            <w:pPr>
              <w:spacing w:after="0" w:line="240" w:lineRule="auto"/>
              <w:ind w:firstLine="0"/>
              <w:jc w:val="left"/>
              <w:rPr>
                <w:rFonts w:eastAsia="Times New Roman" w:cs="Times New Roman"/>
                <w:sz w:val="20"/>
                <w:szCs w:val="20"/>
              </w:rPr>
            </w:pPr>
            <w:r>
              <w:rPr>
                <w:rFonts w:eastAsia="Times New Roman" w:cs="Times New Roman"/>
                <w:sz w:val="20"/>
                <w:szCs w:val="20"/>
              </w:rPr>
              <w:t>10,000</w:t>
            </w:r>
          </w:p>
        </w:tc>
        <w:tc>
          <w:tcPr>
            <w:tcW w:w="0" w:type="auto"/>
          </w:tcPr>
          <w:p w14:paraId="01F17568">
            <w:pPr>
              <w:spacing w:after="0" w:line="240" w:lineRule="auto"/>
              <w:ind w:firstLine="0"/>
              <w:jc w:val="left"/>
              <w:rPr>
                <w:rFonts w:eastAsia="Times New Roman" w:cs="Times New Roman"/>
                <w:sz w:val="20"/>
                <w:szCs w:val="20"/>
              </w:rPr>
            </w:pPr>
            <w:r>
              <w:rPr>
                <w:rFonts w:eastAsia="Times New Roman" w:cs="Times New Roman"/>
                <w:sz w:val="20"/>
                <w:szCs w:val="20"/>
              </w:rPr>
              <w:t>30,000</w:t>
            </w:r>
          </w:p>
        </w:tc>
      </w:tr>
      <w:tr w14:paraId="537BE24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jc w:val="center"/>
        </w:trPr>
        <w:tc>
          <w:tcPr>
            <w:tcW w:w="0" w:type="auto"/>
          </w:tcPr>
          <w:p w14:paraId="3ABEE7F2">
            <w:pPr>
              <w:spacing w:after="0" w:line="240" w:lineRule="auto"/>
              <w:ind w:firstLine="0"/>
              <w:jc w:val="left"/>
              <w:rPr>
                <w:rFonts w:eastAsia="Times New Roman" w:cs="Times New Roman"/>
                <w:sz w:val="20"/>
                <w:szCs w:val="20"/>
              </w:rPr>
            </w:pPr>
            <w:r>
              <w:rPr>
                <w:rFonts w:eastAsia="Times New Roman" w:cs="Times New Roman"/>
                <w:sz w:val="20"/>
                <w:szCs w:val="20"/>
              </w:rPr>
              <w:t>Totals</w:t>
            </w:r>
          </w:p>
        </w:tc>
        <w:tc>
          <w:tcPr>
            <w:tcW w:w="0" w:type="auto"/>
          </w:tcPr>
          <w:p w14:paraId="48D50D79">
            <w:pPr>
              <w:spacing w:after="0" w:line="240" w:lineRule="auto"/>
              <w:ind w:firstLine="0"/>
              <w:jc w:val="left"/>
              <w:rPr>
                <w:rFonts w:eastAsia="Times New Roman" w:cs="Times New Roman"/>
                <w:sz w:val="20"/>
                <w:szCs w:val="20"/>
              </w:rPr>
            </w:pPr>
            <w:r>
              <w:rPr>
                <w:rFonts w:eastAsia="Times New Roman" w:cs="Times New Roman"/>
                <w:sz w:val="20"/>
                <w:szCs w:val="20"/>
              </w:rPr>
              <w:t>—</w:t>
            </w:r>
          </w:p>
        </w:tc>
        <w:tc>
          <w:tcPr>
            <w:tcW w:w="0" w:type="auto"/>
          </w:tcPr>
          <w:p w14:paraId="3072BDA4">
            <w:pPr>
              <w:spacing w:after="0" w:line="240" w:lineRule="auto"/>
              <w:ind w:firstLine="0"/>
              <w:jc w:val="left"/>
              <w:rPr>
                <w:rFonts w:eastAsia="Times New Roman" w:cs="Times New Roman"/>
                <w:sz w:val="20"/>
                <w:szCs w:val="20"/>
              </w:rPr>
            </w:pPr>
            <w:r>
              <w:rPr>
                <w:rFonts w:eastAsia="Times New Roman" w:cs="Times New Roman"/>
                <w:sz w:val="20"/>
                <w:szCs w:val="20"/>
              </w:rPr>
              <w:t>10 Weeks</w:t>
            </w:r>
          </w:p>
        </w:tc>
        <w:tc>
          <w:tcPr>
            <w:tcW w:w="0" w:type="auto"/>
          </w:tcPr>
          <w:p w14:paraId="3CE1F885">
            <w:pPr>
              <w:spacing w:after="0" w:line="240" w:lineRule="auto"/>
              <w:ind w:firstLine="0"/>
              <w:jc w:val="left"/>
              <w:rPr>
                <w:rFonts w:eastAsia="Times New Roman" w:cs="Times New Roman"/>
                <w:sz w:val="20"/>
                <w:szCs w:val="20"/>
              </w:rPr>
            </w:pPr>
            <w:r>
              <w:rPr>
                <w:rFonts w:eastAsia="Times New Roman" w:cs="Times New Roman"/>
                <w:sz w:val="20"/>
                <w:szCs w:val="20"/>
              </w:rPr>
              <w:t>8.6 Weeks</w:t>
            </w:r>
          </w:p>
        </w:tc>
        <w:tc>
          <w:tcPr>
            <w:tcW w:w="0" w:type="auto"/>
          </w:tcPr>
          <w:p w14:paraId="4407EC25">
            <w:pPr>
              <w:spacing w:after="0" w:line="240" w:lineRule="auto"/>
              <w:ind w:firstLine="0"/>
              <w:jc w:val="left"/>
              <w:rPr>
                <w:rFonts w:eastAsia="Times New Roman" w:cs="Times New Roman"/>
                <w:sz w:val="20"/>
                <w:szCs w:val="20"/>
              </w:rPr>
            </w:pPr>
            <w:r>
              <w:rPr>
                <w:rFonts w:eastAsia="Times New Roman" w:cs="Times New Roman"/>
                <w:sz w:val="20"/>
                <w:szCs w:val="20"/>
              </w:rPr>
              <w:t>7 Days</w:t>
            </w:r>
          </w:p>
        </w:tc>
        <w:tc>
          <w:tcPr>
            <w:tcW w:w="0" w:type="auto"/>
          </w:tcPr>
          <w:p w14:paraId="7EFB1B82">
            <w:pPr>
              <w:spacing w:after="0" w:line="240" w:lineRule="auto"/>
              <w:ind w:firstLine="0"/>
              <w:jc w:val="left"/>
              <w:rPr>
                <w:rFonts w:eastAsia="Times New Roman" w:cs="Times New Roman"/>
                <w:sz w:val="20"/>
                <w:szCs w:val="20"/>
              </w:rPr>
            </w:pPr>
            <w:r>
              <w:rPr>
                <w:rFonts w:eastAsia="Times New Roman" w:cs="Times New Roman"/>
                <w:sz w:val="20"/>
                <w:szCs w:val="20"/>
              </w:rPr>
              <w:t>710,000</w:t>
            </w:r>
          </w:p>
        </w:tc>
        <w:tc>
          <w:tcPr>
            <w:tcW w:w="0" w:type="auto"/>
          </w:tcPr>
          <w:p w14:paraId="025B42CA">
            <w:pPr>
              <w:spacing w:after="0" w:line="240" w:lineRule="auto"/>
              <w:ind w:firstLine="0"/>
              <w:jc w:val="left"/>
              <w:rPr>
                <w:rFonts w:eastAsia="Times New Roman" w:cs="Times New Roman"/>
                <w:sz w:val="20"/>
                <w:szCs w:val="20"/>
              </w:rPr>
            </w:pPr>
            <w:r>
              <w:rPr>
                <w:rFonts w:eastAsia="Times New Roman" w:cs="Times New Roman"/>
                <w:sz w:val="20"/>
                <w:szCs w:val="20"/>
              </w:rPr>
              <w:t>—</w:t>
            </w:r>
          </w:p>
        </w:tc>
        <w:tc>
          <w:tcPr>
            <w:tcW w:w="0" w:type="auto"/>
          </w:tcPr>
          <w:p w14:paraId="021DFCE7">
            <w:pPr>
              <w:spacing w:after="0" w:line="240" w:lineRule="auto"/>
              <w:ind w:firstLine="0"/>
              <w:jc w:val="left"/>
              <w:rPr>
                <w:rFonts w:eastAsia="Times New Roman" w:cs="Times New Roman"/>
                <w:sz w:val="20"/>
                <w:szCs w:val="20"/>
              </w:rPr>
            </w:pPr>
            <w:r>
              <w:rPr>
                <w:rFonts w:eastAsia="Times New Roman" w:cs="Times New Roman"/>
                <w:sz w:val="20"/>
                <w:szCs w:val="20"/>
              </w:rPr>
              <w:t>90,000</w:t>
            </w:r>
          </w:p>
        </w:tc>
      </w:tr>
    </w:tbl>
    <w:p w14:paraId="502A02EE">
      <w:pPr>
        <w:pStyle w:val="48"/>
        <w:ind w:firstLine="0"/>
      </w:pPr>
      <w:bookmarkStart w:id="22" w:name="_Toc220202087"/>
      <w:r>
        <w:t>Table 6. PERT Expected Time and Variance for Critical Path Activities</w:t>
      </w:r>
      <w:bookmarkEnd w:id="22"/>
    </w:p>
    <w:p w14:paraId="380AE406">
      <w:pPr>
        <w:pStyle w:val="3"/>
        <w:rPr>
          <w:rFonts w:eastAsia="Times New Roman"/>
        </w:rPr>
      </w:pPr>
      <w:bookmarkStart w:id="23" w:name="_Toc220202068"/>
      <w:r>
        <w:rPr>
          <w:rFonts w:eastAsia="Times New Roman"/>
        </w:rPr>
        <w:t>Selection Rationale</w:t>
      </w:r>
      <w:bookmarkEnd w:id="23"/>
    </w:p>
    <w:p w14:paraId="14DA9479">
      <w:pPr>
        <w:pStyle w:val="31"/>
        <w:numPr>
          <w:ilvl w:val="0"/>
          <w:numId w:val="4"/>
        </w:numPr>
        <w:rPr>
          <w:rFonts w:eastAsia="Times New Roman"/>
        </w:rPr>
      </w:pPr>
      <w:r>
        <w:rPr>
          <w:rFonts w:eastAsia="Times New Roman"/>
        </w:rPr>
        <w:t>Activity E-F (Core Construction): The reason, and conceptualization behind the selection of the task was the fact that this activity is the longest duration task on the critical path. Massive construction will support resource smoothing, in which additional work time (night and weekends) can be recruited efficiently to earn 4 days of gain.</w:t>
      </w:r>
    </w:p>
    <w:p w14:paraId="1BD64647">
      <w:pPr>
        <w:pStyle w:val="31"/>
        <w:numPr>
          <w:ilvl w:val="0"/>
          <w:numId w:val="4"/>
        </w:numPr>
        <w:rPr>
          <w:rFonts w:eastAsia="Times New Roman"/>
        </w:rPr>
      </w:pPr>
      <w:r>
        <w:rPr>
          <w:rFonts w:eastAsia="Times New Roman"/>
        </w:rPr>
        <w:t>Activity G-I (Order Fulfilment Setup): It was chosen as a tech-intensive stage since this process supports parallel processing. The software calibration and hardware testing would be done in parallel with the internal team and would thus save 3 days by outsourcing the services of an external specialist firm.</w:t>
      </w:r>
    </w:p>
    <w:p w14:paraId="331BF125">
      <w:pPr>
        <w:pStyle w:val="3"/>
        <w:rPr>
          <w:rFonts w:eastAsia="Times New Roman" w:cstheme="minorBidi"/>
          <w:szCs w:val="22"/>
        </w:rPr>
      </w:pPr>
      <w:bookmarkStart w:id="24" w:name="_Toc220202069"/>
      <w:r>
        <w:rPr>
          <w:rFonts w:eastAsia="Times New Roman"/>
        </w:rPr>
        <w:t>Final Project Financial Implication</w:t>
      </w:r>
      <w:bookmarkEnd w:id="24"/>
    </w:p>
    <w:p w14:paraId="7F83EB89">
      <w:pPr>
        <w:rPr>
          <w:rFonts w:eastAsia="Times New Roman"/>
        </w:rPr>
      </w:pPr>
      <w:r>
        <w:rPr>
          <w:rFonts w:eastAsia="Times New Roman"/>
        </w:rPr>
        <w:t xml:space="preserve">After using the methods of crash </w:t>
      </w:r>
      <w:r>
        <w:t>costing, the overall project budget will have to be realigned according to the accelerated schedule:</w:t>
      </w:r>
    </w:p>
    <w:p w14:paraId="3B3A35FF">
      <w:pPr>
        <w:pStyle w:val="31"/>
        <w:numPr>
          <w:ilvl w:val="0"/>
          <w:numId w:val="5"/>
        </w:numPr>
        <w:rPr>
          <w:rFonts w:eastAsia="Times New Roman"/>
        </w:rPr>
      </w:pPr>
      <w:r>
        <w:rPr>
          <w:rFonts w:eastAsia="Times New Roman"/>
        </w:rPr>
        <w:t>Original Project Cost: £1,600,000</w:t>
      </w:r>
    </w:p>
    <w:p w14:paraId="43363B13">
      <w:pPr>
        <w:pStyle w:val="31"/>
        <w:numPr>
          <w:ilvl w:val="0"/>
          <w:numId w:val="5"/>
        </w:numPr>
        <w:rPr>
          <w:rFonts w:eastAsia="Times New Roman"/>
        </w:rPr>
      </w:pPr>
      <w:r>
        <w:rPr>
          <w:rFonts w:eastAsia="Times New Roman"/>
        </w:rPr>
        <w:t>Total Crash Premium: £90,000</w:t>
      </w:r>
    </w:p>
    <w:p w14:paraId="12850DAA">
      <w:pPr>
        <w:pStyle w:val="31"/>
        <w:numPr>
          <w:ilvl w:val="0"/>
          <w:numId w:val="5"/>
        </w:numPr>
        <w:rPr>
          <w:rFonts w:eastAsia="Times New Roman"/>
        </w:rPr>
      </w:pPr>
      <w:r>
        <w:rPr>
          <w:rFonts w:eastAsia="Times New Roman"/>
        </w:rPr>
        <w:t>New overall cost of project: £1,690,000.</w:t>
      </w:r>
    </w:p>
    <w:p w14:paraId="49AD627F">
      <w:pPr>
        <w:pStyle w:val="31"/>
        <w:numPr>
          <w:ilvl w:val="0"/>
          <w:numId w:val="5"/>
        </w:numPr>
        <w:spacing w:line="360" w:lineRule="auto"/>
        <w:rPr>
          <w:rFonts w:eastAsia="Times New Roman"/>
        </w:rPr>
      </w:pPr>
      <w:r>
        <w:rPr>
          <w:rFonts w:eastAsia="Times New Roman"/>
        </w:rPr>
        <w:t>New Project Duration: 38 Weeks</w:t>
      </w:r>
    </w:p>
    <w:p w14:paraId="2AB262DD">
      <w:pPr>
        <w:rPr>
          <w:rFonts w:eastAsia="Times New Roman"/>
        </w:rPr>
      </w:pPr>
      <w:r>
        <w:rPr>
          <w:rFonts w:eastAsia="Times New Roman"/>
        </w:rPr>
        <w:t>Although the price has risen by 5.6 the early launch will leave the warehouse earning revenue a week sooner a week and now, due to the scale of e-commerce operations, would generally offset the premium imposed by the crushing by earning better first-month logistics throughput.</w:t>
      </w:r>
    </w:p>
    <w:p w14:paraId="18877030">
      <w:pPr>
        <w:pStyle w:val="2"/>
        <w:rPr>
          <w:rFonts w:eastAsia="Times New Roman"/>
        </w:rPr>
      </w:pPr>
      <w:bookmarkStart w:id="25" w:name="_Toc220202070"/>
      <w:r>
        <w:rPr>
          <w:rFonts w:eastAsia="Times New Roman"/>
        </w:rPr>
        <w:t>The Reflection of Project Handover Issues</w:t>
      </w:r>
      <w:bookmarkEnd w:id="25"/>
    </w:p>
    <w:p w14:paraId="1EE78D63">
      <w:pPr>
        <w:rPr>
          <w:rFonts w:eastAsia="Times New Roman"/>
        </w:rPr>
      </w:pPr>
      <w:r>
        <w:rPr>
          <w:rFonts w:eastAsia="Times New Roman"/>
        </w:rPr>
        <w:t>The most delicate stage is the handover whereby a construction site is converted to a live operation.</w:t>
      </w:r>
    </w:p>
    <w:p w14:paraId="3427C3AE">
      <w:pPr>
        <w:pStyle w:val="31"/>
        <w:numPr>
          <w:ilvl w:val="0"/>
          <w:numId w:val="6"/>
        </w:numPr>
        <w:rPr>
          <w:rFonts w:eastAsia="Times New Roman"/>
        </w:rPr>
      </w:pPr>
      <w:r>
        <w:rPr>
          <w:rFonts w:eastAsia="Times New Roman"/>
        </w:rPr>
        <w:t>Documentation and Training: The client should be sensitised on the Operating Manuals of the automated systems. One such problem is the KG. We are able to address this by introducing the Activity R-S (Staff Training) in the last few weeks.</w:t>
      </w:r>
    </w:p>
    <w:p w14:paraId="748AA896">
      <w:pPr>
        <w:pStyle w:val="31"/>
        <w:numPr>
          <w:ilvl w:val="0"/>
          <w:numId w:val="6"/>
        </w:numPr>
        <w:rPr>
          <w:rFonts w:eastAsia="Times New Roman"/>
        </w:rPr>
      </w:pPr>
      <w:r>
        <w:rPr>
          <w:rFonts w:eastAsia="Times New Roman"/>
        </w:rPr>
        <w:t>Snagging and Latent Defects: The Snag List will be developed during Activity Y-Z. The client must know that he/she can solve minor cosmetic problems after hand over even though the system is functional.</w:t>
      </w:r>
    </w:p>
    <w:p w14:paraId="706A7B30">
      <w:pPr>
        <w:pStyle w:val="31"/>
        <w:numPr>
          <w:ilvl w:val="0"/>
          <w:numId w:val="6"/>
        </w:numPr>
        <w:rPr>
          <w:rFonts w:eastAsia="Times New Roman"/>
        </w:rPr>
      </w:pPr>
      <w:r>
        <w:rPr>
          <w:rFonts w:eastAsia="Times New Roman"/>
        </w:rPr>
        <w:t>Regulatory Compliance: Final handover will be done upon having the Certificate of Occupancy. The client should be advised on the weights and fire suppression requirements to be included in the building infrastructure.</w:t>
      </w:r>
    </w:p>
    <w:p w14:paraId="4004D57A">
      <w:pPr>
        <w:pStyle w:val="2"/>
        <w:rPr>
          <w:rFonts w:eastAsia="Times New Roman"/>
        </w:rPr>
      </w:pPr>
      <w:bookmarkStart w:id="26" w:name="_Toc220202071"/>
      <w:r>
        <w:rPr>
          <w:rFonts w:eastAsia="Times New Roman"/>
        </w:rPr>
        <w:t>Conclusion</w:t>
      </w:r>
      <w:bookmarkEnd w:id="26"/>
    </w:p>
    <w:p w14:paraId="2631BFA0">
      <w:pPr>
        <w:rPr>
          <w:rFonts w:eastAsia="Times New Roman"/>
        </w:rPr>
      </w:pPr>
      <w:r>
        <w:rPr>
          <w:rFonts w:eastAsia="Times New Roman"/>
        </w:rPr>
        <w:t>The project of Regional Logistics Warehouse shows that time, cost, and risk need to be balanced. Although the network diagram gives the 39-week roadmap, the PERT analysis reveals that the more sensible window is the 44-week one. With the implementation of crash costing, the project may be expedited at a £90,000 premium. The end result is success based on a well-developed communication plan and a smooth transition to have the client operational as soon as possible.</w:t>
      </w:r>
    </w:p>
    <w:p w14:paraId="1C764587">
      <w:pPr>
        <w:pStyle w:val="2"/>
        <w:rPr>
          <w:rFonts w:eastAsia="Times New Roman"/>
        </w:rPr>
      </w:pPr>
      <w:bookmarkStart w:id="27" w:name="_Toc220202072"/>
      <w:r>
        <w:rPr>
          <w:rFonts w:eastAsia="Times New Roman"/>
        </w:rPr>
        <w:t>Recommendations</w:t>
      </w:r>
      <w:bookmarkEnd w:id="27"/>
    </w:p>
    <w:p w14:paraId="5E23A37E">
      <w:pPr>
        <w:rPr>
          <w:rFonts w:eastAsia="Times New Roman"/>
        </w:rPr>
      </w:pPr>
      <w:r>
        <w:rPr>
          <w:rFonts w:eastAsia="Times New Roman"/>
        </w:rPr>
        <w:t>A number of recommendations are suggested to complete successfully the Regional Logistics Distribution Warehouse basing on the theory of project management. To begin with, it is recommended to adopt a centralised Project Management Information System (PMIS) which will enable real-time contact between construction, systems integration and operational teams which is in line with the focus of the project management on the effective management of communications stated in PMBOK</w:t>
      </w:r>
      <w:r>
        <w:t xml:space="preserve"> (</w:t>
      </w:r>
      <w:r>
        <w:rPr>
          <w:rFonts w:eastAsia="Times New Roman"/>
        </w:rPr>
        <w:t xml:space="preserve">Mahmood et al., 2024). This saves on mistakes, duplication, and enhances stakeholder purchase. Secondly, risk management procedures are to be used throughout the project life cycle. </w:t>
      </w:r>
    </w:p>
    <w:p w14:paraId="32FCD419">
      <w:pPr>
        <w:rPr>
          <w:rFonts w:eastAsia="Times New Roman"/>
        </w:rPr>
      </w:pPr>
      <w:r>
        <w:rPr>
          <w:rFonts w:eastAsia="Times New Roman"/>
        </w:rPr>
        <w:t>The adoption of tools like Probability-Impact Matrix and Failure Mode and Effects Analysis (FMEA) will help in the detection of technical, operational and regulatory risks, prioritisation (A. Kassem et al., 2020), and prevention on the basis of proactive risk identification which is in line with the principles of PRINCE2 risk identification (Lewandowska-Ciszek, 2019). Third, the critical path tasks need to be closely monitored, crash costing can be selectively used over high impacts activities to ensure timely achievement of timely delivery of all activities without affecting quality. Lastly, it is necessary to plan handover in structure involving training, documentation, snag lists, and cheques on regulatory compliance, which is consistent with the framework of best practises. These suggestions are all efficiency enhancing, uncertainty reducing and satisfaction increasing on the side of clients when outsourcing a complex logistics facility.</w:t>
      </w:r>
    </w:p>
    <w:p w14:paraId="798220FB">
      <w:pPr>
        <w:spacing w:after="0" w:line="240" w:lineRule="auto"/>
        <w:ind w:firstLine="0"/>
        <w:jc w:val="left"/>
        <w:rPr>
          <w:rFonts w:ascii="Arial" w:hAnsi="Arial" w:eastAsia="Times New Roman" w:cs="Arial"/>
          <w:szCs w:val="24"/>
        </w:rPr>
      </w:pPr>
    </w:p>
    <w:p w14:paraId="7A7C6096"/>
    <w:p w14:paraId="2B1FB893"/>
    <w:p w14:paraId="3489560C">
      <w:pPr>
        <w:ind w:firstLine="0"/>
      </w:pPr>
    </w:p>
    <w:p w14:paraId="709FC65E">
      <w:pPr>
        <w:pStyle w:val="2"/>
      </w:pPr>
      <w:bookmarkStart w:id="28" w:name="_Toc220202073"/>
      <w:r>
        <w:t>References</w:t>
      </w:r>
      <w:bookmarkEnd w:id="28"/>
      <w:r>
        <w:t xml:space="preserve"> </w:t>
      </w:r>
    </w:p>
    <w:p w14:paraId="0A73BA93">
      <w:pPr>
        <w:ind w:left="720" w:hanging="720"/>
        <w:rPr>
          <w:rFonts w:eastAsia="Times New Roman"/>
        </w:rPr>
      </w:pPr>
      <w:r>
        <w:rPr>
          <w:rFonts w:eastAsia="Times New Roman"/>
        </w:rPr>
        <w:t>Aljaz, T. and Aljaž, T., 2023. Impact of the Student Syndrome on the project completion time. </w:t>
      </w:r>
      <w:r>
        <w:rPr>
          <w:rFonts w:eastAsia="Times New Roman"/>
          <w:i/>
          <w:iCs/>
        </w:rPr>
        <w:t>Elektrotehniski vestnik</w:t>
      </w:r>
      <w:r>
        <w:rPr>
          <w:rFonts w:eastAsia="Times New Roman"/>
        </w:rPr>
        <w:t>.</w:t>
      </w:r>
    </w:p>
    <w:p w14:paraId="598BCE20">
      <w:pPr>
        <w:ind w:left="720" w:hanging="720"/>
        <w:rPr>
          <w:rFonts w:eastAsia="Times New Roman"/>
        </w:rPr>
      </w:pPr>
      <w:r>
        <w:rPr>
          <w:rFonts w:eastAsia="Times New Roman"/>
        </w:rPr>
        <w:t>Al-Zuheri, A., Amer, Y. and Vlachos, I., 2019. Risk assessment and analysis of healthcare system using probability-impact matrix. </w:t>
      </w:r>
      <w:r>
        <w:rPr>
          <w:rFonts w:eastAsia="Times New Roman"/>
          <w:i/>
          <w:iCs/>
        </w:rPr>
        <w:t>Nur Primary Care</w:t>
      </w:r>
      <w:r>
        <w:rPr>
          <w:rFonts w:eastAsia="Times New Roman"/>
        </w:rPr>
        <w:t>, </w:t>
      </w:r>
      <w:r>
        <w:rPr>
          <w:rFonts w:eastAsia="Times New Roman"/>
          <w:i/>
          <w:iCs/>
        </w:rPr>
        <w:t>3</w:t>
      </w:r>
      <w:r>
        <w:rPr>
          <w:rFonts w:eastAsia="Times New Roman"/>
        </w:rPr>
        <w:t xml:space="preserve">(4), pp.1-4. </w:t>
      </w:r>
    </w:p>
    <w:p w14:paraId="4C00166F">
      <w:pPr>
        <w:ind w:left="720" w:hanging="720"/>
        <w:rPr>
          <w:rFonts w:eastAsia="Times New Roman"/>
        </w:rPr>
      </w:pPr>
      <w:r>
        <w:rPr>
          <w:rFonts w:eastAsia="Times New Roman"/>
        </w:rPr>
        <w:t>A. Kassem, M., Khoiry, M.A. and Hamzah, N., 2020. Using probability impact matrix (PIM) in analyzing risk factors affecting the success of oil and gas construction projects in Yemen. </w:t>
      </w:r>
      <w:r>
        <w:rPr>
          <w:rFonts w:eastAsia="Times New Roman"/>
          <w:i/>
          <w:iCs/>
        </w:rPr>
        <w:t>International Journal of Energy Sector Management</w:t>
      </w:r>
      <w:r>
        <w:rPr>
          <w:rFonts w:eastAsia="Times New Roman"/>
        </w:rPr>
        <w:t>, </w:t>
      </w:r>
      <w:r>
        <w:rPr>
          <w:rFonts w:eastAsia="Times New Roman"/>
          <w:i/>
          <w:iCs/>
        </w:rPr>
        <w:t>14</w:t>
      </w:r>
      <w:r>
        <w:rPr>
          <w:rFonts w:eastAsia="Times New Roman"/>
        </w:rPr>
        <w:t>(3), pp.527-546.</w:t>
      </w:r>
    </w:p>
    <w:p w14:paraId="49E5DDFF">
      <w:pPr>
        <w:ind w:left="720" w:hanging="720"/>
        <w:rPr>
          <w:rFonts w:eastAsia="Times New Roman"/>
        </w:rPr>
      </w:pPr>
      <w:r>
        <w:rPr>
          <w:rFonts w:eastAsia="Times New Roman"/>
        </w:rPr>
        <w:t>Cleden, D., 2017. </w:t>
      </w:r>
      <w:r>
        <w:rPr>
          <w:rFonts w:eastAsia="Times New Roman"/>
          <w:i/>
          <w:iCs/>
        </w:rPr>
        <w:t>Managing project uncertainty</w:t>
      </w:r>
      <w:r>
        <w:rPr>
          <w:rFonts w:eastAsia="Times New Roman"/>
        </w:rPr>
        <w:t>. Routledge.</w:t>
      </w:r>
    </w:p>
    <w:p w14:paraId="3E083620">
      <w:pPr>
        <w:ind w:left="720" w:hanging="720"/>
        <w:rPr>
          <w:rFonts w:eastAsia="Times New Roman"/>
        </w:rPr>
      </w:pPr>
      <w:r>
        <w:rPr>
          <w:rFonts w:eastAsia="Times New Roman"/>
        </w:rPr>
        <w:t>Itani, K.I.S.H.O.R., 2023. Mastering construction schedules: the power of CPM and PERT integration. </w:t>
      </w:r>
      <w:r>
        <w:rPr>
          <w:rFonts w:eastAsia="Times New Roman"/>
          <w:i/>
          <w:iCs/>
        </w:rPr>
        <w:t>International Journal for Research in Applied Science and Engineering Technology</w:t>
      </w:r>
      <w:r>
        <w:rPr>
          <w:rFonts w:eastAsia="Times New Roman"/>
        </w:rPr>
        <w:t>, </w:t>
      </w:r>
      <w:r>
        <w:rPr>
          <w:rFonts w:eastAsia="Times New Roman"/>
          <w:i/>
          <w:iCs/>
        </w:rPr>
        <w:t>11</w:t>
      </w:r>
      <w:r>
        <w:rPr>
          <w:rFonts w:eastAsia="Times New Roman"/>
        </w:rPr>
        <w:t>(10), pp.868-875.</w:t>
      </w:r>
    </w:p>
    <w:p w14:paraId="50A9FFCA">
      <w:pPr>
        <w:ind w:left="720" w:hanging="720"/>
        <w:rPr>
          <w:rFonts w:eastAsia="Times New Roman"/>
        </w:rPr>
      </w:pPr>
      <w:r>
        <w:rPr>
          <w:rFonts w:eastAsia="Times New Roman"/>
        </w:rPr>
        <w:t>Kreis, D., Gibson, B., Jasper, J., Dyke, C.V., Wallace, C., Catchings, R. and McCormack, S., 2019. </w:t>
      </w:r>
      <w:r>
        <w:rPr>
          <w:rFonts w:eastAsia="Times New Roman"/>
          <w:i/>
          <w:iCs/>
        </w:rPr>
        <w:t>Critical Path for Project Development</w:t>
      </w:r>
      <w:r>
        <w:rPr>
          <w:rFonts w:eastAsia="Times New Roman"/>
        </w:rPr>
        <w:t> (No. KTC-19-22/SPR17-547-1F). University of Kentucky Transportation Center.</w:t>
      </w:r>
    </w:p>
    <w:p w14:paraId="182ADA26">
      <w:pPr>
        <w:ind w:left="720" w:hanging="720"/>
        <w:rPr>
          <w:rFonts w:eastAsia="Times New Roman"/>
        </w:rPr>
      </w:pPr>
      <w:r>
        <w:rPr>
          <w:rFonts w:eastAsia="Times New Roman"/>
        </w:rPr>
        <w:t>Lewandowska-Ciszek, A., 2019. Selected aspects of risk management in the context of PRINCE2® methodology–as based upon a project implemented by an enterprise in the sector of industrial automation. </w:t>
      </w:r>
      <w:r>
        <w:rPr>
          <w:rFonts w:eastAsia="Times New Roman"/>
          <w:i/>
          <w:iCs/>
        </w:rPr>
        <w:t>Zeszyty Naukowe Politechniki Śląskiej. Organizacja i Zarządzanie</w:t>
      </w:r>
      <w:r>
        <w:rPr>
          <w:rFonts w:eastAsia="Times New Roman"/>
        </w:rPr>
        <w:t>, (136).</w:t>
      </w:r>
    </w:p>
    <w:p w14:paraId="4816A163">
      <w:pPr>
        <w:ind w:left="720" w:hanging="720"/>
        <w:rPr>
          <w:rFonts w:eastAsia="Times New Roman"/>
        </w:rPr>
      </w:pPr>
      <w:r>
        <w:rPr>
          <w:rFonts w:eastAsia="Times New Roman"/>
        </w:rPr>
        <w:t>Mahmood, A., Al Marzooqi, A., El Khatib, M. and AlAmeemi, H., 2023. How Artificial Intelligence can leverage Project Management Information system (PMIS) and data driven decision making in project management. </w:t>
      </w:r>
      <w:r>
        <w:rPr>
          <w:rFonts w:eastAsia="Times New Roman"/>
          <w:i/>
          <w:iCs/>
        </w:rPr>
        <w:t>International Journal of Business Analytics and Security (IJBAS)</w:t>
      </w:r>
      <w:r>
        <w:rPr>
          <w:rFonts w:eastAsia="Times New Roman"/>
        </w:rPr>
        <w:t>, </w:t>
      </w:r>
      <w:r>
        <w:rPr>
          <w:rFonts w:eastAsia="Times New Roman"/>
          <w:i/>
          <w:iCs/>
        </w:rPr>
        <w:t>3</w:t>
      </w:r>
      <w:r>
        <w:rPr>
          <w:rFonts w:eastAsia="Times New Roman"/>
        </w:rPr>
        <w:t>(1), pp.184-195.</w:t>
      </w:r>
    </w:p>
    <w:p w14:paraId="15E38D53">
      <w:pPr>
        <w:ind w:left="720" w:hanging="720"/>
        <w:rPr>
          <w:rFonts w:eastAsia="Times New Roman"/>
        </w:rPr>
      </w:pPr>
      <w:r>
        <w:rPr>
          <w:rFonts w:eastAsia="Times New Roman"/>
        </w:rPr>
        <w:t>Nyandongo, K.M. and Davids, M.A.R.A.L.I.S.E., 2020. The impact of communication on project performance: an empirical study.</w:t>
      </w:r>
    </w:p>
    <w:p w14:paraId="7BADC556">
      <w:pPr>
        <w:ind w:firstLine="0"/>
        <w:jc w:val="center"/>
        <w:rPr>
          <w:rFonts w:eastAsia="Times New Roman"/>
          <w:bCs/>
        </w:rPr>
      </w:pPr>
    </w:p>
    <w:p w14:paraId="291189CD">
      <w:pPr>
        <w:ind w:firstLine="0"/>
        <w:jc w:val="center"/>
        <w:rPr>
          <w:rFonts w:eastAsia="Times New Roman"/>
          <w:bCs/>
        </w:rPr>
      </w:pPr>
    </w:p>
    <w:p w14:paraId="5671AD0A">
      <w:pPr>
        <w:ind w:firstLine="0"/>
        <w:jc w:val="center"/>
        <w:rPr>
          <w:rFonts w:eastAsia="Times New Roman"/>
          <w:bCs/>
        </w:rPr>
      </w:pPr>
    </w:p>
    <w:p w14:paraId="7153E8CE">
      <w:pPr>
        <w:ind w:firstLine="0"/>
        <w:jc w:val="center"/>
        <w:rPr>
          <w:rFonts w:eastAsia="Times New Roman"/>
          <w:bCs/>
        </w:rPr>
      </w:pPr>
    </w:p>
    <w:p w14:paraId="007E30C3">
      <w:pPr>
        <w:ind w:firstLine="0"/>
        <w:jc w:val="center"/>
        <w:rPr>
          <w:rFonts w:eastAsia="Times New Roman"/>
          <w:bCs/>
        </w:rPr>
      </w:pPr>
    </w:p>
    <w:p w14:paraId="101E72BF">
      <w:pPr>
        <w:ind w:firstLine="0"/>
        <w:jc w:val="center"/>
        <w:rPr>
          <w:rFonts w:eastAsia="Times New Roman"/>
          <w:bCs/>
        </w:rPr>
      </w:pPr>
    </w:p>
    <w:p w14:paraId="4D8625DA">
      <w:pPr>
        <w:ind w:firstLine="0"/>
        <w:jc w:val="center"/>
        <w:rPr>
          <w:rFonts w:eastAsia="Times New Roman"/>
          <w:bCs/>
        </w:rPr>
      </w:pPr>
    </w:p>
    <w:p w14:paraId="3D615B4E">
      <w:pPr>
        <w:ind w:firstLine="0"/>
        <w:jc w:val="center"/>
        <w:rPr>
          <w:rFonts w:eastAsia="Times New Roman"/>
          <w:bCs/>
        </w:rPr>
      </w:pPr>
    </w:p>
    <w:p w14:paraId="0F7D94FD">
      <w:pPr>
        <w:ind w:firstLine="0"/>
        <w:jc w:val="center"/>
        <w:rPr>
          <w:rFonts w:eastAsia="Times New Roman"/>
          <w:bCs/>
        </w:rPr>
      </w:pPr>
    </w:p>
    <w:p w14:paraId="49C13A9F">
      <w:pPr>
        <w:ind w:firstLine="0"/>
        <w:jc w:val="center"/>
        <w:rPr>
          <w:rFonts w:eastAsia="Times New Roman"/>
          <w:bCs/>
        </w:rPr>
      </w:pPr>
    </w:p>
    <w:p w14:paraId="411D3810">
      <w:pPr>
        <w:ind w:firstLine="0"/>
        <w:jc w:val="center"/>
        <w:rPr>
          <w:rFonts w:eastAsia="Times New Roman"/>
          <w:bCs/>
        </w:rPr>
      </w:pPr>
    </w:p>
    <w:p w14:paraId="2EB16390">
      <w:pPr>
        <w:ind w:firstLine="0"/>
        <w:jc w:val="center"/>
        <w:rPr>
          <w:rFonts w:eastAsia="Times New Roman"/>
        </w:rPr>
      </w:pPr>
    </w:p>
    <w:p w14:paraId="6B8CB36C">
      <w:pPr>
        <w:jc w:val="center"/>
        <w:rPr>
          <w:rFonts w:eastAsia="Times New Roman"/>
        </w:rPr>
      </w:pPr>
    </w:p>
    <w:p w14:paraId="2326F3ED">
      <w:pPr>
        <w:jc w:val="center"/>
        <w:rPr>
          <w:rFonts w:eastAsia="Times New Roman"/>
        </w:rPr>
      </w:pPr>
    </w:p>
    <w:sectPr>
      <w:headerReference r:id="rId5" w:type="default"/>
      <w:footerReference r:id="rId6" w:type="default"/>
      <w:pgSz w:w="12240" w:h="15840"/>
      <w:pgMar w:top="1440" w:right="1440" w:bottom="1440" w:left="1440" w:header="720" w:footer="720" w:gutter="0"/>
      <w:cols w:space="720"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等线 Light">
    <w:altName w:val="Segoe Print"/>
    <w:panose1 w:val="00000000000000000000"/>
    <w:charset w:val="00"/>
    <w:family w:val="auto"/>
    <w:pitch w:val="default"/>
    <w:sig w:usb0="00000000" w:usb1="00000000" w:usb2="00000000" w:usb3="00000000" w:csb0="00000000" w:csb1="00000000"/>
  </w:font>
  <w:font w:name="Segoe UI">
    <w:panose1 w:val="020B0502040204020203"/>
    <w:charset w:val="00"/>
    <w:family w:val="swiss"/>
    <w:pitch w:val="default"/>
    <w:sig w:usb0="E4002EFF" w:usb1="C000E47F"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Cambria Math">
    <w:panose1 w:val="02040503050406030204"/>
    <w:charset w:val="00"/>
    <w:family w:val="roman"/>
    <w:pitch w:val="default"/>
    <w:sig w:usb0="E00006FF" w:usb1="420024FF" w:usb2="02000000" w:usb3="00000000" w:csb0="2000019F" w:csb1="00000000"/>
  </w:font>
  <w:font w:name="Microsoft YaHei">
    <w:panose1 w:val="020B0503020204020204"/>
    <w:charset w:val="86"/>
    <w:family w:val="auto"/>
    <w:pitch w:val="default"/>
    <w:sig w:usb0="80000287" w:usb1="2ACF3C50" w:usb2="00000016" w:usb3="00000000" w:csb0="0004001F" w:csb1="00000000"/>
  </w:font>
  <w:font w:name="Segoe Print">
    <w:panose1 w:val="02000600000000000000"/>
    <w:charset w:val="00"/>
    <w:family w:val="auto"/>
    <w:pitch w:val="default"/>
    <w:sig w:usb0="0000028F" w:usb1="00000000" w:usb2="00000000" w:usb3="00000000" w:csb0="2000009F" w:csb1="47010000"/>
  </w:font>
  <w:font w:name="等线">
    <w:altName w:val="Microsoft YaHe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964031667"/>
      <w:docPartObj>
        <w:docPartGallery w:val="autotext"/>
      </w:docPartObj>
    </w:sdtPr>
    <w:sdtContent>
      <w:p w14:paraId="506E75F3">
        <w:pPr>
          <w:pStyle w:val="17"/>
          <w:jc w:val="right"/>
        </w:pPr>
        <w:r>
          <w:fldChar w:fldCharType="begin"/>
        </w:r>
        <w:r>
          <w:instrText xml:space="preserve"> PAGE   \* MERGEFORMAT </w:instrText>
        </w:r>
        <w:r>
          <w:fldChar w:fldCharType="separate"/>
        </w:r>
        <w:r>
          <w:t>2</w:t>
        </w:r>
        <w:r>
          <w:fldChar w:fldCharType="end"/>
        </w:r>
      </w:p>
    </w:sdtContent>
  </w:sdt>
  <w:p w14:paraId="7C1A56E5">
    <w:pPr>
      <w:pStyle w:val="1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480" w:lineRule="auto"/>
      </w:pPr>
      <w:r>
        <w:separator/>
      </w:r>
    </w:p>
  </w:footnote>
  <w:footnote w:type="continuationSeparator" w:id="1">
    <w:p>
      <w:pPr>
        <w:spacing w:before="0" w:after="0"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9B1A196">
    <w:pPr>
      <w:pStyle w:val="20"/>
      <w:ind w:firstLine="0"/>
    </w:pPr>
    <w:r>
      <w:rPr>
        <w:caps/>
      </w:rPr>
      <w:t>Project Management</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1482775B"/>
    <w:multiLevelType w:val="multilevel"/>
    <w:tmpl w:val="1482775B"/>
    <w:lvl w:ilvl="0" w:tentative="0">
      <w:start w:val="1"/>
      <w:numFmt w:val="decimal"/>
      <w:pStyle w:val="2"/>
      <w:lvlText w:val="%1"/>
      <w:lvlJc w:val="left"/>
      <w:pPr>
        <w:ind w:left="432" w:hanging="432"/>
      </w:pPr>
    </w:lvl>
    <w:lvl w:ilvl="1" w:tentative="0">
      <w:start w:val="1"/>
      <w:numFmt w:val="decimal"/>
      <w:pStyle w:val="3"/>
      <w:lvlText w:val="%1.%2"/>
      <w:lvlJc w:val="left"/>
      <w:pPr>
        <w:ind w:left="576" w:hanging="576"/>
      </w:pPr>
    </w:lvl>
    <w:lvl w:ilvl="2" w:tentative="0">
      <w:start w:val="1"/>
      <w:numFmt w:val="decimal"/>
      <w:pStyle w:val="4"/>
      <w:lvlText w:val="%1.%2.%3"/>
      <w:lvlJc w:val="left"/>
      <w:pPr>
        <w:ind w:left="720" w:hanging="720"/>
      </w:pPr>
      <w:rPr>
        <w:rFonts w:hint="default" w:ascii="Times New Roman" w:hAnsi="Times New Roman" w:cs="Times New Roman"/>
        <w:sz w:val="24"/>
        <w:szCs w:val="24"/>
      </w:rPr>
    </w:lvl>
    <w:lvl w:ilvl="3" w:tentative="0">
      <w:start w:val="1"/>
      <w:numFmt w:val="decimal"/>
      <w:pStyle w:val="5"/>
      <w:lvlText w:val="%1.%2.%3.%4"/>
      <w:lvlJc w:val="left"/>
      <w:pPr>
        <w:ind w:left="864" w:hanging="864"/>
      </w:pPr>
    </w:lvl>
    <w:lvl w:ilvl="4" w:tentative="0">
      <w:start w:val="1"/>
      <w:numFmt w:val="decimal"/>
      <w:pStyle w:val="6"/>
      <w:lvlText w:val="%1.%2.%3.%4.%5"/>
      <w:lvlJc w:val="left"/>
      <w:pPr>
        <w:ind w:left="1008" w:hanging="1008"/>
      </w:pPr>
    </w:lvl>
    <w:lvl w:ilvl="5" w:tentative="0">
      <w:start w:val="1"/>
      <w:numFmt w:val="decimal"/>
      <w:pStyle w:val="7"/>
      <w:lvlText w:val="%1.%2.%3.%4.%5.%6"/>
      <w:lvlJc w:val="left"/>
      <w:pPr>
        <w:ind w:left="1152" w:hanging="1152"/>
      </w:pPr>
    </w:lvl>
    <w:lvl w:ilvl="6" w:tentative="0">
      <w:start w:val="1"/>
      <w:numFmt w:val="decimal"/>
      <w:pStyle w:val="8"/>
      <w:lvlText w:val="%1.%2.%3.%4.%5.%6.%7"/>
      <w:lvlJc w:val="left"/>
      <w:pPr>
        <w:ind w:left="1296" w:hanging="1296"/>
      </w:pPr>
    </w:lvl>
    <w:lvl w:ilvl="7" w:tentative="0">
      <w:start w:val="1"/>
      <w:numFmt w:val="decimal"/>
      <w:pStyle w:val="9"/>
      <w:lvlText w:val="%1.%2.%3.%4.%5.%6.%7.%8"/>
      <w:lvlJc w:val="left"/>
      <w:pPr>
        <w:ind w:left="1440" w:hanging="1440"/>
      </w:pPr>
    </w:lvl>
    <w:lvl w:ilvl="8" w:tentative="0">
      <w:start w:val="1"/>
      <w:numFmt w:val="decimal"/>
      <w:pStyle w:val="10"/>
      <w:lvlText w:val="%1.%2.%3.%4.%5.%6.%7.%8.%9"/>
      <w:lvlJc w:val="left"/>
      <w:pPr>
        <w:ind w:left="1584" w:hanging="1584"/>
      </w:pPr>
    </w:lvl>
  </w:abstractNum>
  <w:abstractNum w:abstractNumId="1">
    <w:nsid w:val="28341E49"/>
    <w:multiLevelType w:val="multilevel"/>
    <w:tmpl w:val="28341E49"/>
    <w:lvl w:ilvl="0" w:tentative="0">
      <w:start w:val="1"/>
      <w:numFmt w:val="bullet"/>
      <w:lvlText w:val="o"/>
      <w:lvlJc w:val="left"/>
      <w:pPr>
        <w:ind w:left="360" w:hanging="360"/>
      </w:pPr>
      <w:rPr>
        <w:rFonts w:hint="default" w:ascii="Courier New" w:hAnsi="Courier New"/>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2">
    <w:nsid w:val="3D8B38DF"/>
    <w:multiLevelType w:val="multilevel"/>
    <w:tmpl w:val="3D8B38DF"/>
    <w:lvl w:ilvl="0" w:tentative="0">
      <w:start w:val="1"/>
      <w:numFmt w:val="bullet"/>
      <w:lvlText w:val="o"/>
      <w:lvlJc w:val="left"/>
      <w:pPr>
        <w:ind w:left="360" w:hanging="360"/>
      </w:pPr>
      <w:rPr>
        <w:rFonts w:hint="default" w:ascii="Courier New" w:hAnsi="Courier New"/>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3">
    <w:nsid w:val="40287EAA"/>
    <w:multiLevelType w:val="multilevel"/>
    <w:tmpl w:val="40287EAA"/>
    <w:lvl w:ilvl="0" w:tentative="0">
      <w:start w:val="1"/>
      <w:numFmt w:val="bullet"/>
      <w:lvlText w:val="o"/>
      <w:lvlJc w:val="left"/>
      <w:pPr>
        <w:ind w:left="360" w:hanging="360"/>
      </w:pPr>
      <w:rPr>
        <w:rFonts w:hint="default" w:ascii="Courier New" w:hAnsi="Courier New"/>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4">
    <w:nsid w:val="52D50685"/>
    <w:multiLevelType w:val="multilevel"/>
    <w:tmpl w:val="52D50685"/>
    <w:lvl w:ilvl="0" w:tentative="0">
      <w:start w:val="1"/>
      <w:numFmt w:val="bullet"/>
      <w:lvlText w:val="o"/>
      <w:lvlJc w:val="left"/>
      <w:pPr>
        <w:ind w:left="360" w:hanging="360"/>
      </w:pPr>
      <w:rPr>
        <w:rFonts w:hint="default" w:ascii="Courier New" w:hAnsi="Courier New"/>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abstractNum w:abstractNumId="5">
    <w:nsid w:val="65483BF0"/>
    <w:multiLevelType w:val="multilevel"/>
    <w:tmpl w:val="65483BF0"/>
    <w:lvl w:ilvl="0" w:tentative="0">
      <w:start w:val="1"/>
      <w:numFmt w:val="bullet"/>
      <w:lvlText w:val="o"/>
      <w:lvlJc w:val="left"/>
      <w:pPr>
        <w:ind w:left="360" w:hanging="360"/>
      </w:pPr>
      <w:rPr>
        <w:rFonts w:hint="default" w:ascii="Courier New" w:hAnsi="Courier New"/>
      </w:rPr>
    </w:lvl>
    <w:lvl w:ilvl="1" w:tentative="0">
      <w:start w:val="1"/>
      <w:numFmt w:val="bullet"/>
      <w:lvlText w:val="o"/>
      <w:lvlJc w:val="left"/>
      <w:pPr>
        <w:ind w:left="1080" w:hanging="360"/>
      </w:pPr>
      <w:rPr>
        <w:rFonts w:hint="default" w:ascii="Courier New" w:hAnsi="Courier New" w:cs="Courier New"/>
      </w:rPr>
    </w:lvl>
    <w:lvl w:ilvl="2" w:tentative="0">
      <w:start w:val="1"/>
      <w:numFmt w:val="bullet"/>
      <w:lvlText w:val=""/>
      <w:lvlJc w:val="left"/>
      <w:pPr>
        <w:ind w:left="1800" w:hanging="360"/>
      </w:pPr>
      <w:rPr>
        <w:rFonts w:hint="default" w:ascii="Wingdings" w:hAnsi="Wingdings"/>
      </w:rPr>
    </w:lvl>
    <w:lvl w:ilvl="3" w:tentative="0">
      <w:start w:val="1"/>
      <w:numFmt w:val="bullet"/>
      <w:lvlText w:val=""/>
      <w:lvlJc w:val="left"/>
      <w:pPr>
        <w:ind w:left="2520" w:hanging="360"/>
      </w:pPr>
      <w:rPr>
        <w:rFonts w:hint="default" w:ascii="Symbol" w:hAnsi="Symbol"/>
      </w:rPr>
    </w:lvl>
    <w:lvl w:ilvl="4" w:tentative="0">
      <w:start w:val="1"/>
      <w:numFmt w:val="bullet"/>
      <w:lvlText w:val="o"/>
      <w:lvlJc w:val="left"/>
      <w:pPr>
        <w:ind w:left="3240" w:hanging="360"/>
      </w:pPr>
      <w:rPr>
        <w:rFonts w:hint="default" w:ascii="Courier New" w:hAnsi="Courier New" w:cs="Courier New"/>
      </w:rPr>
    </w:lvl>
    <w:lvl w:ilvl="5" w:tentative="0">
      <w:start w:val="1"/>
      <w:numFmt w:val="bullet"/>
      <w:lvlText w:val=""/>
      <w:lvlJc w:val="left"/>
      <w:pPr>
        <w:ind w:left="3960" w:hanging="360"/>
      </w:pPr>
      <w:rPr>
        <w:rFonts w:hint="default" w:ascii="Wingdings" w:hAnsi="Wingdings"/>
      </w:rPr>
    </w:lvl>
    <w:lvl w:ilvl="6" w:tentative="0">
      <w:start w:val="1"/>
      <w:numFmt w:val="bullet"/>
      <w:lvlText w:val=""/>
      <w:lvlJc w:val="left"/>
      <w:pPr>
        <w:ind w:left="4680" w:hanging="360"/>
      </w:pPr>
      <w:rPr>
        <w:rFonts w:hint="default" w:ascii="Symbol" w:hAnsi="Symbol"/>
      </w:rPr>
    </w:lvl>
    <w:lvl w:ilvl="7" w:tentative="0">
      <w:start w:val="1"/>
      <w:numFmt w:val="bullet"/>
      <w:lvlText w:val="o"/>
      <w:lvlJc w:val="left"/>
      <w:pPr>
        <w:ind w:left="5400" w:hanging="360"/>
      </w:pPr>
      <w:rPr>
        <w:rFonts w:hint="default" w:ascii="Courier New" w:hAnsi="Courier New" w:cs="Courier New"/>
      </w:rPr>
    </w:lvl>
    <w:lvl w:ilvl="8" w:tentative="0">
      <w:start w:val="1"/>
      <w:numFmt w:val="bullet"/>
      <w:lvlText w:val=""/>
      <w:lvlJc w:val="left"/>
      <w:pPr>
        <w:ind w:left="6120" w:hanging="360"/>
      </w:pPr>
      <w:rPr>
        <w:rFonts w:hint="default" w:ascii="Wingdings" w:hAnsi="Wingdings"/>
      </w:rPr>
    </w:lvl>
  </w:abstractNum>
  <w:num w:numId="1">
    <w:abstractNumId w:val="0"/>
  </w:num>
  <w:num w:numId="2">
    <w:abstractNumId w:val="2"/>
  </w:num>
  <w:num w:numId="3">
    <w:abstractNumId w:val="5"/>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395C"/>
    <w:rsid w:val="00002896"/>
    <w:rsid w:val="000035EF"/>
    <w:rsid w:val="0000612B"/>
    <w:rsid w:val="00010B0B"/>
    <w:rsid w:val="00011ADA"/>
    <w:rsid w:val="00012FB1"/>
    <w:rsid w:val="00013E36"/>
    <w:rsid w:val="0001486B"/>
    <w:rsid w:val="000158F4"/>
    <w:rsid w:val="000203BD"/>
    <w:rsid w:val="000205E7"/>
    <w:rsid w:val="00022D71"/>
    <w:rsid w:val="00023C33"/>
    <w:rsid w:val="00024506"/>
    <w:rsid w:val="00026B06"/>
    <w:rsid w:val="00027493"/>
    <w:rsid w:val="000278B3"/>
    <w:rsid w:val="00027F98"/>
    <w:rsid w:val="0003078E"/>
    <w:rsid w:val="000341BA"/>
    <w:rsid w:val="00036FB0"/>
    <w:rsid w:val="00037D32"/>
    <w:rsid w:val="00041790"/>
    <w:rsid w:val="000427CC"/>
    <w:rsid w:val="00044291"/>
    <w:rsid w:val="000444FB"/>
    <w:rsid w:val="00045B16"/>
    <w:rsid w:val="00047FA2"/>
    <w:rsid w:val="0005018E"/>
    <w:rsid w:val="00051447"/>
    <w:rsid w:val="000514FB"/>
    <w:rsid w:val="00051AE6"/>
    <w:rsid w:val="00051E58"/>
    <w:rsid w:val="00054E76"/>
    <w:rsid w:val="00055AC5"/>
    <w:rsid w:val="00056B76"/>
    <w:rsid w:val="00057159"/>
    <w:rsid w:val="0005744F"/>
    <w:rsid w:val="00062183"/>
    <w:rsid w:val="00063A46"/>
    <w:rsid w:val="00067313"/>
    <w:rsid w:val="00072666"/>
    <w:rsid w:val="000763EE"/>
    <w:rsid w:val="000804DE"/>
    <w:rsid w:val="00080B70"/>
    <w:rsid w:val="00081224"/>
    <w:rsid w:val="00084A1A"/>
    <w:rsid w:val="00086470"/>
    <w:rsid w:val="00090B76"/>
    <w:rsid w:val="00090DE5"/>
    <w:rsid w:val="00091858"/>
    <w:rsid w:val="0009401C"/>
    <w:rsid w:val="00096B19"/>
    <w:rsid w:val="000A06CD"/>
    <w:rsid w:val="000A0F17"/>
    <w:rsid w:val="000A0FC2"/>
    <w:rsid w:val="000A1650"/>
    <w:rsid w:val="000A174C"/>
    <w:rsid w:val="000A3799"/>
    <w:rsid w:val="000A646D"/>
    <w:rsid w:val="000B031B"/>
    <w:rsid w:val="000B08B2"/>
    <w:rsid w:val="000B1141"/>
    <w:rsid w:val="000B18F8"/>
    <w:rsid w:val="000B33B7"/>
    <w:rsid w:val="000B426C"/>
    <w:rsid w:val="000B5548"/>
    <w:rsid w:val="000B5E1E"/>
    <w:rsid w:val="000C2B85"/>
    <w:rsid w:val="000C2F17"/>
    <w:rsid w:val="000C3A93"/>
    <w:rsid w:val="000C5277"/>
    <w:rsid w:val="000C5B35"/>
    <w:rsid w:val="000C6F10"/>
    <w:rsid w:val="000C7153"/>
    <w:rsid w:val="000D2DF7"/>
    <w:rsid w:val="000D3C3D"/>
    <w:rsid w:val="000D4E1F"/>
    <w:rsid w:val="000D607E"/>
    <w:rsid w:val="000D7253"/>
    <w:rsid w:val="000E0599"/>
    <w:rsid w:val="000E482E"/>
    <w:rsid w:val="000E4F8E"/>
    <w:rsid w:val="000E6320"/>
    <w:rsid w:val="000F03B7"/>
    <w:rsid w:val="000F2361"/>
    <w:rsid w:val="000F3C6C"/>
    <w:rsid w:val="000F552E"/>
    <w:rsid w:val="000F5B95"/>
    <w:rsid w:val="000F6419"/>
    <w:rsid w:val="000F6DD2"/>
    <w:rsid w:val="000F7177"/>
    <w:rsid w:val="000F7BC2"/>
    <w:rsid w:val="00101458"/>
    <w:rsid w:val="0010520B"/>
    <w:rsid w:val="00105213"/>
    <w:rsid w:val="0010565F"/>
    <w:rsid w:val="00105E17"/>
    <w:rsid w:val="00105EAE"/>
    <w:rsid w:val="00111E91"/>
    <w:rsid w:val="00112E1F"/>
    <w:rsid w:val="00113714"/>
    <w:rsid w:val="00115198"/>
    <w:rsid w:val="00115272"/>
    <w:rsid w:val="001158E4"/>
    <w:rsid w:val="001216E6"/>
    <w:rsid w:val="001252BE"/>
    <w:rsid w:val="001331D9"/>
    <w:rsid w:val="00134EF6"/>
    <w:rsid w:val="0013570F"/>
    <w:rsid w:val="0013618C"/>
    <w:rsid w:val="00146665"/>
    <w:rsid w:val="001468EF"/>
    <w:rsid w:val="00150440"/>
    <w:rsid w:val="00150B1C"/>
    <w:rsid w:val="0015395D"/>
    <w:rsid w:val="00153988"/>
    <w:rsid w:val="00157039"/>
    <w:rsid w:val="00161825"/>
    <w:rsid w:val="001629AD"/>
    <w:rsid w:val="00166E4C"/>
    <w:rsid w:val="0016718D"/>
    <w:rsid w:val="001674D2"/>
    <w:rsid w:val="00171A84"/>
    <w:rsid w:val="00171C5D"/>
    <w:rsid w:val="001729FF"/>
    <w:rsid w:val="00173EA6"/>
    <w:rsid w:val="00174D34"/>
    <w:rsid w:val="00175C82"/>
    <w:rsid w:val="00177918"/>
    <w:rsid w:val="00177CE8"/>
    <w:rsid w:val="00177F18"/>
    <w:rsid w:val="00181112"/>
    <w:rsid w:val="00181243"/>
    <w:rsid w:val="00181CBE"/>
    <w:rsid w:val="001833E3"/>
    <w:rsid w:val="00184395"/>
    <w:rsid w:val="00185A04"/>
    <w:rsid w:val="00185CCC"/>
    <w:rsid w:val="00185F15"/>
    <w:rsid w:val="00186033"/>
    <w:rsid w:val="00187C28"/>
    <w:rsid w:val="00187EAC"/>
    <w:rsid w:val="001909FA"/>
    <w:rsid w:val="00191000"/>
    <w:rsid w:val="001926DC"/>
    <w:rsid w:val="001948B0"/>
    <w:rsid w:val="00197B61"/>
    <w:rsid w:val="001A049C"/>
    <w:rsid w:val="001A3525"/>
    <w:rsid w:val="001A4846"/>
    <w:rsid w:val="001B0136"/>
    <w:rsid w:val="001B1F90"/>
    <w:rsid w:val="001B3B1C"/>
    <w:rsid w:val="001B6607"/>
    <w:rsid w:val="001B7491"/>
    <w:rsid w:val="001C3722"/>
    <w:rsid w:val="001C43A1"/>
    <w:rsid w:val="001C53D8"/>
    <w:rsid w:val="001C5AF2"/>
    <w:rsid w:val="001C7774"/>
    <w:rsid w:val="001C7D69"/>
    <w:rsid w:val="001D02A7"/>
    <w:rsid w:val="001D0633"/>
    <w:rsid w:val="001D0A8A"/>
    <w:rsid w:val="001D2E26"/>
    <w:rsid w:val="001D5B10"/>
    <w:rsid w:val="001D5E30"/>
    <w:rsid w:val="001D6534"/>
    <w:rsid w:val="001D6648"/>
    <w:rsid w:val="001E2525"/>
    <w:rsid w:val="001E2FAE"/>
    <w:rsid w:val="001E4D7E"/>
    <w:rsid w:val="001E530D"/>
    <w:rsid w:val="001E787B"/>
    <w:rsid w:val="001E7E8C"/>
    <w:rsid w:val="001F15CB"/>
    <w:rsid w:val="001F3DC2"/>
    <w:rsid w:val="001F77C6"/>
    <w:rsid w:val="002038D0"/>
    <w:rsid w:val="002069B6"/>
    <w:rsid w:val="00206AB7"/>
    <w:rsid w:val="0020744B"/>
    <w:rsid w:val="00211531"/>
    <w:rsid w:val="00212B3D"/>
    <w:rsid w:val="00212D5D"/>
    <w:rsid w:val="00214A49"/>
    <w:rsid w:val="00216AB3"/>
    <w:rsid w:val="002209E6"/>
    <w:rsid w:val="00221128"/>
    <w:rsid w:val="00222F2B"/>
    <w:rsid w:val="002255C0"/>
    <w:rsid w:val="00231B3E"/>
    <w:rsid w:val="002320FD"/>
    <w:rsid w:val="002342BF"/>
    <w:rsid w:val="002347D5"/>
    <w:rsid w:val="00235231"/>
    <w:rsid w:val="00235FF1"/>
    <w:rsid w:val="00236BD6"/>
    <w:rsid w:val="00236C46"/>
    <w:rsid w:val="00240F3A"/>
    <w:rsid w:val="0024217A"/>
    <w:rsid w:val="00243083"/>
    <w:rsid w:val="00245533"/>
    <w:rsid w:val="00245C16"/>
    <w:rsid w:val="00247627"/>
    <w:rsid w:val="00253DCD"/>
    <w:rsid w:val="002542C8"/>
    <w:rsid w:val="00255250"/>
    <w:rsid w:val="00256372"/>
    <w:rsid w:val="00260220"/>
    <w:rsid w:val="0026240F"/>
    <w:rsid w:val="0026251D"/>
    <w:rsid w:val="00264F46"/>
    <w:rsid w:val="00267F0D"/>
    <w:rsid w:val="00270310"/>
    <w:rsid w:val="0027163C"/>
    <w:rsid w:val="002745A8"/>
    <w:rsid w:val="00276374"/>
    <w:rsid w:val="00276EFF"/>
    <w:rsid w:val="0027729B"/>
    <w:rsid w:val="002779F0"/>
    <w:rsid w:val="00281A26"/>
    <w:rsid w:val="0028476C"/>
    <w:rsid w:val="002904C8"/>
    <w:rsid w:val="002917EF"/>
    <w:rsid w:val="002919E3"/>
    <w:rsid w:val="002933EA"/>
    <w:rsid w:val="00293E23"/>
    <w:rsid w:val="00295A00"/>
    <w:rsid w:val="00295D34"/>
    <w:rsid w:val="0029601D"/>
    <w:rsid w:val="00296831"/>
    <w:rsid w:val="002972DB"/>
    <w:rsid w:val="00297311"/>
    <w:rsid w:val="002A186D"/>
    <w:rsid w:val="002A26E8"/>
    <w:rsid w:val="002A3146"/>
    <w:rsid w:val="002A5FC6"/>
    <w:rsid w:val="002A6CB8"/>
    <w:rsid w:val="002A7A57"/>
    <w:rsid w:val="002B176A"/>
    <w:rsid w:val="002B1FAF"/>
    <w:rsid w:val="002B23A2"/>
    <w:rsid w:val="002B2719"/>
    <w:rsid w:val="002B41C2"/>
    <w:rsid w:val="002B5715"/>
    <w:rsid w:val="002B634C"/>
    <w:rsid w:val="002B645B"/>
    <w:rsid w:val="002B76E6"/>
    <w:rsid w:val="002C4C49"/>
    <w:rsid w:val="002C68CE"/>
    <w:rsid w:val="002C7069"/>
    <w:rsid w:val="002C7A44"/>
    <w:rsid w:val="002D1619"/>
    <w:rsid w:val="002D304B"/>
    <w:rsid w:val="002D3554"/>
    <w:rsid w:val="002D3971"/>
    <w:rsid w:val="002D6FA3"/>
    <w:rsid w:val="002D7F1C"/>
    <w:rsid w:val="002E214C"/>
    <w:rsid w:val="002E27A0"/>
    <w:rsid w:val="002E2F3D"/>
    <w:rsid w:val="002F13A7"/>
    <w:rsid w:val="002F2A0B"/>
    <w:rsid w:val="002F4AE0"/>
    <w:rsid w:val="002F6D27"/>
    <w:rsid w:val="002F76AE"/>
    <w:rsid w:val="00301E99"/>
    <w:rsid w:val="0030303B"/>
    <w:rsid w:val="0030441F"/>
    <w:rsid w:val="0031417C"/>
    <w:rsid w:val="003142F4"/>
    <w:rsid w:val="00314C83"/>
    <w:rsid w:val="0031502A"/>
    <w:rsid w:val="003153BD"/>
    <w:rsid w:val="003161FA"/>
    <w:rsid w:val="003166A6"/>
    <w:rsid w:val="003232E7"/>
    <w:rsid w:val="00323F5A"/>
    <w:rsid w:val="00326DCB"/>
    <w:rsid w:val="00327FEE"/>
    <w:rsid w:val="0033007F"/>
    <w:rsid w:val="00330FA5"/>
    <w:rsid w:val="003320BC"/>
    <w:rsid w:val="00332885"/>
    <w:rsid w:val="00332C4A"/>
    <w:rsid w:val="00335DC6"/>
    <w:rsid w:val="00335F31"/>
    <w:rsid w:val="00341265"/>
    <w:rsid w:val="003432CF"/>
    <w:rsid w:val="003439B7"/>
    <w:rsid w:val="00347AFC"/>
    <w:rsid w:val="00350594"/>
    <w:rsid w:val="00350D01"/>
    <w:rsid w:val="0035109D"/>
    <w:rsid w:val="00353D96"/>
    <w:rsid w:val="00356413"/>
    <w:rsid w:val="00357036"/>
    <w:rsid w:val="00360B8B"/>
    <w:rsid w:val="00360D04"/>
    <w:rsid w:val="00360EC0"/>
    <w:rsid w:val="00361948"/>
    <w:rsid w:val="003627CC"/>
    <w:rsid w:val="00362DD8"/>
    <w:rsid w:val="0036322E"/>
    <w:rsid w:val="00363B83"/>
    <w:rsid w:val="00364CAC"/>
    <w:rsid w:val="003651AB"/>
    <w:rsid w:val="00365EF5"/>
    <w:rsid w:val="003665E3"/>
    <w:rsid w:val="00371FB0"/>
    <w:rsid w:val="0037436A"/>
    <w:rsid w:val="003778AB"/>
    <w:rsid w:val="003802B8"/>
    <w:rsid w:val="003807BE"/>
    <w:rsid w:val="00381693"/>
    <w:rsid w:val="00383DE7"/>
    <w:rsid w:val="00384A47"/>
    <w:rsid w:val="00385332"/>
    <w:rsid w:val="00390BF6"/>
    <w:rsid w:val="003940C6"/>
    <w:rsid w:val="0039442F"/>
    <w:rsid w:val="003945FC"/>
    <w:rsid w:val="003946C3"/>
    <w:rsid w:val="003973FF"/>
    <w:rsid w:val="003A133C"/>
    <w:rsid w:val="003A24F6"/>
    <w:rsid w:val="003A6652"/>
    <w:rsid w:val="003A6DE6"/>
    <w:rsid w:val="003A7A41"/>
    <w:rsid w:val="003A7E55"/>
    <w:rsid w:val="003B1755"/>
    <w:rsid w:val="003B384A"/>
    <w:rsid w:val="003B5906"/>
    <w:rsid w:val="003B65E3"/>
    <w:rsid w:val="003B6EDA"/>
    <w:rsid w:val="003C20FE"/>
    <w:rsid w:val="003C2D09"/>
    <w:rsid w:val="003C34A0"/>
    <w:rsid w:val="003D1575"/>
    <w:rsid w:val="003D7790"/>
    <w:rsid w:val="003E12F2"/>
    <w:rsid w:val="003E2180"/>
    <w:rsid w:val="003E2C4E"/>
    <w:rsid w:val="003E6D11"/>
    <w:rsid w:val="003F03B2"/>
    <w:rsid w:val="003F35FF"/>
    <w:rsid w:val="003F3CDB"/>
    <w:rsid w:val="003F5195"/>
    <w:rsid w:val="003F5AF2"/>
    <w:rsid w:val="003F5D0C"/>
    <w:rsid w:val="003F7C15"/>
    <w:rsid w:val="00400243"/>
    <w:rsid w:val="00402274"/>
    <w:rsid w:val="00402501"/>
    <w:rsid w:val="00402A55"/>
    <w:rsid w:val="00403937"/>
    <w:rsid w:val="00403954"/>
    <w:rsid w:val="004046A2"/>
    <w:rsid w:val="00404B88"/>
    <w:rsid w:val="00404C62"/>
    <w:rsid w:val="00406081"/>
    <w:rsid w:val="00406394"/>
    <w:rsid w:val="0040694A"/>
    <w:rsid w:val="004076CE"/>
    <w:rsid w:val="00410D54"/>
    <w:rsid w:val="00411F44"/>
    <w:rsid w:val="00413039"/>
    <w:rsid w:val="00413F80"/>
    <w:rsid w:val="00414067"/>
    <w:rsid w:val="00416F74"/>
    <w:rsid w:val="0042036E"/>
    <w:rsid w:val="004235F2"/>
    <w:rsid w:val="00425CA2"/>
    <w:rsid w:val="004262C0"/>
    <w:rsid w:val="00427062"/>
    <w:rsid w:val="00427077"/>
    <w:rsid w:val="00431DE1"/>
    <w:rsid w:val="004321CC"/>
    <w:rsid w:val="004325BD"/>
    <w:rsid w:val="00432CF0"/>
    <w:rsid w:val="0043324D"/>
    <w:rsid w:val="0043551D"/>
    <w:rsid w:val="004365A2"/>
    <w:rsid w:val="0043680F"/>
    <w:rsid w:val="004376A2"/>
    <w:rsid w:val="00437CE5"/>
    <w:rsid w:val="00442861"/>
    <w:rsid w:val="00442C7D"/>
    <w:rsid w:val="00444BAC"/>
    <w:rsid w:val="00445A96"/>
    <w:rsid w:val="004463F0"/>
    <w:rsid w:val="004471E4"/>
    <w:rsid w:val="004475E3"/>
    <w:rsid w:val="00451048"/>
    <w:rsid w:val="00452730"/>
    <w:rsid w:val="00452A59"/>
    <w:rsid w:val="00452C09"/>
    <w:rsid w:val="00453765"/>
    <w:rsid w:val="00454102"/>
    <w:rsid w:val="004548A0"/>
    <w:rsid w:val="004552FE"/>
    <w:rsid w:val="004555BE"/>
    <w:rsid w:val="004555FF"/>
    <w:rsid w:val="00456CE6"/>
    <w:rsid w:val="004627CB"/>
    <w:rsid w:val="00463D0C"/>
    <w:rsid w:val="00463D29"/>
    <w:rsid w:val="0046437D"/>
    <w:rsid w:val="00464B07"/>
    <w:rsid w:val="00465541"/>
    <w:rsid w:val="0046565E"/>
    <w:rsid w:val="00466C79"/>
    <w:rsid w:val="0047106A"/>
    <w:rsid w:val="00471B91"/>
    <w:rsid w:val="00472D3B"/>
    <w:rsid w:val="00473ECC"/>
    <w:rsid w:val="00474204"/>
    <w:rsid w:val="0047470A"/>
    <w:rsid w:val="00474874"/>
    <w:rsid w:val="0047497A"/>
    <w:rsid w:val="00476D8F"/>
    <w:rsid w:val="00477025"/>
    <w:rsid w:val="0047753E"/>
    <w:rsid w:val="0047776F"/>
    <w:rsid w:val="004804B0"/>
    <w:rsid w:val="004810C4"/>
    <w:rsid w:val="004813FF"/>
    <w:rsid w:val="00481DFE"/>
    <w:rsid w:val="004825CD"/>
    <w:rsid w:val="0048299E"/>
    <w:rsid w:val="00483980"/>
    <w:rsid w:val="00484CB2"/>
    <w:rsid w:val="00484D7C"/>
    <w:rsid w:val="004853D8"/>
    <w:rsid w:val="004866B0"/>
    <w:rsid w:val="00490389"/>
    <w:rsid w:val="00492BFB"/>
    <w:rsid w:val="00493A43"/>
    <w:rsid w:val="00494A52"/>
    <w:rsid w:val="00497C0E"/>
    <w:rsid w:val="004A1323"/>
    <w:rsid w:val="004A1D39"/>
    <w:rsid w:val="004A4D9A"/>
    <w:rsid w:val="004A5752"/>
    <w:rsid w:val="004A6015"/>
    <w:rsid w:val="004A7A6B"/>
    <w:rsid w:val="004B2356"/>
    <w:rsid w:val="004B3B44"/>
    <w:rsid w:val="004B54CA"/>
    <w:rsid w:val="004B7750"/>
    <w:rsid w:val="004C4CAE"/>
    <w:rsid w:val="004C50C2"/>
    <w:rsid w:val="004C59E6"/>
    <w:rsid w:val="004C6F40"/>
    <w:rsid w:val="004D0889"/>
    <w:rsid w:val="004D0AF2"/>
    <w:rsid w:val="004D1127"/>
    <w:rsid w:val="004D363E"/>
    <w:rsid w:val="004D41C3"/>
    <w:rsid w:val="004D6B02"/>
    <w:rsid w:val="004D7F67"/>
    <w:rsid w:val="004E2AFD"/>
    <w:rsid w:val="004E2D3A"/>
    <w:rsid w:val="004E383E"/>
    <w:rsid w:val="004E454B"/>
    <w:rsid w:val="004E57D0"/>
    <w:rsid w:val="004E75C7"/>
    <w:rsid w:val="004F089C"/>
    <w:rsid w:val="004F0B24"/>
    <w:rsid w:val="004F0C41"/>
    <w:rsid w:val="004F1503"/>
    <w:rsid w:val="004F1BBE"/>
    <w:rsid w:val="004F3023"/>
    <w:rsid w:val="004F5979"/>
    <w:rsid w:val="004F5C22"/>
    <w:rsid w:val="004F6741"/>
    <w:rsid w:val="005041DE"/>
    <w:rsid w:val="00505429"/>
    <w:rsid w:val="005065EC"/>
    <w:rsid w:val="005065EF"/>
    <w:rsid w:val="00506D70"/>
    <w:rsid w:val="00507D41"/>
    <w:rsid w:val="00520207"/>
    <w:rsid w:val="00520E8A"/>
    <w:rsid w:val="005221D5"/>
    <w:rsid w:val="00526374"/>
    <w:rsid w:val="00527DA7"/>
    <w:rsid w:val="00531D71"/>
    <w:rsid w:val="00532B7E"/>
    <w:rsid w:val="00532F66"/>
    <w:rsid w:val="0053317D"/>
    <w:rsid w:val="00533588"/>
    <w:rsid w:val="00533723"/>
    <w:rsid w:val="00533C6F"/>
    <w:rsid w:val="00536234"/>
    <w:rsid w:val="005368F1"/>
    <w:rsid w:val="00537CB6"/>
    <w:rsid w:val="00537E07"/>
    <w:rsid w:val="00541192"/>
    <w:rsid w:val="0054228E"/>
    <w:rsid w:val="00542684"/>
    <w:rsid w:val="00544C06"/>
    <w:rsid w:val="00545853"/>
    <w:rsid w:val="00546DD3"/>
    <w:rsid w:val="00547D2A"/>
    <w:rsid w:val="00550A5C"/>
    <w:rsid w:val="00550DDE"/>
    <w:rsid w:val="00553309"/>
    <w:rsid w:val="0055350B"/>
    <w:rsid w:val="00561075"/>
    <w:rsid w:val="005611F4"/>
    <w:rsid w:val="00561803"/>
    <w:rsid w:val="00562CD8"/>
    <w:rsid w:val="005630F4"/>
    <w:rsid w:val="00563544"/>
    <w:rsid w:val="00564AD6"/>
    <w:rsid w:val="0056502C"/>
    <w:rsid w:val="00565477"/>
    <w:rsid w:val="00566627"/>
    <w:rsid w:val="00567443"/>
    <w:rsid w:val="005707F6"/>
    <w:rsid w:val="00570879"/>
    <w:rsid w:val="00570B3B"/>
    <w:rsid w:val="00571D2F"/>
    <w:rsid w:val="00572768"/>
    <w:rsid w:val="00573EF5"/>
    <w:rsid w:val="00574B3F"/>
    <w:rsid w:val="00575B7F"/>
    <w:rsid w:val="00575C32"/>
    <w:rsid w:val="00580703"/>
    <w:rsid w:val="00581600"/>
    <w:rsid w:val="005816B5"/>
    <w:rsid w:val="00581D42"/>
    <w:rsid w:val="00581EBE"/>
    <w:rsid w:val="00582B78"/>
    <w:rsid w:val="0058374C"/>
    <w:rsid w:val="00584932"/>
    <w:rsid w:val="0058682E"/>
    <w:rsid w:val="00587BA6"/>
    <w:rsid w:val="005916B1"/>
    <w:rsid w:val="00592B5D"/>
    <w:rsid w:val="005976B1"/>
    <w:rsid w:val="0059795E"/>
    <w:rsid w:val="00597CC0"/>
    <w:rsid w:val="00597EBB"/>
    <w:rsid w:val="005A1904"/>
    <w:rsid w:val="005A2116"/>
    <w:rsid w:val="005A2441"/>
    <w:rsid w:val="005A4FB2"/>
    <w:rsid w:val="005A5DF0"/>
    <w:rsid w:val="005A7335"/>
    <w:rsid w:val="005A7644"/>
    <w:rsid w:val="005B1B29"/>
    <w:rsid w:val="005B1C4A"/>
    <w:rsid w:val="005B45F4"/>
    <w:rsid w:val="005B4EEC"/>
    <w:rsid w:val="005B58C5"/>
    <w:rsid w:val="005B5AE3"/>
    <w:rsid w:val="005B6A72"/>
    <w:rsid w:val="005B730D"/>
    <w:rsid w:val="005B7D3D"/>
    <w:rsid w:val="005B7EA1"/>
    <w:rsid w:val="005C0E30"/>
    <w:rsid w:val="005C1C66"/>
    <w:rsid w:val="005C54DE"/>
    <w:rsid w:val="005C6570"/>
    <w:rsid w:val="005C7386"/>
    <w:rsid w:val="005D0C57"/>
    <w:rsid w:val="005D0DED"/>
    <w:rsid w:val="005D244A"/>
    <w:rsid w:val="005D2B76"/>
    <w:rsid w:val="005D629A"/>
    <w:rsid w:val="005D6C3D"/>
    <w:rsid w:val="005D75AA"/>
    <w:rsid w:val="005E082C"/>
    <w:rsid w:val="005E19F0"/>
    <w:rsid w:val="005E20A8"/>
    <w:rsid w:val="005E2BA5"/>
    <w:rsid w:val="005E2C58"/>
    <w:rsid w:val="005E3CC5"/>
    <w:rsid w:val="005E4509"/>
    <w:rsid w:val="005E48A5"/>
    <w:rsid w:val="005E61C1"/>
    <w:rsid w:val="005E69B9"/>
    <w:rsid w:val="005E6DC6"/>
    <w:rsid w:val="005F0666"/>
    <w:rsid w:val="005F28F8"/>
    <w:rsid w:val="005F4997"/>
    <w:rsid w:val="005F6BD1"/>
    <w:rsid w:val="005F7E10"/>
    <w:rsid w:val="006011A8"/>
    <w:rsid w:val="006012EB"/>
    <w:rsid w:val="00601BDB"/>
    <w:rsid w:val="00601D1F"/>
    <w:rsid w:val="00602E46"/>
    <w:rsid w:val="006034A7"/>
    <w:rsid w:val="006054FE"/>
    <w:rsid w:val="00605C43"/>
    <w:rsid w:val="00606634"/>
    <w:rsid w:val="00607F70"/>
    <w:rsid w:val="006103CD"/>
    <w:rsid w:val="006104B5"/>
    <w:rsid w:val="006115D3"/>
    <w:rsid w:val="006116B1"/>
    <w:rsid w:val="00612351"/>
    <w:rsid w:val="00612584"/>
    <w:rsid w:val="00615E97"/>
    <w:rsid w:val="00616F7D"/>
    <w:rsid w:val="006175B8"/>
    <w:rsid w:val="006204E5"/>
    <w:rsid w:val="0062069D"/>
    <w:rsid w:val="00622707"/>
    <w:rsid w:val="00624E5F"/>
    <w:rsid w:val="006261DF"/>
    <w:rsid w:val="0062681F"/>
    <w:rsid w:val="00626EB1"/>
    <w:rsid w:val="00627B99"/>
    <w:rsid w:val="00630654"/>
    <w:rsid w:val="00631AD5"/>
    <w:rsid w:val="00632147"/>
    <w:rsid w:val="00634E39"/>
    <w:rsid w:val="00637863"/>
    <w:rsid w:val="00641486"/>
    <w:rsid w:val="00643196"/>
    <w:rsid w:val="00643C1A"/>
    <w:rsid w:val="00652024"/>
    <w:rsid w:val="00653A42"/>
    <w:rsid w:val="00654D57"/>
    <w:rsid w:val="00654E70"/>
    <w:rsid w:val="00656681"/>
    <w:rsid w:val="00661A78"/>
    <w:rsid w:val="00665B26"/>
    <w:rsid w:val="00670106"/>
    <w:rsid w:val="00670E4E"/>
    <w:rsid w:val="0067434C"/>
    <w:rsid w:val="00677DB1"/>
    <w:rsid w:val="006814C0"/>
    <w:rsid w:val="006819DA"/>
    <w:rsid w:val="00682560"/>
    <w:rsid w:val="00682ADA"/>
    <w:rsid w:val="00684673"/>
    <w:rsid w:val="00684EEC"/>
    <w:rsid w:val="00687D8B"/>
    <w:rsid w:val="00690BC7"/>
    <w:rsid w:val="006917D9"/>
    <w:rsid w:val="00692717"/>
    <w:rsid w:val="00692F61"/>
    <w:rsid w:val="00694211"/>
    <w:rsid w:val="00694462"/>
    <w:rsid w:val="006957BE"/>
    <w:rsid w:val="0069757B"/>
    <w:rsid w:val="006979CA"/>
    <w:rsid w:val="006A06D1"/>
    <w:rsid w:val="006A2279"/>
    <w:rsid w:val="006A2995"/>
    <w:rsid w:val="006A2DC9"/>
    <w:rsid w:val="006A3C15"/>
    <w:rsid w:val="006B3481"/>
    <w:rsid w:val="006B3963"/>
    <w:rsid w:val="006B3DA9"/>
    <w:rsid w:val="006B495E"/>
    <w:rsid w:val="006B4BB6"/>
    <w:rsid w:val="006B4D36"/>
    <w:rsid w:val="006C0F28"/>
    <w:rsid w:val="006C199D"/>
    <w:rsid w:val="006C2DFA"/>
    <w:rsid w:val="006C44E1"/>
    <w:rsid w:val="006C4985"/>
    <w:rsid w:val="006C4E22"/>
    <w:rsid w:val="006C7D44"/>
    <w:rsid w:val="006D1E1B"/>
    <w:rsid w:val="006D3F9E"/>
    <w:rsid w:val="006D506E"/>
    <w:rsid w:val="006D6298"/>
    <w:rsid w:val="006D7C4F"/>
    <w:rsid w:val="006E0813"/>
    <w:rsid w:val="006E0F4D"/>
    <w:rsid w:val="006E22A4"/>
    <w:rsid w:val="006E24D8"/>
    <w:rsid w:val="006E7349"/>
    <w:rsid w:val="006F0237"/>
    <w:rsid w:val="006F1ABD"/>
    <w:rsid w:val="006F1BF4"/>
    <w:rsid w:val="006F2CC8"/>
    <w:rsid w:val="006F2EA2"/>
    <w:rsid w:val="006F3637"/>
    <w:rsid w:val="006F75C3"/>
    <w:rsid w:val="00700B40"/>
    <w:rsid w:val="0070160D"/>
    <w:rsid w:val="00705319"/>
    <w:rsid w:val="007106AC"/>
    <w:rsid w:val="00710FD5"/>
    <w:rsid w:val="00711200"/>
    <w:rsid w:val="007126B7"/>
    <w:rsid w:val="007153DC"/>
    <w:rsid w:val="0072479D"/>
    <w:rsid w:val="00730A86"/>
    <w:rsid w:val="00730DD1"/>
    <w:rsid w:val="00731CDF"/>
    <w:rsid w:val="0073272B"/>
    <w:rsid w:val="00733C94"/>
    <w:rsid w:val="00734825"/>
    <w:rsid w:val="00737D51"/>
    <w:rsid w:val="00742F0E"/>
    <w:rsid w:val="007437E7"/>
    <w:rsid w:val="007438E5"/>
    <w:rsid w:val="007454D9"/>
    <w:rsid w:val="00747EFA"/>
    <w:rsid w:val="00751E77"/>
    <w:rsid w:val="00752D99"/>
    <w:rsid w:val="007532DB"/>
    <w:rsid w:val="00753423"/>
    <w:rsid w:val="00753BE3"/>
    <w:rsid w:val="007545BD"/>
    <w:rsid w:val="00755584"/>
    <w:rsid w:val="007562B8"/>
    <w:rsid w:val="00756611"/>
    <w:rsid w:val="00756B73"/>
    <w:rsid w:val="00756F5C"/>
    <w:rsid w:val="0075710F"/>
    <w:rsid w:val="0075757C"/>
    <w:rsid w:val="00760F54"/>
    <w:rsid w:val="00761DEE"/>
    <w:rsid w:val="00762608"/>
    <w:rsid w:val="007627E4"/>
    <w:rsid w:val="00764EA8"/>
    <w:rsid w:val="007664FD"/>
    <w:rsid w:val="00767B04"/>
    <w:rsid w:val="007710C4"/>
    <w:rsid w:val="00775FBF"/>
    <w:rsid w:val="007774BB"/>
    <w:rsid w:val="00777BB8"/>
    <w:rsid w:val="007810CD"/>
    <w:rsid w:val="0078248B"/>
    <w:rsid w:val="00782EEF"/>
    <w:rsid w:val="007838B2"/>
    <w:rsid w:val="00790646"/>
    <w:rsid w:val="00790BD0"/>
    <w:rsid w:val="00794A0F"/>
    <w:rsid w:val="007950BC"/>
    <w:rsid w:val="007A054C"/>
    <w:rsid w:val="007A0985"/>
    <w:rsid w:val="007A0F19"/>
    <w:rsid w:val="007A18BC"/>
    <w:rsid w:val="007A6EEA"/>
    <w:rsid w:val="007B31FD"/>
    <w:rsid w:val="007B42BE"/>
    <w:rsid w:val="007B670A"/>
    <w:rsid w:val="007B7868"/>
    <w:rsid w:val="007B7952"/>
    <w:rsid w:val="007B7B15"/>
    <w:rsid w:val="007C00E5"/>
    <w:rsid w:val="007C07E5"/>
    <w:rsid w:val="007C1879"/>
    <w:rsid w:val="007C6114"/>
    <w:rsid w:val="007C6754"/>
    <w:rsid w:val="007D2C92"/>
    <w:rsid w:val="007D48E9"/>
    <w:rsid w:val="007D52B2"/>
    <w:rsid w:val="007D77CD"/>
    <w:rsid w:val="007E1EAC"/>
    <w:rsid w:val="007E2463"/>
    <w:rsid w:val="007E3F96"/>
    <w:rsid w:val="007E4B57"/>
    <w:rsid w:val="007E646A"/>
    <w:rsid w:val="007E6E6E"/>
    <w:rsid w:val="007F1091"/>
    <w:rsid w:val="007F3650"/>
    <w:rsid w:val="007F646B"/>
    <w:rsid w:val="007F6E94"/>
    <w:rsid w:val="007F7995"/>
    <w:rsid w:val="008005C8"/>
    <w:rsid w:val="008011FC"/>
    <w:rsid w:val="008018BA"/>
    <w:rsid w:val="008033BB"/>
    <w:rsid w:val="00803D33"/>
    <w:rsid w:val="00804423"/>
    <w:rsid w:val="00805843"/>
    <w:rsid w:val="008114D6"/>
    <w:rsid w:val="00812A0B"/>
    <w:rsid w:val="00813FD2"/>
    <w:rsid w:val="00814AB9"/>
    <w:rsid w:val="00815C02"/>
    <w:rsid w:val="00816A6B"/>
    <w:rsid w:val="008212FC"/>
    <w:rsid w:val="0082252E"/>
    <w:rsid w:val="0082270A"/>
    <w:rsid w:val="00823F96"/>
    <w:rsid w:val="008276B2"/>
    <w:rsid w:val="00827798"/>
    <w:rsid w:val="00830E25"/>
    <w:rsid w:val="00832671"/>
    <w:rsid w:val="008341F5"/>
    <w:rsid w:val="0083518C"/>
    <w:rsid w:val="008354FD"/>
    <w:rsid w:val="00836E31"/>
    <w:rsid w:val="00840E5D"/>
    <w:rsid w:val="00841026"/>
    <w:rsid w:val="00841B8F"/>
    <w:rsid w:val="008429B0"/>
    <w:rsid w:val="00844941"/>
    <w:rsid w:val="00845DE8"/>
    <w:rsid w:val="008472C3"/>
    <w:rsid w:val="00847559"/>
    <w:rsid w:val="008501D3"/>
    <w:rsid w:val="0085123B"/>
    <w:rsid w:val="0085249A"/>
    <w:rsid w:val="00852B75"/>
    <w:rsid w:val="00852BCC"/>
    <w:rsid w:val="00852C70"/>
    <w:rsid w:val="0085381E"/>
    <w:rsid w:val="008539BF"/>
    <w:rsid w:val="00856A30"/>
    <w:rsid w:val="008578A2"/>
    <w:rsid w:val="00860153"/>
    <w:rsid w:val="00860303"/>
    <w:rsid w:val="00861031"/>
    <w:rsid w:val="00861614"/>
    <w:rsid w:val="008626E3"/>
    <w:rsid w:val="00863070"/>
    <w:rsid w:val="00865D05"/>
    <w:rsid w:val="008702A4"/>
    <w:rsid w:val="00872E46"/>
    <w:rsid w:val="00873BAB"/>
    <w:rsid w:val="00874497"/>
    <w:rsid w:val="0087496B"/>
    <w:rsid w:val="00880E26"/>
    <w:rsid w:val="00881079"/>
    <w:rsid w:val="00882062"/>
    <w:rsid w:val="0088298D"/>
    <w:rsid w:val="008919C1"/>
    <w:rsid w:val="0089219C"/>
    <w:rsid w:val="00893075"/>
    <w:rsid w:val="0089475D"/>
    <w:rsid w:val="00894E1B"/>
    <w:rsid w:val="008955AE"/>
    <w:rsid w:val="008967D3"/>
    <w:rsid w:val="00896F73"/>
    <w:rsid w:val="008A0845"/>
    <w:rsid w:val="008A2F06"/>
    <w:rsid w:val="008A37B4"/>
    <w:rsid w:val="008A511D"/>
    <w:rsid w:val="008A5B24"/>
    <w:rsid w:val="008A6CBF"/>
    <w:rsid w:val="008B20A8"/>
    <w:rsid w:val="008C3F4A"/>
    <w:rsid w:val="008C65B1"/>
    <w:rsid w:val="008C780E"/>
    <w:rsid w:val="008C78A7"/>
    <w:rsid w:val="008D1D5D"/>
    <w:rsid w:val="008D2C9D"/>
    <w:rsid w:val="008D4FEF"/>
    <w:rsid w:val="008D559C"/>
    <w:rsid w:val="008D6B93"/>
    <w:rsid w:val="008E0032"/>
    <w:rsid w:val="008E03D6"/>
    <w:rsid w:val="008E3639"/>
    <w:rsid w:val="008E60DA"/>
    <w:rsid w:val="008E6126"/>
    <w:rsid w:val="008E7BDA"/>
    <w:rsid w:val="008E7F16"/>
    <w:rsid w:val="008F0891"/>
    <w:rsid w:val="008F120F"/>
    <w:rsid w:val="008F4966"/>
    <w:rsid w:val="008F6EDD"/>
    <w:rsid w:val="00901936"/>
    <w:rsid w:val="00902058"/>
    <w:rsid w:val="00906025"/>
    <w:rsid w:val="00907173"/>
    <w:rsid w:val="0090791B"/>
    <w:rsid w:val="009154DE"/>
    <w:rsid w:val="00915C85"/>
    <w:rsid w:val="009160EA"/>
    <w:rsid w:val="00917CEA"/>
    <w:rsid w:val="00917EB1"/>
    <w:rsid w:val="0092061B"/>
    <w:rsid w:val="00920D11"/>
    <w:rsid w:val="00921B6E"/>
    <w:rsid w:val="009220A0"/>
    <w:rsid w:val="0092376D"/>
    <w:rsid w:val="009245DC"/>
    <w:rsid w:val="009249B2"/>
    <w:rsid w:val="00924AEA"/>
    <w:rsid w:val="0092580B"/>
    <w:rsid w:val="00925C6B"/>
    <w:rsid w:val="009262F8"/>
    <w:rsid w:val="00927287"/>
    <w:rsid w:val="009336F5"/>
    <w:rsid w:val="00936ABA"/>
    <w:rsid w:val="00941530"/>
    <w:rsid w:val="00942B48"/>
    <w:rsid w:val="0094350A"/>
    <w:rsid w:val="00947E7E"/>
    <w:rsid w:val="00950B98"/>
    <w:rsid w:val="00951EB7"/>
    <w:rsid w:val="00952178"/>
    <w:rsid w:val="00954B73"/>
    <w:rsid w:val="009566EA"/>
    <w:rsid w:val="00957A13"/>
    <w:rsid w:val="009611F6"/>
    <w:rsid w:val="00961B0B"/>
    <w:rsid w:val="009629B8"/>
    <w:rsid w:val="009645BE"/>
    <w:rsid w:val="009670A9"/>
    <w:rsid w:val="00967A7C"/>
    <w:rsid w:val="00971A4D"/>
    <w:rsid w:val="00972476"/>
    <w:rsid w:val="009735A0"/>
    <w:rsid w:val="009738AE"/>
    <w:rsid w:val="00973F7C"/>
    <w:rsid w:val="00974316"/>
    <w:rsid w:val="00975204"/>
    <w:rsid w:val="009756EC"/>
    <w:rsid w:val="00976D03"/>
    <w:rsid w:val="009774EA"/>
    <w:rsid w:val="0097794F"/>
    <w:rsid w:val="00980947"/>
    <w:rsid w:val="00983055"/>
    <w:rsid w:val="0098330A"/>
    <w:rsid w:val="00985924"/>
    <w:rsid w:val="00990883"/>
    <w:rsid w:val="00992482"/>
    <w:rsid w:val="00992BED"/>
    <w:rsid w:val="0099370F"/>
    <w:rsid w:val="0099549F"/>
    <w:rsid w:val="00996442"/>
    <w:rsid w:val="00996493"/>
    <w:rsid w:val="00996A55"/>
    <w:rsid w:val="0099738A"/>
    <w:rsid w:val="00997FE1"/>
    <w:rsid w:val="009A0E6B"/>
    <w:rsid w:val="009A139F"/>
    <w:rsid w:val="009A26D6"/>
    <w:rsid w:val="009A422F"/>
    <w:rsid w:val="009A47D5"/>
    <w:rsid w:val="009A76F4"/>
    <w:rsid w:val="009B0129"/>
    <w:rsid w:val="009B1F23"/>
    <w:rsid w:val="009B38BD"/>
    <w:rsid w:val="009B3F46"/>
    <w:rsid w:val="009B4125"/>
    <w:rsid w:val="009B5554"/>
    <w:rsid w:val="009B6C49"/>
    <w:rsid w:val="009B72E6"/>
    <w:rsid w:val="009C0034"/>
    <w:rsid w:val="009C03C7"/>
    <w:rsid w:val="009C0C1A"/>
    <w:rsid w:val="009C1D74"/>
    <w:rsid w:val="009C564E"/>
    <w:rsid w:val="009C56C4"/>
    <w:rsid w:val="009C70EB"/>
    <w:rsid w:val="009C743D"/>
    <w:rsid w:val="009D148C"/>
    <w:rsid w:val="009D72DC"/>
    <w:rsid w:val="009D7FB9"/>
    <w:rsid w:val="009E067F"/>
    <w:rsid w:val="009E3DCA"/>
    <w:rsid w:val="009E543B"/>
    <w:rsid w:val="009E55EF"/>
    <w:rsid w:val="009E78A0"/>
    <w:rsid w:val="009F022D"/>
    <w:rsid w:val="009F2CEC"/>
    <w:rsid w:val="009F5750"/>
    <w:rsid w:val="00A00156"/>
    <w:rsid w:val="00A02290"/>
    <w:rsid w:val="00A06033"/>
    <w:rsid w:val="00A061ED"/>
    <w:rsid w:val="00A06D33"/>
    <w:rsid w:val="00A07E40"/>
    <w:rsid w:val="00A1428E"/>
    <w:rsid w:val="00A15021"/>
    <w:rsid w:val="00A15F89"/>
    <w:rsid w:val="00A15F8E"/>
    <w:rsid w:val="00A17441"/>
    <w:rsid w:val="00A176D6"/>
    <w:rsid w:val="00A20D1A"/>
    <w:rsid w:val="00A213BE"/>
    <w:rsid w:val="00A25152"/>
    <w:rsid w:val="00A26ED3"/>
    <w:rsid w:val="00A317F8"/>
    <w:rsid w:val="00A31F1B"/>
    <w:rsid w:val="00A32A89"/>
    <w:rsid w:val="00A34C38"/>
    <w:rsid w:val="00A352FB"/>
    <w:rsid w:val="00A35943"/>
    <w:rsid w:val="00A359B0"/>
    <w:rsid w:val="00A36FED"/>
    <w:rsid w:val="00A40806"/>
    <w:rsid w:val="00A41672"/>
    <w:rsid w:val="00A4185E"/>
    <w:rsid w:val="00A4198C"/>
    <w:rsid w:val="00A43E02"/>
    <w:rsid w:val="00A44313"/>
    <w:rsid w:val="00A479B3"/>
    <w:rsid w:val="00A545C0"/>
    <w:rsid w:val="00A54CC6"/>
    <w:rsid w:val="00A57147"/>
    <w:rsid w:val="00A575CB"/>
    <w:rsid w:val="00A57B04"/>
    <w:rsid w:val="00A60F20"/>
    <w:rsid w:val="00A616F1"/>
    <w:rsid w:val="00A61BFF"/>
    <w:rsid w:val="00A6202A"/>
    <w:rsid w:val="00A64863"/>
    <w:rsid w:val="00A64DDD"/>
    <w:rsid w:val="00A651E0"/>
    <w:rsid w:val="00A70191"/>
    <w:rsid w:val="00A704A0"/>
    <w:rsid w:val="00A73141"/>
    <w:rsid w:val="00A7591D"/>
    <w:rsid w:val="00A7679C"/>
    <w:rsid w:val="00A76B4F"/>
    <w:rsid w:val="00A7731F"/>
    <w:rsid w:val="00A80332"/>
    <w:rsid w:val="00A80E4C"/>
    <w:rsid w:val="00A80E67"/>
    <w:rsid w:val="00A81312"/>
    <w:rsid w:val="00A81342"/>
    <w:rsid w:val="00A82686"/>
    <w:rsid w:val="00A83F3F"/>
    <w:rsid w:val="00A85196"/>
    <w:rsid w:val="00A85705"/>
    <w:rsid w:val="00A85FBD"/>
    <w:rsid w:val="00A85FBF"/>
    <w:rsid w:val="00A864CC"/>
    <w:rsid w:val="00A876EC"/>
    <w:rsid w:val="00A90076"/>
    <w:rsid w:val="00A90E95"/>
    <w:rsid w:val="00A911DF"/>
    <w:rsid w:val="00A91E6E"/>
    <w:rsid w:val="00A93803"/>
    <w:rsid w:val="00A96BDE"/>
    <w:rsid w:val="00A971B3"/>
    <w:rsid w:val="00AA3344"/>
    <w:rsid w:val="00AA42F1"/>
    <w:rsid w:val="00AA444C"/>
    <w:rsid w:val="00AA4981"/>
    <w:rsid w:val="00AA4CC2"/>
    <w:rsid w:val="00AA6389"/>
    <w:rsid w:val="00AA6897"/>
    <w:rsid w:val="00AA6BE9"/>
    <w:rsid w:val="00AB07B2"/>
    <w:rsid w:val="00AB34A8"/>
    <w:rsid w:val="00AB3623"/>
    <w:rsid w:val="00AB417C"/>
    <w:rsid w:val="00AB4304"/>
    <w:rsid w:val="00AB4D8E"/>
    <w:rsid w:val="00AB676B"/>
    <w:rsid w:val="00AC0473"/>
    <w:rsid w:val="00AD04E0"/>
    <w:rsid w:val="00AD41C9"/>
    <w:rsid w:val="00AD5855"/>
    <w:rsid w:val="00AD5A65"/>
    <w:rsid w:val="00AD5CBC"/>
    <w:rsid w:val="00AE3886"/>
    <w:rsid w:val="00AE4586"/>
    <w:rsid w:val="00AE46D7"/>
    <w:rsid w:val="00AE5E4E"/>
    <w:rsid w:val="00AE6071"/>
    <w:rsid w:val="00AE66B6"/>
    <w:rsid w:val="00AE6757"/>
    <w:rsid w:val="00AE76A2"/>
    <w:rsid w:val="00AE7F35"/>
    <w:rsid w:val="00AF04CD"/>
    <w:rsid w:val="00AF2FF1"/>
    <w:rsid w:val="00AF32EA"/>
    <w:rsid w:val="00AF5950"/>
    <w:rsid w:val="00AF72A6"/>
    <w:rsid w:val="00AF7FC9"/>
    <w:rsid w:val="00B00A0A"/>
    <w:rsid w:val="00B00A56"/>
    <w:rsid w:val="00B06F99"/>
    <w:rsid w:val="00B06FBB"/>
    <w:rsid w:val="00B10184"/>
    <w:rsid w:val="00B10893"/>
    <w:rsid w:val="00B1214A"/>
    <w:rsid w:val="00B16177"/>
    <w:rsid w:val="00B200F2"/>
    <w:rsid w:val="00B229B5"/>
    <w:rsid w:val="00B23D8E"/>
    <w:rsid w:val="00B24536"/>
    <w:rsid w:val="00B25269"/>
    <w:rsid w:val="00B25306"/>
    <w:rsid w:val="00B25F2F"/>
    <w:rsid w:val="00B2602F"/>
    <w:rsid w:val="00B26BD0"/>
    <w:rsid w:val="00B26C0E"/>
    <w:rsid w:val="00B31BD2"/>
    <w:rsid w:val="00B325E2"/>
    <w:rsid w:val="00B3447A"/>
    <w:rsid w:val="00B3507C"/>
    <w:rsid w:val="00B41350"/>
    <w:rsid w:val="00B432E2"/>
    <w:rsid w:val="00B435E5"/>
    <w:rsid w:val="00B505EE"/>
    <w:rsid w:val="00B51762"/>
    <w:rsid w:val="00B51FBC"/>
    <w:rsid w:val="00B52028"/>
    <w:rsid w:val="00B548F2"/>
    <w:rsid w:val="00B57B0E"/>
    <w:rsid w:val="00B61149"/>
    <w:rsid w:val="00B617F1"/>
    <w:rsid w:val="00B62E52"/>
    <w:rsid w:val="00B630B1"/>
    <w:rsid w:val="00B630F3"/>
    <w:rsid w:val="00B666F7"/>
    <w:rsid w:val="00B718FF"/>
    <w:rsid w:val="00B73098"/>
    <w:rsid w:val="00B74527"/>
    <w:rsid w:val="00B74BD3"/>
    <w:rsid w:val="00B75FFA"/>
    <w:rsid w:val="00B765FA"/>
    <w:rsid w:val="00B76F17"/>
    <w:rsid w:val="00B7724E"/>
    <w:rsid w:val="00B81B77"/>
    <w:rsid w:val="00B83ED2"/>
    <w:rsid w:val="00B84824"/>
    <w:rsid w:val="00B86CCA"/>
    <w:rsid w:val="00B901A7"/>
    <w:rsid w:val="00B90367"/>
    <w:rsid w:val="00B907B4"/>
    <w:rsid w:val="00B93745"/>
    <w:rsid w:val="00B941EE"/>
    <w:rsid w:val="00B95573"/>
    <w:rsid w:val="00B95F8A"/>
    <w:rsid w:val="00BA1018"/>
    <w:rsid w:val="00BA1764"/>
    <w:rsid w:val="00BA3DCE"/>
    <w:rsid w:val="00BA6C1E"/>
    <w:rsid w:val="00BA7F2A"/>
    <w:rsid w:val="00BB0BF2"/>
    <w:rsid w:val="00BB0DDD"/>
    <w:rsid w:val="00BB1F5E"/>
    <w:rsid w:val="00BB23A1"/>
    <w:rsid w:val="00BB509A"/>
    <w:rsid w:val="00BB6C1F"/>
    <w:rsid w:val="00BB7642"/>
    <w:rsid w:val="00BC0E97"/>
    <w:rsid w:val="00BC2AFA"/>
    <w:rsid w:val="00BC3053"/>
    <w:rsid w:val="00BC32AD"/>
    <w:rsid w:val="00BC496E"/>
    <w:rsid w:val="00BC4B68"/>
    <w:rsid w:val="00BC4CB2"/>
    <w:rsid w:val="00BC5644"/>
    <w:rsid w:val="00BC5F06"/>
    <w:rsid w:val="00BD0765"/>
    <w:rsid w:val="00BD07C2"/>
    <w:rsid w:val="00BD0DD7"/>
    <w:rsid w:val="00BD5906"/>
    <w:rsid w:val="00BD5C2B"/>
    <w:rsid w:val="00BE0287"/>
    <w:rsid w:val="00BE2642"/>
    <w:rsid w:val="00BE59BE"/>
    <w:rsid w:val="00BE62FA"/>
    <w:rsid w:val="00BE7CE2"/>
    <w:rsid w:val="00BE7D7F"/>
    <w:rsid w:val="00BF3277"/>
    <w:rsid w:val="00BF4823"/>
    <w:rsid w:val="00BF5ECD"/>
    <w:rsid w:val="00BF6571"/>
    <w:rsid w:val="00BF69A5"/>
    <w:rsid w:val="00BF72EA"/>
    <w:rsid w:val="00C00FF7"/>
    <w:rsid w:val="00C01C91"/>
    <w:rsid w:val="00C039D1"/>
    <w:rsid w:val="00C0481F"/>
    <w:rsid w:val="00C04A35"/>
    <w:rsid w:val="00C0689C"/>
    <w:rsid w:val="00C07396"/>
    <w:rsid w:val="00C078BA"/>
    <w:rsid w:val="00C106D9"/>
    <w:rsid w:val="00C1077B"/>
    <w:rsid w:val="00C10ED8"/>
    <w:rsid w:val="00C11699"/>
    <w:rsid w:val="00C120DC"/>
    <w:rsid w:val="00C128E6"/>
    <w:rsid w:val="00C12F32"/>
    <w:rsid w:val="00C13508"/>
    <w:rsid w:val="00C13834"/>
    <w:rsid w:val="00C139ED"/>
    <w:rsid w:val="00C15F70"/>
    <w:rsid w:val="00C2009B"/>
    <w:rsid w:val="00C23045"/>
    <w:rsid w:val="00C239C5"/>
    <w:rsid w:val="00C306E2"/>
    <w:rsid w:val="00C30B6D"/>
    <w:rsid w:val="00C34444"/>
    <w:rsid w:val="00C3755E"/>
    <w:rsid w:val="00C37A85"/>
    <w:rsid w:val="00C40EB7"/>
    <w:rsid w:val="00C412F2"/>
    <w:rsid w:val="00C4279A"/>
    <w:rsid w:val="00C46959"/>
    <w:rsid w:val="00C47B95"/>
    <w:rsid w:val="00C5112C"/>
    <w:rsid w:val="00C5303B"/>
    <w:rsid w:val="00C5303E"/>
    <w:rsid w:val="00C5357C"/>
    <w:rsid w:val="00C5377A"/>
    <w:rsid w:val="00C548E2"/>
    <w:rsid w:val="00C556A6"/>
    <w:rsid w:val="00C565D1"/>
    <w:rsid w:val="00C60825"/>
    <w:rsid w:val="00C609A3"/>
    <w:rsid w:val="00C60C3B"/>
    <w:rsid w:val="00C62CDB"/>
    <w:rsid w:val="00C64460"/>
    <w:rsid w:val="00C64CA8"/>
    <w:rsid w:val="00C66FDA"/>
    <w:rsid w:val="00C67157"/>
    <w:rsid w:val="00C70F0D"/>
    <w:rsid w:val="00C7105F"/>
    <w:rsid w:val="00C71416"/>
    <w:rsid w:val="00C731E4"/>
    <w:rsid w:val="00C742FB"/>
    <w:rsid w:val="00C74DC5"/>
    <w:rsid w:val="00C77A14"/>
    <w:rsid w:val="00C77CCF"/>
    <w:rsid w:val="00C8007D"/>
    <w:rsid w:val="00C80B5C"/>
    <w:rsid w:val="00C8118A"/>
    <w:rsid w:val="00C81AE2"/>
    <w:rsid w:val="00C86440"/>
    <w:rsid w:val="00C864F6"/>
    <w:rsid w:val="00C86E37"/>
    <w:rsid w:val="00C924E9"/>
    <w:rsid w:val="00C928C5"/>
    <w:rsid w:val="00C93A43"/>
    <w:rsid w:val="00C95EE5"/>
    <w:rsid w:val="00CA044A"/>
    <w:rsid w:val="00CA0BA4"/>
    <w:rsid w:val="00CA0F38"/>
    <w:rsid w:val="00CA1CAE"/>
    <w:rsid w:val="00CA1DF7"/>
    <w:rsid w:val="00CA2C97"/>
    <w:rsid w:val="00CA54EA"/>
    <w:rsid w:val="00CA6F08"/>
    <w:rsid w:val="00CA7DF6"/>
    <w:rsid w:val="00CB0549"/>
    <w:rsid w:val="00CB0DA0"/>
    <w:rsid w:val="00CB14F9"/>
    <w:rsid w:val="00CB2970"/>
    <w:rsid w:val="00CB4EB7"/>
    <w:rsid w:val="00CB5CFB"/>
    <w:rsid w:val="00CB6067"/>
    <w:rsid w:val="00CB6C27"/>
    <w:rsid w:val="00CC1488"/>
    <w:rsid w:val="00CC46E7"/>
    <w:rsid w:val="00CC5297"/>
    <w:rsid w:val="00CC5F3B"/>
    <w:rsid w:val="00CD28E4"/>
    <w:rsid w:val="00CD2F03"/>
    <w:rsid w:val="00CD3DDF"/>
    <w:rsid w:val="00CD426B"/>
    <w:rsid w:val="00CD44BC"/>
    <w:rsid w:val="00CD52C2"/>
    <w:rsid w:val="00CE0B1C"/>
    <w:rsid w:val="00CE3580"/>
    <w:rsid w:val="00CE3F6A"/>
    <w:rsid w:val="00CE403D"/>
    <w:rsid w:val="00CE405E"/>
    <w:rsid w:val="00CF105E"/>
    <w:rsid w:val="00CF30C5"/>
    <w:rsid w:val="00CF4069"/>
    <w:rsid w:val="00CF4E09"/>
    <w:rsid w:val="00CF5AD3"/>
    <w:rsid w:val="00CF6E52"/>
    <w:rsid w:val="00D005A8"/>
    <w:rsid w:val="00D0158D"/>
    <w:rsid w:val="00D03EF8"/>
    <w:rsid w:val="00D0417D"/>
    <w:rsid w:val="00D0609C"/>
    <w:rsid w:val="00D06622"/>
    <w:rsid w:val="00D07871"/>
    <w:rsid w:val="00D12405"/>
    <w:rsid w:val="00D17ED9"/>
    <w:rsid w:val="00D214AC"/>
    <w:rsid w:val="00D21B28"/>
    <w:rsid w:val="00D22524"/>
    <w:rsid w:val="00D25269"/>
    <w:rsid w:val="00D26BDB"/>
    <w:rsid w:val="00D30397"/>
    <w:rsid w:val="00D31AAF"/>
    <w:rsid w:val="00D33226"/>
    <w:rsid w:val="00D3670D"/>
    <w:rsid w:val="00D40D19"/>
    <w:rsid w:val="00D4118D"/>
    <w:rsid w:val="00D41D0E"/>
    <w:rsid w:val="00D436BE"/>
    <w:rsid w:val="00D43D23"/>
    <w:rsid w:val="00D44FE0"/>
    <w:rsid w:val="00D45F2D"/>
    <w:rsid w:val="00D46B6C"/>
    <w:rsid w:val="00D473DE"/>
    <w:rsid w:val="00D47500"/>
    <w:rsid w:val="00D529B7"/>
    <w:rsid w:val="00D52C78"/>
    <w:rsid w:val="00D52F4D"/>
    <w:rsid w:val="00D53B28"/>
    <w:rsid w:val="00D55882"/>
    <w:rsid w:val="00D55F5C"/>
    <w:rsid w:val="00D56703"/>
    <w:rsid w:val="00D56D0E"/>
    <w:rsid w:val="00D5700B"/>
    <w:rsid w:val="00D571FA"/>
    <w:rsid w:val="00D6223D"/>
    <w:rsid w:val="00D63D29"/>
    <w:rsid w:val="00D640E8"/>
    <w:rsid w:val="00D64A16"/>
    <w:rsid w:val="00D65544"/>
    <w:rsid w:val="00D6563A"/>
    <w:rsid w:val="00D6569A"/>
    <w:rsid w:val="00D6601F"/>
    <w:rsid w:val="00D6673C"/>
    <w:rsid w:val="00D66C16"/>
    <w:rsid w:val="00D707C5"/>
    <w:rsid w:val="00D70C07"/>
    <w:rsid w:val="00D737C7"/>
    <w:rsid w:val="00D755B9"/>
    <w:rsid w:val="00D77C87"/>
    <w:rsid w:val="00D829B6"/>
    <w:rsid w:val="00D858C3"/>
    <w:rsid w:val="00D85EDA"/>
    <w:rsid w:val="00D90984"/>
    <w:rsid w:val="00D94700"/>
    <w:rsid w:val="00D95384"/>
    <w:rsid w:val="00D95E2C"/>
    <w:rsid w:val="00D974D9"/>
    <w:rsid w:val="00DA09DE"/>
    <w:rsid w:val="00DA212B"/>
    <w:rsid w:val="00DA35AC"/>
    <w:rsid w:val="00DA4738"/>
    <w:rsid w:val="00DA4C8A"/>
    <w:rsid w:val="00DA63AC"/>
    <w:rsid w:val="00DA7133"/>
    <w:rsid w:val="00DA73BB"/>
    <w:rsid w:val="00DB0662"/>
    <w:rsid w:val="00DB1F70"/>
    <w:rsid w:val="00DB1FA0"/>
    <w:rsid w:val="00DB2060"/>
    <w:rsid w:val="00DB2B81"/>
    <w:rsid w:val="00DB3B37"/>
    <w:rsid w:val="00DB5155"/>
    <w:rsid w:val="00DB5DD8"/>
    <w:rsid w:val="00DC43BD"/>
    <w:rsid w:val="00DC595E"/>
    <w:rsid w:val="00DC5DE5"/>
    <w:rsid w:val="00DC716B"/>
    <w:rsid w:val="00DD0549"/>
    <w:rsid w:val="00DD1B0F"/>
    <w:rsid w:val="00DD2B2C"/>
    <w:rsid w:val="00DD4C97"/>
    <w:rsid w:val="00DD5044"/>
    <w:rsid w:val="00DD5CE9"/>
    <w:rsid w:val="00DD69D0"/>
    <w:rsid w:val="00DD6B89"/>
    <w:rsid w:val="00DE1CC8"/>
    <w:rsid w:val="00DE3458"/>
    <w:rsid w:val="00DE5B00"/>
    <w:rsid w:val="00DE7752"/>
    <w:rsid w:val="00DF1FA6"/>
    <w:rsid w:val="00DF542D"/>
    <w:rsid w:val="00DF704A"/>
    <w:rsid w:val="00DF705C"/>
    <w:rsid w:val="00E01358"/>
    <w:rsid w:val="00E01D94"/>
    <w:rsid w:val="00E025D5"/>
    <w:rsid w:val="00E03D9D"/>
    <w:rsid w:val="00E06AFB"/>
    <w:rsid w:val="00E10F9D"/>
    <w:rsid w:val="00E12986"/>
    <w:rsid w:val="00E12BC9"/>
    <w:rsid w:val="00E13EA5"/>
    <w:rsid w:val="00E16148"/>
    <w:rsid w:val="00E176F9"/>
    <w:rsid w:val="00E17B89"/>
    <w:rsid w:val="00E2113C"/>
    <w:rsid w:val="00E213D1"/>
    <w:rsid w:val="00E213F6"/>
    <w:rsid w:val="00E218E8"/>
    <w:rsid w:val="00E23CFA"/>
    <w:rsid w:val="00E23D5E"/>
    <w:rsid w:val="00E2593F"/>
    <w:rsid w:val="00E25ED1"/>
    <w:rsid w:val="00E26C72"/>
    <w:rsid w:val="00E30285"/>
    <w:rsid w:val="00E3337A"/>
    <w:rsid w:val="00E3447C"/>
    <w:rsid w:val="00E35DDD"/>
    <w:rsid w:val="00E375FE"/>
    <w:rsid w:val="00E5086C"/>
    <w:rsid w:val="00E50A1F"/>
    <w:rsid w:val="00E52544"/>
    <w:rsid w:val="00E536B7"/>
    <w:rsid w:val="00E5455B"/>
    <w:rsid w:val="00E57BB9"/>
    <w:rsid w:val="00E60C81"/>
    <w:rsid w:val="00E62DD7"/>
    <w:rsid w:val="00E63AC1"/>
    <w:rsid w:val="00E642AD"/>
    <w:rsid w:val="00E646E2"/>
    <w:rsid w:val="00E64F96"/>
    <w:rsid w:val="00E653FD"/>
    <w:rsid w:val="00E65588"/>
    <w:rsid w:val="00E65AA4"/>
    <w:rsid w:val="00E663F9"/>
    <w:rsid w:val="00E665FF"/>
    <w:rsid w:val="00E71B15"/>
    <w:rsid w:val="00E72F41"/>
    <w:rsid w:val="00E75C5C"/>
    <w:rsid w:val="00E771DA"/>
    <w:rsid w:val="00E7782F"/>
    <w:rsid w:val="00E80A7C"/>
    <w:rsid w:val="00E8162E"/>
    <w:rsid w:val="00E81A2A"/>
    <w:rsid w:val="00E84FCD"/>
    <w:rsid w:val="00E85C75"/>
    <w:rsid w:val="00E86224"/>
    <w:rsid w:val="00E865E9"/>
    <w:rsid w:val="00E878A5"/>
    <w:rsid w:val="00E87C2F"/>
    <w:rsid w:val="00E9003D"/>
    <w:rsid w:val="00E92958"/>
    <w:rsid w:val="00E9355D"/>
    <w:rsid w:val="00E958F8"/>
    <w:rsid w:val="00E9591A"/>
    <w:rsid w:val="00E97D3A"/>
    <w:rsid w:val="00EA0496"/>
    <w:rsid w:val="00EA6174"/>
    <w:rsid w:val="00EA6B81"/>
    <w:rsid w:val="00EA7B0D"/>
    <w:rsid w:val="00EB0276"/>
    <w:rsid w:val="00EB027D"/>
    <w:rsid w:val="00EB2A62"/>
    <w:rsid w:val="00EB2EF2"/>
    <w:rsid w:val="00EB3E37"/>
    <w:rsid w:val="00EB4886"/>
    <w:rsid w:val="00EB53EC"/>
    <w:rsid w:val="00EB582F"/>
    <w:rsid w:val="00EB7208"/>
    <w:rsid w:val="00EC07AA"/>
    <w:rsid w:val="00EC2339"/>
    <w:rsid w:val="00EC2541"/>
    <w:rsid w:val="00EC390A"/>
    <w:rsid w:val="00EC3EB4"/>
    <w:rsid w:val="00EC71D2"/>
    <w:rsid w:val="00ED5C9A"/>
    <w:rsid w:val="00ED67AE"/>
    <w:rsid w:val="00ED6955"/>
    <w:rsid w:val="00EE1E27"/>
    <w:rsid w:val="00EE2581"/>
    <w:rsid w:val="00EE78E8"/>
    <w:rsid w:val="00EF05B3"/>
    <w:rsid w:val="00EF12C2"/>
    <w:rsid w:val="00EF2824"/>
    <w:rsid w:val="00EF2AFA"/>
    <w:rsid w:val="00EF428F"/>
    <w:rsid w:val="00EF475B"/>
    <w:rsid w:val="00EF6AD0"/>
    <w:rsid w:val="00EF6FAA"/>
    <w:rsid w:val="00EF7F2D"/>
    <w:rsid w:val="00F00078"/>
    <w:rsid w:val="00F03249"/>
    <w:rsid w:val="00F04A0C"/>
    <w:rsid w:val="00F054D7"/>
    <w:rsid w:val="00F06598"/>
    <w:rsid w:val="00F070FD"/>
    <w:rsid w:val="00F12CFF"/>
    <w:rsid w:val="00F130D6"/>
    <w:rsid w:val="00F13373"/>
    <w:rsid w:val="00F14160"/>
    <w:rsid w:val="00F15D5F"/>
    <w:rsid w:val="00F16FA1"/>
    <w:rsid w:val="00F17587"/>
    <w:rsid w:val="00F2057A"/>
    <w:rsid w:val="00F246FA"/>
    <w:rsid w:val="00F300C9"/>
    <w:rsid w:val="00F32D2E"/>
    <w:rsid w:val="00F357B0"/>
    <w:rsid w:val="00F40A23"/>
    <w:rsid w:val="00F4119E"/>
    <w:rsid w:val="00F43361"/>
    <w:rsid w:val="00F454D1"/>
    <w:rsid w:val="00F5006B"/>
    <w:rsid w:val="00F51C01"/>
    <w:rsid w:val="00F5766D"/>
    <w:rsid w:val="00F618CB"/>
    <w:rsid w:val="00F61A1A"/>
    <w:rsid w:val="00F630F0"/>
    <w:rsid w:val="00F63EA2"/>
    <w:rsid w:val="00F63EC9"/>
    <w:rsid w:val="00F6503E"/>
    <w:rsid w:val="00F65730"/>
    <w:rsid w:val="00F65A0A"/>
    <w:rsid w:val="00F70AB1"/>
    <w:rsid w:val="00F7395C"/>
    <w:rsid w:val="00F746BF"/>
    <w:rsid w:val="00F77239"/>
    <w:rsid w:val="00F821E6"/>
    <w:rsid w:val="00F84320"/>
    <w:rsid w:val="00F8440F"/>
    <w:rsid w:val="00F859F5"/>
    <w:rsid w:val="00F8784B"/>
    <w:rsid w:val="00F87C2C"/>
    <w:rsid w:val="00F902C5"/>
    <w:rsid w:val="00F929F3"/>
    <w:rsid w:val="00F92D99"/>
    <w:rsid w:val="00F93C94"/>
    <w:rsid w:val="00F941B4"/>
    <w:rsid w:val="00F947D8"/>
    <w:rsid w:val="00F97DCE"/>
    <w:rsid w:val="00FA39E7"/>
    <w:rsid w:val="00FA57A4"/>
    <w:rsid w:val="00FA68A1"/>
    <w:rsid w:val="00FA73B0"/>
    <w:rsid w:val="00FA7E35"/>
    <w:rsid w:val="00FB0227"/>
    <w:rsid w:val="00FB4715"/>
    <w:rsid w:val="00FB56E9"/>
    <w:rsid w:val="00FB5C88"/>
    <w:rsid w:val="00FB5C8A"/>
    <w:rsid w:val="00FB75D2"/>
    <w:rsid w:val="00FB7A37"/>
    <w:rsid w:val="00FC387E"/>
    <w:rsid w:val="00FC3CFC"/>
    <w:rsid w:val="00FC5770"/>
    <w:rsid w:val="00FC78DA"/>
    <w:rsid w:val="00FD0981"/>
    <w:rsid w:val="00FD158E"/>
    <w:rsid w:val="00FD329A"/>
    <w:rsid w:val="00FD40BA"/>
    <w:rsid w:val="00FD5169"/>
    <w:rsid w:val="00FD521A"/>
    <w:rsid w:val="00FD5436"/>
    <w:rsid w:val="00FD61B2"/>
    <w:rsid w:val="00FD666B"/>
    <w:rsid w:val="00FD7190"/>
    <w:rsid w:val="00FE1233"/>
    <w:rsid w:val="00FE20F1"/>
    <w:rsid w:val="00FE31EE"/>
    <w:rsid w:val="00FE57C5"/>
    <w:rsid w:val="00FE5ADF"/>
    <w:rsid w:val="00FE7C6B"/>
    <w:rsid w:val="00FE7E17"/>
    <w:rsid w:val="00FF0BBB"/>
    <w:rsid w:val="00FF20B4"/>
    <w:rsid w:val="00FF7C9E"/>
    <w:rsid w:val="089B33F9"/>
    <w:rsid w:val="27DC799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qFormat="1" w:uiPriority="99" w:semiHidden="0"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qFormat="1" w:uiPriority="99" w:semiHidden="0" w:name="table of figures"/>
    <w:lsdException w:uiPriority="99" w:name="envelope address"/>
    <w:lsdException w:uiPriority="99" w:name="envelope return"/>
    <w:lsdException w:qFormat="1"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qFormat="1" w:unhideWhenUsed="0" w:uiPriority="99" w:name="Placeholder Text"/>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480" w:lineRule="auto"/>
      <w:ind w:firstLine="720"/>
      <w:jc w:val="both"/>
    </w:pPr>
    <w:rPr>
      <w:rFonts w:ascii="Times New Roman" w:hAnsi="Times New Roman" w:eastAsiaTheme="minorEastAsia" w:cstheme="minorBidi"/>
      <w:sz w:val="24"/>
      <w:szCs w:val="22"/>
      <w:lang w:val="en-AU" w:eastAsia="en-US" w:bidi="ar-SA"/>
    </w:rPr>
  </w:style>
  <w:style w:type="paragraph" w:styleId="2">
    <w:name w:val="heading 1"/>
    <w:basedOn w:val="1"/>
    <w:next w:val="1"/>
    <w:link w:val="32"/>
    <w:qFormat/>
    <w:uiPriority w:val="9"/>
    <w:pPr>
      <w:keepNext/>
      <w:keepLines/>
      <w:numPr>
        <w:ilvl w:val="0"/>
        <w:numId w:val="1"/>
      </w:numPr>
      <w:spacing w:before="360"/>
      <w:jc w:val="center"/>
      <w:outlineLvl w:val="0"/>
    </w:pPr>
    <w:rPr>
      <w:rFonts w:eastAsiaTheme="majorEastAsia" w:cstheme="majorBidi"/>
      <w:b/>
      <w:bCs/>
      <w:color w:val="000000" w:themeColor="text1"/>
      <w:szCs w:val="36"/>
      <w14:textFill>
        <w14:solidFill>
          <w14:schemeClr w14:val="tx1"/>
        </w14:solidFill>
      </w14:textFill>
    </w:rPr>
  </w:style>
  <w:style w:type="paragraph" w:styleId="3">
    <w:name w:val="heading 2"/>
    <w:basedOn w:val="1"/>
    <w:next w:val="1"/>
    <w:link w:val="36"/>
    <w:unhideWhenUsed/>
    <w:qFormat/>
    <w:uiPriority w:val="9"/>
    <w:pPr>
      <w:keepNext/>
      <w:keepLines/>
      <w:numPr>
        <w:ilvl w:val="1"/>
        <w:numId w:val="1"/>
      </w:numPr>
      <w:spacing w:before="360" w:after="0"/>
      <w:outlineLvl w:val="1"/>
    </w:pPr>
    <w:rPr>
      <w:rFonts w:eastAsiaTheme="majorEastAsia" w:cstheme="majorBidi"/>
      <w:b/>
      <w:bCs/>
      <w:color w:val="000000" w:themeColor="text1"/>
      <w:szCs w:val="28"/>
      <w14:textFill>
        <w14:solidFill>
          <w14:schemeClr w14:val="tx1"/>
        </w14:solidFill>
      </w14:textFill>
    </w:rPr>
  </w:style>
  <w:style w:type="paragraph" w:styleId="4">
    <w:name w:val="heading 3"/>
    <w:basedOn w:val="1"/>
    <w:next w:val="1"/>
    <w:link w:val="37"/>
    <w:unhideWhenUsed/>
    <w:qFormat/>
    <w:uiPriority w:val="9"/>
    <w:pPr>
      <w:keepNext/>
      <w:keepLines/>
      <w:numPr>
        <w:ilvl w:val="2"/>
        <w:numId w:val="1"/>
      </w:numPr>
      <w:spacing w:before="200" w:after="0"/>
      <w:outlineLvl w:val="2"/>
    </w:pPr>
    <w:rPr>
      <w:rFonts w:eastAsiaTheme="majorEastAsia" w:cstheme="majorBidi"/>
      <w:b/>
      <w:bCs/>
      <w:i/>
      <w:color w:val="000000" w:themeColor="text1"/>
      <w14:textFill>
        <w14:solidFill>
          <w14:schemeClr w14:val="tx1"/>
        </w14:solidFill>
      </w14:textFill>
    </w:rPr>
  </w:style>
  <w:style w:type="paragraph" w:styleId="5">
    <w:name w:val="heading 4"/>
    <w:basedOn w:val="1"/>
    <w:next w:val="1"/>
    <w:link w:val="39"/>
    <w:unhideWhenUsed/>
    <w:qFormat/>
    <w:uiPriority w:val="9"/>
    <w:pPr>
      <w:keepNext/>
      <w:keepLines/>
      <w:numPr>
        <w:ilvl w:val="3"/>
        <w:numId w:val="1"/>
      </w:numPr>
      <w:spacing w:before="200" w:after="0"/>
      <w:outlineLvl w:val="3"/>
    </w:pPr>
    <w:rPr>
      <w:rFonts w:eastAsiaTheme="majorEastAsia" w:cstheme="majorBidi"/>
      <w:b/>
      <w:bCs/>
      <w:i/>
      <w:iCs/>
      <w:color w:val="000000" w:themeColor="text1"/>
      <w14:textFill>
        <w14:solidFill>
          <w14:schemeClr w14:val="tx1"/>
        </w14:solidFill>
      </w14:textFill>
    </w:rPr>
  </w:style>
  <w:style w:type="paragraph" w:styleId="6">
    <w:name w:val="heading 5"/>
    <w:basedOn w:val="1"/>
    <w:next w:val="1"/>
    <w:link w:val="40"/>
    <w:semiHidden/>
    <w:unhideWhenUsed/>
    <w:qFormat/>
    <w:uiPriority w:val="9"/>
    <w:pPr>
      <w:keepNext/>
      <w:keepLines/>
      <w:numPr>
        <w:ilvl w:val="4"/>
        <w:numId w:val="1"/>
      </w:numPr>
      <w:spacing w:before="200" w:after="0"/>
      <w:outlineLvl w:val="4"/>
    </w:pPr>
    <w:rPr>
      <w:rFonts w:eastAsiaTheme="majorEastAsia" w:cstheme="majorBidi"/>
      <w:color w:val="333F50" w:themeColor="text2" w:themeShade="BF"/>
    </w:rPr>
  </w:style>
  <w:style w:type="paragraph" w:styleId="7">
    <w:name w:val="heading 6"/>
    <w:basedOn w:val="1"/>
    <w:next w:val="1"/>
    <w:link w:val="41"/>
    <w:semiHidden/>
    <w:unhideWhenUsed/>
    <w:qFormat/>
    <w:uiPriority w:val="9"/>
    <w:pPr>
      <w:keepNext/>
      <w:keepLines/>
      <w:numPr>
        <w:ilvl w:val="5"/>
        <w:numId w:val="1"/>
      </w:numPr>
      <w:spacing w:before="200" w:after="0"/>
      <w:outlineLvl w:val="5"/>
    </w:pPr>
    <w:rPr>
      <w:rFonts w:eastAsiaTheme="majorEastAsia" w:cstheme="majorBidi"/>
      <w:i/>
      <w:iCs/>
      <w:color w:val="333F50" w:themeColor="text2" w:themeShade="BF"/>
    </w:rPr>
  </w:style>
  <w:style w:type="paragraph" w:styleId="8">
    <w:name w:val="heading 7"/>
    <w:basedOn w:val="1"/>
    <w:next w:val="1"/>
    <w:link w:val="42"/>
    <w:semiHidden/>
    <w:unhideWhenUsed/>
    <w:qFormat/>
    <w:uiPriority w:val="9"/>
    <w:pPr>
      <w:keepNext/>
      <w:keepLines/>
      <w:numPr>
        <w:ilvl w:val="6"/>
        <w:numId w:val="1"/>
      </w:numPr>
      <w:spacing w:before="200" w:after="0"/>
      <w:outlineLvl w:val="6"/>
    </w:pPr>
    <w:rPr>
      <w:rFonts w:eastAsiaTheme="majorEastAsia" w:cstheme="majorBidi"/>
      <w:i/>
      <w:iCs/>
      <w:color w:val="404040" w:themeColor="text1" w:themeTint="BF"/>
      <w14:textFill>
        <w14:solidFill>
          <w14:schemeClr w14:val="tx1">
            <w14:lumMod w14:val="75000"/>
            <w14:lumOff w14:val="25000"/>
          </w14:schemeClr>
        </w14:solidFill>
      </w14:textFill>
    </w:rPr>
  </w:style>
  <w:style w:type="paragraph" w:styleId="9">
    <w:name w:val="heading 8"/>
    <w:basedOn w:val="1"/>
    <w:next w:val="1"/>
    <w:link w:val="43"/>
    <w:semiHidden/>
    <w:unhideWhenUsed/>
    <w:qFormat/>
    <w:uiPriority w:val="9"/>
    <w:pPr>
      <w:keepNext/>
      <w:keepLines/>
      <w:numPr>
        <w:ilvl w:val="7"/>
        <w:numId w:val="1"/>
      </w:numPr>
      <w:spacing w:before="200" w:after="0"/>
      <w:outlineLvl w:val="7"/>
    </w:pPr>
    <w:rPr>
      <w:rFonts w:eastAsiaTheme="majorEastAsia" w:cstheme="majorBidi"/>
      <w:color w:val="404040" w:themeColor="text1" w:themeTint="BF"/>
      <w:sz w:val="20"/>
      <w:szCs w:val="20"/>
      <w14:textFill>
        <w14:solidFill>
          <w14:schemeClr w14:val="tx1">
            <w14:lumMod w14:val="75000"/>
            <w14:lumOff w14:val="25000"/>
          </w14:schemeClr>
        </w14:solidFill>
      </w14:textFill>
    </w:rPr>
  </w:style>
  <w:style w:type="paragraph" w:styleId="10">
    <w:name w:val="heading 9"/>
    <w:basedOn w:val="1"/>
    <w:next w:val="1"/>
    <w:link w:val="44"/>
    <w:semiHidden/>
    <w:unhideWhenUsed/>
    <w:qFormat/>
    <w:uiPriority w:val="9"/>
    <w:pPr>
      <w:keepNext/>
      <w:keepLines/>
      <w:numPr>
        <w:ilvl w:val="8"/>
        <w:numId w:val="1"/>
      </w:numPr>
      <w:spacing w:before="200" w:after="0"/>
      <w:outlineLvl w:val="8"/>
    </w:pPr>
    <w:rPr>
      <w:rFonts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default="1" w:styleId="11">
    <w:name w:val="Default Paragraph Font"/>
    <w:unhideWhenUsed/>
    <w:qFormat/>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13">
    <w:name w:val="Balloon Text"/>
    <w:basedOn w:val="1"/>
    <w:link w:val="38"/>
    <w:semiHidden/>
    <w:unhideWhenUsed/>
    <w:qFormat/>
    <w:uiPriority w:val="99"/>
    <w:pPr>
      <w:spacing w:after="0" w:line="240" w:lineRule="auto"/>
    </w:pPr>
    <w:rPr>
      <w:rFonts w:ascii="Segoe UI" w:hAnsi="Segoe UI" w:cs="Segoe UI"/>
      <w:sz w:val="18"/>
      <w:szCs w:val="18"/>
    </w:rPr>
  </w:style>
  <w:style w:type="paragraph" w:styleId="14">
    <w:name w:val="caption"/>
    <w:basedOn w:val="1"/>
    <w:next w:val="1"/>
    <w:semiHidden/>
    <w:unhideWhenUsed/>
    <w:qFormat/>
    <w:uiPriority w:val="35"/>
    <w:pPr>
      <w:spacing w:after="200" w:line="240" w:lineRule="auto"/>
    </w:pPr>
    <w:rPr>
      <w:i/>
      <w:iCs/>
      <w:color w:val="44546A" w:themeColor="text2"/>
      <w:sz w:val="18"/>
      <w:szCs w:val="18"/>
      <w14:textFill>
        <w14:solidFill>
          <w14:schemeClr w14:val="tx2"/>
        </w14:solidFill>
      </w14:textFill>
    </w:rPr>
  </w:style>
  <w:style w:type="character" w:styleId="15">
    <w:name w:val="Emphasis"/>
    <w:basedOn w:val="11"/>
    <w:qFormat/>
    <w:uiPriority w:val="20"/>
    <w:rPr>
      <w:i/>
      <w:iCs/>
      <w:color w:val="auto"/>
    </w:rPr>
  </w:style>
  <w:style w:type="character" w:styleId="16">
    <w:name w:val="FollowedHyperlink"/>
    <w:basedOn w:val="11"/>
    <w:semiHidden/>
    <w:unhideWhenUsed/>
    <w:qFormat/>
    <w:uiPriority w:val="99"/>
    <w:rPr>
      <w:color w:val="954F72" w:themeColor="followedHyperlink"/>
      <w:u w:val="single"/>
      <w14:textFill>
        <w14:solidFill>
          <w14:schemeClr w14:val="folHlink"/>
        </w14:solidFill>
      </w14:textFill>
    </w:rPr>
  </w:style>
  <w:style w:type="paragraph" w:styleId="17">
    <w:name w:val="footer"/>
    <w:basedOn w:val="1"/>
    <w:link w:val="62"/>
    <w:unhideWhenUsed/>
    <w:qFormat/>
    <w:uiPriority w:val="99"/>
    <w:pPr>
      <w:tabs>
        <w:tab w:val="center" w:pos="4513"/>
        <w:tab w:val="right" w:pos="9026"/>
      </w:tabs>
      <w:spacing w:after="0" w:line="240" w:lineRule="auto"/>
    </w:pPr>
  </w:style>
  <w:style w:type="character" w:styleId="18">
    <w:name w:val="footnote reference"/>
    <w:basedOn w:val="11"/>
    <w:semiHidden/>
    <w:unhideWhenUsed/>
    <w:qFormat/>
    <w:uiPriority w:val="99"/>
    <w:rPr>
      <w:vertAlign w:val="superscript"/>
    </w:rPr>
  </w:style>
  <w:style w:type="paragraph" w:styleId="19">
    <w:name w:val="footnote text"/>
    <w:basedOn w:val="1"/>
    <w:link w:val="60"/>
    <w:unhideWhenUsed/>
    <w:qFormat/>
    <w:uiPriority w:val="99"/>
    <w:pPr>
      <w:spacing w:after="0" w:line="240" w:lineRule="auto"/>
    </w:pPr>
    <w:rPr>
      <w:sz w:val="20"/>
      <w:szCs w:val="20"/>
    </w:rPr>
  </w:style>
  <w:style w:type="paragraph" w:styleId="20">
    <w:name w:val="header"/>
    <w:basedOn w:val="1"/>
    <w:link w:val="61"/>
    <w:unhideWhenUsed/>
    <w:qFormat/>
    <w:uiPriority w:val="99"/>
    <w:pPr>
      <w:tabs>
        <w:tab w:val="center" w:pos="4513"/>
        <w:tab w:val="right" w:pos="9026"/>
      </w:tabs>
      <w:spacing w:after="0" w:line="240" w:lineRule="auto"/>
    </w:pPr>
  </w:style>
  <w:style w:type="character" w:styleId="21">
    <w:name w:val="Hyperlink"/>
    <w:basedOn w:val="11"/>
    <w:unhideWhenUsed/>
    <w:qFormat/>
    <w:uiPriority w:val="99"/>
    <w:rPr>
      <w:color w:val="0000FF"/>
      <w:u w:val="single"/>
    </w:rPr>
  </w:style>
  <w:style w:type="paragraph" w:styleId="22">
    <w:name w:val="Normal (Web)"/>
    <w:basedOn w:val="1"/>
    <w:unhideWhenUsed/>
    <w:qFormat/>
    <w:uiPriority w:val="99"/>
    <w:pPr>
      <w:spacing w:before="100" w:beforeAutospacing="1" w:after="100" w:afterAutospacing="1" w:line="240" w:lineRule="auto"/>
    </w:pPr>
    <w:rPr>
      <w:rFonts w:eastAsia="Times New Roman" w:cs="Times New Roman"/>
      <w:szCs w:val="24"/>
      <w:lang w:eastAsia="en-AU"/>
    </w:rPr>
  </w:style>
  <w:style w:type="character" w:styleId="23">
    <w:name w:val="Strong"/>
    <w:basedOn w:val="11"/>
    <w:qFormat/>
    <w:uiPriority w:val="22"/>
    <w:rPr>
      <w:b/>
      <w:bCs/>
      <w:color w:val="000000" w:themeColor="text1"/>
      <w14:textFill>
        <w14:solidFill>
          <w14:schemeClr w14:val="tx1"/>
        </w14:solidFill>
      </w14:textFill>
    </w:rPr>
  </w:style>
  <w:style w:type="paragraph" w:styleId="24">
    <w:name w:val="Subtitle"/>
    <w:basedOn w:val="1"/>
    <w:next w:val="1"/>
    <w:link w:val="46"/>
    <w:qFormat/>
    <w:uiPriority w:val="11"/>
    <w:pPr>
      <w:ind w:firstLine="720"/>
    </w:pPr>
    <w:rPr>
      <w:color w:val="595959" w:themeColor="text1" w:themeTint="A6"/>
      <w:spacing w:val="10"/>
      <w14:textFill>
        <w14:solidFill>
          <w14:schemeClr w14:val="tx1">
            <w14:lumMod w14:val="65000"/>
            <w14:lumOff w14:val="35000"/>
          </w14:schemeClr>
        </w14:solidFill>
      </w14:textFill>
    </w:rPr>
  </w:style>
  <w:style w:type="table" w:styleId="25">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6">
    <w:name w:val="table of figures"/>
    <w:basedOn w:val="1"/>
    <w:next w:val="1"/>
    <w:unhideWhenUsed/>
    <w:qFormat/>
    <w:uiPriority w:val="99"/>
    <w:pPr>
      <w:spacing w:after="0"/>
    </w:pPr>
  </w:style>
  <w:style w:type="paragraph" w:styleId="27">
    <w:name w:val="Title"/>
    <w:basedOn w:val="1"/>
    <w:next w:val="1"/>
    <w:link w:val="45"/>
    <w:qFormat/>
    <w:uiPriority w:val="10"/>
    <w:pPr>
      <w:spacing w:after="0"/>
      <w:contextualSpacing/>
    </w:pPr>
    <w:rPr>
      <w:rFonts w:eastAsiaTheme="majorEastAsia" w:cstheme="majorBidi"/>
      <w:color w:val="000000" w:themeColor="text1"/>
      <w:sz w:val="56"/>
      <w:szCs w:val="56"/>
      <w14:textFill>
        <w14:solidFill>
          <w14:schemeClr w14:val="tx1"/>
        </w14:solidFill>
      </w14:textFill>
    </w:rPr>
  </w:style>
  <w:style w:type="paragraph" w:styleId="28">
    <w:name w:val="toc 1"/>
    <w:basedOn w:val="1"/>
    <w:next w:val="1"/>
    <w:autoRedefine/>
    <w:unhideWhenUsed/>
    <w:qFormat/>
    <w:uiPriority w:val="39"/>
    <w:pPr>
      <w:spacing w:after="100"/>
    </w:pPr>
  </w:style>
  <w:style w:type="paragraph" w:styleId="29">
    <w:name w:val="toc 2"/>
    <w:basedOn w:val="1"/>
    <w:next w:val="1"/>
    <w:autoRedefine/>
    <w:unhideWhenUsed/>
    <w:qFormat/>
    <w:uiPriority w:val="39"/>
    <w:pPr>
      <w:spacing w:after="100"/>
      <w:ind w:left="240"/>
    </w:pPr>
  </w:style>
  <w:style w:type="paragraph" w:styleId="30">
    <w:name w:val="toc 3"/>
    <w:basedOn w:val="1"/>
    <w:next w:val="1"/>
    <w:autoRedefine/>
    <w:unhideWhenUsed/>
    <w:qFormat/>
    <w:uiPriority w:val="39"/>
    <w:pPr>
      <w:spacing w:after="100"/>
      <w:ind w:left="480"/>
    </w:pPr>
  </w:style>
  <w:style w:type="paragraph" w:styleId="31">
    <w:name w:val="List Paragraph"/>
    <w:basedOn w:val="1"/>
    <w:qFormat/>
    <w:uiPriority w:val="34"/>
    <w:pPr>
      <w:ind w:left="720"/>
      <w:contextualSpacing/>
    </w:pPr>
  </w:style>
  <w:style w:type="character" w:customStyle="1" w:styleId="32">
    <w:name w:val="Heading 1 Char"/>
    <w:basedOn w:val="11"/>
    <w:link w:val="2"/>
    <w:qFormat/>
    <w:uiPriority w:val="9"/>
    <w:rPr>
      <w:rFonts w:ascii="Times New Roman" w:hAnsi="Times New Roman" w:eastAsiaTheme="majorEastAsia" w:cstheme="majorBidi"/>
      <w:b/>
      <w:bCs/>
      <w:color w:val="000000" w:themeColor="text1"/>
      <w:sz w:val="24"/>
      <w:szCs w:val="36"/>
      <w14:textFill>
        <w14:solidFill>
          <w14:schemeClr w14:val="tx1"/>
        </w14:solidFill>
      </w14:textFill>
    </w:rPr>
  </w:style>
  <w:style w:type="paragraph" w:customStyle="1" w:styleId="33">
    <w:name w:val="cursor-hover"/>
    <w:basedOn w:val="1"/>
    <w:qFormat/>
    <w:uiPriority w:val="0"/>
    <w:pPr>
      <w:spacing w:before="100" w:beforeAutospacing="1" w:after="100" w:afterAutospacing="1" w:line="240" w:lineRule="auto"/>
    </w:pPr>
    <w:rPr>
      <w:rFonts w:eastAsia="Times New Roman" w:cs="Times New Roman"/>
      <w:szCs w:val="24"/>
      <w:lang w:eastAsia="en-AU"/>
    </w:rPr>
  </w:style>
  <w:style w:type="paragraph" w:customStyle="1" w:styleId="34">
    <w:name w:val="HTML Top of Form"/>
    <w:basedOn w:val="1"/>
    <w:next w:val="1"/>
    <w:link w:val="35"/>
    <w:semiHidden/>
    <w:unhideWhenUsed/>
    <w:qFormat/>
    <w:uiPriority w:val="99"/>
    <w:pPr>
      <w:pBdr>
        <w:bottom w:val="single" w:color="auto" w:sz="6" w:space="1"/>
      </w:pBdr>
      <w:spacing w:after="0" w:line="240" w:lineRule="auto"/>
      <w:jc w:val="center"/>
    </w:pPr>
    <w:rPr>
      <w:rFonts w:ascii="Arial" w:hAnsi="Arial" w:eastAsia="Times New Roman" w:cs="Arial"/>
      <w:vanish/>
      <w:sz w:val="16"/>
      <w:szCs w:val="16"/>
      <w:lang w:eastAsia="en-AU"/>
    </w:rPr>
  </w:style>
  <w:style w:type="character" w:customStyle="1" w:styleId="35">
    <w:name w:val="z-Top of Form Char"/>
    <w:basedOn w:val="11"/>
    <w:link w:val="34"/>
    <w:semiHidden/>
    <w:qFormat/>
    <w:uiPriority w:val="99"/>
    <w:rPr>
      <w:rFonts w:ascii="Arial" w:hAnsi="Arial" w:eastAsia="Times New Roman" w:cs="Arial"/>
      <w:vanish/>
      <w:sz w:val="16"/>
      <w:szCs w:val="16"/>
      <w:lang w:eastAsia="en-AU"/>
    </w:rPr>
  </w:style>
  <w:style w:type="character" w:customStyle="1" w:styleId="36">
    <w:name w:val="Heading 2 Char"/>
    <w:basedOn w:val="11"/>
    <w:link w:val="3"/>
    <w:qFormat/>
    <w:uiPriority w:val="9"/>
    <w:rPr>
      <w:rFonts w:ascii="Times New Roman" w:hAnsi="Times New Roman" w:eastAsiaTheme="majorEastAsia" w:cstheme="majorBidi"/>
      <w:b/>
      <w:bCs/>
      <w:color w:val="000000" w:themeColor="text1"/>
      <w:sz w:val="24"/>
      <w:szCs w:val="28"/>
      <w14:textFill>
        <w14:solidFill>
          <w14:schemeClr w14:val="tx1"/>
        </w14:solidFill>
      </w14:textFill>
    </w:rPr>
  </w:style>
  <w:style w:type="character" w:customStyle="1" w:styleId="37">
    <w:name w:val="Heading 3 Char"/>
    <w:basedOn w:val="11"/>
    <w:link w:val="4"/>
    <w:qFormat/>
    <w:uiPriority w:val="9"/>
    <w:rPr>
      <w:rFonts w:ascii="Times New Roman" w:hAnsi="Times New Roman" w:eastAsiaTheme="majorEastAsia" w:cstheme="majorBidi"/>
      <w:b/>
      <w:bCs/>
      <w:i/>
      <w:color w:val="000000" w:themeColor="text1"/>
      <w:sz w:val="24"/>
      <w14:textFill>
        <w14:solidFill>
          <w14:schemeClr w14:val="tx1"/>
        </w14:solidFill>
      </w14:textFill>
    </w:rPr>
  </w:style>
  <w:style w:type="character" w:customStyle="1" w:styleId="38">
    <w:name w:val="Balloon Text Char"/>
    <w:basedOn w:val="11"/>
    <w:link w:val="13"/>
    <w:semiHidden/>
    <w:qFormat/>
    <w:uiPriority w:val="99"/>
    <w:rPr>
      <w:rFonts w:ascii="Segoe UI" w:hAnsi="Segoe UI" w:cs="Segoe UI"/>
      <w:sz w:val="18"/>
      <w:szCs w:val="18"/>
      <w:lang w:val="en-US"/>
    </w:rPr>
  </w:style>
  <w:style w:type="character" w:customStyle="1" w:styleId="39">
    <w:name w:val="Heading 4 Char"/>
    <w:basedOn w:val="11"/>
    <w:link w:val="5"/>
    <w:qFormat/>
    <w:uiPriority w:val="9"/>
    <w:rPr>
      <w:rFonts w:ascii="Times New Roman" w:hAnsi="Times New Roman" w:eastAsiaTheme="majorEastAsia" w:cstheme="majorBidi"/>
      <w:b/>
      <w:bCs/>
      <w:i/>
      <w:iCs/>
      <w:color w:val="000000" w:themeColor="text1"/>
      <w:sz w:val="24"/>
      <w14:textFill>
        <w14:solidFill>
          <w14:schemeClr w14:val="tx1"/>
        </w14:solidFill>
      </w14:textFill>
    </w:rPr>
  </w:style>
  <w:style w:type="character" w:customStyle="1" w:styleId="40">
    <w:name w:val="Heading 5 Char"/>
    <w:basedOn w:val="11"/>
    <w:link w:val="6"/>
    <w:semiHidden/>
    <w:qFormat/>
    <w:uiPriority w:val="9"/>
    <w:rPr>
      <w:rFonts w:ascii="Times New Roman" w:hAnsi="Times New Roman" w:eastAsiaTheme="majorEastAsia" w:cstheme="majorBidi"/>
      <w:color w:val="333F50" w:themeColor="text2" w:themeShade="BF"/>
      <w:sz w:val="24"/>
    </w:rPr>
  </w:style>
  <w:style w:type="character" w:customStyle="1" w:styleId="41">
    <w:name w:val="Heading 6 Char"/>
    <w:basedOn w:val="11"/>
    <w:link w:val="7"/>
    <w:semiHidden/>
    <w:qFormat/>
    <w:uiPriority w:val="9"/>
    <w:rPr>
      <w:rFonts w:ascii="Times New Roman" w:hAnsi="Times New Roman" w:eastAsiaTheme="majorEastAsia" w:cstheme="majorBidi"/>
      <w:i/>
      <w:iCs/>
      <w:color w:val="333F50" w:themeColor="text2" w:themeShade="BF"/>
      <w:sz w:val="24"/>
    </w:rPr>
  </w:style>
  <w:style w:type="character" w:customStyle="1" w:styleId="42">
    <w:name w:val="Heading 7 Char"/>
    <w:basedOn w:val="11"/>
    <w:link w:val="8"/>
    <w:semiHidden/>
    <w:qFormat/>
    <w:uiPriority w:val="9"/>
    <w:rPr>
      <w:rFonts w:ascii="Times New Roman" w:hAnsi="Times New Roman" w:eastAsiaTheme="majorEastAsia" w:cstheme="majorBidi"/>
      <w:i/>
      <w:iCs/>
      <w:color w:val="404040" w:themeColor="text1" w:themeTint="BF"/>
      <w:sz w:val="24"/>
      <w14:textFill>
        <w14:solidFill>
          <w14:schemeClr w14:val="tx1">
            <w14:lumMod w14:val="75000"/>
            <w14:lumOff w14:val="25000"/>
          </w14:schemeClr>
        </w14:solidFill>
      </w14:textFill>
    </w:rPr>
  </w:style>
  <w:style w:type="character" w:customStyle="1" w:styleId="43">
    <w:name w:val="Heading 8 Char"/>
    <w:basedOn w:val="11"/>
    <w:link w:val="9"/>
    <w:semiHidden/>
    <w:qFormat/>
    <w:uiPriority w:val="9"/>
    <w:rPr>
      <w:rFonts w:ascii="Times New Roman" w:hAnsi="Times New Roman" w:eastAsiaTheme="majorEastAsia" w:cstheme="majorBidi"/>
      <w:color w:val="404040" w:themeColor="text1" w:themeTint="BF"/>
      <w:sz w:val="20"/>
      <w:szCs w:val="20"/>
      <w14:textFill>
        <w14:solidFill>
          <w14:schemeClr w14:val="tx1">
            <w14:lumMod w14:val="75000"/>
            <w14:lumOff w14:val="25000"/>
          </w14:schemeClr>
        </w14:solidFill>
      </w14:textFill>
    </w:rPr>
  </w:style>
  <w:style w:type="character" w:customStyle="1" w:styleId="44">
    <w:name w:val="Heading 9 Char"/>
    <w:basedOn w:val="11"/>
    <w:link w:val="10"/>
    <w:semiHidden/>
    <w:qFormat/>
    <w:uiPriority w:val="9"/>
    <w:rPr>
      <w:rFonts w:ascii="Times New Roman" w:hAnsi="Times New Roman" w:eastAsiaTheme="majorEastAsia" w:cstheme="majorBidi"/>
      <w:i/>
      <w:iCs/>
      <w:color w:val="404040" w:themeColor="text1" w:themeTint="BF"/>
      <w:sz w:val="20"/>
      <w:szCs w:val="20"/>
      <w14:textFill>
        <w14:solidFill>
          <w14:schemeClr w14:val="tx1">
            <w14:lumMod w14:val="75000"/>
            <w14:lumOff w14:val="25000"/>
          </w14:schemeClr>
        </w14:solidFill>
      </w14:textFill>
    </w:rPr>
  </w:style>
  <w:style w:type="character" w:customStyle="1" w:styleId="45">
    <w:name w:val="Title Char"/>
    <w:basedOn w:val="11"/>
    <w:link w:val="27"/>
    <w:qFormat/>
    <w:uiPriority w:val="10"/>
    <w:rPr>
      <w:rFonts w:asciiTheme="majorHAnsi" w:hAnsiTheme="majorHAnsi" w:eastAsiaTheme="majorEastAsia" w:cstheme="majorBidi"/>
      <w:color w:val="000000" w:themeColor="text1"/>
      <w:sz w:val="56"/>
      <w:szCs w:val="56"/>
      <w14:textFill>
        <w14:solidFill>
          <w14:schemeClr w14:val="tx1"/>
        </w14:solidFill>
      </w14:textFill>
    </w:rPr>
  </w:style>
  <w:style w:type="character" w:customStyle="1" w:styleId="46">
    <w:name w:val="Subtitle Char"/>
    <w:basedOn w:val="11"/>
    <w:link w:val="24"/>
    <w:qFormat/>
    <w:uiPriority w:val="11"/>
    <w:rPr>
      <w:color w:val="595959" w:themeColor="text1" w:themeTint="A6"/>
      <w:spacing w:val="10"/>
      <w14:textFill>
        <w14:solidFill>
          <w14:schemeClr w14:val="tx1">
            <w14:lumMod w14:val="65000"/>
            <w14:lumOff w14:val="35000"/>
          </w14:schemeClr>
        </w14:solidFill>
      </w14:textFill>
    </w:rPr>
  </w:style>
  <w:style w:type="paragraph" w:styleId="47">
    <w:name w:val="No Spacing"/>
    <w:qFormat/>
    <w:uiPriority w:val="1"/>
    <w:pPr>
      <w:spacing w:after="0" w:line="480" w:lineRule="auto"/>
      <w:jc w:val="center"/>
    </w:pPr>
    <w:rPr>
      <w:rFonts w:asciiTheme="majorHAnsi" w:hAnsiTheme="majorHAnsi" w:eastAsiaTheme="minorEastAsia" w:cstheme="minorBidi"/>
      <w:sz w:val="24"/>
      <w:szCs w:val="22"/>
      <w:lang w:val="en-AU" w:eastAsia="en-US" w:bidi="ar-SA"/>
    </w:rPr>
  </w:style>
  <w:style w:type="paragraph" w:styleId="48">
    <w:name w:val="Quote"/>
    <w:basedOn w:val="1"/>
    <w:next w:val="1"/>
    <w:link w:val="49"/>
    <w:qFormat/>
    <w:uiPriority w:val="29"/>
    <w:pPr>
      <w:spacing w:before="160"/>
      <w:ind w:right="720"/>
    </w:pPr>
    <w:rPr>
      <w:i/>
      <w:iCs/>
      <w:color w:val="000000" w:themeColor="text1"/>
      <w:sz w:val="20"/>
      <w14:textFill>
        <w14:solidFill>
          <w14:schemeClr w14:val="tx1"/>
        </w14:solidFill>
      </w14:textFill>
    </w:rPr>
  </w:style>
  <w:style w:type="character" w:customStyle="1" w:styleId="49">
    <w:name w:val="Quote Char"/>
    <w:basedOn w:val="11"/>
    <w:link w:val="48"/>
    <w:qFormat/>
    <w:uiPriority w:val="29"/>
    <w:rPr>
      <w:rFonts w:ascii="Times New Roman" w:hAnsi="Times New Roman"/>
      <w:i/>
      <w:iCs/>
      <w:color w:val="000000" w:themeColor="text1"/>
      <w:sz w:val="20"/>
      <w14:textFill>
        <w14:solidFill>
          <w14:schemeClr w14:val="tx1"/>
        </w14:solidFill>
      </w14:textFill>
    </w:rPr>
  </w:style>
  <w:style w:type="paragraph" w:styleId="50">
    <w:name w:val="Intense Quote"/>
    <w:basedOn w:val="1"/>
    <w:next w:val="1"/>
    <w:link w:val="51"/>
    <w:qFormat/>
    <w:uiPriority w:val="30"/>
    <w:pPr>
      <w:pBdr>
        <w:top w:val="single" w:color="F1F1F1" w:themeColor="background1" w:themeShade="F2" w:sz="24" w:space="1"/>
        <w:bottom w:val="single" w:color="F1F1F1" w:themeColor="background1" w:themeShade="F2" w:sz="24" w:space="1"/>
      </w:pBdr>
      <w:shd w:val="clear" w:color="auto" w:fill="F1F1F1" w:themeFill="background1" w:themeFillShade="F2"/>
      <w:spacing w:before="240" w:after="240"/>
      <w:ind w:left="936" w:right="936"/>
      <w:jc w:val="center"/>
    </w:pPr>
    <w:rPr>
      <w:color w:val="000000" w:themeColor="text1"/>
      <w14:textFill>
        <w14:solidFill>
          <w14:schemeClr w14:val="tx1"/>
        </w14:solidFill>
      </w14:textFill>
    </w:rPr>
  </w:style>
  <w:style w:type="character" w:customStyle="1" w:styleId="51">
    <w:name w:val="Intense Quote Char"/>
    <w:basedOn w:val="11"/>
    <w:link w:val="50"/>
    <w:qFormat/>
    <w:uiPriority w:val="30"/>
    <w:rPr>
      <w:color w:val="000000" w:themeColor="text1"/>
      <w:shd w:val="clear" w:color="auto" w:fill="F1F1F1" w:themeFill="background1" w:themeFillShade="F2"/>
      <w14:textFill>
        <w14:solidFill>
          <w14:schemeClr w14:val="tx1"/>
        </w14:solidFill>
      </w14:textFill>
    </w:rPr>
  </w:style>
  <w:style w:type="character" w:customStyle="1" w:styleId="52">
    <w:name w:val="Subtle Emphasis"/>
    <w:basedOn w:val="11"/>
    <w:qFormat/>
    <w:uiPriority w:val="19"/>
    <w:rPr>
      <w:i/>
      <w:iCs/>
      <w:color w:val="404040" w:themeColor="text1" w:themeTint="BF"/>
      <w14:textFill>
        <w14:solidFill>
          <w14:schemeClr w14:val="tx1">
            <w14:lumMod w14:val="75000"/>
            <w14:lumOff w14:val="25000"/>
          </w14:schemeClr>
        </w14:solidFill>
      </w14:textFill>
    </w:rPr>
  </w:style>
  <w:style w:type="character" w:customStyle="1" w:styleId="53">
    <w:name w:val="Intense Emphasis"/>
    <w:basedOn w:val="11"/>
    <w:qFormat/>
    <w:uiPriority w:val="21"/>
    <w:rPr>
      <w:b/>
      <w:bCs/>
      <w:i/>
      <w:iCs/>
      <w:caps/>
    </w:rPr>
  </w:style>
  <w:style w:type="character" w:customStyle="1" w:styleId="54">
    <w:name w:val="Subtle Reference"/>
    <w:basedOn w:val="11"/>
    <w:qFormat/>
    <w:uiPriority w:val="31"/>
    <w:rPr>
      <w:smallCaps/>
      <w:color w:val="404040" w:themeColor="text1" w:themeTint="BF"/>
      <w:u w:val="single" w:color="7F7F7F"/>
      <w14:textFill>
        <w14:solidFill>
          <w14:schemeClr w14:val="tx1">
            <w14:lumMod w14:val="75000"/>
            <w14:lumOff w14:val="25000"/>
          </w14:schemeClr>
        </w14:solidFill>
      </w14:textFill>
    </w:rPr>
  </w:style>
  <w:style w:type="character" w:customStyle="1" w:styleId="55">
    <w:name w:val="Intense Reference"/>
    <w:basedOn w:val="11"/>
    <w:qFormat/>
    <w:uiPriority w:val="32"/>
    <w:rPr>
      <w:b/>
      <w:bCs/>
      <w:smallCaps/>
      <w:u w:val="single"/>
    </w:rPr>
  </w:style>
  <w:style w:type="character" w:customStyle="1" w:styleId="56">
    <w:name w:val="Book Title"/>
    <w:basedOn w:val="11"/>
    <w:qFormat/>
    <w:uiPriority w:val="33"/>
    <w:rPr>
      <w:smallCaps/>
      <w:spacing w:val="5"/>
    </w:rPr>
  </w:style>
  <w:style w:type="paragraph" w:customStyle="1" w:styleId="57">
    <w:name w:val="TOC Heading"/>
    <w:basedOn w:val="2"/>
    <w:next w:val="1"/>
    <w:unhideWhenUsed/>
    <w:qFormat/>
    <w:uiPriority w:val="39"/>
    <w:pPr>
      <w:outlineLvl w:val="9"/>
    </w:pPr>
  </w:style>
  <w:style w:type="paragraph" w:customStyle="1" w:styleId="58">
    <w:name w:val="p"/>
    <w:basedOn w:val="1"/>
    <w:qFormat/>
    <w:uiPriority w:val="0"/>
    <w:pPr>
      <w:spacing w:before="100" w:beforeAutospacing="1" w:after="100" w:afterAutospacing="1" w:line="240" w:lineRule="auto"/>
    </w:pPr>
    <w:rPr>
      <w:rFonts w:eastAsia="Times New Roman" w:cs="Times New Roman"/>
      <w:szCs w:val="24"/>
      <w:lang w:eastAsia="en-AU"/>
    </w:rPr>
  </w:style>
  <w:style w:type="paragraph" w:customStyle="1" w:styleId="59">
    <w:name w:val="Title 2"/>
    <w:basedOn w:val="1"/>
    <w:qFormat/>
    <w:uiPriority w:val="1"/>
    <w:pPr>
      <w:spacing w:after="0"/>
      <w:jc w:val="center"/>
    </w:pPr>
    <w:rPr>
      <w:rFonts w:asciiTheme="minorHAnsi" w:hAnsiTheme="minorHAnsi"/>
      <w:kern w:val="24"/>
      <w:szCs w:val="24"/>
      <w:lang w:val="en-US" w:eastAsia="ja-JP"/>
    </w:rPr>
  </w:style>
  <w:style w:type="character" w:customStyle="1" w:styleId="60">
    <w:name w:val="Footnote Text Char"/>
    <w:basedOn w:val="11"/>
    <w:link w:val="19"/>
    <w:qFormat/>
    <w:uiPriority w:val="99"/>
    <w:rPr>
      <w:rFonts w:ascii="Times New Roman" w:hAnsi="Times New Roman"/>
      <w:sz w:val="20"/>
      <w:szCs w:val="20"/>
    </w:rPr>
  </w:style>
  <w:style w:type="character" w:customStyle="1" w:styleId="61">
    <w:name w:val="Header Char"/>
    <w:basedOn w:val="11"/>
    <w:link w:val="20"/>
    <w:qFormat/>
    <w:uiPriority w:val="99"/>
    <w:rPr>
      <w:rFonts w:ascii="Times New Roman" w:hAnsi="Times New Roman"/>
      <w:sz w:val="24"/>
    </w:rPr>
  </w:style>
  <w:style w:type="character" w:customStyle="1" w:styleId="62">
    <w:name w:val="Footer Char"/>
    <w:basedOn w:val="11"/>
    <w:link w:val="17"/>
    <w:qFormat/>
    <w:uiPriority w:val="99"/>
    <w:rPr>
      <w:rFonts w:ascii="Times New Roman" w:hAnsi="Times New Roman"/>
      <w:sz w:val="24"/>
    </w:rPr>
  </w:style>
  <w:style w:type="table" w:customStyle="1" w:styleId="63">
    <w:name w:val="Grid Table 2 Accent 3"/>
    <w:basedOn w:val="12"/>
    <w:qFormat/>
    <w:uiPriority w:val="47"/>
    <w:pPr>
      <w:spacing w:after="0" w:line="240" w:lineRule="auto"/>
    </w:pPr>
    <w:tblPr>
      <w:tblBorders>
        <w:top w:val="single" w:color="C8C8C8" w:themeColor="accent3" w:themeTint="99" w:sz="2" w:space="0"/>
        <w:bottom w:val="single" w:color="C8C8C8" w:themeColor="accent3" w:themeTint="99" w:sz="2" w:space="0"/>
        <w:insideH w:val="single" w:color="C8C8C8" w:themeColor="accent3" w:themeTint="99" w:sz="2" w:space="0"/>
        <w:insideV w:val="single" w:color="C8C8C8" w:themeColor="accent3" w:themeTint="99" w:sz="2" w:space="0"/>
      </w:tblBorders>
    </w:tblPr>
    <w:tblStylePr w:type="firstRow">
      <w:rPr>
        <w:b/>
        <w:bCs/>
      </w:rPr>
      <w:tcPr>
        <w:tcBorders>
          <w:top w:val="nil"/>
          <w:bottom w:val="single" w:color="C8C8C8" w:themeColor="accent3" w:themeTint="99" w:sz="12" w:space="0"/>
          <w:insideH w:val="nil"/>
          <w:insideV w:val="nil"/>
        </w:tcBorders>
        <w:shd w:val="clear" w:color="auto" w:fill="FFFFFF" w:themeFill="background1"/>
      </w:tcPr>
    </w:tblStylePr>
    <w:tblStylePr w:type="lastRow">
      <w:rPr>
        <w:b/>
        <w:bCs/>
      </w:rPr>
      <w:tcPr>
        <w:tcBorders>
          <w:top w:val="double" w:color="C8C8C8" w:themeColor="accent3"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cPr>
        <w:shd w:val="clear" w:color="auto" w:fill="ECECEC" w:themeFill="accent3" w:themeFillTint="33"/>
      </w:tcPr>
    </w:tblStylePr>
    <w:tblStylePr w:type="band1Horz">
      <w:tcPr>
        <w:shd w:val="clear" w:color="auto" w:fill="ECECEC" w:themeFill="accent3" w:themeFillTint="33"/>
      </w:tcPr>
    </w:tblStylePr>
  </w:style>
  <w:style w:type="table" w:customStyle="1" w:styleId="64">
    <w:name w:val="Grid Table 2"/>
    <w:basedOn w:val="12"/>
    <w:qFormat/>
    <w:uiPriority w:val="47"/>
    <w:pPr>
      <w:spacing w:after="0" w:line="240" w:lineRule="auto"/>
    </w:pPr>
    <w:tblPr>
      <w:tblBorders>
        <w:top w:val="single" w:color="666666" w:themeColor="text1" w:themeTint="99" w:sz="2" w:space="0"/>
        <w:bottom w:val="single" w:color="666666" w:themeColor="text1" w:themeTint="99" w:sz="2" w:space="0"/>
        <w:insideH w:val="single" w:color="666666" w:themeColor="text1" w:themeTint="99" w:sz="2" w:space="0"/>
        <w:insideV w:val="single" w:color="666666" w:themeColor="text1" w:themeTint="99" w:sz="2" w:space="0"/>
      </w:tblBorders>
    </w:tblPr>
    <w:tblStylePr w:type="firstRow">
      <w:rPr>
        <w:b/>
        <w:bCs/>
      </w:rPr>
      <w:tcPr>
        <w:tcBorders>
          <w:top w:val="nil"/>
          <w:bottom w:val="single" w:color="666666" w:themeColor="text1" w:themeTint="99" w:sz="12" w:space="0"/>
          <w:insideH w:val="nil"/>
          <w:insideV w:val="nil"/>
        </w:tcBorders>
        <w:shd w:val="clear" w:color="auto" w:fill="FFFFFF" w:themeFill="background1"/>
      </w:tcPr>
    </w:tblStylePr>
    <w:tblStylePr w:type="lastRow">
      <w:rPr>
        <w:b/>
        <w:bCs/>
      </w:rPr>
      <w:tcPr>
        <w:tcBorders>
          <w:top w:val="double" w:color="666666" w:themeColor="text1" w:themeTint="99" w:sz="2" w:space="0"/>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cPr>
        <w:shd w:val="clear" w:color="auto" w:fill="CCCCCC" w:themeFill="text1" w:themeFillTint="33"/>
      </w:tcPr>
    </w:tblStylePr>
    <w:tblStylePr w:type="band1Horz">
      <w:tcPr>
        <w:shd w:val="clear" w:color="auto" w:fill="CCCCCC" w:themeFill="text1" w:themeFillTint="33"/>
      </w:tcPr>
    </w:tblStylePr>
  </w:style>
  <w:style w:type="table" w:customStyle="1" w:styleId="65">
    <w:name w:val="Plain Table 1"/>
    <w:basedOn w:val="12"/>
    <w:qFormat/>
    <w:uiPriority w:val="41"/>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table" w:customStyle="1" w:styleId="66">
    <w:name w:val="Grid Table Light"/>
    <w:basedOn w:val="12"/>
    <w:qFormat/>
    <w:uiPriority w:val="40"/>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style>
  <w:style w:type="table" w:customStyle="1" w:styleId="67">
    <w:name w:val="Grid Table 6 Colorful"/>
    <w:basedOn w:val="12"/>
    <w:qFormat/>
    <w:uiPriority w:val="51"/>
    <w:pPr>
      <w:spacing w:after="0" w:line="240" w:lineRule="auto"/>
    </w:pPr>
    <w:rPr>
      <w:color w:val="000000" w:themeColor="text1"/>
      <w14:textFill>
        <w14:solidFill>
          <w14:schemeClr w14:val="tx1"/>
        </w14:solidFill>
      </w14:textFill>
    </w:rPr>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bottom w:val="single" w:color="666666" w:themeColor="text1" w:themeTint="99" w:sz="12" w:space="0"/>
        </w:tcBorders>
      </w:tcPr>
    </w:tblStylePr>
    <w:tblStylePr w:type="lastRow">
      <w:rPr>
        <w:b/>
        <w:bCs/>
      </w:rPr>
      <w:tcPr>
        <w:tcBorders>
          <w:top w:val="double" w:color="666666" w:themeColor="text1" w:themeTint="99" w:sz="4" w:space="0"/>
        </w:tcBorders>
      </w:tcPr>
    </w:tblStylePr>
    <w:tblStylePr w:type="firstCol">
      <w:rPr>
        <w:b/>
        <w:bCs/>
      </w:rPr>
    </w:tblStylePr>
    <w:tblStylePr w:type="lastCol">
      <w:rPr>
        <w:b/>
        <w:bCs/>
      </w:rPr>
    </w:tblStylePr>
    <w:tblStylePr w:type="band1Vert">
      <w:tcPr>
        <w:shd w:val="clear" w:color="auto" w:fill="CCCCCC" w:themeFill="text1" w:themeFillTint="33"/>
      </w:tcPr>
    </w:tblStylePr>
    <w:tblStylePr w:type="band1Horz">
      <w:tcPr>
        <w:shd w:val="clear" w:color="auto" w:fill="CCCCCC" w:themeFill="text1" w:themeFillTint="33"/>
      </w:tcPr>
    </w:tblStylePr>
  </w:style>
  <w:style w:type="table" w:customStyle="1" w:styleId="68">
    <w:name w:val="Grid Table 3"/>
    <w:basedOn w:val="12"/>
    <w:qFormat/>
    <w:uiPriority w:val="48"/>
    <w:pPr>
      <w:spacing w:after="0" w:line="240" w:lineRule="auto"/>
    </w:pPr>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top w:val="nil"/>
          <w:left w:val="nil"/>
          <w:right w:val="nil"/>
          <w:insideH w:val="nil"/>
          <w:insideV w:val="nil"/>
        </w:tcBorders>
        <w:shd w:val="clear" w:color="auto" w:fill="FFFFFF" w:themeFill="background1"/>
      </w:tcPr>
    </w:tblStylePr>
    <w:tblStylePr w:type="lastRow">
      <w:rPr>
        <w:b/>
        <w:bCs/>
      </w:rPr>
      <w:tcPr>
        <w:tcBorders>
          <w:left w:val="nil"/>
          <w:bottom w:val="nil"/>
          <w:right w:val="nil"/>
          <w:insideH w:val="nil"/>
          <w:insideV w:val="nil"/>
        </w:tcBorders>
        <w:shd w:val="clear" w:color="auto" w:fill="FFFFFF" w:themeFill="background1"/>
      </w:tcPr>
    </w:tblStylePr>
    <w:tblStylePr w:type="firstCol">
      <w:pPr>
        <w:jc w:val="right"/>
      </w:pPr>
      <w:rPr>
        <w:i/>
        <w:iCs/>
      </w:rPr>
      <w:tcPr>
        <w:tcBorders>
          <w:top w:val="nil"/>
          <w:left w:val="nil"/>
          <w:bottom w:val="nil"/>
          <w:insideH w:val="nil"/>
          <w:insideV w:val="nil"/>
        </w:tcBorders>
        <w:shd w:val="clear" w:color="auto" w:fill="FFFFFF" w:themeFill="background1"/>
      </w:tcPr>
    </w:tblStylePr>
    <w:tblStylePr w:type="lastCol">
      <w:rPr>
        <w:i/>
        <w:iCs/>
      </w:rPr>
      <w:tcPr>
        <w:tcBorders>
          <w:top w:val="nil"/>
          <w:bottom w:val="nil"/>
          <w:right w:val="nil"/>
          <w:insideH w:val="nil"/>
          <w:insideV w:val="nil"/>
        </w:tcBorders>
        <w:shd w:val="clear" w:color="auto" w:fill="FFFFFF" w:themeFill="background1"/>
      </w:tcPr>
    </w:tblStylePr>
    <w:tblStylePr w:type="band1Vert">
      <w:tcPr>
        <w:shd w:val="clear" w:color="auto" w:fill="CCCCCC" w:themeFill="text1" w:themeFillTint="33"/>
      </w:tcPr>
    </w:tblStylePr>
    <w:tblStylePr w:type="band1Horz">
      <w:tcPr>
        <w:shd w:val="clear" w:color="auto" w:fill="CCCCCC" w:themeFill="text1" w:themeFillTint="33"/>
      </w:tcPr>
    </w:tblStylePr>
    <w:tblStylePr w:type="neCell">
      <w:tcPr>
        <w:tcBorders>
          <w:bottom w:val="single" w:color="666666" w:themeColor="text1" w:themeTint="99" w:sz="4" w:space="0"/>
        </w:tcBorders>
      </w:tcPr>
    </w:tblStylePr>
    <w:tblStylePr w:type="nwCell">
      <w:tcPr>
        <w:tcBorders>
          <w:bottom w:val="single" w:color="666666" w:themeColor="text1" w:themeTint="99" w:sz="4" w:space="0"/>
        </w:tcBorders>
      </w:tcPr>
    </w:tblStylePr>
    <w:tblStylePr w:type="seCell">
      <w:tcPr>
        <w:tcBorders>
          <w:top w:val="single" w:color="666666" w:themeColor="text1" w:themeTint="99" w:sz="4" w:space="0"/>
        </w:tcBorders>
      </w:tcPr>
    </w:tblStylePr>
    <w:tblStylePr w:type="swCell">
      <w:tcPr>
        <w:tcBorders>
          <w:top w:val="single" w:color="666666" w:themeColor="text1" w:themeTint="99" w:sz="4" w:space="0"/>
        </w:tcBorders>
      </w:tcPr>
    </w:tblStylePr>
  </w:style>
  <w:style w:type="table" w:customStyle="1" w:styleId="69">
    <w:name w:val="Grid Table 7 Colorful"/>
    <w:basedOn w:val="12"/>
    <w:qFormat/>
    <w:uiPriority w:val="52"/>
    <w:pPr>
      <w:spacing w:after="0" w:line="240" w:lineRule="auto"/>
    </w:pPr>
    <w:rPr>
      <w:color w:val="000000" w:themeColor="text1"/>
      <w14:textFill>
        <w14:solidFill>
          <w14:schemeClr w14:val="tx1"/>
        </w14:solidFill>
      </w14:textFill>
    </w:rPr>
    <w:tblPr>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rPr>
      <w:tcPr>
        <w:tcBorders>
          <w:top w:val="nil"/>
          <w:left w:val="nil"/>
          <w:right w:val="nil"/>
          <w:insideH w:val="nil"/>
          <w:insideV w:val="nil"/>
        </w:tcBorders>
        <w:shd w:val="clear" w:color="auto" w:fill="FFFFFF" w:themeFill="background1"/>
      </w:tcPr>
    </w:tblStylePr>
    <w:tblStylePr w:type="lastRow">
      <w:rPr>
        <w:b/>
        <w:bCs/>
      </w:rPr>
      <w:tcPr>
        <w:tcBorders>
          <w:left w:val="nil"/>
          <w:bottom w:val="nil"/>
          <w:right w:val="nil"/>
          <w:insideH w:val="nil"/>
          <w:insideV w:val="nil"/>
        </w:tcBorders>
        <w:shd w:val="clear" w:color="auto" w:fill="FFFFFF" w:themeFill="background1"/>
      </w:tcPr>
    </w:tblStylePr>
    <w:tblStylePr w:type="firstCol">
      <w:pPr>
        <w:jc w:val="right"/>
      </w:pPr>
      <w:rPr>
        <w:i/>
        <w:iCs/>
      </w:rPr>
      <w:tcPr>
        <w:tcBorders>
          <w:top w:val="nil"/>
          <w:left w:val="nil"/>
          <w:bottom w:val="nil"/>
          <w:insideH w:val="nil"/>
          <w:insideV w:val="nil"/>
        </w:tcBorders>
        <w:shd w:val="clear" w:color="auto" w:fill="FFFFFF" w:themeFill="background1"/>
      </w:tcPr>
    </w:tblStylePr>
    <w:tblStylePr w:type="lastCol">
      <w:rPr>
        <w:i/>
        <w:iCs/>
      </w:rPr>
      <w:tcPr>
        <w:tcBorders>
          <w:top w:val="nil"/>
          <w:bottom w:val="nil"/>
          <w:right w:val="nil"/>
          <w:insideH w:val="nil"/>
          <w:insideV w:val="nil"/>
        </w:tcBorders>
        <w:shd w:val="clear" w:color="auto" w:fill="FFFFFF" w:themeFill="background1"/>
      </w:tcPr>
    </w:tblStylePr>
    <w:tblStylePr w:type="band1Vert">
      <w:tcPr>
        <w:shd w:val="clear" w:color="auto" w:fill="CCCCCC" w:themeFill="text1" w:themeFillTint="33"/>
      </w:tcPr>
    </w:tblStylePr>
    <w:tblStylePr w:type="band1Horz">
      <w:tcPr>
        <w:shd w:val="clear" w:color="auto" w:fill="CCCCCC" w:themeFill="text1" w:themeFillTint="33"/>
      </w:tcPr>
    </w:tblStylePr>
    <w:tblStylePr w:type="neCell">
      <w:tcPr>
        <w:tcBorders>
          <w:bottom w:val="single" w:color="666666" w:themeColor="text1" w:themeTint="99" w:sz="4" w:space="0"/>
        </w:tcBorders>
      </w:tcPr>
    </w:tblStylePr>
    <w:tblStylePr w:type="nwCell">
      <w:tcPr>
        <w:tcBorders>
          <w:bottom w:val="single" w:color="666666" w:themeColor="text1" w:themeTint="99" w:sz="4" w:space="0"/>
        </w:tcBorders>
      </w:tcPr>
    </w:tblStylePr>
    <w:tblStylePr w:type="seCell">
      <w:tcPr>
        <w:tcBorders>
          <w:top w:val="single" w:color="666666" w:themeColor="text1" w:themeTint="99" w:sz="4" w:space="0"/>
        </w:tcBorders>
      </w:tcPr>
    </w:tblStylePr>
    <w:tblStylePr w:type="swCell">
      <w:tcPr>
        <w:tcBorders>
          <w:top w:val="single" w:color="666666" w:themeColor="text1" w:themeTint="99" w:sz="4" w:space="0"/>
        </w:tcBorders>
      </w:tcPr>
    </w:tblStylePr>
  </w:style>
  <w:style w:type="character" w:customStyle="1" w:styleId="70">
    <w:name w:val="Unresolved Mention1"/>
    <w:basedOn w:val="11"/>
    <w:semiHidden/>
    <w:unhideWhenUsed/>
    <w:qFormat/>
    <w:uiPriority w:val="99"/>
    <w:rPr>
      <w:color w:val="605E5C"/>
      <w:shd w:val="clear" w:color="auto" w:fill="E1DFDD"/>
    </w:rPr>
  </w:style>
  <w:style w:type="paragraph" w:customStyle="1" w:styleId="71">
    <w:name w:val="mb15"/>
    <w:basedOn w:val="1"/>
    <w:qFormat/>
    <w:uiPriority w:val="0"/>
    <w:pPr>
      <w:spacing w:before="100" w:beforeAutospacing="1" w:after="100" w:afterAutospacing="1" w:line="240" w:lineRule="auto"/>
      <w:ind w:firstLine="0"/>
      <w:jc w:val="left"/>
    </w:pPr>
    <w:rPr>
      <w:rFonts w:eastAsia="Times New Roman" w:cs="Times New Roman"/>
      <w:szCs w:val="24"/>
      <w:lang w:eastAsia="en-AU"/>
    </w:rPr>
  </w:style>
  <w:style w:type="paragraph" w:customStyle="1" w:styleId="72">
    <w:name w:val="muitypography-root"/>
    <w:basedOn w:val="1"/>
    <w:qFormat/>
    <w:uiPriority w:val="0"/>
    <w:pPr>
      <w:spacing w:before="100" w:beforeAutospacing="1" w:after="100" w:afterAutospacing="1" w:line="240" w:lineRule="auto"/>
      <w:ind w:firstLine="0"/>
      <w:jc w:val="left"/>
    </w:pPr>
    <w:rPr>
      <w:rFonts w:eastAsia="Times New Roman" w:cs="Times New Roman"/>
      <w:szCs w:val="24"/>
      <w:lang w:eastAsia="en-AU"/>
    </w:rPr>
  </w:style>
  <w:style w:type="table" w:customStyle="1" w:styleId="73">
    <w:name w:val="Light Shading1"/>
    <w:basedOn w:val="12"/>
    <w:qFormat/>
    <w:uiPriority w:val="60"/>
    <w:pPr>
      <w:spacing w:after="0" w:line="240" w:lineRule="auto"/>
    </w:pPr>
    <w:rPr>
      <w:rFonts w:eastAsiaTheme="minorHAnsi"/>
      <w:color w:val="000000"/>
      <w:lang w:val="en-US"/>
    </w:rPr>
    <w:tblPr>
      <w:tblBorders>
        <w:top w:val="single" w:color="000000" w:sz="8" w:space="0"/>
        <w:bottom w:val="single" w:color="000000" w:sz="8" w:space="0"/>
      </w:tblBorders>
    </w:tblPr>
    <w:tblStylePr w:type="firstRow">
      <w:pPr>
        <w:spacing w:before="0" w:after="0" w:line="240" w:lineRule="auto"/>
      </w:pPr>
      <w:rPr>
        <w:b/>
        <w:bCs/>
      </w:rPr>
      <w:tcPr>
        <w:tcBorders>
          <w:top w:val="single" w:color="000000" w:sz="8" w:space="0"/>
          <w:left w:val="nil"/>
          <w:bottom w:val="single" w:color="000000" w:sz="8" w:space="0"/>
          <w:right w:val="nil"/>
          <w:insideH w:val="nil"/>
          <w:insideV w:val="nil"/>
        </w:tcBorders>
      </w:tcPr>
    </w:tblStylePr>
    <w:tblStylePr w:type="lastRow">
      <w:pPr>
        <w:spacing w:before="0" w:after="0" w:line="240" w:lineRule="auto"/>
      </w:pPr>
      <w:rPr>
        <w:b/>
        <w:bCs/>
      </w:rPr>
      <w:tcPr>
        <w:tcBorders>
          <w:top w:val="single" w:color="000000" w:sz="8" w:space="0"/>
          <w:left w:val="nil"/>
          <w:bottom w:val="single" w:color="000000" w:sz="8" w:space="0"/>
          <w:right w:val="nil"/>
          <w:insideH w:val="nil"/>
          <w:insideV w:val="nil"/>
        </w:tcBorders>
      </w:tcPr>
    </w:tblStylePr>
    <w:tblStylePr w:type="firstCol">
      <w:rPr>
        <w:b/>
        <w:bCs/>
      </w:rPr>
    </w:tblStylePr>
    <w:tblStylePr w:type="lastCol">
      <w:rPr>
        <w:b/>
        <w:bCs/>
      </w:rPr>
    </w:tblStylePr>
    <w:tblStylePr w:type="band1Vert">
      <w:tcPr>
        <w:tcBorders>
          <w:left w:val="nil"/>
          <w:right w:val="nil"/>
          <w:insideH w:val="nil"/>
          <w:insideV w:val="nil"/>
        </w:tcBorders>
        <w:shd w:val="clear" w:color="auto" w:fill="C0C0C0"/>
      </w:tcPr>
    </w:tblStylePr>
    <w:tblStylePr w:type="band1Horz">
      <w:tcPr>
        <w:tcBorders>
          <w:left w:val="nil"/>
          <w:right w:val="nil"/>
          <w:insideH w:val="nil"/>
          <w:insideV w:val="nil"/>
        </w:tcBorders>
        <w:shd w:val="clear" w:color="auto" w:fill="C0C0C0"/>
      </w:tcPr>
    </w:tblStylePr>
  </w:style>
  <w:style w:type="character" w:customStyle="1" w:styleId="74">
    <w:name w:val="text-block-with-attachment"/>
    <w:basedOn w:val="11"/>
    <w:qFormat/>
    <w:uiPriority w:val="0"/>
  </w:style>
  <w:style w:type="character" w:customStyle="1" w:styleId="75">
    <w:name w:val="label"/>
    <w:basedOn w:val="11"/>
    <w:qFormat/>
    <w:uiPriority w:val="0"/>
  </w:style>
  <w:style w:type="character" w:customStyle="1" w:styleId="76">
    <w:name w:val="citation-1"/>
    <w:basedOn w:val="11"/>
    <w:qFormat/>
    <w:uiPriority w:val="0"/>
  </w:style>
  <w:style w:type="character" w:customStyle="1" w:styleId="77">
    <w:name w:val="citation-31"/>
    <w:basedOn w:val="11"/>
    <w:qFormat/>
    <w:uiPriority w:val="0"/>
  </w:style>
  <w:style w:type="character" w:customStyle="1" w:styleId="78">
    <w:name w:val="citation-30"/>
    <w:basedOn w:val="11"/>
    <w:qFormat/>
    <w:uiPriority w:val="0"/>
  </w:style>
  <w:style w:type="character" w:customStyle="1" w:styleId="79">
    <w:name w:val="citation-29"/>
    <w:basedOn w:val="11"/>
    <w:qFormat/>
    <w:uiPriority w:val="0"/>
  </w:style>
  <w:style w:type="character" w:customStyle="1" w:styleId="80">
    <w:name w:val="citation-28"/>
    <w:basedOn w:val="11"/>
    <w:qFormat/>
    <w:uiPriority w:val="0"/>
  </w:style>
  <w:style w:type="character" w:customStyle="1" w:styleId="81">
    <w:name w:val="citation-27"/>
    <w:basedOn w:val="11"/>
    <w:qFormat/>
    <w:uiPriority w:val="0"/>
  </w:style>
  <w:style w:type="character" w:customStyle="1" w:styleId="82">
    <w:name w:val="citation-26"/>
    <w:basedOn w:val="11"/>
    <w:qFormat/>
    <w:uiPriority w:val="0"/>
  </w:style>
  <w:style w:type="character" w:customStyle="1" w:styleId="83">
    <w:name w:val="citation-25"/>
    <w:basedOn w:val="11"/>
    <w:qFormat/>
    <w:uiPriority w:val="0"/>
  </w:style>
  <w:style w:type="character" w:customStyle="1" w:styleId="84">
    <w:name w:val="citation-24"/>
    <w:basedOn w:val="11"/>
    <w:qFormat/>
    <w:uiPriority w:val="0"/>
  </w:style>
  <w:style w:type="character" w:styleId="85">
    <w:name w:val="Placeholder Text"/>
    <w:basedOn w:val="11"/>
    <w:semiHidden/>
    <w:qFormat/>
    <w:uiPriority w:val="99"/>
    <w:rPr>
      <w:color w:val="666666"/>
    </w:rPr>
  </w:style>
  <w:style w:type="character" w:customStyle="1" w:styleId="86">
    <w:name w:val="Unresolved Mention"/>
    <w:basedOn w:val="11"/>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numbering" Target="numbering.xml"/><Relationship Id="rId11" Type="http://schemas.openxmlformats.org/officeDocument/2006/relationships/image" Target="media/image4.png"/><Relationship Id="rId10" Type="http://schemas.openxmlformats.org/officeDocument/2006/relationships/image" Target="media/image3.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6CD0EC-CF64-40BF-AB00-8EF681B7B2DD}">
  <ds:schemaRefs/>
</ds:datastoreItem>
</file>

<file path=docProps/app.xml><?xml version="1.0" encoding="utf-8"?>
<Properties xmlns="http://schemas.openxmlformats.org/officeDocument/2006/extended-properties" xmlns:vt="http://schemas.openxmlformats.org/officeDocument/2006/docPropsVTypes">
  <Template>Normal</Template>
  <Pages>19</Pages>
  <Words>3368</Words>
  <Characters>19200</Characters>
  <Lines>160</Lines>
  <Paragraphs>45</Paragraphs>
  <TotalTime>6</TotalTime>
  <ScaleCrop>false</ScaleCrop>
  <LinksUpToDate>false</LinksUpToDate>
  <CharactersWithSpaces>22523</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2026-01-24T21:58:00Z</dcterms:created>
  <dc:creator>Administrator</dc:creator>
  <cp:lastModifiedBy>Durgesh Badhe</cp:lastModifiedBy>
  <dcterms:modified xsi:type="dcterms:W3CDTF">2026-01-29T22:41:14Z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89F85C03C0664C34A915357E6EFD39A9_12</vt:lpwstr>
  </property>
</Properties>
</file>