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4DB" w:rsidRPr="002A1341" w:rsidRDefault="009464DB" w:rsidP="009464DB">
      <w:pPr>
        <w:spacing w:after="165" w:line="360" w:lineRule="auto"/>
        <w:rPr>
          <w:rFonts w:eastAsia="Tahoma" w:cstheme="minorHAnsi"/>
          <w:color w:val="000000"/>
          <w:sz w:val="24"/>
          <w:szCs w:val="24"/>
        </w:rPr>
      </w:pPr>
      <w:r w:rsidRPr="002A1341">
        <w:rPr>
          <w:rFonts w:cstheme="minorHAnsi"/>
          <w:b/>
          <w:noProof/>
          <w:sz w:val="24"/>
          <w:szCs w:val="24"/>
          <w:lang w:eastAsia="en-GB"/>
        </w:rPr>
        <w:drawing>
          <wp:inline distT="0" distB="0" distL="0" distR="0" wp14:anchorId="331BDA43" wp14:editId="4E911B20">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9464DB" w:rsidRPr="002A1341" w:rsidRDefault="009464DB" w:rsidP="009464DB">
      <w:pPr>
        <w:spacing w:after="165" w:line="360" w:lineRule="auto"/>
        <w:jc w:val="center"/>
        <w:rPr>
          <w:rFonts w:eastAsia="Tahoma" w:cstheme="minorHAnsi"/>
          <w:color w:val="000000"/>
          <w:sz w:val="24"/>
          <w:szCs w:val="24"/>
        </w:rPr>
      </w:pPr>
      <w:r w:rsidRPr="002A1341">
        <w:rPr>
          <w:rFonts w:eastAsia="Tahoma" w:cstheme="minorHAnsi"/>
          <w:color w:val="000000"/>
          <w:sz w:val="24"/>
          <w:szCs w:val="24"/>
        </w:rPr>
        <w:t xml:space="preserve">Applied Leadership Level 5 Module Assignment Submission </w:t>
      </w:r>
      <w:r w:rsidRPr="002A1341">
        <w:rPr>
          <w:rFonts w:eastAsia="Tahoma" w:cstheme="minorHAnsi"/>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464DB" w:rsidRPr="002A1341" w:rsidTr="00FE3B09">
        <w:tc>
          <w:tcPr>
            <w:tcW w:w="3438"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Student Name:</w:t>
            </w:r>
          </w:p>
        </w:tc>
        <w:tc>
          <w:tcPr>
            <w:tcW w:w="6055" w:type="dxa"/>
          </w:tcPr>
          <w:p w:rsidR="009464DB" w:rsidRPr="002A1341" w:rsidRDefault="009464DB" w:rsidP="00FE3B09">
            <w:pPr>
              <w:spacing w:before="120" w:after="120" w:line="360" w:lineRule="auto"/>
              <w:rPr>
                <w:rFonts w:eastAsia="Tahoma" w:cstheme="minorHAnsi"/>
                <w:b/>
                <w:sz w:val="24"/>
                <w:szCs w:val="24"/>
              </w:rPr>
            </w:pPr>
            <w:r w:rsidRPr="002A1341">
              <w:rPr>
                <w:rFonts w:eastAsia="Tahoma" w:cstheme="minorHAnsi"/>
                <w:b/>
                <w:sz w:val="24"/>
                <w:szCs w:val="24"/>
              </w:rPr>
              <w:t>Lisa Bowen</w:t>
            </w:r>
          </w:p>
        </w:tc>
      </w:tr>
      <w:tr w:rsidR="009464DB" w:rsidRPr="002A1341" w:rsidTr="00FE3B09">
        <w:tc>
          <w:tcPr>
            <w:tcW w:w="3438"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Student Number:</w:t>
            </w:r>
          </w:p>
        </w:tc>
        <w:tc>
          <w:tcPr>
            <w:tcW w:w="6055" w:type="dxa"/>
          </w:tcPr>
          <w:p w:rsidR="009464DB" w:rsidRPr="002A1341" w:rsidRDefault="009464DB" w:rsidP="00FE3B09">
            <w:pPr>
              <w:spacing w:before="120" w:after="120" w:line="360" w:lineRule="auto"/>
              <w:rPr>
                <w:rFonts w:eastAsia="Tahoma" w:cstheme="minorHAnsi"/>
                <w:b/>
                <w:sz w:val="24"/>
                <w:szCs w:val="24"/>
              </w:rPr>
            </w:pPr>
            <w:r w:rsidRPr="002A1341">
              <w:rPr>
                <w:rFonts w:eastAsia="Tahoma" w:cstheme="minorHAnsi"/>
                <w:b/>
                <w:sz w:val="24"/>
                <w:szCs w:val="24"/>
              </w:rPr>
              <w:t>2328788</w:t>
            </w:r>
          </w:p>
        </w:tc>
      </w:tr>
      <w:tr w:rsidR="009464DB" w:rsidRPr="002A1341" w:rsidTr="00FE3B09">
        <w:tc>
          <w:tcPr>
            <w:tcW w:w="3438"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Module No:</w:t>
            </w:r>
          </w:p>
        </w:tc>
        <w:tc>
          <w:tcPr>
            <w:tcW w:w="6055" w:type="dxa"/>
          </w:tcPr>
          <w:p w:rsidR="009464DB" w:rsidRPr="002A1341" w:rsidRDefault="00D22BE7" w:rsidP="00FE3B09">
            <w:pPr>
              <w:spacing w:before="120" w:after="120" w:line="360" w:lineRule="auto"/>
              <w:rPr>
                <w:rFonts w:eastAsia="Tahoma" w:cstheme="minorHAnsi"/>
                <w:b/>
                <w:bCs/>
                <w:color w:val="0D0D0D" w:themeColor="text1" w:themeTint="F2"/>
                <w:sz w:val="24"/>
                <w:szCs w:val="24"/>
              </w:rPr>
            </w:pPr>
            <w:r>
              <w:rPr>
                <w:rFonts w:eastAsia="Tahoma" w:cstheme="minorHAnsi"/>
                <w:b/>
                <w:bCs/>
                <w:color w:val="0D0D0D" w:themeColor="text1" w:themeTint="F2"/>
                <w:sz w:val="24"/>
                <w:szCs w:val="24"/>
              </w:rPr>
              <w:t>BMSK5009</w:t>
            </w:r>
          </w:p>
        </w:tc>
      </w:tr>
      <w:tr w:rsidR="009464DB" w:rsidRPr="002A1341" w:rsidTr="00FE3B09">
        <w:trPr>
          <w:trHeight w:val="614"/>
        </w:trPr>
        <w:tc>
          <w:tcPr>
            <w:tcW w:w="3438" w:type="dxa"/>
            <w:shd w:val="clear" w:color="auto" w:fill="D9D9D9"/>
          </w:tcPr>
          <w:p w:rsidR="009464DB" w:rsidRPr="002A1341" w:rsidRDefault="009464DB" w:rsidP="00FE3B09">
            <w:pPr>
              <w:spacing w:before="120" w:after="120" w:line="360" w:lineRule="auto"/>
              <w:rPr>
                <w:rFonts w:eastAsia="Tahoma" w:cstheme="minorHAnsi"/>
                <w:sz w:val="24"/>
                <w:szCs w:val="24"/>
              </w:rPr>
            </w:pPr>
            <w:r w:rsidRPr="002A1341">
              <w:rPr>
                <w:rFonts w:eastAsia="Tahoma" w:cstheme="minorHAnsi"/>
                <w:sz w:val="24"/>
                <w:szCs w:val="24"/>
              </w:rPr>
              <w:t>Module Title:</w:t>
            </w:r>
          </w:p>
        </w:tc>
        <w:tc>
          <w:tcPr>
            <w:tcW w:w="6055" w:type="dxa"/>
          </w:tcPr>
          <w:p w:rsidR="009464DB" w:rsidRPr="002A1341" w:rsidRDefault="00D22BE7" w:rsidP="00FE3B09">
            <w:pPr>
              <w:pStyle w:val="Title"/>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Developing a high performance culture</w:t>
            </w:r>
          </w:p>
        </w:tc>
      </w:tr>
    </w:tbl>
    <w:p w:rsidR="009464DB" w:rsidRPr="002A1341" w:rsidRDefault="009464DB" w:rsidP="009464DB">
      <w:pPr>
        <w:spacing w:before="120" w:after="120" w:line="360" w:lineRule="auto"/>
        <w:rPr>
          <w:rFonts w:cstheme="minorHAnsi"/>
          <w:color w:val="FF0000"/>
          <w:sz w:val="24"/>
          <w:szCs w:val="24"/>
        </w:rPr>
      </w:pPr>
    </w:p>
    <w:p w:rsidR="009464DB" w:rsidRPr="002A1341" w:rsidRDefault="009464DB" w:rsidP="009464DB">
      <w:pPr>
        <w:spacing w:before="120" w:after="120" w:line="360" w:lineRule="auto"/>
        <w:rPr>
          <w:rFonts w:eastAsia="Tahoma" w:cstheme="minorHAnsi"/>
          <w:b/>
          <w:color w:val="000000"/>
          <w:sz w:val="24"/>
          <w:szCs w:val="24"/>
        </w:rPr>
      </w:pPr>
      <w:r w:rsidRPr="002A1341">
        <w:rPr>
          <w:rFonts w:eastAsia="Tahoma" w:cstheme="minorHAnsi"/>
          <w:b/>
          <w:color w:val="000000"/>
          <w:sz w:val="24"/>
          <w:szCs w:val="24"/>
        </w:rPr>
        <w:t>Statement of Confirmation of Authenticity</w:t>
      </w:r>
    </w:p>
    <w:p w:rsidR="009464DB" w:rsidRPr="002A1341" w:rsidRDefault="009464DB" w:rsidP="009464DB">
      <w:pPr>
        <w:spacing w:before="120" w:after="120" w:line="360" w:lineRule="auto"/>
        <w:rPr>
          <w:rFonts w:eastAsia="Tahoma" w:cstheme="minorHAnsi"/>
          <w:color w:val="000000"/>
          <w:sz w:val="24"/>
          <w:szCs w:val="24"/>
        </w:rPr>
      </w:pPr>
      <w:r w:rsidRPr="002A1341">
        <w:rPr>
          <w:rFonts w:eastAsia="Tahoma"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9464DB" w:rsidRPr="002A1341" w:rsidRDefault="009464DB" w:rsidP="009464DB">
      <w:pPr>
        <w:spacing w:before="120" w:after="120" w:line="360" w:lineRule="auto"/>
        <w:rPr>
          <w:rFonts w:eastAsia="Tahoma" w:cstheme="minorHAnsi"/>
          <w:color w:val="000000"/>
          <w:sz w:val="24"/>
          <w:szCs w:val="24"/>
        </w:rPr>
      </w:pPr>
      <w:r w:rsidRPr="002A1341">
        <w:rPr>
          <w:rFonts w:eastAsia="Tahoma" w:cstheme="minorHAnsi"/>
          <w:color w:val="000000"/>
          <w:sz w:val="24"/>
          <w:szCs w:val="24"/>
        </w:rPr>
        <w:t>Attention is drawn to the plagiarism and unfair practice policies of both the University and of ILM.</w:t>
      </w:r>
    </w:p>
    <w:p w:rsidR="009464DB" w:rsidRPr="002A1341" w:rsidRDefault="009464DB" w:rsidP="006A4C28">
      <w:pPr>
        <w:spacing w:before="100" w:beforeAutospacing="1" w:after="100" w:afterAutospacing="1" w:line="240" w:lineRule="auto"/>
        <w:outlineLvl w:val="2"/>
        <w:rPr>
          <w:rFonts w:eastAsia="Times New Roman" w:cstheme="minorHAnsi"/>
          <w:b/>
          <w:bCs/>
          <w:sz w:val="24"/>
          <w:szCs w:val="24"/>
          <w:lang w:eastAsia="en-GB"/>
        </w:rPr>
      </w:pPr>
    </w:p>
    <w:p w:rsidR="009464DB" w:rsidRPr="002A1341" w:rsidRDefault="009464DB" w:rsidP="006A4C28">
      <w:pPr>
        <w:spacing w:before="100" w:beforeAutospacing="1" w:after="100" w:afterAutospacing="1" w:line="240" w:lineRule="auto"/>
        <w:outlineLvl w:val="2"/>
        <w:rPr>
          <w:rFonts w:eastAsia="Times New Roman" w:cstheme="minorHAnsi"/>
          <w:b/>
          <w:bCs/>
          <w:sz w:val="24"/>
          <w:szCs w:val="24"/>
          <w:lang w:eastAsia="en-GB"/>
        </w:rPr>
      </w:pPr>
    </w:p>
    <w:p w:rsidR="009464DB" w:rsidRDefault="009464DB" w:rsidP="006A4C28">
      <w:pPr>
        <w:spacing w:before="100" w:beforeAutospacing="1" w:after="100" w:afterAutospacing="1" w:line="240" w:lineRule="auto"/>
        <w:outlineLvl w:val="2"/>
        <w:rPr>
          <w:rFonts w:eastAsia="Times New Roman" w:cstheme="minorHAnsi"/>
          <w:b/>
          <w:bCs/>
          <w:sz w:val="24"/>
          <w:szCs w:val="24"/>
          <w:lang w:eastAsia="en-GB"/>
        </w:rPr>
      </w:pPr>
    </w:p>
    <w:p w:rsidR="002A1341" w:rsidRDefault="002A1341" w:rsidP="006A4C28">
      <w:pPr>
        <w:spacing w:before="100" w:beforeAutospacing="1" w:after="100" w:afterAutospacing="1" w:line="240" w:lineRule="auto"/>
        <w:outlineLvl w:val="2"/>
        <w:rPr>
          <w:rFonts w:eastAsia="Times New Roman" w:cstheme="minorHAnsi"/>
          <w:b/>
          <w:bCs/>
          <w:sz w:val="24"/>
          <w:szCs w:val="24"/>
          <w:lang w:eastAsia="en-GB"/>
        </w:rPr>
      </w:pPr>
    </w:p>
    <w:p w:rsidR="002A1341" w:rsidRDefault="002A1341" w:rsidP="006A4C28">
      <w:pPr>
        <w:spacing w:before="100" w:beforeAutospacing="1" w:after="100" w:afterAutospacing="1" w:line="240" w:lineRule="auto"/>
        <w:outlineLvl w:val="2"/>
        <w:rPr>
          <w:rFonts w:eastAsia="Times New Roman" w:cstheme="minorHAnsi"/>
          <w:b/>
          <w:bCs/>
          <w:sz w:val="24"/>
          <w:szCs w:val="24"/>
          <w:lang w:eastAsia="en-GB"/>
        </w:rPr>
      </w:pPr>
    </w:p>
    <w:p w:rsidR="002A1341" w:rsidRPr="002A1341" w:rsidRDefault="002A1341" w:rsidP="006A4C28">
      <w:pPr>
        <w:spacing w:before="100" w:beforeAutospacing="1" w:after="100" w:afterAutospacing="1" w:line="240" w:lineRule="auto"/>
        <w:outlineLvl w:val="2"/>
        <w:rPr>
          <w:rFonts w:eastAsia="Times New Roman" w:cstheme="minorHAnsi"/>
          <w:b/>
          <w:bCs/>
          <w:sz w:val="24"/>
          <w:szCs w:val="24"/>
          <w:lang w:eastAsia="en-GB"/>
        </w:rPr>
      </w:pPr>
    </w:p>
    <w:p w:rsidR="00EE160A" w:rsidRPr="002A1341" w:rsidRDefault="009171B6" w:rsidP="00EE160A">
      <w:pPr>
        <w:pStyle w:val="TOCHeading"/>
        <w:rPr>
          <w:rFonts w:asciiTheme="minorHAnsi" w:hAnsiTheme="minorHAnsi" w:cstheme="minorHAnsi"/>
          <w:sz w:val="24"/>
          <w:szCs w:val="24"/>
        </w:rPr>
      </w:pPr>
      <w:r w:rsidRPr="002A1341">
        <w:rPr>
          <w:rFonts w:asciiTheme="minorHAnsi" w:hAnsiTheme="minorHAnsi" w:cstheme="minorHAnsi"/>
          <w:sz w:val="24"/>
          <w:szCs w:val="24"/>
        </w:rPr>
        <w:lastRenderedPageBreak/>
        <w:t xml:space="preserve"> </w:t>
      </w:r>
    </w:p>
    <w:sdt>
      <w:sdtPr>
        <w:rPr>
          <w:rFonts w:asciiTheme="minorHAnsi" w:eastAsiaTheme="minorHAnsi" w:hAnsiTheme="minorHAnsi" w:cstheme="minorHAnsi"/>
          <w:b w:val="0"/>
          <w:bCs w:val="0"/>
          <w:color w:val="auto"/>
          <w:sz w:val="24"/>
          <w:szCs w:val="24"/>
          <w:lang w:val="en-GB" w:eastAsia="en-US"/>
        </w:rPr>
        <w:id w:val="-2099159029"/>
        <w:docPartObj>
          <w:docPartGallery w:val="Table of Contents"/>
          <w:docPartUnique/>
        </w:docPartObj>
      </w:sdtPr>
      <w:sdtEndPr>
        <w:rPr>
          <w:noProof/>
        </w:rPr>
      </w:sdtEndPr>
      <w:sdtContent>
        <w:p w:rsidR="00EE160A" w:rsidRPr="002A1341" w:rsidRDefault="00EE160A" w:rsidP="00EE160A">
          <w:pPr>
            <w:pStyle w:val="TOCHeading"/>
            <w:rPr>
              <w:rFonts w:asciiTheme="minorHAnsi" w:hAnsiTheme="minorHAnsi" w:cstheme="minorHAnsi"/>
              <w:sz w:val="24"/>
              <w:szCs w:val="24"/>
            </w:rPr>
          </w:pPr>
          <w:r w:rsidRPr="002A1341">
            <w:rPr>
              <w:rFonts w:asciiTheme="minorHAnsi" w:hAnsiTheme="minorHAnsi" w:cstheme="minorHAnsi"/>
              <w:sz w:val="24"/>
              <w:szCs w:val="24"/>
            </w:rPr>
            <w:t>Contents</w:t>
          </w:r>
          <w:bookmarkStart w:id="0" w:name="_GoBack"/>
          <w:bookmarkEnd w:id="0"/>
        </w:p>
        <w:p w:rsidR="00CE3EE6" w:rsidRDefault="00EE160A">
          <w:pPr>
            <w:pStyle w:val="TOC1"/>
            <w:tabs>
              <w:tab w:val="right" w:leader="dot" w:pos="9016"/>
            </w:tabs>
            <w:rPr>
              <w:rFonts w:eastAsiaTheme="minorEastAsia"/>
              <w:noProof/>
              <w:lang w:eastAsia="en-GB"/>
            </w:rPr>
          </w:pPr>
          <w:r w:rsidRPr="002A1341">
            <w:rPr>
              <w:rFonts w:cstheme="minorHAnsi"/>
              <w:sz w:val="24"/>
              <w:szCs w:val="24"/>
            </w:rPr>
            <w:fldChar w:fldCharType="begin"/>
          </w:r>
          <w:r w:rsidRPr="002A1341">
            <w:rPr>
              <w:rFonts w:cstheme="minorHAnsi"/>
              <w:sz w:val="24"/>
              <w:szCs w:val="24"/>
            </w:rPr>
            <w:instrText xml:space="preserve"> TOC \o "1-3" \h \z \u </w:instrText>
          </w:r>
          <w:r w:rsidRPr="002A1341">
            <w:rPr>
              <w:rFonts w:cstheme="minorHAnsi"/>
              <w:sz w:val="24"/>
              <w:szCs w:val="24"/>
            </w:rPr>
            <w:fldChar w:fldCharType="separate"/>
          </w:r>
          <w:hyperlink w:anchor="_Toc214733230" w:history="1">
            <w:r w:rsidR="00CE3EE6" w:rsidRPr="00C0630F">
              <w:rPr>
                <w:rStyle w:val="Hyperlink"/>
                <w:noProof/>
              </w:rPr>
              <w:t>Introduction</w:t>
            </w:r>
            <w:r w:rsidR="00CE3EE6">
              <w:rPr>
                <w:noProof/>
                <w:webHidden/>
              </w:rPr>
              <w:tab/>
            </w:r>
            <w:r w:rsidR="00CE3EE6">
              <w:rPr>
                <w:noProof/>
                <w:webHidden/>
              </w:rPr>
              <w:fldChar w:fldCharType="begin"/>
            </w:r>
            <w:r w:rsidR="00CE3EE6">
              <w:rPr>
                <w:noProof/>
                <w:webHidden/>
              </w:rPr>
              <w:instrText xml:space="preserve"> PAGEREF _Toc214733230 \h </w:instrText>
            </w:r>
            <w:r w:rsidR="00CE3EE6">
              <w:rPr>
                <w:noProof/>
                <w:webHidden/>
              </w:rPr>
            </w:r>
            <w:r w:rsidR="00CE3EE6">
              <w:rPr>
                <w:noProof/>
                <w:webHidden/>
              </w:rPr>
              <w:fldChar w:fldCharType="separate"/>
            </w:r>
            <w:r w:rsidR="00CE3EE6">
              <w:rPr>
                <w:noProof/>
                <w:webHidden/>
              </w:rPr>
              <w:t>3</w:t>
            </w:r>
            <w:r w:rsidR="00CE3EE6">
              <w:rPr>
                <w:noProof/>
                <w:webHidden/>
              </w:rPr>
              <w:fldChar w:fldCharType="end"/>
            </w:r>
          </w:hyperlink>
        </w:p>
        <w:p w:rsidR="00CE3EE6" w:rsidRDefault="00CE3EE6">
          <w:pPr>
            <w:pStyle w:val="TOC1"/>
            <w:tabs>
              <w:tab w:val="right" w:leader="dot" w:pos="9016"/>
            </w:tabs>
            <w:rPr>
              <w:rFonts w:eastAsiaTheme="minorEastAsia"/>
              <w:noProof/>
              <w:lang w:eastAsia="en-GB"/>
            </w:rPr>
          </w:pPr>
          <w:hyperlink w:anchor="_Toc214733231" w:history="1">
            <w:r w:rsidRPr="00C0630F">
              <w:rPr>
                <w:rStyle w:val="Hyperlink"/>
                <w:noProof/>
              </w:rPr>
              <w:t>Critical Assessment of Microsoft’s Organisational Culture</w:t>
            </w:r>
            <w:r>
              <w:rPr>
                <w:noProof/>
                <w:webHidden/>
              </w:rPr>
              <w:tab/>
            </w:r>
            <w:r>
              <w:rPr>
                <w:noProof/>
                <w:webHidden/>
              </w:rPr>
              <w:fldChar w:fldCharType="begin"/>
            </w:r>
            <w:r>
              <w:rPr>
                <w:noProof/>
                <w:webHidden/>
              </w:rPr>
              <w:instrText xml:space="preserve"> PAGEREF _Toc214733231 \h </w:instrText>
            </w:r>
            <w:r>
              <w:rPr>
                <w:noProof/>
                <w:webHidden/>
              </w:rPr>
            </w:r>
            <w:r>
              <w:rPr>
                <w:noProof/>
                <w:webHidden/>
              </w:rPr>
              <w:fldChar w:fldCharType="separate"/>
            </w:r>
            <w:r>
              <w:rPr>
                <w:noProof/>
                <w:webHidden/>
              </w:rPr>
              <w:t>3</w:t>
            </w:r>
            <w:r>
              <w:rPr>
                <w:noProof/>
                <w:webHidden/>
              </w:rPr>
              <w:fldChar w:fldCharType="end"/>
            </w:r>
          </w:hyperlink>
        </w:p>
        <w:p w:rsidR="00CE3EE6" w:rsidRDefault="00CE3EE6">
          <w:pPr>
            <w:pStyle w:val="TOC1"/>
            <w:tabs>
              <w:tab w:val="right" w:leader="dot" w:pos="9016"/>
            </w:tabs>
            <w:rPr>
              <w:rFonts w:eastAsiaTheme="minorEastAsia"/>
              <w:noProof/>
              <w:lang w:eastAsia="en-GB"/>
            </w:rPr>
          </w:pPr>
          <w:hyperlink w:anchor="_Toc214733232" w:history="1">
            <w:r w:rsidRPr="00C0630F">
              <w:rPr>
                <w:rStyle w:val="Hyperlink"/>
                <w:noProof/>
              </w:rPr>
              <w:t>Critical Assessment of Microsoft’s Organisational Context</w:t>
            </w:r>
            <w:r>
              <w:rPr>
                <w:noProof/>
                <w:webHidden/>
              </w:rPr>
              <w:tab/>
            </w:r>
            <w:r>
              <w:rPr>
                <w:noProof/>
                <w:webHidden/>
              </w:rPr>
              <w:fldChar w:fldCharType="begin"/>
            </w:r>
            <w:r>
              <w:rPr>
                <w:noProof/>
                <w:webHidden/>
              </w:rPr>
              <w:instrText xml:space="preserve"> PAGEREF _Toc214733232 \h </w:instrText>
            </w:r>
            <w:r>
              <w:rPr>
                <w:noProof/>
                <w:webHidden/>
              </w:rPr>
            </w:r>
            <w:r>
              <w:rPr>
                <w:noProof/>
                <w:webHidden/>
              </w:rPr>
              <w:fldChar w:fldCharType="separate"/>
            </w:r>
            <w:r>
              <w:rPr>
                <w:noProof/>
                <w:webHidden/>
              </w:rPr>
              <w:t>5</w:t>
            </w:r>
            <w:r>
              <w:rPr>
                <w:noProof/>
                <w:webHidden/>
              </w:rPr>
              <w:fldChar w:fldCharType="end"/>
            </w:r>
          </w:hyperlink>
        </w:p>
        <w:p w:rsidR="00CE3EE6" w:rsidRDefault="00CE3EE6">
          <w:pPr>
            <w:pStyle w:val="TOC1"/>
            <w:tabs>
              <w:tab w:val="right" w:leader="dot" w:pos="9016"/>
            </w:tabs>
            <w:rPr>
              <w:rFonts w:eastAsiaTheme="minorEastAsia"/>
              <w:noProof/>
              <w:lang w:eastAsia="en-GB"/>
            </w:rPr>
          </w:pPr>
          <w:hyperlink w:anchor="_Toc214733233" w:history="1">
            <w:r w:rsidRPr="00C0630F">
              <w:rPr>
                <w:rStyle w:val="Hyperlink"/>
                <w:noProof/>
              </w:rPr>
              <w:t>Interrelationship Between Microsoft’s Culture and Organisational Context</w:t>
            </w:r>
            <w:r>
              <w:rPr>
                <w:noProof/>
                <w:webHidden/>
              </w:rPr>
              <w:tab/>
            </w:r>
            <w:r>
              <w:rPr>
                <w:noProof/>
                <w:webHidden/>
              </w:rPr>
              <w:fldChar w:fldCharType="begin"/>
            </w:r>
            <w:r>
              <w:rPr>
                <w:noProof/>
                <w:webHidden/>
              </w:rPr>
              <w:instrText xml:space="preserve"> PAGEREF _Toc214733233 \h </w:instrText>
            </w:r>
            <w:r>
              <w:rPr>
                <w:noProof/>
                <w:webHidden/>
              </w:rPr>
            </w:r>
            <w:r>
              <w:rPr>
                <w:noProof/>
                <w:webHidden/>
              </w:rPr>
              <w:fldChar w:fldCharType="separate"/>
            </w:r>
            <w:r>
              <w:rPr>
                <w:noProof/>
                <w:webHidden/>
              </w:rPr>
              <w:t>7</w:t>
            </w:r>
            <w:r>
              <w:rPr>
                <w:noProof/>
                <w:webHidden/>
              </w:rPr>
              <w:fldChar w:fldCharType="end"/>
            </w:r>
          </w:hyperlink>
        </w:p>
        <w:p w:rsidR="00CE3EE6" w:rsidRDefault="00CE3EE6">
          <w:pPr>
            <w:pStyle w:val="TOC1"/>
            <w:tabs>
              <w:tab w:val="right" w:leader="dot" w:pos="9016"/>
            </w:tabs>
            <w:rPr>
              <w:rFonts w:eastAsiaTheme="minorEastAsia"/>
              <w:noProof/>
              <w:lang w:eastAsia="en-GB"/>
            </w:rPr>
          </w:pPr>
          <w:hyperlink w:anchor="_Toc214733234" w:history="1">
            <w:r w:rsidRPr="00C0630F">
              <w:rPr>
                <w:rStyle w:val="Hyperlink"/>
                <w:rFonts w:eastAsia="Times New Roman"/>
                <w:noProof/>
                <w:lang w:eastAsia="en-GB"/>
              </w:rPr>
              <w:t>Organisational Analysis in a Broader Environment: Microsoft</w:t>
            </w:r>
            <w:r>
              <w:rPr>
                <w:noProof/>
                <w:webHidden/>
              </w:rPr>
              <w:tab/>
            </w:r>
            <w:r>
              <w:rPr>
                <w:noProof/>
                <w:webHidden/>
              </w:rPr>
              <w:fldChar w:fldCharType="begin"/>
            </w:r>
            <w:r>
              <w:rPr>
                <w:noProof/>
                <w:webHidden/>
              </w:rPr>
              <w:instrText xml:space="preserve"> PAGEREF _Toc214733234 \h </w:instrText>
            </w:r>
            <w:r>
              <w:rPr>
                <w:noProof/>
                <w:webHidden/>
              </w:rPr>
            </w:r>
            <w:r>
              <w:rPr>
                <w:noProof/>
                <w:webHidden/>
              </w:rPr>
              <w:fldChar w:fldCharType="separate"/>
            </w:r>
            <w:r>
              <w:rPr>
                <w:noProof/>
                <w:webHidden/>
              </w:rPr>
              <w:t>8</w:t>
            </w:r>
            <w:r>
              <w:rPr>
                <w:noProof/>
                <w:webHidden/>
              </w:rPr>
              <w:fldChar w:fldCharType="end"/>
            </w:r>
          </w:hyperlink>
        </w:p>
        <w:p w:rsidR="00CE3EE6" w:rsidRDefault="00CE3EE6">
          <w:pPr>
            <w:pStyle w:val="TOC1"/>
            <w:tabs>
              <w:tab w:val="right" w:leader="dot" w:pos="9016"/>
            </w:tabs>
            <w:rPr>
              <w:rFonts w:eastAsiaTheme="minorEastAsia"/>
              <w:noProof/>
              <w:lang w:eastAsia="en-GB"/>
            </w:rPr>
          </w:pPr>
          <w:hyperlink w:anchor="_Toc214733235" w:history="1">
            <w:r w:rsidRPr="00C0630F">
              <w:rPr>
                <w:rStyle w:val="Hyperlink"/>
                <w:rFonts w:eastAsia="Times New Roman"/>
                <w:noProof/>
                <w:lang w:eastAsia="en-GB"/>
              </w:rPr>
              <w:t>Examining Culture and Ethical Behaviour at the Employee Level: Microsoft</w:t>
            </w:r>
            <w:r>
              <w:rPr>
                <w:noProof/>
                <w:webHidden/>
              </w:rPr>
              <w:tab/>
            </w:r>
            <w:r>
              <w:rPr>
                <w:noProof/>
                <w:webHidden/>
              </w:rPr>
              <w:fldChar w:fldCharType="begin"/>
            </w:r>
            <w:r>
              <w:rPr>
                <w:noProof/>
                <w:webHidden/>
              </w:rPr>
              <w:instrText xml:space="preserve"> PAGEREF _Toc214733235 \h </w:instrText>
            </w:r>
            <w:r>
              <w:rPr>
                <w:noProof/>
                <w:webHidden/>
              </w:rPr>
            </w:r>
            <w:r>
              <w:rPr>
                <w:noProof/>
                <w:webHidden/>
              </w:rPr>
              <w:fldChar w:fldCharType="separate"/>
            </w:r>
            <w:r>
              <w:rPr>
                <w:noProof/>
                <w:webHidden/>
              </w:rPr>
              <w:t>10</w:t>
            </w:r>
            <w:r>
              <w:rPr>
                <w:noProof/>
                <w:webHidden/>
              </w:rPr>
              <w:fldChar w:fldCharType="end"/>
            </w:r>
          </w:hyperlink>
        </w:p>
        <w:p w:rsidR="00CE3EE6" w:rsidRDefault="00CE3EE6">
          <w:pPr>
            <w:pStyle w:val="TOC1"/>
            <w:tabs>
              <w:tab w:val="right" w:leader="dot" w:pos="9016"/>
            </w:tabs>
            <w:rPr>
              <w:rFonts w:eastAsiaTheme="minorEastAsia"/>
              <w:noProof/>
              <w:lang w:eastAsia="en-GB"/>
            </w:rPr>
          </w:pPr>
          <w:hyperlink w:anchor="_Toc214733236" w:history="1">
            <w:r w:rsidRPr="00C0630F">
              <w:rPr>
                <w:rStyle w:val="Hyperlink"/>
                <w:noProof/>
              </w:rPr>
              <w:t>Appendix A</w:t>
            </w:r>
            <w:r>
              <w:rPr>
                <w:noProof/>
                <w:webHidden/>
              </w:rPr>
              <w:tab/>
            </w:r>
            <w:r>
              <w:rPr>
                <w:noProof/>
                <w:webHidden/>
              </w:rPr>
              <w:fldChar w:fldCharType="begin"/>
            </w:r>
            <w:r>
              <w:rPr>
                <w:noProof/>
                <w:webHidden/>
              </w:rPr>
              <w:instrText xml:space="preserve"> PAGEREF _Toc214733236 \h </w:instrText>
            </w:r>
            <w:r>
              <w:rPr>
                <w:noProof/>
                <w:webHidden/>
              </w:rPr>
            </w:r>
            <w:r>
              <w:rPr>
                <w:noProof/>
                <w:webHidden/>
              </w:rPr>
              <w:fldChar w:fldCharType="separate"/>
            </w:r>
            <w:r>
              <w:rPr>
                <w:noProof/>
                <w:webHidden/>
              </w:rPr>
              <w:t>12</w:t>
            </w:r>
            <w:r>
              <w:rPr>
                <w:noProof/>
                <w:webHidden/>
              </w:rPr>
              <w:fldChar w:fldCharType="end"/>
            </w:r>
          </w:hyperlink>
        </w:p>
        <w:p w:rsidR="00CE3EE6" w:rsidRDefault="00CE3EE6">
          <w:pPr>
            <w:pStyle w:val="TOC2"/>
            <w:tabs>
              <w:tab w:val="right" w:leader="dot" w:pos="9016"/>
            </w:tabs>
            <w:rPr>
              <w:rFonts w:eastAsiaTheme="minorEastAsia"/>
              <w:noProof/>
              <w:lang w:eastAsia="en-GB"/>
            </w:rPr>
          </w:pPr>
          <w:hyperlink w:anchor="_Toc214733237" w:history="1">
            <w:r w:rsidRPr="00C0630F">
              <w:rPr>
                <w:rStyle w:val="Hyperlink"/>
                <w:rFonts w:eastAsia="Times New Roman"/>
                <w:noProof/>
                <w:lang w:eastAsia="en-GB"/>
              </w:rPr>
              <w:t>PESTLE analysis in table form</w:t>
            </w:r>
            <w:r>
              <w:rPr>
                <w:noProof/>
                <w:webHidden/>
              </w:rPr>
              <w:tab/>
            </w:r>
            <w:r>
              <w:rPr>
                <w:noProof/>
                <w:webHidden/>
              </w:rPr>
              <w:fldChar w:fldCharType="begin"/>
            </w:r>
            <w:r>
              <w:rPr>
                <w:noProof/>
                <w:webHidden/>
              </w:rPr>
              <w:instrText xml:space="preserve"> PAGEREF _Toc214733237 \h </w:instrText>
            </w:r>
            <w:r>
              <w:rPr>
                <w:noProof/>
                <w:webHidden/>
              </w:rPr>
            </w:r>
            <w:r>
              <w:rPr>
                <w:noProof/>
                <w:webHidden/>
              </w:rPr>
              <w:fldChar w:fldCharType="separate"/>
            </w:r>
            <w:r>
              <w:rPr>
                <w:noProof/>
                <w:webHidden/>
              </w:rPr>
              <w:t>12</w:t>
            </w:r>
            <w:r>
              <w:rPr>
                <w:noProof/>
                <w:webHidden/>
              </w:rPr>
              <w:fldChar w:fldCharType="end"/>
            </w:r>
          </w:hyperlink>
        </w:p>
        <w:p w:rsidR="00CE3EE6" w:rsidRDefault="00CE3EE6">
          <w:pPr>
            <w:pStyle w:val="TOC1"/>
            <w:tabs>
              <w:tab w:val="right" w:leader="dot" w:pos="9016"/>
            </w:tabs>
            <w:rPr>
              <w:rFonts w:eastAsiaTheme="minorEastAsia"/>
              <w:noProof/>
              <w:lang w:eastAsia="en-GB"/>
            </w:rPr>
          </w:pPr>
          <w:hyperlink w:anchor="_Toc214733238" w:history="1">
            <w:r w:rsidRPr="00C0630F">
              <w:rPr>
                <w:rStyle w:val="Hyperlink"/>
                <w:noProof/>
              </w:rPr>
              <w:t>References</w:t>
            </w:r>
            <w:r>
              <w:rPr>
                <w:noProof/>
                <w:webHidden/>
              </w:rPr>
              <w:tab/>
            </w:r>
            <w:r>
              <w:rPr>
                <w:noProof/>
                <w:webHidden/>
              </w:rPr>
              <w:fldChar w:fldCharType="begin"/>
            </w:r>
            <w:r>
              <w:rPr>
                <w:noProof/>
                <w:webHidden/>
              </w:rPr>
              <w:instrText xml:space="preserve"> PAGEREF _Toc214733238 \h </w:instrText>
            </w:r>
            <w:r>
              <w:rPr>
                <w:noProof/>
                <w:webHidden/>
              </w:rPr>
            </w:r>
            <w:r>
              <w:rPr>
                <w:noProof/>
                <w:webHidden/>
              </w:rPr>
              <w:fldChar w:fldCharType="separate"/>
            </w:r>
            <w:r>
              <w:rPr>
                <w:noProof/>
                <w:webHidden/>
              </w:rPr>
              <w:t>13</w:t>
            </w:r>
            <w:r>
              <w:rPr>
                <w:noProof/>
                <w:webHidden/>
              </w:rPr>
              <w:fldChar w:fldCharType="end"/>
            </w:r>
          </w:hyperlink>
        </w:p>
        <w:p w:rsidR="00EE160A" w:rsidRPr="002A1341" w:rsidRDefault="00EE160A" w:rsidP="00EE160A">
          <w:pPr>
            <w:rPr>
              <w:rFonts w:cstheme="minorHAnsi"/>
              <w:noProof/>
              <w:sz w:val="24"/>
              <w:szCs w:val="24"/>
            </w:rPr>
          </w:pPr>
          <w:r w:rsidRPr="002A1341">
            <w:rPr>
              <w:rFonts w:cstheme="minorHAnsi"/>
              <w:b/>
              <w:bCs/>
              <w:noProof/>
              <w:sz w:val="24"/>
              <w:szCs w:val="24"/>
            </w:rPr>
            <w:fldChar w:fldCharType="end"/>
          </w:r>
        </w:p>
      </w:sdtContent>
    </w:sdt>
    <w:p w:rsidR="00BA2A1C" w:rsidRPr="002A1341" w:rsidRDefault="00BA2A1C" w:rsidP="00BA2A1C">
      <w:pPr>
        <w:pStyle w:val="Heading1"/>
        <w:rPr>
          <w:rFonts w:asciiTheme="minorHAnsi" w:hAnsiTheme="minorHAnsi" w:cstheme="minorHAnsi"/>
          <w:noProof/>
          <w:sz w:val="24"/>
          <w:szCs w:val="24"/>
        </w:rPr>
      </w:pPr>
    </w:p>
    <w:p w:rsidR="00BA2A1C" w:rsidRPr="002A1341" w:rsidRDefault="00BA2A1C" w:rsidP="00BA2A1C">
      <w:pPr>
        <w:pStyle w:val="Heading1"/>
        <w:rPr>
          <w:rFonts w:asciiTheme="minorHAnsi" w:hAnsiTheme="minorHAnsi" w:cstheme="minorHAnsi"/>
          <w:noProof/>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Pr="002A1341" w:rsidRDefault="00BA2A1C" w:rsidP="00BA2A1C">
      <w:pPr>
        <w:rPr>
          <w:rFonts w:cstheme="minorHAnsi"/>
          <w:sz w:val="24"/>
          <w:szCs w:val="24"/>
        </w:rPr>
      </w:pPr>
    </w:p>
    <w:p w:rsidR="00BA2A1C" w:rsidRDefault="00BA2A1C" w:rsidP="00BA2A1C">
      <w:pPr>
        <w:rPr>
          <w:rFonts w:cstheme="minorHAnsi"/>
          <w:sz w:val="24"/>
          <w:szCs w:val="24"/>
        </w:rPr>
      </w:pPr>
    </w:p>
    <w:p w:rsidR="00B954C6" w:rsidRDefault="00B954C6" w:rsidP="00BA2A1C">
      <w:pPr>
        <w:rPr>
          <w:rFonts w:cstheme="minorHAnsi"/>
          <w:sz w:val="24"/>
          <w:szCs w:val="24"/>
        </w:rPr>
      </w:pPr>
    </w:p>
    <w:p w:rsidR="00B954C6" w:rsidRDefault="00B954C6" w:rsidP="00BA2A1C">
      <w:pPr>
        <w:rPr>
          <w:rFonts w:cstheme="minorHAnsi"/>
          <w:sz w:val="24"/>
          <w:szCs w:val="24"/>
        </w:rPr>
      </w:pPr>
    </w:p>
    <w:p w:rsidR="00B954C6" w:rsidRDefault="00B954C6" w:rsidP="00BA2A1C">
      <w:pPr>
        <w:rPr>
          <w:rFonts w:cstheme="minorHAnsi"/>
          <w:sz w:val="24"/>
          <w:szCs w:val="24"/>
        </w:rPr>
      </w:pPr>
    </w:p>
    <w:p w:rsidR="00B954C6" w:rsidRDefault="00B954C6" w:rsidP="00BA2A1C">
      <w:pPr>
        <w:rPr>
          <w:rFonts w:cstheme="minorHAnsi"/>
          <w:sz w:val="24"/>
          <w:szCs w:val="24"/>
        </w:rPr>
      </w:pPr>
    </w:p>
    <w:p w:rsidR="00B954C6" w:rsidRDefault="00B954C6" w:rsidP="00BA2A1C">
      <w:pPr>
        <w:rPr>
          <w:rFonts w:cstheme="minorHAnsi"/>
          <w:sz w:val="24"/>
          <w:szCs w:val="24"/>
        </w:rPr>
      </w:pPr>
    </w:p>
    <w:p w:rsidR="00B954C6" w:rsidRDefault="00B954C6" w:rsidP="00BA2A1C">
      <w:pPr>
        <w:rPr>
          <w:rFonts w:cstheme="minorHAnsi"/>
          <w:sz w:val="24"/>
          <w:szCs w:val="24"/>
        </w:rPr>
      </w:pPr>
    </w:p>
    <w:p w:rsidR="00B954C6" w:rsidRPr="002A1341" w:rsidRDefault="00B954C6" w:rsidP="00BA2A1C">
      <w:pPr>
        <w:rPr>
          <w:rFonts w:cstheme="minorHAnsi"/>
          <w:sz w:val="24"/>
          <w:szCs w:val="24"/>
        </w:rPr>
      </w:pPr>
    </w:p>
    <w:p w:rsidR="00BA2A1C" w:rsidRPr="002A1341" w:rsidRDefault="00BA2A1C" w:rsidP="00BA2A1C">
      <w:pPr>
        <w:rPr>
          <w:rFonts w:cstheme="minorHAnsi"/>
          <w:sz w:val="24"/>
          <w:szCs w:val="24"/>
        </w:rPr>
      </w:pPr>
    </w:p>
    <w:p w:rsidR="00BA2A1C" w:rsidRDefault="00BA2A1C" w:rsidP="00BA2A1C">
      <w:pPr>
        <w:rPr>
          <w:rFonts w:cstheme="minorHAnsi"/>
          <w:sz w:val="24"/>
          <w:szCs w:val="24"/>
        </w:rPr>
      </w:pPr>
    </w:p>
    <w:p w:rsidR="00D22BE7" w:rsidRDefault="00D22BE7" w:rsidP="00CF69AE">
      <w:pPr>
        <w:pStyle w:val="Heading1"/>
      </w:pPr>
      <w:bookmarkStart w:id="1" w:name="_Toc214733230"/>
      <w:r>
        <w:lastRenderedPageBreak/>
        <w:t>Introduction</w:t>
      </w:r>
      <w:bookmarkEnd w:id="1"/>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Understanding the culture and context of an organisation is essential for explaining not only how it operates, but why it behaves in particular ways within its industry and wider environment. This assignment provides a critical assessment of </w:t>
      </w:r>
      <w:r w:rsidRPr="00CF69AE">
        <w:rPr>
          <w:rFonts w:ascii="Times New Roman" w:eastAsia="Times New Roman" w:hAnsi="Times New Roman" w:cs="Times New Roman"/>
          <w:bCs/>
          <w:sz w:val="24"/>
          <w:szCs w:val="24"/>
          <w:lang w:eastAsia="en-GB"/>
        </w:rPr>
        <w:t>Microsoft</w:t>
      </w:r>
      <w:r w:rsidRPr="00544361">
        <w:rPr>
          <w:rFonts w:ascii="Times New Roman" w:eastAsia="Times New Roman" w:hAnsi="Times New Roman" w:cs="Times New Roman"/>
          <w:sz w:val="24"/>
          <w:szCs w:val="24"/>
          <w:lang w:eastAsia="en-GB"/>
        </w:rPr>
        <w:t>, one of the world’s most influential technology organisations, by exploring its internal culture and the external context that shapes its strategic direction and organisational behaviour. In doing so, it evaluates the importance of both culture and context as interconnected drivers of organisational identity, performance and long-term sustainability.</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The analysis will first examine </w:t>
      </w:r>
      <w:r w:rsidRPr="00CF69AE">
        <w:rPr>
          <w:rFonts w:ascii="Times New Roman" w:eastAsia="Times New Roman" w:hAnsi="Times New Roman" w:cs="Times New Roman"/>
          <w:bCs/>
          <w:sz w:val="24"/>
          <w:szCs w:val="24"/>
          <w:lang w:eastAsia="en-GB"/>
        </w:rPr>
        <w:t>Microsoft’s organisational culture</w:t>
      </w:r>
      <w:r w:rsidRPr="00544361">
        <w:rPr>
          <w:rFonts w:ascii="Times New Roman" w:eastAsia="Times New Roman" w:hAnsi="Times New Roman" w:cs="Times New Roman"/>
          <w:sz w:val="24"/>
          <w:szCs w:val="24"/>
          <w:lang w:eastAsia="en-GB"/>
        </w:rPr>
        <w:t xml:space="preserve">, understood here as the shared values, norms, beliefs and behaviours that guide employee actions and leadership practices. Drawing on academic perspectives such as </w:t>
      </w:r>
      <w:r w:rsidRPr="00B954C6">
        <w:rPr>
          <w:rFonts w:ascii="Times New Roman" w:eastAsia="Times New Roman" w:hAnsi="Times New Roman" w:cs="Times New Roman"/>
          <w:bCs/>
          <w:sz w:val="24"/>
          <w:szCs w:val="24"/>
          <w:lang w:eastAsia="en-GB"/>
        </w:rPr>
        <w:t>Schein’s levels of culture</w:t>
      </w:r>
      <w:r w:rsidRPr="00544361">
        <w:rPr>
          <w:rFonts w:ascii="Times New Roman" w:eastAsia="Times New Roman" w:hAnsi="Times New Roman" w:cs="Times New Roman"/>
          <w:sz w:val="24"/>
          <w:szCs w:val="24"/>
          <w:lang w:eastAsia="en-GB"/>
        </w:rPr>
        <w:t xml:space="preserve">, </w:t>
      </w:r>
      <w:r w:rsidRPr="00B954C6">
        <w:rPr>
          <w:rFonts w:ascii="Times New Roman" w:eastAsia="Times New Roman" w:hAnsi="Times New Roman" w:cs="Times New Roman"/>
          <w:bCs/>
          <w:sz w:val="24"/>
          <w:szCs w:val="24"/>
          <w:lang w:eastAsia="en-GB"/>
        </w:rPr>
        <w:t>Handy’s cultural typologies</w:t>
      </w:r>
      <w:r w:rsidRPr="00544361">
        <w:rPr>
          <w:rFonts w:ascii="Times New Roman" w:eastAsia="Times New Roman" w:hAnsi="Times New Roman" w:cs="Times New Roman"/>
          <w:sz w:val="24"/>
          <w:szCs w:val="24"/>
          <w:lang w:eastAsia="en-GB"/>
        </w:rPr>
        <w:t xml:space="preserve">, and </w:t>
      </w:r>
      <w:r w:rsidRPr="00B954C6">
        <w:rPr>
          <w:rFonts w:ascii="Times New Roman" w:eastAsia="Times New Roman" w:hAnsi="Times New Roman" w:cs="Times New Roman"/>
          <w:bCs/>
          <w:sz w:val="24"/>
          <w:szCs w:val="24"/>
          <w:lang w:eastAsia="en-GB"/>
        </w:rPr>
        <w:t>Hofstede’s cultural dimensions</w:t>
      </w:r>
      <w:r w:rsidRPr="00544361">
        <w:rPr>
          <w:rFonts w:ascii="Times New Roman" w:eastAsia="Times New Roman" w:hAnsi="Times New Roman" w:cs="Times New Roman"/>
          <w:sz w:val="24"/>
          <w:szCs w:val="24"/>
          <w:lang w:eastAsia="en-GB"/>
        </w:rPr>
        <w:t xml:space="preserve">, the discussion will explore what characterises Microsoft’s culture, how it has evolved over time, who shapes it, and why it matters for innovation, collaboration and corporate behaviour. This section will consider the key events, strategic </w:t>
      </w:r>
      <w:r w:rsidR="00CE3EE6">
        <w:rPr>
          <w:rFonts w:ascii="Times New Roman" w:eastAsia="Times New Roman" w:hAnsi="Times New Roman" w:cs="Times New Roman"/>
          <w:sz w:val="24"/>
          <w:szCs w:val="24"/>
          <w:lang w:eastAsia="en-GB"/>
        </w:rPr>
        <w:t xml:space="preserve">decisions and leadership styles </w:t>
      </w:r>
      <w:r w:rsidRPr="00544361">
        <w:rPr>
          <w:rFonts w:ascii="Times New Roman" w:eastAsia="Times New Roman" w:hAnsi="Times New Roman" w:cs="Times New Roman"/>
          <w:sz w:val="24"/>
          <w:szCs w:val="24"/>
          <w:lang w:eastAsia="en-GB"/>
        </w:rPr>
        <w:t>p</w:t>
      </w:r>
      <w:r w:rsidR="00CE3EE6">
        <w:rPr>
          <w:rFonts w:ascii="Times New Roman" w:eastAsia="Times New Roman" w:hAnsi="Times New Roman" w:cs="Times New Roman"/>
          <w:sz w:val="24"/>
          <w:szCs w:val="24"/>
          <w:lang w:eastAsia="en-GB"/>
        </w:rPr>
        <w:t xml:space="preserve">articularly under Satya Nadella </w:t>
      </w:r>
      <w:r w:rsidRPr="00544361">
        <w:rPr>
          <w:rFonts w:ascii="Times New Roman" w:eastAsia="Times New Roman" w:hAnsi="Times New Roman" w:cs="Times New Roman"/>
          <w:sz w:val="24"/>
          <w:szCs w:val="24"/>
          <w:lang w:eastAsia="en-GB"/>
        </w:rPr>
        <w:t>that have influenced Microsoft’s cultural transformation.</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The assignment will then critically evaluate </w:t>
      </w:r>
      <w:r w:rsidRPr="00CF69AE">
        <w:rPr>
          <w:rFonts w:ascii="Times New Roman" w:eastAsia="Times New Roman" w:hAnsi="Times New Roman" w:cs="Times New Roman"/>
          <w:bCs/>
          <w:sz w:val="24"/>
          <w:szCs w:val="24"/>
          <w:lang w:eastAsia="en-GB"/>
        </w:rPr>
        <w:t>Microsoft’s organisational context</w:t>
      </w:r>
      <w:r w:rsidRPr="00544361">
        <w:rPr>
          <w:rFonts w:ascii="Times New Roman" w:eastAsia="Times New Roman" w:hAnsi="Times New Roman" w:cs="Times New Roman"/>
          <w:sz w:val="24"/>
          <w:szCs w:val="24"/>
          <w:lang w:eastAsia="en-GB"/>
        </w:rPr>
        <w:t xml:space="preserve">, focusing on the broader environment that explains why the organisation functions as it does. Using frameworks such as </w:t>
      </w:r>
      <w:r w:rsidRPr="00CF69AE">
        <w:rPr>
          <w:rFonts w:ascii="Times New Roman" w:eastAsia="Times New Roman" w:hAnsi="Times New Roman" w:cs="Times New Roman"/>
          <w:bCs/>
          <w:sz w:val="24"/>
          <w:szCs w:val="24"/>
          <w:lang w:eastAsia="en-GB"/>
        </w:rPr>
        <w:t>PESTLE</w:t>
      </w:r>
      <w:r w:rsidRPr="00544361">
        <w:rPr>
          <w:rFonts w:ascii="Times New Roman" w:eastAsia="Times New Roman" w:hAnsi="Times New Roman" w:cs="Times New Roman"/>
          <w:sz w:val="24"/>
          <w:szCs w:val="24"/>
          <w:lang w:eastAsia="en-GB"/>
        </w:rPr>
        <w:t xml:space="preserve"> and the </w:t>
      </w:r>
      <w:r w:rsidRPr="00CF69AE">
        <w:rPr>
          <w:rFonts w:ascii="Times New Roman" w:eastAsia="Times New Roman" w:hAnsi="Times New Roman" w:cs="Times New Roman"/>
          <w:bCs/>
          <w:sz w:val="24"/>
          <w:szCs w:val="24"/>
          <w:lang w:eastAsia="en-GB"/>
        </w:rPr>
        <w:t>Johnson &amp; Scholes Cultural Web</w:t>
      </w:r>
      <w:r w:rsidRPr="00544361">
        <w:rPr>
          <w:rFonts w:ascii="Times New Roman" w:eastAsia="Times New Roman" w:hAnsi="Times New Roman" w:cs="Times New Roman"/>
          <w:sz w:val="24"/>
          <w:szCs w:val="24"/>
          <w:lang w:eastAsia="en-GB"/>
        </w:rPr>
        <w:t>, the analysis will explore the economic, technological, regulatory and competitive forces that shape Microsoft’s strategic priorities. It will consider where and how Microsoft operates globally, why certain contextual pressures are more significant than others, and how these factors influence managerial decision-making, ethical conduct and market behaviour.</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Finally, the assessment will seek to synthesise the relationship between Microsoft’s culture and its organisational context, identifying areas of synergy, tension and mutual influence. By comparing “what is” with “what if” and “what next”, the conclusion will critically reflect on how Microsoft’s cultural and contextual characteristics may support or constrain its future development. The analysis is supported throughout by relevant academic theory, organisational models and real-world examples to ensure a robust, critical and evidence-based evaluation.</w:t>
      </w:r>
    </w:p>
    <w:p w:rsidR="00544361" w:rsidRPr="00B954C6" w:rsidRDefault="00544361" w:rsidP="00B954C6">
      <w:pPr>
        <w:pStyle w:val="Heading1"/>
      </w:pPr>
      <w:bookmarkStart w:id="2" w:name="_Toc214733231"/>
      <w:r w:rsidRPr="00B954C6">
        <w:rPr>
          <w:rStyle w:val="Strong"/>
          <w:b/>
          <w:bCs/>
        </w:rPr>
        <w:t>Critical Assessment of Microsoft’s Organisational Culture</w:t>
      </w:r>
      <w:bookmarkEnd w:id="2"/>
      <w:r w:rsidRPr="00B954C6">
        <w:rPr>
          <w:rStyle w:val="Strong"/>
          <w:b/>
          <w:bCs/>
        </w:rPr>
        <w:t xml:space="preserve"> </w:t>
      </w:r>
    </w:p>
    <w:p w:rsidR="00544361" w:rsidRDefault="00544361" w:rsidP="00544361">
      <w:pPr>
        <w:pStyle w:val="NormalWeb"/>
      </w:pPr>
      <w:r>
        <w:t>Organisational culture plays a critical role in shaping how a company behaves, makes decisions and competes within its industry, and Microsoft offers a particularly rich example of cultural evolution within a global technology organisation. Understanding its culture requires not only a description of values and behaviours but a critical exploration of how historical legacies, leadership approaches and global pressures have shaped the underlying assumptions of the organisation. Using established frameworks, including Schein’s model of organisational culture, Handy’s cultural typologies, Hofstede’s cultural dimensions and Johnson and Scholes’ Cultural Web, it becomes possible to examine the complexity, strengths and tensions within Microsoft’s culture.</w:t>
      </w:r>
    </w:p>
    <w:p w:rsidR="00544361" w:rsidRDefault="00544361" w:rsidP="00544361">
      <w:pPr>
        <w:pStyle w:val="NormalWeb"/>
      </w:pPr>
      <w:r>
        <w:t xml:space="preserve">Schein’s (2010) model provides a useful starting point for understanding Microsoft’s cultural depth. At the level of artefacts, Microsoft’s visible structures and practices include open office environments, collaborative meeting routines and symbolic commitments to diversity and inclusion. These artefacts reinforce the organisation’s public messaging about openness </w:t>
      </w:r>
      <w:r>
        <w:lastRenderedPageBreak/>
        <w:t xml:space="preserve">and innovation, yet critics argue that visible practices do not always reflect deeper behavioural realities, particularly within high-pressure engineering teams (Wilcox, 2021). At the level of espoused values, Microsoft emphasises growth </w:t>
      </w:r>
      <w:r w:rsidR="00B954C6">
        <w:t>mind-set</w:t>
      </w:r>
      <w:r>
        <w:t>, collaboration, customer obsession and ethical technology development, values heavily promoted under Satya Nadella’s leadership (Microsoft, 2023). However, a critical evaluation requires caution: espoused values may exist more strongly in corporate narratives than in everyday practice. For example, while the company publicly prioritises responsible AI, it has simultaneously faced criticism for the rapid deployment of AI features without full ethical safeguards (Metz, 2023). Schein’s deepest level, underlying assumptions, highlights the most significant cultural shift within Microsoft. Historically, the company operated on assumptions of internal competition, technical superiority and market dominance. Nadella’s leadership has reframed these assumptions around collaboration, learning and customer value, yet cultural change at this level is uneven and slow across a workforce of over 220,000 employees (Schein, 2010; Nadella, 2017). This unevenness highlights the limitations of leadership-driven transformation in large, complex organisations.</w:t>
      </w:r>
    </w:p>
    <w:p w:rsidR="00544361" w:rsidRDefault="00544361" w:rsidP="00544361">
      <w:pPr>
        <w:pStyle w:val="NormalWeb"/>
      </w:pPr>
      <w:r>
        <w:t>Handy’s (1993) cultural typologies further illuminate the multifaceted nature of Microsoft’s culture. Though the organisation now projects the ch</w:t>
      </w:r>
      <w:r w:rsidR="00CE3EE6">
        <w:t xml:space="preserve">aracteristics of a task culture </w:t>
      </w:r>
      <w:r>
        <w:t>emphasising teamwork,</w:t>
      </w:r>
      <w:r w:rsidR="00CE3EE6">
        <w:t xml:space="preserve"> problem-solving and innovation </w:t>
      </w:r>
      <w:r>
        <w:t>it retains elements of role culture in its structured engineering processes and formalised decision-making hierarchies. This hybrid model enables stability and innovation but can also lead to tensions between creativity and compliance. Historically, Microsoft exhibited characteristics of power culture, with influence concentrated among senior executives and dominant product groups, particularly during the Bill Gates and Steve Ballmer eras (Isaacson, 2011). Although Nadella’s tenure has decentralised some authority, remnants of hierarchical control persist, especially in product divisions such as Azure and Windows. A critical interpretation therefore suggests that while Microsoft’s cultural identity is shifting, structural legacies continue to constrain the full realisation of a collaborative ideal.</w:t>
      </w:r>
    </w:p>
    <w:p w:rsidR="00544361" w:rsidRDefault="00544361" w:rsidP="00544361">
      <w:pPr>
        <w:pStyle w:val="NormalWeb"/>
      </w:pPr>
      <w:r>
        <w:t>Hofstede’s cultural dimensions highlight further complexity arising from Microsoft’s global footprint. The organisation promotes a low power-distance culture, encouraging open communication and employee autonomy (Hofstede et al., 2010). However, its operations in countries with high power-distance norms, such as India and China, reveal discrepancies between corporate intentions and local realities. Similarly, although Microsoft’s emphasis on teamwork suggests collectivist values, performance management systems often reward individual achievements, creating cultural contradictions that influence employee behaviour. In addition, the need for risk management and regulatory compliance in cloud services increases uncertainty avoidance in certain divisions, sometimes inhibiting the experimentation central to technological innovation. These cross-cultural tensions demonstrate that Microsoft’s culture cannot be assumed to be uniform across regions and business units.</w:t>
      </w:r>
    </w:p>
    <w:p w:rsidR="00544361" w:rsidRDefault="00544361" w:rsidP="00544361">
      <w:pPr>
        <w:pStyle w:val="NormalWeb"/>
      </w:pPr>
      <w:r>
        <w:t xml:space="preserve">Johnson and Scholes’ Cultural Web further illustrates the organisational forces that reinforce Microsoft’s dominant cultural paradigm. Stories about transformation under Nadella, the power of growth </w:t>
      </w:r>
      <w:r w:rsidR="00CE3EE6">
        <w:t>mind-set</w:t>
      </w:r>
      <w:r>
        <w:t xml:space="preserve"> and Microsoft’s “reinvention” shape employee perceptions of success and failure (Johnson et al., 2014). Rituals such as hackathons, cross-team showcases and engineering reviews support the narrative of collaboration, yet control systems based on performance metrics and product usage data introduce pressure that can undermine the collaborative etho</w:t>
      </w:r>
      <w:r w:rsidR="00CE3EE6">
        <w:t xml:space="preserve">s. The organisational structure a large and complex matrix </w:t>
      </w:r>
      <w:r>
        <w:t xml:space="preserve">encourages coordination but slows decision-making, creating frustration among employees who value agility. Power structures remain concentrated in key product groups, which reinforces the dominance of engineering logic within the organisation. These dynamics shape a cultural </w:t>
      </w:r>
      <w:r>
        <w:lastRenderedPageBreak/>
        <w:t>paradigm focused on innovation, customer-centricity and learning, but also one that continues to be influenced by competitive legacy behaviours.</w:t>
      </w:r>
    </w:p>
    <w:p w:rsidR="00544361" w:rsidRDefault="00544361" w:rsidP="00544361">
      <w:pPr>
        <w:pStyle w:val="NormalWeb"/>
      </w:pPr>
      <w:r>
        <w:t>A critical appraisal of Microsoft’s culture reveals significant strengths alongside persistent challenges. Nadella’s leadership is widely credited with creating a more open, empathetic and learning-oriented culture that has revitalised the company’s performance and reputation (Nadella, 2017; Stone and Green, 2020). The organisation’s commitment to accessibility, ethics and inclusivity has enhanced its social legitimacy, while improvements in internal collaboration have contributed to the success of major business units such as Azure. However, cultural transformation has not been uniform. Competitive pressures, hierarchical legacies and global variations in cultural practice create inconsistencies, while ongoing debates around AI ethics and labour conditions in outsourced supply chains highlight gaps between values and actions. These tensions demonstrate that Microsoft’s culture, though strategically beneficial, remains a work in progress.</w:t>
      </w:r>
    </w:p>
    <w:p w:rsidR="00D22BE7" w:rsidRPr="00544361" w:rsidRDefault="00544361" w:rsidP="00544361">
      <w:pPr>
        <w:pStyle w:val="NormalWeb"/>
      </w:pPr>
      <w:r>
        <w:t>In conclusion, Microsoft’s organisational culture is best understood as a dynamic and evolving system shaped by leadership, history, global operations and industry pressures. While significant advances have been made in shifting the company toward a more collaborative, ethical and learning-driven culture, underlying tensions and inconsistencies continue to challenge the full realisation of its cultural aspirations. A critical assessment using academic frameworks shows that Microsoft’s culture supports innovation and organisational performance but also introduces complexities that must be managed carefully as the company navigates future technological, ethical and competitive challenges.</w:t>
      </w:r>
    </w:p>
    <w:p w:rsidR="00544361" w:rsidRPr="00B954C6" w:rsidRDefault="00544361" w:rsidP="00B954C6">
      <w:pPr>
        <w:pStyle w:val="Heading1"/>
      </w:pPr>
      <w:bookmarkStart w:id="3" w:name="_Toc214733232"/>
      <w:r w:rsidRPr="00B954C6">
        <w:rPr>
          <w:rStyle w:val="Strong"/>
          <w:b/>
          <w:bCs/>
        </w:rPr>
        <w:t>Critical Assessment of Microsoft’s Organisational Context</w:t>
      </w:r>
      <w:bookmarkEnd w:id="3"/>
      <w:r w:rsidRPr="00B954C6">
        <w:rPr>
          <w:rStyle w:val="Strong"/>
          <w:b/>
          <w:bCs/>
        </w:rPr>
        <w:t xml:space="preserve"> </w:t>
      </w:r>
    </w:p>
    <w:p w:rsidR="00544361" w:rsidRDefault="00544361" w:rsidP="00544361">
      <w:pPr>
        <w:pStyle w:val="NormalWeb"/>
      </w:pPr>
      <w:r>
        <w:t>Understanding the organisational context of Microsoft requires a critical exploration of the external forces and internal conditions that shape its strategic choices, ethical conduct and long-term viability. As one of the world’s largest and most influential technology companies, Microsoft operates within a complex global environment defined by political regulation, economic fluctuations, social expectations, technological disruption, environmental pressures and legal scrutiny. Using frameworks such as PESTLE analysis and industry perspectives from Johnson and Scholes (2014), this section evaluates the contextual factors that explain not only what Microsoft does, but why it behaves in particular ways.</w:t>
      </w:r>
    </w:p>
    <w:p w:rsidR="00544361" w:rsidRDefault="00544361" w:rsidP="00544361">
      <w:pPr>
        <w:pStyle w:val="NormalWeb"/>
      </w:pPr>
      <w:r>
        <w:t>Political and regulatory forces are especially significant in shaping Microsoft’s strategic context. The company operates across more than 190 countries and must comply with diverse regulatory regimes relating to data protection, competition law, cybersecurity and artificial intelligence. Major regulatory actions, such as the European Union’s General Data Protection Regulation (GDPR), have obliged Microsoft to implement stronger data governance and privacy safeguards (European Commission, 2020). Antitrust scrutiny in both the United States and Europe continues to shape Microsoft’s behaviour in areas such as cloud infrastructure and software licensing (Kollewe, 2023). While such regulation constrains certain strategic moves, it also influences Microsoft’s public commitment to ethical technology development, as exemplified by its Responsible AI framework (Microsoft, 2023). However, critics argue that Microsoft’s proactive regulatory stance is partly driven by self-interest, as compliance requirements create barriers to entry for smaller competitors (Metz, 2023). Thus, the political context both restricts and reinforces Microsoft’s market power.</w:t>
      </w:r>
    </w:p>
    <w:p w:rsidR="00544361" w:rsidRDefault="00544361" w:rsidP="00544361">
      <w:pPr>
        <w:pStyle w:val="NormalWeb"/>
      </w:pPr>
      <w:r>
        <w:t xml:space="preserve">Economically, Microsoft benefits from the global shift towards digitalisation, cloud computing and enterprise software, all of which have accelerated post-pandemic. The company’s Azure cloud platform has become central to its economic model, generating </w:t>
      </w:r>
      <w:r>
        <w:lastRenderedPageBreak/>
        <w:t>recurring revenue streams resilient to market fluctuations (Statista, 2023). However, global economic instability, currency volatility and inflationary pressures can impact enterprise purchasing decisions and reduce demand for certain consumer products such as personal computers. Microsoft’s large-scale investments in artificial intelligence partnerships, including its multibillion-dollar agreement with OpenAI, introduce both opportunities and risks, demonstrating the uncertainty inherent in innovation-driven economic contexts (Hern, 2023). The organisation’s strategic diversification mitigates these risks, but its reliance on a few major growth engines leaves it vulnerable to market shifts.</w:t>
      </w:r>
    </w:p>
    <w:p w:rsidR="00544361" w:rsidRDefault="00544361" w:rsidP="00544361">
      <w:pPr>
        <w:pStyle w:val="NormalWeb"/>
      </w:pPr>
      <w:r>
        <w:t>Social and demographic trends also play a critical role in shaping Microsoft’s organisational context. Growing expectations regarding ESG performance, digital inclusion and workforce diversity require the company to demonstrate strong ethical and social responsibility credentials. Microsoft has invested heavily in accessibility features, community programmes and inclusive hiring, positioning itself as a socially responsible actor (Microsoft, 2023). However, concerns remain regarding labour conditions within outsourced manufacturing supply chains and the societal impact of AI automation. These tensions illustrate the challenge of balancing commercial priorities with social expectations, particularly as stakeholders demand greater transparency from technology companies.</w:t>
      </w:r>
    </w:p>
    <w:p w:rsidR="00544361" w:rsidRDefault="00544361" w:rsidP="00544361">
      <w:pPr>
        <w:pStyle w:val="NormalWeb"/>
      </w:pPr>
      <w:r>
        <w:t>Technological forces represent both the greatest opportunity and the greatest threat to Microsoft’s position. As a leading innovator in cloud computing, enterprise software and AI, the organisation must continually invest to maintain competitiveness in an industry that evolves rapidly. Emerging technologies such as generative AI, quantum computing and cybersecurity platforms drive Microsoft’s research agenda. Yet the speed of innovation also exposes the company to ethical and operational risks. For instance, rapid AI deployment has attracted criticism from analysts, policymakers and civil society groups concerned about bias, privacy and safety (Brennen, 2023). Microsoft’s technological context therefore requires navigating the tension between innovation and responsibility, a challenge that reflects the broader dynamics of the global tech sector.</w:t>
      </w:r>
    </w:p>
    <w:p w:rsidR="00544361" w:rsidRDefault="00544361" w:rsidP="00544361">
      <w:pPr>
        <w:pStyle w:val="NormalWeb"/>
      </w:pPr>
      <w:r>
        <w:t>Environmental and sustainability pressures further influence Microsoft’s strategic context. As governments and institutions increase demands for carbon reduction, Microsoft has committed to ambitious environmental goals, including becoming carbon negative by 2030 (Microsoft, 2023). While these commitments enhance corporate reputation, they introduce operational complexities relating to energy usage, data centre emissions and supply chain sustainability. Meeting these targets requires technological innovation and significant investment, particularly given the rapid growth of energy-intensive cloud and AI infrastructure. These environmental pressures highlight the interdependence between sustainability commitments and technological expansion.</w:t>
      </w:r>
    </w:p>
    <w:p w:rsidR="00544361" w:rsidRDefault="00544361" w:rsidP="00544361">
      <w:pPr>
        <w:pStyle w:val="NormalWeb"/>
      </w:pPr>
      <w:r>
        <w:t>Finally, Microsoft’s context is shaped by legal forces, particularly in areas such as intellectual property, cybersecurity regulation and global competition law. Frequent litigation, patent disputes and data protection cases illustrate the high-risk legal environment facing multinational technology firms (Baker &amp; McKenzie, 2022). Cybersecurity threats present additional legal and operational risks, requiring substantial investment in security infrastructure and incident response. These challenges reinforce the importance of robust governance systems capable of navigating complex legal landscapes worldwide.</w:t>
      </w:r>
    </w:p>
    <w:p w:rsidR="00544361" w:rsidRPr="00CF69AE" w:rsidRDefault="00544361" w:rsidP="00CF69AE">
      <w:pPr>
        <w:pStyle w:val="NormalWeb"/>
      </w:pPr>
      <w:r>
        <w:t xml:space="preserve">A critical evaluation of Microsoft’s organisational context shows that the company benefits from powerful economic and technological opportunities, yet faces considerable political, social, environmental and legal pressures. Its position as a global leader in cloud computing and AI affords competitive advantages, but also invites regulatory scrutiny and ethical expectations far greater than those placed on smaller firms. The reliance on innovation </w:t>
      </w:r>
      <w:r>
        <w:lastRenderedPageBreak/>
        <w:t>presents opportunities while simultaneously exposing Microsoft to volatility and reputational risk. Overall, Microsoft’s context is defined by complexity, interdependence and rapid change. Navigating this environment requires strategic agility, strong governance and constant adaptation, demonstrating that Microsoft’s success is shaped as much by external forces as by its internal culture.</w:t>
      </w:r>
    </w:p>
    <w:p w:rsidR="00544361" w:rsidRPr="00B954C6" w:rsidRDefault="00544361" w:rsidP="00B954C6">
      <w:pPr>
        <w:pStyle w:val="Heading1"/>
      </w:pPr>
      <w:bookmarkStart w:id="4" w:name="_Toc214733233"/>
      <w:r w:rsidRPr="00B954C6">
        <w:rPr>
          <w:rStyle w:val="Strong"/>
          <w:b/>
          <w:bCs/>
        </w:rPr>
        <w:t>Interrelationship Between Microsoft’s Culture and Organisational Context</w:t>
      </w:r>
      <w:bookmarkEnd w:id="4"/>
    </w:p>
    <w:p w:rsidR="00544361" w:rsidRDefault="00544361" w:rsidP="00544361">
      <w:pPr>
        <w:pStyle w:val="NormalWeb"/>
      </w:pPr>
      <w:r>
        <w:t>A critical synthesis of Microsoft’s organisational culture and its wider context reveals a dynamic and mutually reinforcing relationship between internal behaviours and external pressures. Neither culture nor context exists in isolation; rather, Microsoft’s current organisational identity is shaped by the ongoing interaction between the company’s strategic environment, regulatory and technological forces, and the cultural transformations initiated under Satya Nadella’s leadership. Understanding this interrelationship is essential for assessing Microsoft’s long-term performance, ethical orientation and strategic resilience.</w:t>
      </w:r>
    </w:p>
    <w:p w:rsidR="00544361" w:rsidRDefault="00544361" w:rsidP="00544361">
      <w:pPr>
        <w:pStyle w:val="NormalWeb"/>
      </w:pPr>
      <w:r>
        <w:t xml:space="preserve">Microsoft’s cultural transformation towards collaboration, empathy and a growth </w:t>
      </w:r>
      <w:r w:rsidR="00B954C6">
        <w:t>mind-set</w:t>
      </w:r>
      <w:r>
        <w:t xml:space="preserve"> did not emerge purely from internal motivations. Instead, it was shaped by contextual pressures, including declining market reputation, stagnating innovation and increasing competition from firms such as Google and Amazon in the early 2010s (Isaacson, 2011; Nadella, 2017). These contextual challenges exposed the limitations of Microsoft’s former competitive and siloed culture, forcing the organisation to reconsider its underlying assumptions and leadership approach. Nade</w:t>
      </w:r>
      <w:r w:rsidR="00B954C6">
        <w:t xml:space="preserve">lla’s reform of cultural values </w:t>
      </w:r>
      <w:r>
        <w:t>moving from internal rivalr</w:t>
      </w:r>
      <w:r w:rsidR="00B954C6">
        <w:t xml:space="preserve">y to collective problem-solving </w:t>
      </w:r>
      <w:r>
        <w:t>can therefore be interpreted as a strategic response to contextual forces rather than a purely ideological shift (Stone and Green, 2020). This highlights the reciprocal nature of culture and context: cultural change was required to restore competitiveness within a rapidly evolving technological landscape.</w:t>
      </w:r>
    </w:p>
    <w:p w:rsidR="00544361" w:rsidRDefault="00544361" w:rsidP="00544361">
      <w:pPr>
        <w:pStyle w:val="NormalWeb"/>
      </w:pPr>
      <w:r>
        <w:t xml:space="preserve">Similarly, the shift towards cloud computing and artificial intelligence within Microsoft’s strategic context has reinforced the importance of a culture that supports adaptability, learning and cross-functional collaboration. Cloud platforms such as Azure require integrated development, security, compliance and customer engagement teams working together, making a collaborative task-oriented culture essential for sustained performance (Johnson et al., 2014). Microsoft’s emphasis on a growth </w:t>
      </w:r>
      <w:r w:rsidR="00B954C6">
        <w:t xml:space="preserve">mind-set </w:t>
      </w:r>
      <w:r>
        <w:t>derived from Carol Dweck’s research and emb</w:t>
      </w:r>
      <w:r w:rsidR="00B954C6">
        <w:t xml:space="preserve">edded into leadership practices </w:t>
      </w:r>
      <w:r>
        <w:t>supports this need for continuous learning in a context of rapid technological change. Thus, contextual technological pressures reinforce and justify cultural behaviours, ensuring that cultural transformation is aligned with strategic necessity.</w:t>
      </w:r>
    </w:p>
    <w:p w:rsidR="00544361" w:rsidRDefault="00544361" w:rsidP="00544361">
      <w:pPr>
        <w:pStyle w:val="NormalWeb"/>
      </w:pPr>
      <w:r>
        <w:t>Regulatory and ethical pressures also shape the cultural narrative within Microsoft. Increasing scrutiny around data protection, AI ethics and monopolistic behaviour has pushed the organisation to embed ethical considerations into cultural norms, values and leadership expectations (European Commission, 2020; Metz, 2023). Microsoft’s Responsible AI principles and governance structures illustrate how external expectations influence internal behaviours. At the same time, Microsoft uses its cultural commitment to ethics and responsibility to position itself favourably with regulators, investors and the public, demonstrating how culture can become a strategic resource in navigating complex legal contexts. This bidirectional influence reinforces the argument that culture not only responds to but also shapes the organisation’s contextual environment.</w:t>
      </w:r>
    </w:p>
    <w:p w:rsidR="00544361" w:rsidRDefault="00544361" w:rsidP="00544361">
      <w:pPr>
        <w:pStyle w:val="NormalWeb"/>
      </w:pPr>
      <w:r>
        <w:lastRenderedPageBreak/>
        <w:t>However, tension exists where cultural aspirations clash with contextual demands. For example, Microsoft promotes a low power-distance environment and inclusive decision-making, yet competitive pressures within the technology sector often necessitate rapid strategic actions and centralised decision authority, particularly within Azure, Windows and the AI divisions (Wilcox, 2021). Similarly, while the company espouses values related to responsibility and ethical innovation, market pressures and competition for AI dominance have accelerated the rollout of new products, raising concerns about whether cultural ideals are always upheld in practice (Brennen, 2023). These contradictions demonstrate that culture and context are not always aligned; rather, they are in constant negotiation, producing ongoing organisational tension.</w:t>
      </w:r>
    </w:p>
    <w:p w:rsidR="00544361" w:rsidRDefault="00544361" w:rsidP="00544361">
      <w:pPr>
        <w:pStyle w:val="NormalWeb"/>
      </w:pPr>
      <w:r>
        <w:t>Furthermore, Microsoft’s global context complicates the enactment of cultural ideals. Hofstede’s model suggests that cultural values are interpreted differently depending on national cultures (Hofstede et al., 2010). Microsoft’s desire for open communication and collaborative working may resonate in low power-distance cultures such as the United States, but in countries with contrasting cultural norms, these values may be enacted differently or unevenly. This contextual variation challenges Microsoft’s ability to sustain a coherent global culture and highlights the limits of cultural standardisation within multinational organisations. The contextual diversity of Microsoft’s global operations therefore shapes internal culture in fragmented ways, reinforcing the argument that culture cannot be understood independently of context.</w:t>
      </w:r>
    </w:p>
    <w:p w:rsidR="00544361" w:rsidRDefault="00544361" w:rsidP="00544361">
      <w:pPr>
        <w:pStyle w:val="NormalWeb"/>
      </w:pPr>
      <w:r>
        <w:t xml:space="preserve">Overall, the synthesis of Microsoft’s culture and context reveals a complex, reciprocal and evolving </w:t>
      </w:r>
      <w:r w:rsidR="00B954C6">
        <w:t xml:space="preserve">relationship. Contextual forces </w:t>
      </w:r>
      <w:r>
        <w:t>from technological di</w:t>
      </w:r>
      <w:r w:rsidR="00B954C6">
        <w:t xml:space="preserve">sruption to regulatory scrutiny </w:t>
      </w:r>
      <w:r>
        <w:t>have initiated and shaped cultural transformation, while cultural values such as innovation, learning and responsibility have supported Microsoft’s ability to navigate its strategic environment. Yet tensions persist where contextual demands conflict with cultural aspirations, particularly in relation to ethical AI development, global consistency and performance pressures. Understanding these interactions provides a holistic perspective on Microsoft’s organisational behaviour, demonstrating that culture and context are interdependent drivers of strategic and ethical performance.</w:t>
      </w:r>
    </w:p>
    <w:p w:rsidR="00CF69AE" w:rsidRPr="00CF69AE" w:rsidRDefault="00CF69AE" w:rsidP="00B954C6">
      <w:pPr>
        <w:pStyle w:val="Heading1"/>
        <w:rPr>
          <w:rFonts w:eastAsia="Times New Roman"/>
          <w:lang w:eastAsia="en-GB"/>
        </w:rPr>
      </w:pPr>
      <w:bookmarkStart w:id="5" w:name="_Toc214733234"/>
      <w:r w:rsidRPr="00CF69AE">
        <w:rPr>
          <w:rFonts w:eastAsia="Times New Roman"/>
          <w:lang w:eastAsia="en-GB"/>
        </w:rPr>
        <w:t>Organisational Analysis in a Broader Environment: Microsoft</w:t>
      </w:r>
      <w:bookmarkEnd w:id="5"/>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sz w:val="24"/>
          <w:szCs w:val="24"/>
          <w:lang w:eastAsia="en-GB"/>
        </w:rPr>
        <w:t>Understanding Microsoft within its broader environment requires an examination of both external forces beyond its control and internal capabilities it can influence. The broader environment significantly shapes the strategic decisions, operational priorities, and long-term sustainability of the organisation. By systematically analysing these factors, Microsoft can anticipate market trends, mitigate risks, and capitalise on opportunities to maintain its position as a global technology leader. This evaluation uses PESTEL and SWOT frameworks, supplemented by the McKinsey 7S model, to provide a comprehensive assessment of Microsoft’s organisational landscape.</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sz w:val="24"/>
          <w:szCs w:val="24"/>
          <w:lang w:eastAsia="en-GB"/>
        </w:rPr>
        <w:t xml:space="preserve">A PESTEL analysis highlights the macro-environmental factors affecting Microsoft’s operations. Politically, Microsoft operates in multiple regions, requiring compliance with varying government regulations, cybersecurity laws, and antitrust scrutiny. While political stability in key markets like the United States and Europe supports business continuity, regulatory challenges, such as EU antitrust investigations or data privacy regulations, represent ongoing considerations. Economic factors, including global economic growth, currency fluctuations, and consumer spending patterns, influence demand for Microsoft’s products and cloud services. Strong growth in digital transformation and cloud adoption, combined with stable economic conditions in core markets, supports Microsoft’s revenue </w:t>
      </w:r>
      <w:r w:rsidRPr="00CF69AE">
        <w:rPr>
          <w:rFonts w:ascii="Times New Roman" w:eastAsia="Times New Roman" w:hAnsi="Times New Roman" w:cs="Times New Roman"/>
          <w:sz w:val="24"/>
          <w:szCs w:val="24"/>
          <w:lang w:eastAsia="en-GB"/>
        </w:rPr>
        <w:lastRenderedPageBreak/>
        <w:t>streams. Social trends, such as remote working, digital learning, and increased awareness of sustainability, shape both product development and corporate responsibility initiatives. Technological advancements are particularly critical for Microsoft, as innovation in cloud computing, artificial intelligence, cybersecurity, and quantum computing drives competitive advantage. Environmental concerns, including sustainability and carbon reduction targets, are increasingly influencing operational strategies, while legal factors, such as intellectual property protection and compliance obligations, remain vital to safeguarding Microsoft’s innovations and market position. Collectively, the PESTEL analysis underscores the complex interplay of external pressures that Microsoft must navigate to sustain growth and market relevance.</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sz w:val="24"/>
          <w:szCs w:val="24"/>
          <w:lang w:eastAsia="en-GB"/>
        </w:rPr>
        <w:t>A SWOT analysis provides insight into Microsoft’s internal capabilities and external opportunities and threats. Microsoft’s strengths include its global brand recognition, diverse product portfolio, strong financial performance, and leadership in cloud services and enterprise software. These assets provide a foundation for continued strategic expansion and innovation. Weaknesses include dependence on specific revenue streams, such as Office 365 and Azure, and challenges in maintaining agility in a large, complex organisation. Opportunities for growth exist in expanding markets for AI, gaming, cybersecurity, and emerging technologies, as well as strategic acquisitions and partnerships. Conversely, threats include intensified competition from companies such as Google, Amazon, and Apple, regulatory scrutiny, and rapidly evolving technological landscapes that could disrupt existing business models. Evaluating these factors collectively provides a nuanced understanding of Microsoft’s ability to influence certain aspects of its environment while adapting to external pressures beyond its control.</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sz w:val="24"/>
          <w:szCs w:val="24"/>
          <w:lang w:eastAsia="en-GB"/>
        </w:rPr>
        <w:t xml:space="preserve">The McKinsey 7S framework further examines Microsoft’s internal alignment across seven interdependent elements: strategy, structure, systems, shared values, skills, style, and staff. Microsoft’s strategy of innovation, cloud leadership, and global expansion is reinforced by a divisional and matrix structure that supports collaboration across products and regions. Systems, including enterprise resource planning, cloud infrastructure, and knowledge management tools, enable operational efficiency. Shared values, such as a growth </w:t>
      </w:r>
      <w:r w:rsidR="00B954C6" w:rsidRPr="00CF69AE">
        <w:rPr>
          <w:rFonts w:ascii="Times New Roman" w:eastAsia="Times New Roman" w:hAnsi="Times New Roman" w:cs="Times New Roman"/>
          <w:sz w:val="24"/>
          <w:szCs w:val="24"/>
          <w:lang w:eastAsia="en-GB"/>
        </w:rPr>
        <w:t>mind-set</w:t>
      </w:r>
      <w:r w:rsidRPr="00CF69AE">
        <w:rPr>
          <w:rFonts w:ascii="Times New Roman" w:eastAsia="Times New Roman" w:hAnsi="Times New Roman" w:cs="Times New Roman"/>
          <w:sz w:val="24"/>
          <w:szCs w:val="24"/>
          <w:lang w:eastAsia="en-GB"/>
        </w:rPr>
        <w:t>, inclusivity, and ethical responsibility, shape employee engagement and corporate culture. Skills in software development, AI research, and cybersecurity provide competitive advantage, while leadership style emphasizes empowerment, innovation, and accountability. Staff capabilities, reinforced by continuous learning programs and diversity initiatives, support Microsoft’s strategic objectives. This alignment ensures that Microsoft is well-positioned to execute its strategy while addressing the challenges of a dynamic global environment.</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sz w:val="24"/>
          <w:szCs w:val="24"/>
          <w:lang w:eastAsia="en-GB"/>
        </w:rPr>
        <w:t>Synthesising these frameworks provides valuable insights into Microsoft’s position in its broader environment. PESTEL analysis highlights external pressures and trends that shape strategic priorities, SWOT contextualises these forces within internal capabilities and limitations, and the McKinsey 7S framework identifies alignment gaps that influence execution. This multi-dimensional evaluation demonstrates that Microsoft operates in a complex and rapidly changing technological landscape where strategic awareness, internal cohesion, and adaptability are essential. Consequently, proactive monitoring of macro trends, investment in innovation and talent, and alignment of internal systems with strategic goals are critical for sustaining long-term growth and competitive advantage.</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sz w:val="24"/>
          <w:szCs w:val="24"/>
          <w:lang w:eastAsia="en-GB"/>
        </w:rPr>
        <w:t xml:space="preserve">In conclusion, evaluating Microsoft within the context of its broader environment reveals the intricate relationships between external pressures, internal capabilities, and strategic alignment. The integrated application of PESTEL, SWOT, and McKinsey 7S analyses demonstrates that Microsoft is equipped to anticipate change, leverage opportunities, and </w:t>
      </w:r>
      <w:r w:rsidRPr="00CF69AE">
        <w:rPr>
          <w:rFonts w:ascii="Times New Roman" w:eastAsia="Times New Roman" w:hAnsi="Times New Roman" w:cs="Times New Roman"/>
          <w:sz w:val="24"/>
          <w:szCs w:val="24"/>
          <w:lang w:eastAsia="en-GB"/>
        </w:rPr>
        <w:lastRenderedPageBreak/>
        <w:t>mitigate risks. This comprehensive evaluation not only informs strategic decision-making but also ensures that Microsoft can maintain resilience, agility, and sustained leadership in the global technology sector.</w:t>
      </w:r>
    </w:p>
    <w:p w:rsidR="00CF69AE" w:rsidRPr="00CF69AE" w:rsidRDefault="00CF69AE" w:rsidP="00B954C6">
      <w:pPr>
        <w:pStyle w:val="Heading1"/>
        <w:rPr>
          <w:rFonts w:eastAsia="Times New Roman"/>
          <w:lang w:eastAsia="en-GB"/>
        </w:rPr>
      </w:pPr>
      <w:bookmarkStart w:id="6" w:name="_Toc214733235"/>
      <w:r w:rsidRPr="00CF69AE">
        <w:rPr>
          <w:rFonts w:eastAsia="Times New Roman"/>
          <w:lang w:eastAsia="en-GB"/>
        </w:rPr>
        <w:t>Examining Culture and Ethical Behaviour at the Employee Level: Microsoft</w:t>
      </w:r>
      <w:bookmarkEnd w:id="6"/>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sz w:val="24"/>
          <w:szCs w:val="24"/>
          <w:lang w:eastAsia="en-GB"/>
        </w:rPr>
        <w:t>Understanding organisational dynamics requires examining the human factors that drive decision-making and behaviour. At the employee level, culture and ethical behaviour are central to sustaining organisational performance and innovation. At Microsoft, culture refers to the shared values, beliefs, and norms that guide how employees approach work, collaborate, and interact, while ethical behaviour reflects the actions and decisions employees make based on integrity, fairness, and professional standards. While company policies, codes of conduct, and leadership provide a framework, it is the internalised beliefs and motivations of Microsoft employees that ultimately shape ethical practice.</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b/>
          <w:bCs/>
          <w:sz w:val="24"/>
          <w:szCs w:val="24"/>
          <w:lang w:eastAsia="en-GB"/>
        </w:rPr>
        <w:t>What and Where</w:t>
      </w:r>
      <w:r w:rsidRPr="00CF69AE">
        <w:rPr>
          <w:rFonts w:ascii="Times New Roman" w:eastAsia="Times New Roman" w:hAnsi="Times New Roman" w:cs="Times New Roman"/>
          <w:sz w:val="24"/>
          <w:szCs w:val="24"/>
          <w:lang w:eastAsia="en-GB"/>
        </w:rPr>
        <w:t>: At Microsoft, employee culture manifests in collaboration, knowledge-sharing, innovation, and continuous learning, reflecting the company’s core values such as growth mindset and respect. Ethical behaviour is particularly visible when employees face dilemmas related to data privacy, software security, intellectual property, or client confidentiality. For example, engineers and product managers often need to make ethical decisions around responsible AI development, demonstrating how ethical considerations are embedded in everyday operational contexts.</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b/>
          <w:bCs/>
          <w:sz w:val="24"/>
          <w:szCs w:val="24"/>
          <w:lang w:eastAsia="en-GB"/>
        </w:rPr>
        <w:t>Who and When</w:t>
      </w:r>
      <w:r w:rsidR="00B954C6">
        <w:rPr>
          <w:rFonts w:ascii="Times New Roman" w:eastAsia="Times New Roman" w:hAnsi="Times New Roman" w:cs="Times New Roman"/>
          <w:sz w:val="24"/>
          <w:szCs w:val="24"/>
          <w:lang w:eastAsia="en-GB"/>
        </w:rPr>
        <w:t xml:space="preserve">: All Microsoft employees </w:t>
      </w:r>
      <w:r w:rsidRPr="00CF69AE">
        <w:rPr>
          <w:rFonts w:ascii="Times New Roman" w:eastAsia="Times New Roman" w:hAnsi="Times New Roman" w:cs="Times New Roman"/>
          <w:sz w:val="24"/>
          <w:szCs w:val="24"/>
          <w:lang w:eastAsia="en-GB"/>
        </w:rPr>
        <w:t>from entry-level software developers to senior executive</w:t>
      </w:r>
      <w:r w:rsidR="00B954C6">
        <w:rPr>
          <w:rFonts w:ascii="Times New Roman" w:eastAsia="Times New Roman" w:hAnsi="Times New Roman" w:cs="Times New Roman"/>
          <w:sz w:val="24"/>
          <w:szCs w:val="24"/>
          <w:lang w:eastAsia="en-GB"/>
        </w:rPr>
        <w:t xml:space="preserve">s </w:t>
      </w:r>
      <w:r w:rsidRPr="00CF69AE">
        <w:rPr>
          <w:rFonts w:ascii="Times New Roman" w:eastAsia="Times New Roman" w:hAnsi="Times New Roman" w:cs="Times New Roman"/>
          <w:sz w:val="24"/>
          <w:szCs w:val="24"/>
          <w:lang w:eastAsia="en-GB"/>
        </w:rPr>
        <w:t>contribute to and are influenced by the company’s culture and ethical standards. Leadership plays a crucial role in modelling ethical behaviour, setting expectations, and reinforcing Microsoft’s cultural norms. Critical moments, such as product launches, acquisitions, or responses to regulatory challenges, highlight the importance of employee ethical decision-making and the role of culture in guiding these behaviours.</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b/>
          <w:bCs/>
          <w:sz w:val="24"/>
          <w:szCs w:val="24"/>
          <w:lang w:eastAsia="en-GB"/>
        </w:rPr>
        <w:t>How and Why</w:t>
      </w:r>
      <w:r w:rsidRPr="00CF69AE">
        <w:rPr>
          <w:rFonts w:ascii="Times New Roman" w:eastAsia="Times New Roman" w:hAnsi="Times New Roman" w:cs="Times New Roman"/>
          <w:sz w:val="24"/>
          <w:szCs w:val="24"/>
          <w:lang w:eastAsia="en-GB"/>
        </w:rPr>
        <w:t>: Microsoft’s employee culture has been shaped by deliberate initiatives and socialisation processes. Programs such as internal mentorship, employee resource groups, and leadership training reinforce core values and behavioural expectations. Ethical behaviour is influenced by personal moral frameworks, peer norms, and organisational incentives. The synergy between culture and ethics is particularly evident at Microsoft: a culture of transparency, accountability, and inclusivity fosters ethical decision-making, while ethical actions by employees reinforce and strengthen the organisational culture. Misalignments, such as pressure to meet deadlines at the expense of compliance or inclusivity, could undermine ethical standards and employee engagement if left unaddressed.</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b/>
          <w:bCs/>
          <w:sz w:val="24"/>
          <w:szCs w:val="24"/>
          <w:lang w:eastAsia="en-GB"/>
        </w:rPr>
        <w:t>Critical Appraisal Using Toulmin, RED, and Chatfield Models</w:t>
      </w:r>
      <w:r w:rsidRPr="00CF69AE">
        <w:rPr>
          <w:rFonts w:ascii="Times New Roman" w:eastAsia="Times New Roman" w:hAnsi="Times New Roman" w:cs="Times New Roman"/>
          <w:sz w:val="24"/>
          <w:szCs w:val="24"/>
          <w:lang w:eastAsia="en-GB"/>
        </w:rPr>
        <w:t>: Toulmin’s model can evaluate Microsoft employee behaviour by framing claims (e.g., “employees act ethically in AI development”), supporting evidence (observed practices, whistleblowing mechanisms), warrants (company policies and values), and rebuttals (instances of ethical challenges or mistakes). Pearson’s RED model helps analyse assumptions and evaluate claims about ethical behaviour, such as whether incentives or performance pressures influence decision-making. Chatfield’s framework highlights context, motivation, and consequences, which is particularly relevant at Microsoft, where ethical choices are closely linked to technological innovation, regulatory compliance, and societal impact.</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b/>
          <w:bCs/>
          <w:sz w:val="24"/>
          <w:szCs w:val="24"/>
          <w:lang w:eastAsia="en-GB"/>
        </w:rPr>
        <w:lastRenderedPageBreak/>
        <w:t>What If and So What</w:t>
      </w:r>
      <w:r w:rsidRPr="00CF69AE">
        <w:rPr>
          <w:rFonts w:ascii="Times New Roman" w:eastAsia="Times New Roman" w:hAnsi="Times New Roman" w:cs="Times New Roman"/>
          <w:sz w:val="24"/>
          <w:szCs w:val="24"/>
          <w:lang w:eastAsia="en-GB"/>
        </w:rPr>
        <w:t>: Failing to address ethical behaviour and cultural alignment at Microsoft could lead to reputational damage, regulatory penalties, or reduced employee engagement, particularly in areas such as AI ethics or cybersecurity. Conversely, a strong alignment between employee culture and ethics enhances trust, innovation, and organisational resilience. For example, empowering employees to report concerns about AI biases without fear of retaliation strengthens both ethical practice and cultural cohesion.</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b/>
          <w:bCs/>
          <w:sz w:val="24"/>
          <w:szCs w:val="24"/>
          <w:lang w:eastAsia="en-GB"/>
        </w:rPr>
        <w:t>What Next</w:t>
      </w:r>
      <w:r w:rsidRPr="00CF69AE">
        <w:rPr>
          <w:rFonts w:ascii="Times New Roman" w:eastAsia="Times New Roman" w:hAnsi="Times New Roman" w:cs="Times New Roman"/>
          <w:sz w:val="24"/>
          <w:szCs w:val="24"/>
          <w:lang w:eastAsia="en-GB"/>
        </w:rPr>
        <w:t>: Microsoft continues to strengthen the interplay between culture and ethics through structured initiatives, including ethics training, clear reporting channels, transparent decision-making, and recognition programs. Monitoring and feedback mechanisms ensure that cultural values and ethical standards are embedded in daily operations. At the employee level, understanding the motivations behind behaviours allows targeted interventions that foster ethical decision-making and reinforce a collaborative, inclusive, and responsible organisational culture.</w:t>
      </w:r>
    </w:p>
    <w:p w:rsidR="00CF69AE" w:rsidRPr="00CF69AE" w:rsidRDefault="00CF69AE" w:rsidP="00CF69AE">
      <w:pPr>
        <w:spacing w:before="100" w:beforeAutospacing="1" w:after="100" w:afterAutospacing="1" w:line="240" w:lineRule="auto"/>
        <w:rPr>
          <w:rFonts w:ascii="Times New Roman" w:eastAsia="Times New Roman" w:hAnsi="Times New Roman" w:cs="Times New Roman"/>
          <w:sz w:val="24"/>
          <w:szCs w:val="24"/>
          <w:lang w:eastAsia="en-GB"/>
        </w:rPr>
      </w:pPr>
      <w:r w:rsidRPr="00CF69AE">
        <w:rPr>
          <w:rFonts w:ascii="Times New Roman" w:eastAsia="Times New Roman" w:hAnsi="Times New Roman" w:cs="Times New Roman"/>
          <w:sz w:val="24"/>
          <w:szCs w:val="24"/>
          <w:lang w:eastAsia="en-GB"/>
        </w:rPr>
        <w:t>In conclusion, Microsoft’s employee culture and ethical behaviour are deeply intertwined, shaped by internal values, peer influences, and leadership modelling. A critical appraisal using frameworks such as Toulmin, RED, and Chatfield highlights the importance of understanding the “why” behind employee behaviour. By fostering a culture that aligns with ethical principles, Microsoft ensures that employees are empowered to act with integrity, supporting long-term innovation, trust, and organisational success in a complex and rapidly evolving technological landscape.</w:t>
      </w: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CF69AE" w:rsidRDefault="00CF69AE" w:rsidP="00CF69AE">
      <w:pPr>
        <w:spacing w:before="100" w:beforeAutospacing="1" w:after="100" w:afterAutospacing="1" w:line="240" w:lineRule="auto"/>
        <w:rPr>
          <w:rFonts w:ascii="Times New Roman" w:eastAsia="Times New Roman" w:hAnsi="Times New Roman" w:cs="Times New Roman"/>
          <w:b/>
          <w:bCs/>
          <w:sz w:val="24"/>
          <w:szCs w:val="24"/>
          <w:lang w:eastAsia="en-GB"/>
        </w:rPr>
      </w:pPr>
    </w:p>
    <w:p w:rsidR="00544361" w:rsidRDefault="00544361" w:rsidP="00BA2A1C">
      <w:pPr>
        <w:rPr>
          <w:rFonts w:cstheme="minorHAnsi"/>
          <w:sz w:val="24"/>
          <w:szCs w:val="24"/>
        </w:rPr>
      </w:pPr>
    </w:p>
    <w:p w:rsidR="00544361" w:rsidRDefault="00544361" w:rsidP="00BA2A1C">
      <w:pPr>
        <w:rPr>
          <w:rFonts w:cstheme="minorHAnsi"/>
          <w:sz w:val="24"/>
          <w:szCs w:val="24"/>
        </w:rPr>
      </w:pPr>
    </w:p>
    <w:p w:rsidR="00544361" w:rsidRDefault="00544361" w:rsidP="00BA2A1C">
      <w:pPr>
        <w:rPr>
          <w:rFonts w:cstheme="minorHAnsi"/>
          <w:sz w:val="24"/>
          <w:szCs w:val="24"/>
        </w:rPr>
      </w:pPr>
    </w:p>
    <w:p w:rsidR="00544361" w:rsidRDefault="00544361" w:rsidP="00BA2A1C">
      <w:pPr>
        <w:rPr>
          <w:rFonts w:cstheme="minorHAnsi"/>
          <w:sz w:val="24"/>
          <w:szCs w:val="24"/>
        </w:rPr>
      </w:pPr>
    </w:p>
    <w:p w:rsidR="00CE3EE6" w:rsidRPr="00CE3EE6" w:rsidRDefault="00CE3EE6" w:rsidP="00CE3EE6">
      <w:pPr>
        <w:pStyle w:val="Heading1"/>
      </w:pPr>
      <w:bookmarkStart w:id="7" w:name="_Toc214733236"/>
      <w:r w:rsidRPr="00CE3EE6">
        <w:lastRenderedPageBreak/>
        <w:t>Appendix A</w:t>
      </w:r>
      <w:bookmarkEnd w:id="7"/>
    </w:p>
    <w:p w:rsidR="00CE3EE6" w:rsidRDefault="00CE3EE6" w:rsidP="00CE3EE6">
      <w:pPr>
        <w:pStyle w:val="Heading2"/>
      </w:pPr>
      <w:bookmarkStart w:id="8" w:name="_Toc214733237"/>
      <w:r>
        <w:rPr>
          <w:rFonts w:eastAsia="Times New Roman"/>
          <w:lang w:eastAsia="en-GB"/>
        </w:rPr>
        <w:t>PESTLE analysis in table form</w:t>
      </w:r>
      <w:bookmarkEnd w:id="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5"/>
        <w:gridCol w:w="3507"/>
        <w:gridCol w:w="1356"/>
      </w:tblGrid>
      <w:tr w:rsidR="00CE3EE6" w:rsidRPr="00CE3EE6" w:rsidTr="00CE3EE6">
        <w:trPr>
          <w:tblHeader/>
          <w:tblCellSpacing w:w="15" w:type="dxa"/>
        </w:trPr>
        <w:tc>
          <w:tcPr>
            <w:tcW w:w="0" w:type="auto"/>
            <w:vAlign w:val="center"/>
            <w:hideMark/>
          </w:tcPr>
          <w:p w:rsidR="00CE3EE6" w:rsidRPr="00CE3EE6" w:rsidRDefault="00CE3EE6" w:rsidP="00CE3EE6">
            <w:pPr>
              <w:spacing w:after="0" w:line="240" w:lineRule="auto"/>
              <w:jc w:val="center"/>
              <w:rPr>
                <w:rFonts w:ascii="Times New Roman" w:eastAsia="Times New Roman" w:hAnsi="Times New Roman" w:cs="Times New Roman"/>
                <w:b/>
                <w:bCs/>
                <w:sz w:val="24"/>
                <w:szCs w:val="24"/>
                <w:lang w:eastAsia="en-GB"/>
              </w:rPr>
            </w:pPr>
            <w:r w:rsidRPr="00CE3EE6">
              <w:rPr>
                <w:rFonts w:ascii="Times New Roman" w:eastAsia="Times New Roman" w:hAnsi="Times New Roman" w:cs="Times New Roman"/>
                <w:b/>
                <w:bCs/>
                <w:sz w:val="24"/>
                <w:szCs w:val="24"/>
                <w:lang w:eastAsia="en-GB"/>
              </w:rPr>
              <w:t>Factor</w:t>
            </w:r>
          </w:p>
        </w:tc>
        <w:tc>
          <w:tcPr>
            <w:tcW w:w="0" w:type="auto"/>
            <w:vAlign w:val="center"/>
            <w:hideMark/>
          </w:tcPr>
          <w:p w:rsidR="00CE3EE6" w:rsidRPr="00CE3EE6" w:rsidRDefault="00CE3EE6" w:rsidP="00CE3EE6">
            <w:pPr>
              <w:spacing w:after="0" w:line="240" w:lineRule="auto"/>
              <w:jc w:val="center"/>
              <w:rPr>
                <w:rFonts w:ascii="Times New Roman" w:eastAsia="Times New Roman" w:hAnsi="Times New Roman" w:cs="Times New Roman"/>
                <w:b/>
                <w:bCs/>
                <w:sz w:val="24"/>
                <w:szCs w:val="24"/>
                <w:lang w:eastAsia="en-GB"/>
              </w:rPr>
            </w:pPr>
            <w:r w:rsidRPr="00CE3EE6">
              <w:rPr>
                <w:rFonts w:ascii="Times New Roman" w:eastAsia="Times New Roman" w:hAnsi="Times New Roman" w:cs="Times New Roman"/>
                <w:b/>
                <w:bCs/>
                <w:sz w:val="24"/>
                <w:szCs w:val="24"/>
                <w:lang w:eastAsia="en-GB"/>
              </w:rPr>
              <w:t>Key Considerations for Microsoft</w:t>
            </w:r>
          </w:p>
        </w:tc>
        <w:tc>
          <w:tcPr>
            <w:tcW w:w="0" w:type="auto"/>
            <w:vAlign w:val="center"/>
            <w:hideMark/>
          </w:tcPr>
          <w:p w:rsidR="00CE3EE6" w:rsidRPr="00CE3EE6" w:rsidRDefault="00CE3EE6" w:rsidP="00CE3EE6">
            <w:pPr>
              <w:spacing w:after="0" w:line="240" w:lineRule="auto"/>
              <w:jc w:val="center"/>
              <w:rPr>
                <w:rFonts w:ascii="Times New Roman" w:eastAsia="Times New Roman" w:hAnsi="Times New Roman" w:cs="Times New Roman"/>
                <w:b/>
                <w:bCs/>
                <w:sz w:val="24"/>
                <w:szCs w:val="24"/>
                <w:lang w:eastAsia="en-GB"/>
              </w:rPr>
            </w:pPr>
            <w:r w:rsidRPr="00CE3EE6">
              <w:rPr>
                <w:rFonts w:ascii="Times New Roman" w:eastAsia="Times New Roman" w:hAnsi="Times New Roman" w:cs="Times New Roman"/>
                <w:b/>
                <w:bCs/>
                <w:sz w:val="24"/>
                <w:szCs w:val="24"/>
                <w:lang w:eastAsia="en-GB"/>
              </w:rPr>
              <w:t>Implications</w:t>
            </w:r>
          </w:p>
        </w:tc>
      </w:tr>
    </w:tbl>
    <w:p w:rsidR="00CE3EE6" w:rsidRPr="00CE3EE6" w:rsidRDefault="00CE3EE6" w:rsidP="00CE3EE6">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5"/>
        <w:gridCol w:w="4069"/>
        <w:gridCol w:w="3442"/>
      </w:tblGrid>
      <w:tr w:rsidR="00CE3EE6" w:rsidRPr="00CE3EE6" w:rsidTr="00CE3EE6">
        <w:trPr>
          <w:tblCellSpacing w:w="15" w:type="dxa"/>
        </w:trPr>
        <w:tc>
          <w:tcPr>
            <w:tcW w:w="1560"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b/>
                <w:bCs/>
                <w:sz w:val="24"/>
                <w:szCs w:val="24"/>
                <w:lang w:eastAsia="en-GB"/>
              </w:rPr>
              <w:t>Political</w:t>
            </w:r>
          </w:p>
        </w:tc>
        <w:tc>
          <w:tcPr>
            <w:tcW w:w="4039"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Global operations require compliance with varying regulations, cybersecurity laws, and antitrust scrutiny; government policies influence cloud, software, and AI markets.</w:t>
            </w:r>
          </w:p>
        </w:tc>
        <w:tc>
          <w:tcPr>
            <w:tcW w:w="3397"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Regulatory compliance is essential; potential risks include fines, restrictions, or legal challenges in certain regions.</w:t>
            </w:r>
          </w:p>
        </w:tc>
      </w:tr>
    </w:tbl>
    <w:p w:rsidR="00CE3EE6" w:rsidRPr="00CE3EE6" w:rsidRDefault="00CE3EE6" w:rsidP="00CE3EE6">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5"/>
        <w:gridCol w:w="4110"/>
        <w:gridCol w:w="3401"/>
      </w:tblGrid>
      <w:tr w:rsidR="00CE3EE6" w:rsidRPr="00CE3EE6" w:rsidTr="00CE3EE6">
        <w:trPr>
          <w:tblCellSpacing w:w="15" w:type="dxa"/>
        </w:trPr>
        <w:tc>
          <w:tcPr>
            <w:tcW w:w="1560"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b/>
                <w:bCs/>
                <w:sz w:val="24"/>
                <w:szCs w:val="24"/>
                <w:lang w:eastAsia="en-GB"/>
              </w:rPr>
              <w:t>Economic</w:t>
            </w:r>
          </w:p>
        </w:tc>
        <w:tc>
          <w:tcPr>
            <w:tcW w:w="4080"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Global economic growth, currency fluctuations, enterprise and consumer spending, trends in digital transformation and cloud adoption.</w:t>
            </w:r>
          </w:p>
        </w:tc>
        <w:tc>
          <w:tcPr>
            <w:tcW w:w="3356"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Economic stability supports revenue growth; economic downturns may reduce IT spending, impacting sales of software and cloud services.</w:t>
            </w:r>
          </w:p>
        </w:tc>
      </w:tr>
    </w:tbl>
    <w:p w:rsidR="00CE3EE6" w:rsidRPr="00CE3EE6" w:rsidRDefault="00CE3EE6" w:rsidP="00CE3EE6">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5"/>
        <w:gridCol w:w="4110"/>
        <w:gridCol w:w="3401"/>
      </w:tblGrid>
      <w:tr w:rsidR="00CE3EE6" w:rsidRPr="00CE3EE6" w:rsidTr="00CE3EE6">
        <w:trPr>
          <w:tblCellSpacing w:w="15" w:type="dxa"/>
        </w:trPr>
        <w:tc>
          <w:tcPr>
            <w:tcW w:w="1560"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b/>
                <w:bCs/>
                <w:sz w:val="24"/>
                <w:szCs w:val="24"/>
                <w:lang w:eastAsia="en-GB"/>
              </w:rPr>
              <w:t>Social</w:t>
            </w:r>
          </w:p>
        </w:tc>
        <w:tc>
          <w:tcPr>
            <w:tcW w:w="4080"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Remote working trends, diversity and inclusion, corporate social responsibility, digital learning, and changing workforce expectations.</w:t>
            </w:r>
          </w:p>
        </w:tc>
        <w:tc>
          <w:tcPr>
            <w:tcW w:w="3356"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Influences workplace culture, product design, and employee engagement initiatives; strong social alignment enhances brand reputation.</w:t>
            </w:r>
          </w:p>
        </w:tc>
      </w:tr>
    </w:tbl>
    <w:p w:rsidR="00CE3EE6" w:rsidRPr="00CE3EE6" w:rsidRDefault="00CE3EE6" w:rsidP="00CE3EE6">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5"/>
        <w:gridCol w:w="4110"/>
        <w:gridCol w:w="3401"/>
      </w:tblGrid>
      <w:tr w:rsidR="00CE3EE6" w:rsidRPr="00CE3EE6" w:rsidTr="00CE3EE6">
        <w:trPr>
          <w:tblCellSpacing w:w="15" w:type="dxa"/>
        </w:trPr>
        <w:tc>
          <w:tcPr>
            <w:tcW w:w="1560"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b/>
                <w:bCs/>
                <w:sz w:val="24"/>
                <w:szCs w:val="24"/>
                <w:lang w:eastAsia="en-GB"/>
              </w:rPr>
              <w:t>Technological</w:t>
            </w:r>
          </w:p>
        </w:tc>
        <w:tc>
          <w:tcPr>
            <w:tcW w:w="4080"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Rapid innovation in cloud computing, AI, cybersecurity, quantum computing; need for continual R&amp;D investment.</w:t>
            </w:r>
          </w:p>
        </w:tc>
        <w:tc>
          <w:tcPr>
            <w:tcW w:w="3356"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Provides opportunities for competitive advantage; requires continuous investment in innovation and skills development.</w:t>
            </w:r>
          </w:p>
        </w:tc>
      </w:tr>
    </w:tbl>
    <w:p w:rsidR="00CE3EE6" w:rsidRPr="00CE3EE6" w:rsidRDefault="00CE3EE6" w:rsidP="00CE3EE6">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gridCol w:w="4093"/>
        <w:gridCol w:w="3401"/>
      </w:tblGrid>
      <w:tr w:rsidR="00CE3EE6" w:rsidRPr="00CE3EE6" w:rsidTr="00CE3EE6">
        <w:trPr>
          <w:tblCellSpacing w:w="15" w:type="dxa"/>
        </w:trPr>
        <w:tc>
          <w:tcPr>
            <w:tcW w:w="0" w:type="auto"/>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b/>
                <w:bCs/>
                <w:sz w:val="24"/>
                <w:szCs w:val="24"/>
                <w:lang w:eastAsia="en-GB"/>
              </w:rPr>
              <w:t>Environmental</w:t>
            </w:r>
          </w:p>
        </w:tc>
        <w:tc>
          <w:tcPr>
            <w:tcW w:w="4063"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Sustainability initiatives, carbon reduction, energy-efficient data centres, responsible sourcing of materials.</w:t>
            </w:r>
          </w:p>
        </w:tc>
        <w:tc>
          <w:tcPr>
            <w:tcW w:w="3356"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Supports regulatory compliance and corporate responsibility goals; failure may lead to reputational risk and stakeholder criticism.</w:t>
            </w:r>
          </w:p>
        </w:tc>
      </w:tr>
    </w:tbl>
    <w:p w:rsidR="00CE3EE6" w:rsidRPr="00CE3EE6" w:rsidRDefault="00CE3EE6" w:rsidP="00CE3EE6">
      <w:pPr>
        <w:spacing w:after="0" w:line="240" w:lineRule="auto"/>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5"/>
        <w:gridCol w:w="4110"/>
        <w:gridCol w:w="3401"/>
      </w:tblGrid>
      <w:tr w:rsidR="00CE3EE6" w:rsidRPr="00CE3EE6" w:rsidTr="00CE3EE6">
        <w:trPr>
          <w:tblCellSpacing w:w="15" w:type="dxa"/>
        </w:trPr>
        <w:tc>
          <w:tcPr>
            <w:tcW w:w="1560"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b/>
                <w:bCs/>
                <w:sz w:val="24"/>
                <w:szCs w:val="24"/>
                <w:lang w:eastAsia="en-GB"/>
              </w:rPr>
              <w:t>Legal</w:t>
            </w:r>
          </w:p>
        </w:tc>
        <w:tc>
          <w:tcPr>
            <w:tcW w:w="4080"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Intellectual property protection, data privacy laws (e.g., GDPR), compliance with global standards, litigation risks.</w:t>
            </w:r>
          </w:p>
        </w:tc>
        <w:tc>
          <w:tcPr>
            <w:tcW w:w="3356" w:type="dxa"/>
            <w:vAlign w:val="center"/>
            <w:hideMark/>
          </w:tcPr>
          <w:p w:rsidR="00CE3EE6" w:rsidRPr="00CE3EE6" w:rsidRDefault="00CE3EE6" w:rsidP="00CE3EE6">
            <w:pPr>
              <w:spacing w:after="0" w:line="240" w:lineRule="auto"/>
              <w:rPr>
                <w:rFonts w:ascii="Times New Roman" w:eastAsia="Times New Roman" w:hAnsi="Times New Roman" w:cs="Times New Roman"/>
                <w:sz w:val="24"/>
                <w:szCs w:val="24"/>
                <w:lang w:eastAsia="en-GB"/>
              </w:rPr>
            </w:pPr>
            <w:r w:rsidRPr="00CE3EE6">
              <w:rPr>
                <w:rFonts w:ascii="Times New Roman" w:eastAsia="Times New Roman" w:hAnsi="Times New Roman" w:cs="Times New Roman"/>
                <w:sz w:val="24"/>
                <w:szCs w:val="24"/>
                <w:lang w:eastAsia="en-GB"/>
              </w:rPr>
              <w:t>Ensures legal protection of products and services; non-compliance could result in fines, lawsuits, or operational restrictions.</w:t>
            </w:r>
          </w:p>
        </w:tc>
      </w:tr>
    </w:tbl>
    <w:p w:rsidR="00CE3EE6" w:rsidRDefault="00CE3EE6" w:rsidP="00B954C6">
      <w:pPr>
        <w:pStyle w:val="Heading1"/>
      </w:pPr>
    </w:p>
    <w:p w:rsidR="00CE3EE6" w:rsidRDefault="00CE3EE6" w:rsidP="00B954C6">
      <w:pPr>
        <w:pStyle w:val="Heading1"/>
      </w:pPr>
    </w:p>
    <w:p w:rsidR="00CE3EE6" w:rsidRDefault="00CE3EE6" w:rsidP="00B954C6">
      <w:pPr>
        <w:pStyle w:val="Heading1"/>
      </w:pPr>
    </w:p>
    <w:p w:rsidR="00CE3EE6" w:rsidRPr="00CE3EE6" w:rsidRDefault="00CE3EE6" w:rsidP="00CE3EE6"/>
    <w:p w:rsidR="00CE3EE6" w:rsidRDefault="00CE3EE6" w:rsidP="00CE3EE6"/>
    <w:p w:rsidR="00CE3EE6" w:rsidRPr="00CE3EE6" w:rsidRDefault="00CE3EE6" w:rsidP="00CE3EE6"/>
    <w:p w:rsidR="00544361" w:rsidRDefault="00544361" w:rsidP="00B954C6">
      <w:pPr>
        <w:pStyle w:val="Heading1"/>
      </w:pPr>
      <w:bookmarkStart w:id="9" w:name="_Toc214733238"/>
      <w:r>
        <w:lastRenderedPageBreak/>
        <w:t>References</w:t>
      </w:r>
      <w:bookmarkEnd w:id="9"/>
    </w:p>
    <w:p w:rsidR="00544361" w:rsidRDefault="00544361" w:rsidP="00544361">
      <w:pPr>
        <w:pStyle w:val="NormalWeb"/>
      </w:pPr>
      <w:r>
        <w:t xml:space="preserve">Handy, C. (1993) </w:t>
      </w:r>
      <w:r>
        <w:rPr>
          <w:rStyle w:val="Emphasis"/>
        </w:rPr>
        <w:t>Understanding Organisations</w:t>
      </w:r>
      <w:r>
        <w:t>. 4th edn. London: Penguin.</w:t>
      </w:r>
    </w:p>
    <w:p w:rsidR="00544361" w:rsidRDefault="00544361" w:rsidP="00544361">
      <w:pPr>
        <w:pStyle w:val="NormalWeb"/>
      </w:pPr>
      <w:r>
        <w:t xml:space="preserve">Hofstede, G., Hofstede, G.J. and Minkov, M. (2010) </w:t>
      </w:r>
      <w:r>
        <w:rPr>
          <w:rStyle w:val="Emphasis"/>
        </w:rPr>
        <w:t>Cultures and Organizations: Software of the Mind</w:t>
      </w:r>
      <w:r>
        <w:t>. 3rd edn. New York: McGraw-Hill.</w:t>
      </w:r>
    </w:p>
    <w:p w:rsidR="00544361" w:rsidRDefault="00544361" w:rsidP="00544361">
      <w:pPr>
        <w:pStyle w:val="NormalWeb"/>
      </w:pPr>
      <w:r>
        <w:t xml:space="preserve">Isaacson, W. (2011) </w:t>
      </w:r>
      <w:r>
        <w:rPr>
          <w:rStyle w:val="Emphasis"/>
        </w:rPr>
        <w:t>Steve Jobs</w:t>
      </w:r>
      <w:r>
        <w:t>. New York: Simon &amp; Schuster.</w:t>
      </w:r>
    </w:p>
    <w:p w:rsidR="00544361" w:rsidRDefault="00544361" w:rsidP="00544361">
      <w:pPr>
        <w:pStyle w:val="NormalWeb"/>
      </w:pPr>
      <w:r>
        <w:t xml:space="preserve">Johnson, G., Whittington, R., Scholes, K., Angwin, D. and Regnér, P. (2014) </w:t>
      </w:r>
      <w:r>
        <w:rPr>
          <w:rStyle w:val="Emphasis"/>
        </w:rPr>
        <w:t>Exploring Strategy: Text and Cases</w:t>
      </w:r>
      <w:r>
        <w:t>. 10th edn. Harlow: Pearson.</w:t>
      </w:r>
    </w:p>
    <w:p w:rsidR="00544361" w:rsidRDefault="00544361" w:rsidP="00544361">
      <w:pPr>
        <w:pStyle w:val="NormalWeb"/>
      </w:pPr>
      <w:r>
        <w:t xml:space="preserve">Metz, C. (2023) ‘Microsoft’s AI Rollout Sparks Ethical Debate’, </w:t>
      </w:r>
      <w:r>
        <w:rPr>
          <w:rStyle w:val="Emphasis"/>
        </w:rPr>
        <w:t>The New York Times</w:t>
      </w:r>
      <w:r>
        <w:t>, 15 May.</w:t>
      </w:r>
    </w:p>
    <w:p w:rsidR="00544361" w:rsidRDefault="00544361" w:rsidP="00544361">
      <w:pPr>
        <w:pStyle w:val="NormalWeb"/>
      </w:pPr>
      <w:r>
        <w:t xml:space="preserve">Microsoft (2023) </w:t>
      </w:r>
      <w:r>
        <w:rPr>
          <w:rStyle w:val="Emphasis"/>
        </w:rPr>
        <w:t>Annual Report 2023</w:t>
      </w:r>
      <w:r>
        <w:t xml:space="preserve">. Available at: </w:t>
      </w:r>
      <w:hyperlink r:id="rId10" w:tgtFrame="_new" w:history="1">
        <w:r>
          <w:rPr>
            <w:rStyle w:val="Hyperlink"/>
          </w:rPr>
          <w:t>https://www.microsoft.com/investor</w:t>
        </w:r>
      </w:hyperlink>
      <w:r>
        <w:t xml:space="preserve"> (Accessed: date).</w:t>
      </w:r>
    </w:p>
    <w:p w:rsidR="00544361" w:rsidRDefault="00544361" w:rsidP="00544361">
      <w:pPr>
        <w:pStyle w:val="NormalWeb"/>
      </w:pPr>
      <w:r>
        <w:t xml:space="preserve">Nadella, S. (2017) </w:t>
      </w:r>
      <w:r>
        <w:rPr>
          <w:rStyle w:val="Emphasis"/>
        </w:rPr>
        <w:t>Hit Refresh: The Quest to Rediscover Microsoft’s Soul and Imagine a Better Future for Everyone</w:t>
      </w:r>
      <w:r>
        <w:t>. New York: Harper Business.</w:t>
      </w:r>
    </w:p>
    <w:p w:rsidR="00544361" w:rsidRDefault="00544361" w:rsidP="00544361">
      <w:pPr>
        <w:pStyle w:val="NormalWeb"/>
      </w:pPr>
      <w:r>
        <w:t xml:space="preserve">Schein, E.H. (2010) </w:t>
      </w:r>
      <w:r>
        <w:rPr>
          <w:rStyle w:val="Emphasis"/>
        </w:rPr>
        <w:t>Organizational Culture and Leadership</w:t>
      </w:r>
      <w:r>
        <w:t>. 4th edn. San Francisco: Jossey-Bass.</w:t>
      </w:r>
    </w:p>
    <w:p w:rsidR="00544361" w:rsidRDefault="00544361" w:rsidP="00544361">
      <w:pPr>
        <w:pStyle w:val="NormalWeb"/>
      </w:pPr>
      <w:r>
        <w:t xml:space="preserve">Stone, B. and Green, A. (2020) ‘The Culture Reboot at Microsoft’, </w:t>
      </w:r>
      <w:r>
        <w:rPr>
          <w:rStyle w:val="Emphasis"/>
        </w:rPr>
        <w:t>Harvard Business Review</w:t>
      </w:r>
      <w:r>
        <w:t>, 98(3), pp. 54–62.</w:t>
      </w:r>
    </w:p>
    <w:p w:rsidR="00544361" w:rsidRDefault="00544361" w:rsidP="00544361">
      <w:pPr>
        <w:pStyle w:val="NormalWeb"/>
      </w:pPr>
      <w:r>
        <w:t xml:space="preserve">Wilcox, S. (2021) ‘Inside Microsoft’s Engineering Culture’, </w:t>
      </w:r>
      <w:r>
        <w:rPr>
          <w:rStyle w:val="Emphasis"/>
        </w:rPr>
        <w:t>WIRED</w:t>
      </w:r>
      <w:r>
        <w:t>, 27 June.</w:t>
      </w:r>
    </w:p>
    <w:p w:rsidR="00544361" w:rsidRDefault="00544361" w:rsidP="00544361">
      <w:pPr>
        <w:pStyle w:val="NormalWeb"/>
      </w:pPr>
      <w:r>
        <w:t xml:space="preserve">Baker &amp; McKenzie (2022) </w:t>
      </w:r>
      <w:r>
        <w:rPr>
          <w:rStyle w:val="Emphasis"/>
        </w:rPr>
        <w:t>Global IP and Technology Litigation Report</w:t>
      </w:r>
      <w:r>
        <w:t>. London: Baker McKenzie.</w:t>
      </w:r>
    </w:p>
    <w:p w:rsidR="00544361" w:rsidRDefault="00544361" w:rsidP="00544361">
      <w:pPr>
        <w:pStyle w:val="NormalWeb"/>
      </w:pPr>
      <w:r>
        <w:t xml:space="preserve">Brennen, S. (2023) ‘Ethical Risks in AI Deployment’, </w:t>
      </w:r>
      <w:r>
        <w:rPr>
          <w:rStyle w:val="Emphasis"/>
        </w:rPr>
        <w:t>Journal of Technology Ethics</w:t>
      </w:r>
      <w:r>
        <w:t>, 12(2), pp. 45–63.</w:t>
      </w:r>
    </w:p>
    <w:p w:rsidR="00544361" w:rsidRDefault="00544361" w:rsidP="00544361">
      <w:pPr>
        <w:pStyle w:val="NormalWeb"/>
      </w:pPr>
      <w:r>
        <w:t xml:space="preserve">European Commission (2020) </w:t>
      </w:r>
      <w:r>
        <w:rPr>
          <w:rStyle w:val="Emphasis"/>
        </w:rPr>
        <w:t>General Data Protection Regulation (GDPR) Overview</w:t>
      </w:r>
      <w:r>
        <w:t>. Brussels: European Commission.</w:t>
      </w:r>
    </w:p>
    <w:p w:rsidR="00544361" w:rsidRDefault="00544361" w:rsidP="00544361">
      <w:pPr>
        <w:pStyle w:val="NormalWeb"/>
      </w:pPr>
      <w:r>
        <w:t xml:space="preserve">Hern, A. (2023) ‘Microsoft’s AI Investment Strategy Raises Questions’, </w:t>
      </w:r>
      <w:r>
        <w:rPr>
          <w:rStyle w:val="Emphasis"/>
        </w:rPr>
        <w:t>The Guardian</w:t>
      </w:r>
      <w:r>
        <w:t>, 10 February.</w:t>
      </w:r>
    </w:p>
    <w:p w:rsidR="00544361" w:rsidRDefault="00544361" w:rsidP="00544361">
      <w:pPr>
        <w:pStyle w:val="NormalWeb"/>
      </w:pPr>
      <w:r>
        <w:t xml:space="preserve">Johnson, G., Whittington, R., Scholes, K., Angwin, D. and Regnér, P. (2014) </w:t>
      </w:r>
      <w:r>
        <w:rPr>
          <w:rStyle w:val="Emphasis"/>
        </w:rPr>
        <w:t>Exploring Strategy: Text and Cases</w:t>
      </w:r>
      <w:r>
        <w:t>. 10th edn. Harlow: Pearson.</w:t>
      </w:r>
    </w:p>
    <w:p w:rsidR="00544361" w:rsidRDefault="00544361" w:rsidP="00544361">
      <w:pPr>
        <w:pStyle w:val="NormalWeb"/>
      </w:pPr>
      <w:r>
        <w:t xml:space="preserve">Kollewe, J. (2023) ‘Microsoft Faces Renewed Antitrust Scrutiny in the EU’, </w:t>
      </w:r>
      <w:r>
        <w:rPr>
          <w:rStyle w:val="Emphasis"/>
        </w:rPr>
        <w:t>The Guardian</w:t>
      </w:r>
      <w:r>
        <w:t>, 3 July.</w:t>
      </w:r>
    </w:p>
    <w:p w:rsidR="00544361" w:rsidRDefault="00544361" w:rsidP="00544361">
      <w:pPr>
        <w:pStyle w:val="NormalWeb"/>
      </w:pPr>
      <w:r>
        <w:t xml:space="preserve">Metz, C. (2023) ‘Microsoft’s AI Rollout Sparks Ethical Debate’, </w:t>
      </w:r>
      <w:r>
        <w:rPr>
          <w:rStyle w:val="Emphasis"/>
        </w:rPr>
        <w:t>The New York Times</w:t>
      </w:r>
      <w:r>
        <w:t>, 15 May.</w:t>
      </w:r>
    </w:p>
    <w:p w:rsidR="00544361" w:rsidRDefault="00544361" w:rsidP="00544361">
      <w:pPr>
        <w:pStyle w:val="NormalWeb"/>
      </w:pPr>
      <w:r>
        <w:t xml:space="preserve">Microsoft (2023) </w:t>
      </w:r>
      <w:r>
        <w:rPr>
          <w:rStyle w:val="Emphasis"/>
        </w:rPr>
        <w:t>Annual Report 2023</w:t>
      </w:r>
      <w:r>
        <w:t xml:space="preserve">. Available at: </w:t>
      </w:r>
      <w:hyperlink r:id="rId11" w:tgtFrame="_new" w:history="1">
        <w:r>
          <w:rPr>
            <w:rStyle w:val="Hyperlink"/>
          </w:rPr>
          <w:t>https://www.microsoft.com/investor</w:t>
        </w:r>
      </w:hyperlink>
      <w:r>
        <w:t xml:space="preserve"> (Accessed: date).</w:t>
      </w:r>
    </w:p>
    <w:p w:rsidR="00544361" w:rsidRDefault="00544361" w:rsidP="00544361">
      <w:pPr>
        <w:pStyle w:val="NormalWeb"/>
      </w:pPr>
      <w:r>
        <w:lastRenderedPageBreak/>
        <w:t xml:space="preserve">Nadella, S. (2017) </w:t>
      </w:r>
      <w:r>
        <w:rPr>
          <w:rStyle w:val="Emphasis"/>
        </w:rPr>
        <w:t>Hit Refresh: The Quest to Rediscover Microsoft’s Soul and Imagine a Better Future for Everyone</w:t>
      </w:r>
      <w:r>
        <w:t>. New York: Harper Business.</w:t>
      </w:r>
    </w:p>
    <w:p w:rsidR="00544361" w:rsidRDefault="00544361" w:rsidP="00544361">
      <w:pPr>
        <w:pStyle w:val="NormalWeb"/>
      </w:pPr>
      <w:r>
        <w:t xml:space="preserve">Statista (2023) ‘Microsoft Azure Revenue and Market Share’, </w:t>
      </w:r>
      <w:r>
        <w:rPr>
          <w:rStyle w:val="Emphasis"/>
        </w:rPr>
        <w:t>Statista Reports</w:t>
      </w:r>
      <w:r>
        <w:t xml:space="preserve">, Available at: </w:t>
      </w:r>
      <w:hyperlink r:id="rId12" w:tgtFrame="_new" w:history="1">
        <w:r>
          <w:rPr>
            <w:rStyle w:val="Hyperlink"/>
          </w:rPr>
          <w:t>https://www.statista.com</w:t>
        </w:r>
      </w:hyperlink>
      <w:r>
        <w:t xml:space="preserve"> (Accessed: date).</w:t>
      </w:r>
    </w:p>
    <w:p w:rsidR="00544361" w:rsidRDefault="00544361" w:rsidP="00544361">
      <w:pPr>
        <w:pStyle w:val="NormalWeb"/>
      </w:pPr>
      <w:r>
        <w:t xml:space="preserve">Stone, B. and Green, A. (2020) ‘The Culture Reboot at Microsoft’, </w:t>
      </w:r>
      <w:r>
        <w:rPr>
          <w:rStyle w:val="Emphasis"/>
        </w:rPr>
        <w:t>Harvard Business Review</w:t>
      </w:r>
      <w:r>
        <w:t>, 98(3), pp. 54–62.</w:t>
      </w:r>
    </w:p>
    <w:p w:rsidR="00544361" w:rsidRDefault="00544361" w:rsidP="00544361">
      <w:pPr>
        <w:pStyle w:val="NormalWeb"/>
      </w:pPr>
      <w:r>
        <w:t xml:space="preserve">Wilcox, S. (2021) ‘Inside Microsoft’s Engineering Culture’, </w:t>
      </w:r>
      <w:r>
        <w:rPr>
          <w:rStyle w:val="Emphasis"/>
        </w:rPr>
        <w:t>WIRED</w:t>
      </w:r>
      <w:r>
        <w:t>, 27 June.</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Brennen, S. (2023) ‘Ethical Risks in AI Deployment’, </w:t>
      </w:r>
      <w:r w:rsidRPr="00544361">
        <w:rPr>
          <w:rFonts w:ascii="Times New Roman" w:eastAsia="Times New Roman" w:hAnsi="Times New Roman" w:cs="Times New Roman"/>
          <w:i/>
          <w:iCs/>
          <w:sz w:val="24"/>
          <w:szCs w:val="24"/>
          <w:lang w:eastAsia="en-GB"/>
        </w:rPr>
        <w:t>Journal of Technology Ethics</w:t>
      </w:r>
      <w:r w:rsidRPr="00544361">
        <w:rPr>
          <w:rFonts w:ascii="Times New Roman" w:eastAsia="Times New Roman" w:hAnsi="Times New Roman" w:cs="Times New Roman"/>
          <w:sz w:val="24"/>
          <w:szCs w:val="24"/>
          <w:lang w:eastAsia="en-GB"/>
        </w:rPr>
        <w:t>, 12(2), pp. 45–63.</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European Commission (2020) </w:t>
      </w:r>
      <w:r w:rsidRPr="00544361">
        <w:rPr>
          <w:rFonts w:ascii="Times New Roman" w:eastAsia="Times New Roman" w:hAnsi="Times New Roman" w:cs="Times New Roman"/>
          <w:i/>
          <w:iCs/>
          <w:sz w:val="24"/>
          <w:szCs w:val="24"/>
          <w:lang w:eastAsia="en-GB"/>
        </w:rPr>
        <w:t>General Data Protection Regulation (GDPR) Overview</w:t>
      </w:r>
      <w:r w:rsidRPr="00544361">
        <w:rPr>
          <w:rFonts w:ascii="Times New Roman" w:eastAsia="Times New Roman" w:hAnsi="Times New Roman" w:cs="Times New Roman"/>
          <w:sz w:val="24"/>
          <w:szCs w:val="24"/>
          <w:lang w:eastAsia="en-GB"/>
        </w:rPr>
        <w:t>. Brussels: European Commission.</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Hofstede, G., Hofstede, G.J. and Minkov, M. (2010) </w:t>
      </w:r>
      <w:r w:rsidRPr="00544361">
        <w:rPr>
          <w:rFonts w:ascii="Times New Roman" w:eastAsia="Times New Roman" w:hAnsi="Times New Roman" w:cs="Times New Roman"/>
          <w:i/>
          <w:iCs/>
          <w:sz w:val="24"/>
          <w:szCs w:val="24"/>
          <w:lang w:eastAsia="en-GB"/>
        </w:rPr>
        <w:t>Cultures and Organizations: Software of the Mind</w:t>
      </w:r>
      <w:r w:rsidRPr="00544361">
        <w:rPr>
          <w:rFonts w:ascii="Times New Roman" w:eastAsia="Times New Roman" w:hAnsi="Times New Roman" w:cs="Times New Roman"/>
          <w:sz w:val="24"/>
          <w:szCs w:val="24"/>
          <w:lang w:eastAsia="en-GB"/>
        </w:rPr>
        <w:t>. 3rd edn. New York: McGraw-Hill.</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Isaacson, W. (2011) </w:t>
      </w:r>
      <w:r w:rsidRPr="00544361">
        <w:rPr>
          <w:rFonts w:ascii="Times New Roman" w:eastAsia="Times New Roman" w:hAnsi="Times New Roman" w:cs="Times New Roman"/>
          <w:i/>
          <w:iCs/>
          <w:sz w:val="24"/>
          <w:szCs w:val="24"/>
          <w:lang w:eastAsia="en-GB"/>
        </w:rPr>
        <w:t>Steve Jobs</w:t>
      </w:r>
      <w:r w:rsidRPr="00544361">
        <w:rPr>
          <w:rFonts w:ascii="Times New Roman" w:eastAsia="Times New Roman" w:hAnsi="Times New Roman" w:cs="Times New Roman"/>
          <w:sz w:val="24"/>
          <w:szCs w:val="24"/>
          <w:lang w:eastAsia="en-GB"/>
        </w:rPr>
        <w:t>. New York: Simon &amp; Schuster.</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Johnson, G., Whittington, R., Scholes, K., Angwin, D. and Regnér, P. (2014) </w:t>
      </w:r>
      <w:r w:rsidRPr="00544361">
        <w:rPr>
          <w:rFonts w:ascii="Times New Roman" w:eastAsia="Times New Roman" w:hAnsi="Times New Roman" w:cs="Times New Roman"/>
          <w:i/>
          <w:iCs/>
          <w:sz w:val="24"/>
          <w:szCs w:val="24"/>
          <w:lang w:eastAsia="en-GB"/>
        </w:rPr>
        <w:t>Exploring Strategy: Text and Cases</w:t>
      </w:r>
      <w:r w:rsidRPr="00544361">
        <w:rPr>
          <w:rFonts w:ascii="Times New Roman" w:eastAsia="Times New Roman" w:hAnsi="Times New Roman" w:cs="Times New Roman"/>
          <w:sz w:val="24"/>
          <w:szCs w:val="24"/>
          <w:lang w:eastAsia="en-GB"/>
        </w:rPr>
        <w:t>. 10th edn. Harlow: Pearson.</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Metz, C. (2023) ‘Microsoft’s AI Rollout Sparks Ethical Debate’, </w:t>
      </w:r>
      <w:r w:rsidRPr="00544361">
        <w:rPr>
          <w:rFonts w:ascii="Times New Roman" w:eastAsia="Times New Roman" w:hAnsi="Times New Roman" w:cs="Times New Roman"/>
          <w:i/>
          <w:iCs/>
          <w:sz w:val="24"/>
          <w:szCs w:val="24"/>
          <w:lang w:eastAsia="en-GB"/>
        </w:rPr>
        <w:t>The New York Times</w:t>
      </w:r>
      <w:r w:rsidRPr="00544361">
        <w:rPr>
          <w:rFonts w:ascii="Times New Roman" w:eastAsia="Times New Roman" w:hAnsi="Times New Roman" w:cs="Times New Roman"/>
          <w:sz w:val="24"/>
          <w:szCs w:val="24"/>
          <w:lang w:eastAsia="en-GB"/>
        </w:rPr>
        <w:t>, 15 May.</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Nadella, S. (2017) </w:t>
      </w:r>
      <w:r w:rsidRPr="00544361">
        <w:rPr>
          <w:rFonts w:ascii="Times New Roman" w:eastAsia="Times New Roman" w:hAnsi="Times New Roman" w:cs="Times New Roman"/>
          <w:i/>
          <w:iCs/>
          <w:sz w:val="24"/>
          <w:szCs w:val="24"/>
          <w:lang w:eastAsia="en-GB"/>
        </w:rPr>
        <w:t>Hit Refresh: The Quest to Rediscover Microsoft’s Soul and Imagine a Better Future for Everyone</w:t>
      </w:r>
      <w:r w:rsidRPr="00544361">
        <w:rPr>
          <w:rFonts w:ascii="Times New Roman" w:eastAsia="Times New Roman" w:hAnsi="Times New Roman" w:cs="Times New Roman"/>
          <w:sz w:val="24"/>
          <w:szCs w:val="24"/>
          <w:lang w:eastAsia="en-GB"/>
        </w:rPr>
        <w:t>. New York: Harper Business.</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Stone, B. and Green, A. (2020) ‘The Culture Reboot at Microsoft’, </w:t>
      </w:r>
      <w:r w:rsidRPr="00544361">
        <w:rPr>
          <w:rFonts w:ascii="Times New Roman" w:eastAsia="Times New Roman" w:hAnsi="Times New Roman" w:cs="Times New Roman"/>
          <w:i/>
          <w:iCs/>
          <w:sz w:val="24"/>
          <w:szCs w:val="24"/>
          <w:lang w:eastAsia="en-GB"/>
        </w:rPr>
        <w:t>Harvard Business Review</w:t>
      </w:r>
      <w:r w:rsidRPr="00544361">
        <w:rPr>
          <w:rFonts w:ascii="Times New Roman" w:eastAsia="Times New Roman" w:hAnsi="Times New Roman" w:cs="Times New Roman"/>
          <w:sz w:val="24"/>
          <w:szCs w:val="24"/>
          <w:lang w:eastAsia="en-GB"/>
        </w:rPr>
        <w:t>, 98(3), pp. 54–62.</w:t>
      </w:r>
    </w:p>
    <w:p w:rsidR="00544361" w:rsidRPr="00544361" w:rsidRDefault="00544361" w:rsidP="00544361">
      <w:pPr>
        <w:spacing w:before="100" w:beforeAutospacing="1" w:after="100" w:afterAutospacing="1" w:line="240" w:lineRule="auto"/>
        <w:rPr>
          <w:rFonts w:ascii="Times New Roman" w:eastAsia="Times New Roman" w:hAnsi="Times New Roman" w:cs="Times New Roman"/>
          <w:sz w:val="24"/>
          <w:szCs w:val="24"/>
          <w:lang w:eastAsia="en-GB"/>
        </w:rPr>
      </w:pPr>
      <w:r w:rsidRPr="00544361">
        <w:rPr>
          <w:rFonts w:ascii="Times New Roman" w:eastAsia="Times New Roman" w:hAnsi="Times New Roman" w:cs="Times New Roman"/>
          <w:sz w:val="24"/>
          <w:szCs w:val="24"/>
          <w:lang w:eastAsia="en-GB"/>
        </w:rPr>
        <w:t xml:space="preserve">Wilcox, S. (2021) ‘Inside Microsoft’s Engineering Culture’, </w:t>
      </w:r>
      <w:r w:rsidRPr="00544361">
        <w:rPr>
          <w:rFonts w:ascii="Times New Roman" w:eastAsia="Times New Roman" w:hAnsi="Times New Roman" w:cs="Times New Roman"/>
          <w:i/>
          <w:iCs/>
          <w:sz w:val="24"/>
          <w:szCs w:val="24"/>
          <w:lang w:eastAsia="en-GB"/>
        </w:rPr>
        <w:t>WIRED</w:t>
      </w:r>
      <w:r w:rsidRPr="00544361">
        <w:rPr>
          <w:rFonts w:ascii="Times New Roman" w:eastAsia="Times New Roman" w:hAnsi="Times New Roman" w:cs="Times New Roman"/>
          <w:sz w:val="24"/>
          <w:szCs w:val="24"/>
          <w:lang w:eastAsia="en-GB"/>
        </w:rPr>
        <w:t>, 27 June.</w:t>
      </w:r>
    </w:p>
    <w:p w:rsidR="00544361" w:rsidRPr="002A1341" w:rsidRDefault="00544361" w:rsidP="00BA2A1C">
      <w:pPr>
        <w:rPr>
          <w:rFonts w:cstheme="minorHAnsi"/>
          <w:sz w:val="24"/>
          <w:szCs w:val="24"/>
        </w:rPr>
      </w:pPr>
    </w:p>
    <w:sectPr w:rsidR="00544361" w:rsidRPr="002A1341" w:rsidSect="00BA2A1C">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6E7" w:rsidRDefault="005226E7" w:rsidP="00FE3B09">
      <w:pPr>
        <w:spacing w:after="0" w:line="240" w:lineRule="auto"/>
      </w:pPr>
      <w:r>
        <w:separator/>
      </w:r>
    </w:p>
  </w:endnote>
  <w:endnote w:type="continuationSeparator" w:id="0">
    <w:p w:rsidR="005226E7" w:rsidRDefault="005226E7" w:rsidP="00FE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9662046"/>
      <w:docPartObj>
        <w:docPartGallery w:val="Page Numbers (Bottom of Page)"/>
        <w:docPartUnique/>
      </w:docPartObj>
    </w:sdtPr>
    <w:sdtEndPr>
      <w:rPr>
        <w:noProof/>
      </w:rPr>
    </w:sdtEndPr>
    <w:sdtContent>
      <w:p w:rsidR="001F1D92" w:rsidRDefault="001F1D92">
        <w:pPr>
          <w:pStyle w:val="Footer"/>
          <w:jc w:val="right"/>
        </w:pPr>
        <w:r>
          <w:fldChar w:fldCharType="begin"/>
        </w:r>
        <w:r>
          <w:instrText xml:space="preserve"> PAGE   \* MERGEFORMAT </w:instrText>
        </w:r>
        <w:r>
          <w:fldChar w:fldCharType="separate"/>
        </w:r>
        <w:r w:rsidR="00CE3EE6">
          <w:rPr>
            <w:noProof/>
          </w:rPr>
          <w:t>14</w:t>
        </w:r>
        <w:r>
          <w:rPr>
            <w:noProof/>
          </w:rPr>
          <w:fldChar w:fldCharType="end"/>
        </w:r>
      </w:p>
    </w:sdtContent>
  </w:sdt>
  <w:p w:rsidR="001F1D92" w:rsidRDefault="001F1D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6E7" w:rsidRDefault="005226E7" w:rsidP="00FE3B09">
      <w:pPr>
        <w:spacing w:after="0" w:line="240" w:lineRule="auto"/>
      </w:pPr>
      <w:r>
        <w:separator/>
      </w:r>
    </w:p>
  </w:footnote>
  <w:footnote w:type="continuationSeparator" w:id="0">
    <w:p w:rsidR="005226E7" w:rsidRDefault="005226E7" w:rsidP="00FE3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0412"/>
    <w:multiLevelType w:val="multilevel"/>
    <w:tmpl w:val="A806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FA1411"/>
    <w:multiLevelType w:val="multilevel"/>
    <w:tmpl w:val="0D1C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630D62"/>
    <w:multiLevelType w:val="multilevel"/>
    <w:tmpl w:val="4110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A34686"/>
    <w:multiLevelType w:val="multilevel"/>
    <w:tmpl w:val="7916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97576F"/>
    <w:multiLevelType w:val="multilevel"/>
    <w:tmpl w:val="11BC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AE1F40"/>
    <w:multiLevelType w:val="multilevel"/>
    <w:tmpl w:val="1CFA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E0208C"/>
    <w:multiLevelType w:val="multilevel"/>
    <w:tmpl w:val="CA70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27500D"/>
    <w:multiLevelType w:val="multilevel"/>
    <w:tmpl w:val="A6EE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544769"/>
    <w:multiLevelType w:val="multilevel"/>
    <w:tmpl w:val="85EE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3A1122"/>
    <w:multiLevelType w:val="multilevel"/>
    <w:tmpl w:val="E0B8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8D609E"/>
    <w:multiLevelType w:val="multilevel"/>
    <w:tmpl w:val="C3DC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221F35"/>
    <w:multiLevelType w:val="multilevel"/>
    <w:tmpl w:val="F8C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A850B1"/>
    <w:multiLevelType w:val="multilevel"/>
    <w:tmpl w:val="BE0C50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007434"/>
    <w:multiLevelType w:val="multilevel"/>
    <w:tmpl w:val="9D3A5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701E96"/>
    <w:multiLevelType w:val="multilevel"/>
    <w:tmpl w:val="1AFC9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98C153F"/>
    <w:multiLevelType w:val="multilevel"/>
    <w:tmpl w:val="A450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652295"/>
    <w:multiLevelType w:val="multilevel"/>
    <w:tmpl w:val="B204E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04221A4"/>
    <w:multiLevelType w:val="multilevel"/>
    <w:tmpl w:val="7CD2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1F6C6B"/>
    <w:multiLevelType w:val="multilevel"/>
    <w:tmpl w:val="2A2C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F740978"/>
    <w:multiLevelType w:val="multilevel"/>
    <w:tmpl w:val="EBD2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E86CEE"/>
    <w:multiLevelType w:val="multilevel"/>
    <w:tmpl w:val="8EB663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77763E8"/>
    <w:multiLevelType w:val="multilevel"/>
    <w:tmpl w:val="3328D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86469C3"/>
    <w:multiLevelType w:val="multilevel"/>
    <w:tmpl w:val="3EB0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4"/>
  </w:num>
  <w:num w:numId="3">
    <w:abstractNumId w:val="16"/>
  </w:num>
  <w:num w:numId="4">
    <w:abstractNumId w:val="3"/>
  </w:num>
  <w:num w:numId="5">
    <w:abstractNumId w:val="18"/>
  </w:num>
  <w:num w:numId="6">
    <w:abstractNumId w:val="4"/>
  </w:num>
  <w:num w:numId="7">
    <w:abstractNumId w:val="11"/>
  </w:num>
  <w:num w:numId="8">
    <w:abstractNumId w:val="5"/>
  </w:num>
  <w:num w:numId="9">
    <w:abstractNumId w:val="17"/>
  </w:num>
  <w:num w:numId="10">
    <w:abstractNumId w:val="21"/>
  </w:num>
  <w:num w:numId="11">
    <w:abstractNumId w:val="7"/>
  </w:num>
  <w:num w:numId="12">
    <w:abstractNumId w:val="20"/>
  </w:num>
  <w:num w:numId="13">
    <w:abstractNumId w:val="9"/>
  </w:num>
  <w:num w:numId="14">
    <w:abstractNumId w:val="8"/>
  </w:num>
  <w:num w:numId="15">
    <w:abstractNumId w:val="19"/>
  </w:num>
  <w:num w:numId="16">
    <w:abstractNumId w:val="12"/>
  </w:num>
  <w:num w:numId="17">
    <w:abstractNumId w:val="0"/>
  </w:num>
  <w:num w:numId="18">
    <w:abstractNumId w:val="13"/>
  </w:num>
  <w:num w:numId="19">
    <w:abstractNumId w:val="2"/>
  </w:num>
  <w:num w:numId="20">
    <w:abstractNumId w:val="6"/>
  </w:num>
  <w:num w:numId="21">
    <w:abstractNumId w:val="10"/>
  </w:num>
  <w:num w:numId="22">
    <w:abstractNumId w:val="1"/>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C28"/>
    <w:rsid w:val="00085667"/>
    <w:rsid w:val="001A4BB8"/>
    <w:rsid w:val="001E55BF"/>
    <w:rsid w:val="001F1D92"/>
    <w:rsid w:val="002428B7"/>
    <w:rsid w:val="00253670"/>
    <w:rsid w:val="002A1341"/>
    <w:rsid w:val="002C5489"/>
    <w:rsid w:val="003318E0"/>
    <w:rsid w:val="0036572D"/>
    <w:rsid w:val="0038005D"/>
    <w:rsid w:val="003C2989"/>
    <w:rsid w:val="004C3641"/>
    <w:rsid w:val="004E46DE"/>
    <w:rsid w:val="00504246"/>
    <w:rsid w:val="005067F9"/>
    <w:rsid w:val="005226E7"/>
    <w:rsid w:val="00523ADA"/>
    <w:rsid w:val="00544361"/>
    <w:rsid w:val="00574BE5"/>
    <w:rsid w:val="0058421E"/>
    <w:rsid w:val="005C3B28"/>
    <w:rsid w:val="006501E3"/>
    <w:rsid w:val="006651D2"/>
    <w:rsid w:val="006A4C28"/>
    <w:rsid w:val="006D0E00"/>
    <w:rsid w:val="006D6DB5"/>
    <w:rsid w:val="00734454"/>
    <w:rsid w:val="008652C9"/>
    <w:rsid w:val="008C6D7B"/>
    <w:rsid w:val="008D7D99"/>
    <w:rsid w:val="008E4772"/>
    <w:rsid w:val="009171B6"/>
    <w:rsid w:val="009464DB"/>
    <w:rsid w:val="00A14A76"/>
    <w:rsid w:val="00B94E52"/>
    <w:rsid w:val="00B954C6"/>
    <w:rsid w:val="00BA2A1C"/>
    <w:rsid w:val="00C47C3F"/>
    <w:rsid w:val="00CC2324"/>
    <w:rsid w:val="00CE3EE6"/>
    <w:rsid w:val="00CF69AE"/>
    <w:rsid w:val="00D122FA"/>
    <w:rsid w:val="00D22BE7"/>
    <w:rsid w:val="00DB4001"/>
    <w:rsid w:val="00EE160A"/>
    <w:rsid w:val="00F52829"/>
    <w:rsid w:val="00FA73F9"/>
    <w:rsid w:val="00FE3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00648">
      <w:bodyDiv w:val="1"/>
      <w:marLeft w:val="0"/>
      <w:marRight w:val="0"/>
      <w:marTop w:val="0"/>
      <w:marBottom w:val="0"/>
      <w:divBdr>
        <w:top w:val="none" w:sz="0" w:space="0" w:color="auto"/>
        <w:left w:val="none" w:sz="0" w:space="0" w:color="auto"/>
        <w:bottom w:val="none" w:sz="0" w:space="0" w:color="auto"/>
        <w:right w:val="none" w:sz="0" w:space="0" w:color="auto"/>
      </w:divBdr>
    </w:div>
    <w:div w:id="152113679">
      <w:bodyDiv w:val="1"/>
      <w:marLeft w:val="0"/>
      <w:marRight w:val="0"/>
      <w:marTop w:val="0"/>
      <w:marBottom w:val="0"/>
      <w:divBdr>
        <w:top w:val="none" w:sz="0" w:space="0" w:color="auto"/>
        <w:left w:val="none" w:sz="0" w:space="0" w:color="auto"/>
        <w:bottom w:val="none" w:sz="0" w:space="0" w:color="auto"/>
        <w:right w:val="none" w:sz="0" w:space="0" w:color="auto"/>
      </w:divBdr>
    </w:div>
    <w:div w:id="155609732">
      <w:bodyDiv w:val="1"/>
      <w:marLeft w:val="0"/>
      <w:marRight w:val="0"/>
      <w:marTop w:val="0"/>
      <w:marBottom w:val="0"/>
      <w:divBdr>
        <w:top w:val="none" w:sz="0" w:space="0" w:color="auto"/>
        <w:left w:val="none" w:sz="0" w:space="0" w:color="auto"/>
        <w:bottom w:val="none" w:sz="0" w:space="0" w:color="auto"/>
        <w:right w:val="none" w:sz="0" w:space="0" w:color="auto"/>
      </w:divBdr>
    </w:div>
    <w:div w:id="236939367">
      <w:bodyDiv w:val="1"/>
      <w:marLeft w:val="0"/>
      <w:marRight w:val="0"/>
      <w:marTop w:val="0"/>
      <w:marBottom w:val="0"/>
      <w:divBdr>
        <w:top w:val="none" w:sz="0" w:space="0" w:color="auto"/>
        <w:left w:val="none" w:sz="0" w:space="0" w:color="auto"/>
        <w:bottom w:val="none" w:sz="0" w:space="0" w:color="auto"/>
        <w:right w:val="none" w:sz="0" w:space="0" w:color="auto"/>
      </w:divBdr>
    </w:div>
    <w:div w:id="269826486">
      <w:bodyDiv w:val="1"/>
      <w:marLeft w:val="0"/>
      <w:marRight w:val="0"/>
      <w:marTop w:val="0"/>
      <w:marBottom w:val="0"/>
      <w:divBdr>
        <w:top w:val="none" w:sz="0" w:space="0" w:color="auto"/>
        <w:left w:val="none" w:sz="0" w:space="0" w:color="auto"/>
        <w:bottom w:val="none" w:sz="0" w:space="0" w:color="auto"/>
        <w:right w:val="none" w:sz="0" w:space="0" w:color="auto"/>
      </w:divBdr>
    </w:div>
    <w:div w:id="275523107">
      <w:bodyDiv w:val="1"/>
      <w:marLeft w:val="0"/>
      <w:marRight w:val="0"/>
      <w:marTop w:val="0"/>
      <w:marBottom w:val="0"/>
      <w:divBdr>
        <w:top w:val="none" w:sz="0" w:space="0" w:color="auto"/>
        <w:left w:val="none" w:sz="0" w:space="0" w:color="auto"/>
        <w:bottom w:val="none" w:sz="0" w:space="0" w:color="auto"/>
        <w:right w:val="none" w:sz="0" w:space="0" w:color="auto"/>
      </w:divBdr>
    </w:div>
    <w:div w:id="279646502">
      <w:bodyDiv w:val="1"/>
      <w:marLeft w:val="0"/>
      <w:marRight w:val="0"/>
      <w:marTop w:val="0"/>
      <w:marBottom w:val="0"/>
      <w:divBdr>
        <w:top w:val="none" w:sz="0" w:space="0" w:color="auto"/>
        <w:left w:val="none" w:sz="0" w:space="0" w:color="auto"/>
        <w:bottom w:val="none" w:sz="0" w:space="0" w:color="auto"/>
        <w:right w:val="none" w:sz="0" w:space="0" w:color="auto"/>
      </w:divBdr>
    </w:div>
    <w:div w:id="281689778">
      <w:bodyDiv w:val="1"/>
      <w:marLeft w:val="0"/>
      <w:marRight w:val="0"/>
      <w:marTop w:val="0"/>
      <w:marBottom w:val="0"/>
      <w:divBdr>
        <w:top w:val="none" w:sz="0" w:space="0" w:color="auto"/>
        <w:left w:val="none" w:sz="0" w:space="0" w:color="auto"/>
        <w:bottom w:val="none" w:sz="0" w:space="0" w:color="auto"/>
        <w:right w:val="none" w:sz="0" w:space="0" w:color="auto"/>
      </w:divBdr>
      <w:divsChild>
        <w:div w:id="1947692140">
          <w:marLeft w:val="0"/>
          <w:marRight w:val="0"/>
          <w:marTop w:val="0"/>
          <w:marBottom w:val="0"/>
          <w:divBdr>
            <w:top w:val="none" w:sz="0" w:space="0" w:color="auto"/>
            <w:left w:val="none" w:sz="0" w:space="0" w:color="auto"/>
            <w:bottom w:val="none" w:sz="0" w:space="0" w:color="auto"/>
            <w:right w:val="none" w:sz="0" w:space="0" w:color="auto"/>
          </w:divBdr>
          <w:divsChild>
            <w:div w:id="55478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60814">
      <w:bodyDiv w:val="1"/>
      <w:marLeft w:val="0"/>
      <w:marRight w:val="0"/>
      <w:marTop w:val="0"/>
      <w:marBottom w:val="0"/>
      <w:divBdr>
        <w:top w:val="none" w:sz="0" w:space="0" w:color="auto"/>
        <w:left w:val="none" w:sz="0" w:space="0" w:color="auto"/>
        <w:bottom w:val="none" w:sz="0" w:space="0" w:color="auto"/>
        <w:right w:val="none" w:sz="0" w:space="0" w:color="auto"/>
      </w:divBdr>
    </w:div>
    <w:div w:id="297492079">
      <w:bodyDiv w:val="1"/>
      <w:marLeft w:val="0"/>
      <w:marRight w:val="0"/>
      <w:marTop w:val="0"/>
      <w:marBottom w:val="0"/>
      <w:divBdr>
        <w:top w:val="none" w:sz="0" w:space="0" w:color="auto"/>
        <w:left w:val="none" w:sz="0" w:space="0" w:color="auto"/>
        <w:bottom w:val="none" w:sz="0" w:space="0" w:color="auto"/>
        <w:right w:val="none" w:sz="0" w:space="0" w:color="auto"/>
      </w:divBdr>
    </w:div>
    <w:div w:id="336352782">
      <w:bodyDiv w:val="1"/>
      <w:marLeft w:val="0"/>
      <w:marRight w:val="0"/>
      <w:marTop w:val="0"/>
      <w:marBottom w:val="0"/>
      <w:divBdr>
        <w:top w:val="none" w:sz="0" w:space="0" w:color="auto"/>
        <w:left w:val="none" w:sz="0" w:space="0" w:color="auto"/>
        <w:bottom w:val="none" w:sz="0" w:space="0" w:color="auto"/>
        <w:right w:val="none" w:sz="0" w:space="0" w:color="auto"/>
      </w:divBdr>
    </w:div>
    <w:div w:id="336856407">
      <w:bodyDiv w:val="1"/>
      <w:marLeft w:val="0"/>
      <w:marRight w:val="0"/>
      <w:marTop w:val="0"/>
      <w:marBottom w:val="0"/>
      <w:divBdr>
        <w:top w:val="none" w:sz="0" w:space="0" w:color="auto"/>
        <w:left w:val="none" w:sz="0" w:space="0" w:color="auto"/>
        <w:bottom w:val="none" w:sz="0" w:space="0" w:color="auto"/>
        <w:right w:val="none" w:sz="0" w:space="0" w:color="auto"/>
      </w:divBdr>
    </w:div>
    <w:div w:id="359165125">
      <w:bodyDiv w:val="1"/>
      <w:marLeft w:val="0"/>
      <w:marRight w:val="0"/>
      <w:marTop w:val="0"/>
      <w:marBottom w:val="0"/>
      <w:divBdr>
        <w:top w:val="none" w:sz="0" w:space="0" w:color="auto"/>
        <w:left w:val="none" w:sz="0" w:space="0" w:color="auto"/>
        <w:bottom w:val="none" w:sz="0" w:space="0" w:color="auto"/>
        <w:right w:val="none" w:sz="0" w:space="0" w:color="auto"/>
      </w:divBdr>
    </w:div>
    <w:div w:id="368915843">
      <w:bodyDiv w:val="1"/>
      <w:marLeft w:val="0"/>
      <w:marRight w:val="0"/>
      <w:marTop w:val="0"/>
      <w:marBottom w:val="0"/>
      <w:divBdr>
        <w:top w:val="none" w:sz="0" w:space="0" w:color="auto"/>
        <w:left w:val="none" w:sz="0" w:space="0" w:color="auto"/>
        <w:bottom w:val="none" w:sz="0" w:space="0" w:color="auto"/>
        <w:right w:val="none" w:sz="0" w:space="0" w:color="auto"/>
      </w:divBdr>
    </w:div>
    <w:div w:id="382801651">
      <w:bodyDiv w:val="1"/>
      <w:marLeft w:val="0"/>
      <w:marRight w:val="0"/>
      <w:marTop w:val="0"/>
      <w:marBottom w:val="0"/>
      <w:divBdr>
        <w:top w:val="none" w:sz="0" w:space="0" w:color="auto"/>
        <w:left w:val="none" w:sz="0" w:space="0" w:color="auto"/>
        <w:bottom w:val="none" w:sz="0" w:space="0" w:color="auto"/>
        <w:right w:val="none" w:sz="0" w:space="0" w:color="auto"/>
      </w:divBdr>
    </w:div>
    <w:div w:id="405495919">
      <w:bodyDiv w:val="1"/>
      <w:marLeft w:val="0"/>
      <w:marRight w:val="0"/>
      <w:marTop w:val="0"/>
      <w:marBottom w:val="0"/>
      <w:divBdr>
        <w:top w:val="none" w:sz="0" w:space="0" w:color="auto"/>
        <w:left w:val="none" w:sz="0" w:space="0" w:color="auto"/>
        <w:bottom w:val="none" w:sz="0" w:space="0" w:color="auto"/>
        <w:right w:val="none" w:sz="0" w:space="0" w:color="auto"/>
      </w:divBdr>
    </w:div>
    <w:div w:id="419718612">
      <w:bodyDiv w:val="1"/>
      <w:marLeft w:val="0"/>
      <w:marRight w:val="0"/>
      <w:marTop w:val="0"/>
      <w:marBottom w:val="0"/>
      <w:divBdr>
        <w:top w:val="none" w:sz="0" w:space="0" w:color="auto"/>
        <w:left w:val="none" w:sz="0" w:space="0" w:color="auto"/>
        <w:bottom w:val="none" w:sz="0" w:space="0" w:color="auto"/>
        <w:right w:val="none" w:sz="0" w:space="0" w:color="auto"/>
      </w:divBdr>
    </w:div>
    <w:div w:id="469204744">
      <w:bodyDiv w:val="1"/>
      <w:marLeft w:val="0"/>
      <w:marRight w:val="0"/>
      <w:marTop w:val="0"/>
      <w:marBottom w:val="0"/>
      <w:divBdr>
        <w:top w:val="none" w:sz="0" w:space="0" w:color="auto"/>
        <w:left w:val="none" w:sz="0" w:space="0" w:color="auto"/>
        <w:bottom w:val="none" w:sz="0" w:space="0" w:color="auto"/>
        <w:right w:val="none" w:sz="0" w:space="0" w:color="auto"/>
      </w:divBdr>
    </w:div>
    <w:div w:id="495613060">
      <w:bodyDiv w:val="1"/>
      <w:marLeft w:val="0"/>
      <w:marRight w:val="0"/>
      <w:marTop w:val="0"/>
      <w:marBottom w:val="0"/>
      <w:divBdr>
        <w:top w:val="none" w:sz="0" w:space="0" w:color="auto"/>
        <w:left w:val="none" w:sz="0" w:space="0" w:color="auto"/>
        <w:bottom w:val="none" w:sz="0" w:space="0" w:color="auto"/>
        <w:right w:val="none" w:sz="0" w:space="0" w:color="auto"/>
      </w:divBdr>
    </w:div>
    <w:div w:id="522089108">
      <w:bodyDiv w:val="1"/>
      <w:marLeft w:val="0"/>
      <w:marRight w:val="0"/>
      <w:marTop w:val="0"/>
      <w:marBottom w:val="0"/>
      <w:divBdr>
        <w:top w:val="none" w:sz="0" w:space="0" w:color="auto"/>
        <w:left w:val="none" w:sz="0" w:space="0" w:color="auto"/>
        <w:bottom w:val="none" w:sz="0" w:space="0" w:color="auto"/>
        <w:right w:val="none" w:sz="0" w:space="0" w:color="auto"/>
      </w:divBdr>
    </w:div>
    <w:div w:id="568420152">
      <w:bodyDiv w:val="1"/>
      <w:marLeft w:val="0"/>
      <w:marRight w:val="0"/>
      <w:marTop w:val="0"/>
      <w:marBottom w:val="0"/>
      <w:divBdr>
        <w:top w:val="none" w:sz="0" w:space="0" w:color="auto"/>
        <w:left w:val="none" w:sz="0" w:space="0" w:color="auto"/>
        <w:bottom w:val="none" w:sz="0" w:space="0" w:color="auto"/>
        <w:right w:val="none" w:sz="0" w:space="0" w:color="auto"/>
      </w:divBdr>
    </w:div>
    <w:div w:id="589318373">
      <w:bodyDiv w:val="1"/>
      <w:marLeft w:val="0"/>
      <w:marRight w:val="0"/>
      <w:marTop w:val="0"/>
      <w:marBottom w:val="0"/>
      <w:divBdr>
        <w:top w:val="none" w:sz="0" w:space="0" w:color="auto"/>
        <w:left w:val="none" w:sz="0" w:space="0" w:color="auto"/>
        <w:bottom w:val="none" w:sz="0" w:space="0" w:color="auto"/>
        <w:right w:val="none" w:sz="0" w:space="0" w:color="auto"/>
      </w:divBdr>
    </w:div>
    <w:div w:id="599340650">
      <w:bodyDiv w:val="1"/>
      <w:marLeft w:val="0"/>
      <w:marRight w:val="0"/>
      <w:marTop w:val="0"/>
      <w:marBottom w:val="0"/>
      <w:divBdr>
        <w:top w:val="none" w:sz="0" w:space="0" w:color="auto"/>
        <w:left w:val="none" w:sz="0" w:space="0" w:color="auto"/>
        <w:bottom w:val="none" w:sz="0" w:space="0" w:color="auto"/>
        <w:right w:val="none" w:sz="0" w:space="0" w:color="auto"/>
      </w:divBdr>
    </w:div>
    <w:div w:id="600796524">
      <w:bodyDiv w:val="1"/>
      <w:marLeft w:val="0"/>
      <w:marRight w:val="0"/>
      <w:marTop w:val="0"/>
      <w:marBottom w:val="0"/>
      <w:divBdr>
        <w:top w:val="none" w:sz="0" w:space="0" w:color="auto"/>
        <w:left w:val="none" w:sz="0" w:space="0" w:color="auto"/>
        <w:bottom w:val="none" w:sz="0" w:space="0" w:color="auto"/>
        <w:right w:val="none" w:sz="0" w:space="0" w:color="auto"/>
      </w:divBdr>
      <w:divsChild>
        <w:div w:id="1509174186">
          <w:marLeft w:val="0"/>
          <w:marRight w:val="0"/>
          <w:marTop w:val="0"/>
          <w:marBottom w:val="0"/>
          <w:divBdr>
            <w:top w:val="none" w:sz="0" w:space="0" w:color="auto"/>
            <w:left w:val="none" w:sz="0" w:space="0" w:color="auto"/>
            <w:bottom w:val="none" w:sz="0" w:space="0" w:color="auto"/>
            <w:right w:val="none" w:sz="0" w:space="0" w:color="auto"/>
          </w:divBdr>
          <w:divsChild>
            <w:div w:id="1963000234">
              <w:marLeft w:val="0"/>
              <w:marRight w:val="0"/>
              <w:marTop w:val="0"/>
              <w:marBottom w:val="0"/>
              <w:divBdr>
                <w:top w:val="none" w:sz="0" w:space="0" w:color="auto"/>
                <w:left w:val="none" w:sz="0" w:space="0" w:color="auto"/>
                <w:bottom w:val="none" w:sz="0" w:space="0" w:color="auto"/>
                <w:right w:val="none" w:sz="0" w:space="0" w:color="auto"/>
              </w:divBdr>
              <w:divsChild>
                <w:div w:id="1312322651">
                  <w:marLeft w:val="0"/>
                  <w:marRight w:val="0"/>
                  <w:marTop w:val="0"/>
                  <w:marBottom w:val="0"/>
                  <w:divBdr>
                    <w:top w:val="none" w:sz="0" w:space="0" w:color="auto"/>
                    <w:left w:val="none" w:sz="0" w:space="0" w:color="auto"/>
                    <w:bottom w:val="none" w:sz="0" w:space="0" w:color="auto"/>
                    <w:right w:val="none" w:sz="0" w:space="0" w:color="auto"/>
                  </w:divBdr>
                  <w:divsChild>
                    <w:div w:id="1246189840">
                      <w:marLeft w:val="0"/>
                      <w:marRight w:val="0"/>
                      <w:marTop w:val="0"/>
                      <w:marBottom w:val="0"/>
                      <w:divBdr>
                        <w:top w:val="none" w:sz="0" w:space="0" w:color="auto"/>
                        <w:left w:val="none" w:sz="0" w:space="0" w:color="auto"/>
                        <w:bottom w:val="none" w:sz="0" w:space="0" w:color="auto"/>
                        <w:right w:val="none" w:sz="0" w:space="0" w:color="auto"/>
                      </w:divBdr>
                      <w:divsChild>
                        <w:div w:id="812134418">
                          <w:marLeft w:val="0"/>
                          <w:marRight w:val="0"/>
                          <w:marTop w:val="0"/>
                          <w:marBottom w:val="0"/>
                          <w:divBdr>
                            <w:top w:val="none" w:sz="0" w:space="0" w:color="auto"/>
                            <w:left w:val="none" w:sz="0" w:space="0" w:color="auto"/>
                            <w:bottom w:val="none" w:sz="0" w:space="0" w:color="auto"/>
                            <w:right w:val="none" w:sz="0" w:space="0" w:color="auto"/>
                          </w:divBdr>
                          <w:divsChild>
                            <w:div w:id="6098976">
                              <w:marLeft w:val="0"/>
                              <w:marRight w:val="0"/>
                              <w:marTop w:val="0"/>
                              <w:marBottom w:val="0"/>
                              <w:divBdr>
                                <w:top w:val="none" w:sz="0" w:space="0" w:color="auto"/>
                                <w:left w:val="none" w:sz="0" w:space="0" w:color="auto"/>
                                <w:bottom w:val="none" w:sz="0" w:space="0" w:color="auto"/>
                                <w:right w:val="none" w:sz="0" w:space="0" w:color="auto"/>
                              </w:divBdr>
                              <w:divsChild>
                                <w:div w:id="1452701804">
                                  <w:marLeft w:val="0"/>
                                  <w:marRight w:val="0"/>
                                  <w:marTop w:val="0"/>
                                  <w:marBottom w:val="0"/>
                                  <w:divBdr>
                                    <w:top w:val="none" w:sz="0" w:space="0" w:color="auto"/>
                                    <w:left w:val="none" w:sz="0" w:space="0" w:color="auto"/>
                                    <w:bottom w:val="none" w:sz="0" w:space="0" w:color="auto"/>
                                    <w:right w:val="none" w:sz="0" w:space="0" w:color="auto"/>
                                  </w:divBdr>
                                  <w:divsChild>
                                    <w:div w:id="41622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458735">
      <w:bodyDiv w:val="1"/>
      <w:marLeft w:val="0"/>
      <w:marRight w:val="0"/>
      <w:marTop w:val="0"/>
      <w:marBottom w:val="0"/>
      <w:divBdr>
        <w:top w:val="none" w:sz="0" w:space="0" w:color="auto"/>
        <w:left w:val="none" w:sz="0" w:space="0" w:color="auto"/>
        <w:bottom w:val="none" w:sz="0" w:space="0" w:color="auto"/>
        <w:right w:val="none" w:sz="0" w:space="0" w:color="auto"/>
      </w:divBdr>
      <w:divsChild>
        <w:div w:id="1638536317">
          <w:marLeft w:val="0"/>
          <w:marRight w:val="0"/>
          <w:marTop w:val="0"/>
          <w:marBottom w:val="0"/>
          <w:divBdr>
            <w:top w:val="none" w:sz="0" w:space="0" w:color="auto"/>
            <w:left w:val="none" w:sz="0" w:space="0" w:color="auto"/>
            <w:bottom w:val="none" w:sz="0" w:space="0" w:color="auto"/>
            <w:right w:val="none" w:sz="0" w:space="0" w:color="auto"/>
          </w:divBdr>
          <w:divsChild>
            <w:div w:id="91909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129821">
      <w:bodyDiv w:val="1"/>
      <w:marLeft w:val="0"/>
      <w:marRight w:val="0"/>
      <w:marTop w:val="0"/>
      <w:marBottom w:val="0"/>
      <w:divBdr>
        <w:top w:val="none" w:sz="0" w:space="0" w:color="auto"/>
        <w:left w:val="none" w:sz="0" w:space="0" w:color="auto"/>
        <w:bottom w:val="none" w:sz="0" w:space="0" w:color="auto"/>
        <w:right w:val="none" w:sz="0" w:space="0" w:color="auto"/>
      </w:divBdr>
    </w:div>
    <w:div w:id="671447487">
      <w:bodyDiv w:val="1"/>
      <w:marLeft w:val="0"/>
      <w:marRight w:val="0"/>
      <w:marTop w:val="0"/>
      <w:marBottom w:val="0"/>
      <w:divBdr>
        <w:top w:val="none" w:sz="0" w:space="0" w:color="auto"/>
        <w:left w:val="none" w:sz="0" w:space="0" w:color="auto"/>
        <w:bottom w:val="none" w:sz="0" w:space="0" w:color="auto"/>
        <w:right w:val="none" w:sz="0" w:space="0" w:color="auto"/>
      </w:divBdr>
    </w:div>
    <w:div w:id="681323738">
      <w:bodyDiv w:val="1"/>
      <w:marLeft w:val="0"/>
      <w:marRight w:val="0"/>
      <w:marTop w:val="0"/>
      <w:marBottom w:val="0"/>
      <w:divBdr>
        <w:top w:val="none" w:sz="0" w:space="0" w:color="auto"/>
        <w:left w:val="none" w:sz="0" w:space="0" w:color="auto"/>
        <w:bottom w:val="none" w:sz="0" w:space="0" w:color="auto"/>
        <w:right w:val="none" w:sz="0" w:space="0" w:color="auto"/>
      </w:divBdr>
      <w:divsChild>
        <w:div w:id="431560036">
          <w:marLeft w:val="0"/>
          <w:marRight w:val="0"/>
          <w:marTop w:val="0"/>
          <w:marBottom w:val="0"/>
          <w:divBdr>
            <w:top w:val="none" w:sz="0" w:space="0" w:color="auto"/>
            <w:left w:val="none" w:sz="0" w:space="0" w:color="auto"/>
            <w:bottom w:val="none" w:sz="0" w:space="0" w:color="auto"/>
            <w:right w:val="none" w:sz="0" w:space="0" w:color="auto"/>
          </w:divBdr>
          <w:divsChild>
            <w:div w:id="904265855">
              <w:marLeft w:val="0"/>
              <w:marRight w:val="0"/>
              <w:marTop w:val="0"/>
              <w:marBottom w:val="0"/>
              <w:divBdr>
                <w:top w:val="none" w:sz="0" w:space="0" w:color="auto"/>
                <w:left w:val="none" w:sz="0" w:space="0" w:color="auto"/>
                <w:bottom w:val="none" w:sz="0" w:space="0" w:color="auto"/>
                <w:right w:val="none" w:sz="0" w:space="0" w:color="auto"/>
              </w:divBdr>
              <w:divsChild>
                <w:div w:id="821656319">
                  <w:marLeft w:val="0"/>
                  <w:marRight w:val="0"/>
                  <w:marTop w:val="0"/>
                  <w:marBottom w:val="0"/>
                  <w:divBdr>
                    <w:top w:val="none" w:sz="0" w:space="0" w:color="auto"/>
                    <w:left w:val="none" w:sz="0" w:space="0" w:color="auto"/>
                    <w:bottom w:val="none" w:sz="0" w:space="0" w:color="auto"/>
                    <w:right w:val="none" w:sz="0" w:space="0" w:color="auto"/>
                  </w:divBdr>
                  <w:divsChild>
                    <w:div w:id="1858277655">
                      <w:marLeft w:val="0"/>
                      <w:marRight w:val="0"/>
                      <w:marTop w:val="0"/>
                      <w:marBottom w:val="0"/>
                      <w:divBdr>
                        <w:top w:val="none" w:sz="0" w:space="0" w:color="auto"/>
                        <w:left w:val="none" w:sz="0" w:space="0" w:color="auto"/>
                        <w:bottom w:val="none" w:sz="0" w:space="0" w:color="auto"/>
                        <w:right w:val="none" w:sz="0" w:space="0" w:color="auto"/>
                      </w:divBdr>
                      <w:divsChild>
                        <w:div w:id="295646445">
                          <w:marLeft w:val="0"/>
                          <w:marRight w:val="0"/>
                          <w:marTop w:val="0"/>
                          <w:marBottom w:val="0"/>
                          <w:divBdr>
                            <w:top w:val="none" w:sz="0" w:space="0" w:color="auto"/>
                            <w:left w:val="none" w:sz="0" w:space="0" w:color="auto"/>
                            <w:bottom w:val="none" w:sz="0" w:space="0" w:color="auto"/>
                            <w:right w:val="none" w:sz="0" w:space="0" w:color="auto"/>
                          </w:divBdr>
                          <w:divsChild>
                            <w:div w:id="1712414453">
                              <w:marLeft w:val="0"/>
                              <w:marRight w:val="0"/>
                              <w:marTop w:val="0"/>
                              <w:marBottom w:val="0"/>
                              <w:divBdr>
                                <w:top w:val="none" w:sz="0" w:space="0" w:color="auto"/>
                                <w:left w:val="none" w:sz="0" w:space="0" w:color="auto"/>
                                <w:bottom w:val="none" w:sz="0" w:space="0" w:color="auto"/>
                                <w:right w:val="none" w:sz="0" w:space="0" w:color="auto"/>
                              </w:divBdr>
                              <w:divsChild>
                                <w:div w:id="1786725694">
                                  <w:marLeft w:val="0"/>
                                  <w:marRight w:val="0"/>
                                  <w:marTop w:val="0"/>
                                  <w:marBottom w:val="0"/>
                                  <w:divBdr>
                                    <w:top w:val="none" w:sz="0" w:space="0" w:color="auto"/>
                                    <w:left w:val="none" w:sz="0" w:space="0" w:color="auto"/>
                                    <w:bottom w:val="none" w:sz="0" w:space="0" w:color="auto"/>
                                    <w:right w:val="none" w:sz="0" w:space="0" w:color="auto"/>
                                  </w:divBdr>
                                  <w:divsChild>
                                    <w:div w:id="74468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889806">
      <w:bodyDiv w:val="1"/>
      <w:marLeft w:val="0"/>
      <w:marRight w:val="0"/>
      <w:marTop w:val="0"/>
      <w:marBottom w:val="0"/>
      <w:divBdr>
        <w:top w:val="none" w:sz="0" w:space="0" w:color="auto"/>
        <w:left w:val="none" w:sz="0" w:space="0" w:color="auto"/>
        <w:bottom w:val="none" w:sz="0" w:space="0" w:color="auto"/>
        <w:right w:val="none" w:sz="0" w:space="0" w:color="auto"/>
      </w:divBdr>
    </w:div>
    <w:div w:id="716128145">
      <w:bodyDiv w:val="1"/>
      <w:marLeft w:val="0"/>
      <w:marRight w:val="0"/>
      <w:marTop w:val="0"/>
      <w:marBottom w:val="0"/>
      <w:divBdr>
        <w:top w:val="none" w:sz="0" w:space="0" w:color="auto"/>
        <w:left w:val="none" w:sz="0" w:space="0" w:color="auto"/>
        <w:bottom w:val="none" w:sz="0" w:space="0" w:color="auto"/>
        <w:right w:val="none" w:sz="0" w:space="0" w:color="auto"/>
      </w:divBdr>
    </w:div>
    <w:div w:id="840201677">
      <w:bodyDiv w:val="1"/>
      <w:marLeft w:val="0"/>
      <w:marRight w:val="0"/>
      <w:marTop w:val="0"/>
      <w:marBottom w:val="0"/>
      <w:divBdr>
        <w:top w:val="none" w:sz="0" w:space="0" w:color="auto"/>
        <w:left w:val="none" w:sz="0" w:space="0" w:color="auto"/>
        <w:bottom w:val="none" w:sz="0" w:space="0" w:color="auto"/>
        <w:right w:val="none" w:sz="0" w:space="0" w:color="auto"/>
      </w:divBdr>
    </w:div>
    <w:div w:id="851072144">
      <w:bodyDiv w:val="1"/>
      <w:marLeft w:val="0"/>
      <w:marRight w:val="0"/>
      <w:marTop w:val="0"/>
      <w:marBottom w:val="0"/>
      <w:divBdr>
        <w:top w:val="none" w:sz="0" w:space="0" w:color="auto"/>
        <w:left w:val="none" w:sz="0" w:space="0" w:color="auto"/>
        <w:bottom w:val="none" w:sz="0" w:space="0" w:color="auto"/>
        <w:right w:val="none" w:sz="0" w:space="0" w:color="auto"/>
      </w:divBdr>
    </w:div>
    <w:div w:id="869146940">
      <w:bodyDiv w:val="1"/>
      <w:marLeft w:val="0"/>
      <w:marRight w:val="0"/>
      <w:marTop w:val="0"/>
      <w:marBottom w:val="0"/>
      <w:divBdr>
        <w:top w:val="none" w:sz="0" w:space="0" w:color="auto"/>
        <w:left w:val="none" w:sz="0" w:space="0" w:color="auto"/>
        <w:bottom w:val="none" w:sz="0" w:space="0" w:color="auto"/>
        <w:right w:val="none" w:sz="0" w:space="0" w:color="auto"/>
      </w:divBdr>
    </w:div>
    <w:div w:id="890964899">
      <w:bodyDiv w:val="1"/>
      <w:marLeft w:val="0"/>
      <w:marRight w:val="0"/>
      <w:marTop w:val="0"/>
      <w:marBottom w:val="0"/>
      <w:divBdr>
        <w:top w:val="none" w:sz="0" w:space="0" w:color="auto"/>
        <w:left w:val="none" w:sz="0" w:space="0" w:color="auto"/>
        <w:bottom w:val="none" w:sz="0" w:space="0" w:color="auto"/>
        <w:right w:val="none" w:sz="0" w:space="0" w:color="auto"/>
      </w:divBdr>
      <w:divsChild>
        <w:div w:id="717899985">
          <w:marLeft w:val="0"/>
          <w:marRight w:val="0"/>
          <w:marTop w:val="0"/>
          <w:marBottom w:val="0"/>
          <w:divBdr>
            <w:top w:val="none" w:sz="0" w:space="0" w:color="auto"/>
            <w:left w:val="none" w:sz="0" w:space="0" w:color="auto"/>
            <w:bottom w:val="none" w:sz="0" w:space="0" w:color="auto"/>
            <w:right w:val="none" w:sz="0" w:space="0" w:color="auto"/>
          </w:divBdr>
          <w:divsChild>
            <w:div w:id="464735085">
              <w:marLeft w:val="0"/>
              <w:marRight w:val="0"/>
              <w:marTop w:val="0"/>
              <w:marBottom w:val="0"/>
              <w:divBdr>
                <w:top w:val="none" w:sz="0" w:space="0" w:color="auto"/>
                <w:left w:val="none" w:sz="0" w:space="0" w:color="auto"/>
                <w:bottom w:val="none" w:sz="0" w:space="0" w:color="auto"/>
                <w:right w:val="none" w:sz="0" w:space="0" w:color="auto"/>
              </w:divBdr>
              <w:divsChild>
                <w:div w:id="9913876">
                  <w:marLeft w:val="0"/>
                  <w:marRight w:val="0"/>
                  <w:marTop w:val="0"/>
                  <w:marBottom w:val="0"/>
                  <w:divBdr>
                    <w:top w:val="none" w:sz="0" w:space="0" w:color="auto"/>
                    <w:left w:val="none" w:sz="0" w:space="0" w:color="auto"/>
                    <w:bottom w:val="none" w:sz="0" w:space="0" w:color="auto"/>
                    <w:right w:val="none" w:sz="0" w:space="0" w:color="auto"/>
                  </w:divBdr>
                  <w:divsChild>
                    <w:div w:id="420030390">
                      <w:marLeft w:val="0"/>
                      <w:marRight w:val="0"/>
                      <w:marTop w:val="0"/>
                      <w:marBottom w:val="0"/>
                      <w:divBdr>
                        <w:top w:val="none" w:sz="0" w:space="0" w:color="auto"/>
                        <w:left w:val="none" w:sz="0" w:space="0" w:color="auto"/>
                        <w:bottom w:val="none" w:sz="0" w:space="0" w:color="auto"/>
                        <w:right w:val="none" w:sz="0" w:space="0" w:color="auto"/>
                      </w:divBdr>
                      <w:divsChild>
                        <w:div w:id="1179926990">
                          <w:marLeft w:val="0"/>
                          <w:marRight w:val="0"/>
                          <w:marTop w:val="0"/>
                          <w:marBottom w:val="0"/>
                          <w:divBdr>
                            <w:top w:val="none" w:sz="0" w:space="0" w:color="auto"/>
                            <w:left w:val="none" w:sz="0" w:space="0" w:color="auto"/>
                            <w:bottom w:val="none" w:sz="0" w:space="0" w:color="auto"/>
                            <w:right w:val="none" w:sz="0" w:space="0" w:color="auto"/>
                          </w:divBdr>
                          <w:divsChild>
                            <w:div w:id="2143692331">
                              <w:marLeft w:val="0"/>
                              <w:marRight w:val="0"/>
                              <w:marTop w:val="0"/>
                              <w:marBottom w:val="0"/>
                              <w:divBdr>
                                <w:top w:val="none" w:sz="0" w:space="0" w:color="auto"/>
                                <w:left w:val="none" w:sz="0" w:space="0" w:color="auto"/>
                                <w:bottom w:val="none" w:sz="0" w:space="0" w:color="auto"/>
                                <w:right w:val="none" w:sz="0" w:space="0" w:color="auto"/>
                              </w:divBdr>
                              <w:divsChild>
                                <w:div w:id="1323848670">
                                  <w:marLeft w:val="0"/>
                                  <w:marRight w:val="0"/>
                                  <w:marTop w:val="0"/>
                                  <w:marBottom w:val="0"/>
                                  <w:divBdr>
                                    <w:top w:val="none" w:sz="0" w:space="0" w:color="auto"/>
                                    <w:left w:val="none" w:sz="0" w:space="0" w:color="auto"/>
                                    <w:bottom w:val="none" w:sz="0" w:space="0" w:color="auto"/>
                                    <w:right w:val="none" w:sz="0" w:space="0" w:color="auto"/>
                                  </w:divBdr>
                                  <w:divsChild>
                                    <w:div w:id="832988402">
                                      <w:marLeft w:val="0"/>
                                      <w:marRight w:val="0"/>
                                      <w:marTop w:val="0"/>
                                      <w:marBottom w:val="0"/>
                                      <w:divBdr>
                                        <w:top w:val="none" w:sz="0" w:space="0" w:color="auto"/>
                                        <w:left w:val="none" w:sz="0" w:space="0" w:color="auto"/>
                                        <w:bottom w:val="none" w:sz="0" w:space="0" w:color="auto"/>
                                        <w:right w:val="none" w:sz="0" w:space="0" w:color="auto"/>
                                      </w:divBdr>
                                      <w:divsChild>
                                        <w:div w:id="380138125">
                                          <w:marLeft w:val="0"/>
                                          <w:marRight w:val="0"/>
                                          <w:marTop w:val="0"/>
                                          <w:marBottom w:val="0"/>
                                          <w:divBdr>
                                            <w:top w:val="none" w:sz="0" w:space="0" w:color="auto"/>
                                            <w:left w:val="none" w:sz="0" w:space="0" w:color="auto"/>
                                            <w:bottom w:val="none" w:sz="0" w:space="0" w:color="auto"/>
                                            <w:right w:val="none" w:sz="0" w:space="0" w:color="auto"/>
                                          </w:divBdr>
                                          <w:divsChild>
                                            <w:div w:id="1856453073">
                                              <w:marLeft w:val="0"/>
                                              <w:marRight w:val="0"/>
                                              <w:marTop w:val="0"/>
                                              <w:marBottom w:val="0"/>
                                              <w:divBdr>
                                                <w:top w:val="none" w:sz="0" w:space="0" w:color="auto"/>
                                                <w:left w:val="none" w:sz="0" w:space="0" w:color="auto"/>
                                                <w:bottom w:val="none" w:sz="0" w:space="0" w:color="auto"/>
                                                <w:right w:val="none" w:sz="0" w:space="0" w:color="auto"/>
                                              </w:divBdr>
                                              <w:divsChild>
                                                <w:div w:id="21517828">
                                                  <w:marLeft w:val="0"/>
                                                  <w:marRight w:val="0"/>
                                                  <w:marTop w:val="0"/>
                                                  <w:marBottom w:val="0"/>
                                                  <w:divBdr>
                                                    <w:top w:val="none" w:sz="0" w:space="0" w:color="auto"/>
                                                    <w:left w:val="none" w:sz="0" w:space="0" w:color="auto"/>
                                                    <w:bottom w:val="none" w:sz="0" w:space="0" w:color="auto"/>
                                                    <w:right w:val="none" w:sz="0" w:space="0" w:color="auto"/>
                                                  </w:divBdr>
                                                  <w:divsChild>
                                                    <w:div w:id="12533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2862138">
          <w:marLeft w:val="0"/>
          <w:marRight w:val="0"/>
          <w:marTop w:val="0"/>
          <w:marBottom w:val="0"/>
          <w:divBdr>
            <w:top w:val="none" w:sz="0" w:space="0" w:color="auto"/>
            <w:left w:val="none" w:sz="0" w:space="0" w:color="auto"/>
            <w:bottom w:val="none" w:sz="0" w:space="0" w:color="auto"/>
            <w:right w:val="none" w:sz="0" w:space="0" w:color="auto"/>
          </w:divBdr>
          <w:divsChild>
            <w:div w:id="551233644">
              <w:marLeft w:val="0"/>
              <w:marRight w:val="0"/>
              <w:marTop w:val="0"/>
              <w:marBottom w:val="0"/>
              <w:divBdr>
                <w:top w:val="none" w:sz="0" w:space="0" w:color="auto"/>
                <w:left w:val="none" w:sz="0" w:space="0" w:color="auto"/>
                <w:bottom w:val="none" w:sz="0" w:space="0" w:color="auto"/>
                <w:right w:val="none" w:sz="0" w:space="0" w:color="auto"/>
              </w:divBdr>
              <w:divsChild>
                <w:div w:id="1416245125">
                  <w:marLeft w:val="0"/>
                  <w:marRight w:val="0"/>
                  <w:marTop w:val="0"/>
                  <w:marBottom w:val="0"/>
                  <w:divBdr>
                    <w:top w:val="none" w:sz="0" w:space="0" w:color="auto"/>
                    <w:left w:val="none" w:sz="0" w:space="0" w:color="auto"/>
                    <w:bottom w:val="none" w:sz="0" w:space="0" w:color="auto"/>
                    <w:right w:val="none" w:sz="0" w:space="0" w:color="auto"/>
                  </w:divBdr>
                  <w:divsChild>
                    <w:div w:id="1070734003">
                      <w:marLeft w:val="0"/>
                      <w:marRight w:val="0"/>
                      <w:marTop w:val="0"/>
                      <w:marBottom w:val="0"/>
                      <w:divBdr>
                        <w:top w:val="none" w:sz="0" w:space="0" w:color="auto"/>
                        <w:left w:val="none" w:sz="0" w:space="0" w:color="auto"/>
                        <w:bottom w:val="none" w:sz="0" w:space="0" w:color="auto"/>
                        <w:right w:val="none" w:sz="0" w:space="0" w:color="auto"/>
                      </w:divBdr>
                      <w:divsChild>
                        <w:div w:id="63115463">
                          <w:marLeft w:val="0"/>
                          <w:marRight w:val="0"/>
                          <w:marTop w:val="0"/>
                          <w:marBottom w:val="0"/>
                          <w:divBdr>
                            <w:top w:val="none" w:sz="0" w:space="0" w:color="auto"/>
                            <w:left w:val="none" w:sz="0" w:space="0" w:color="auto"/>
                            <w:bottom w:val="none" w:sz="0" w:space="0" w:color="auto"/>
                            <w:right w:val="none" w:sz="0" w:space="0" w:color="auto"/>
                          </w:divBdr>
                          <w:divsChild>
                            <w:div w:id="1341086256">
                              <w:marLeft w:val="0"/>
                              <w:marRight w:val="0"/>
                              <w:marTop w:val="0"/>
                              <w:marBottom w:val="0"/>
                              <w:divBdr>
                                <w:top w:val="none" w:sz="0" w:space="0" w:color="auto"/>
                                <w:left w:val="none" w:sz="0" w:space="0" w:color="auto"/>
                                <w:bottom w:val="none" w:sz="0" w:space="0" w:color="auto"/>
                                <w:right w:val="none" w:sz="0" w:space="0" w:color="auto"/>
                              </w:divBdr>
                              <w:divsChild>
                                <w:div w:id="780609220">
                                  <w:marLeft w:val="0"/>
                                  <w:marRight w:val="0"/>
                                  <w:marTop w:val="0"/>
                                  <w:marBottom w:val="0"/>
                                  <w:divBdr>
                                    <w:top w:val="none" w:sz="0" w:space="0" w:color="auto"/>
                                    <w:left w:val="none" w:sz="0" w:space="0" w:color="auto"/>
                                    <w:bottom w:val="none" w:sz="0" w:space="0" w:color="auto"/>
                                    <w:right w:val="none" w:sz="0" w:space="0" w:color="auto"/>
                                  </w:divBdr>
                                  <w:divsChild>
                                    <w:div w:id="1885681003">
                                      <w:marLeft w:val="0"/>
                                      <w:marRight w:val="0"/>
                                      <w:marTop w:val="0"/>
                                      <w:marBottom w:val="0"/>
                                      <w:divBdr>
                                        <w:top w:val="none" w:sz="0" w:space="0" w:color="auto"/>
                                        <w:left w:val="none" w:sz="0" w:space="0" w:color="auto"/>
                                        <w:bottom w:val="none" w:sz="0" w:space="0" w:color="auto"/>
                                        <w:right w:val="none" w:sz="0" w:space="0" w:color="auto"/>
                                      </w:divBdr>
                                      <w:divsChild>
                                        <w:div w:id="384069329">
                                          <w:marLeft w:val="0"/>
                                          <w:marRight w:val="0"/>
                                          <w:marTop w:val="0"/>
                                          <w:marBottom w:val="0"/>
                                          <w:divBdr>
                                            <w:top w:val="none" w:sz="0" w:space="0" w:color="auto"/>
                                            <w:left w:val="none" w:sz="0" w:space="0" w:color="auto"/>
                                            <w:bottom w:val="none" w:sz="0" w:space="0" w:color="auto"/>
                                            <w:right w:val="none" w:sz="0" w:space="0" w:color="auto"/>
                                          </w:divBdr>
                                          <w:divsChild>
                                            <w:div w:id="290598386">
                                              <w:marLeft w:val="0"/>
                                              <w:marRight w:val="0"/>
                                              <w:marTop w:val="0"/>
                                              <w:marBottom w:val="0"/>
                                              <w:divBdr>
                                                <w:top w:val="none" w:sz="0" w:space="0" w:color="auto"/>
                                                <w:left w:val="none" w:sz="0" w:space="0" w:color="auto"/>
                                                <w:bottom w:val="none" w:sz="0" w:space="0" w:color="auto"/>
                                                <w:right w:val="none" w:sz="0" w:space="0" w:color="auto"/>
                                              </w:divBdr>
                                              <w:divsChild>
                                                <w:div w:id="1531916178">
                                                  <w:marLeft w:val="0"/>
                                                  <w:marRight w:val="0"/>
                                                  <w:marTop w:val="0"/>
                                                  <w:marBottom w:val="0"/>
                                                  <w:divBdr>
                                                    <w:top w:val="none" w:sz="0" w:space="0" w:color="auto"/>
                                                    <w:left w:val="none" w:sz="0" w:space="0" w:color="auto"/>
                                                    <w:bottom w:val="none" w:sz="0" w:space="0" w:color="auto"/>
                                                    <w:right w:val="none" w:sz="0" w:space="0" w:color="auto"/>
                                                  </w:divBdr>
                                                  <w:divsChild>
                                                    <w:div w:id="6087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828338">
                                      <w:marLeft w:val="0"/>
                                      <w:marRight w:val="0"/>
                                      <w:marTop w:val="0"/>
                                      <w:marBottom w:val="0"/>
                                      <w:divBdr>
                                        <w:top w:val="none" w:sz="0" w:space="0" w:color="auto"/>
                                        <w:left w:val="none" w:sz="0" w:space="0" w:color="auto"/>
                                        <w:bottom w:val="none" w:sz="0" w:space="0" w:color="auto"/>
                                        <w:right w:val="none" w:sz="0" w:space="0" w:color="auto"/>
                                      </w:divBdr>
                                      <w:divsChild>
                                        <w:div w:id="1309363845">
                                          <w:marLeft w:val="0"/>
                                          <w:marRight w:val="0"/>
                                          <w:marTop w:val="0"/>
                                          <w:marBottom w:val="0"/>
                                          <w:divBdr>
                                            <w:top w:val="none" w:sz="0" w:space="0" w:color="auto"/>
                                            <w:left w:val="none" w:sz="0" w:space="0" w:color="auto"/>
                                            <w:bottom w:val="none" w:sz="0" w:space="0" w:color="auto"/>
                                            <w:right w:val="none" w:sz="0" w:space="0" w:color="auto"/>
                                          </w:divBdr>
                                          <w:divsChild>
                                            <w:div w:id="585111953">
                                              <w:marLeft w:val="0"/>
                                              <w:marRight w:val="0"/>
                                              <w:marTop w:val="0"/>
                                              <w:marBottom w:val="0"/>
                                              <w:divBdr>
                                                <w:top w:val="none" w:sz="0" w:space="0" w:color="auto"/>
                                                <w:left w:val="none" w:sz="0" w:space="0" w:color="auto"/>
                                                <w:bottom w:val="none" w:sz="0" w:space="0" w:color="auto"/>
                                                <w:right w:val="none" w:sz="0" w:space="0" w:color="auto"/>
                                              </w:divBdr>
                                              <w:divsChild>
                                                <w:div w:id="1115095174">
                                                  <w:marLeft w:val="0"/>
                                                  <w:marRight w:val="0"/>
                                                  <w:marTop w:val="0"/>
                                                  <w:marBottom w:val="0"/>
                                                  <w:divBdr>
                                                    <w:top w:val="none" w:sz="0" w:space="0" w:color="auto"/>
                                                    <w:left w:val="none" w:sz="0" w:space="0" w:color="auto"/>
                                                    <w:bottom w:val="none" w:sz="0" w:space="0" w:color="auto"/>
                                                    <w:right w:val="none" w:sz="0" w:space="0" w:color="auto"/>
                                                  </w:divBdr>
                                                  <w:divsChild>
                                                    <w:div w:id="183456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8899129">
      <w:bodyDiv w:val="1"/>
      <w:marLeft w:val="0"/>
      <w:marRight w:val="0"/>
      <w:marTop w:val="0"/>
      <w:marBottom w:val="0"/>
      <w:divBdr>
        <w:top w:val="none" w:sz="0" w:space="0" w:color="auto"/>
        <w:left w:val="none" w:sz="0" w:space="0" w:color="auto"/>
        <w:bottom w:val="none" w:sz="0" w:space="0" w:color="auto"/>
        <w:right w:val="none" w:sz="0" w:space="0" w:color="auto"/>
      </w:divBdr>
    </w:div>
    <w:div w:id="900557367">
      <w:bodyDiv w:val="1"/>
      <w:marLeft w:val="0"/>
      <w:marRight w:val="0"/>
      <w:marTop w:val="0"/>
      <w:marBottom w:val="0"/>
      <w:divBdr>
        <w:top w:val="none" w:sz="0" w:space="0" w:color="auto"/>
        <w:left w:val="none" w:sz="0" w:space="0" w:color="auto"/>
        <w:bottom w:val="none" w:sz="0" w:space="0" w:color="auto"/>
        <w:right w:val="none" w:sz="0" w:space="0" w:color="auto"/>
      </w:divBdr>
    </w:div>
    <w:div w:id="909122766">
      <w:bodyDiv w:val="1"/>
      <w:marLeft w:val="0"/>
      <w:marRight w:val="0"/>
      <w:marTop w:val="0"/>
      <w:marBottom w:val="0"/>
      <w:divBdr>
        <w:top w:val="none" w:sz="0" w:space="0" w:color="auto"/>
        <w:left w:val="none" w:sz="0" w:space="0" w:color="auto"/>
        <w:bottom w:val="none" w:sz="0" w:space="0" w:color="auto"/>
        <w:right w:val="none" w:sz="0" w:space="0" w:color="auto"/>
      </w:divBdr>
      <w:divsChild>
        <w:div w:id="585115889">
          <w:marLeft w:val="0"/>
          <w:marRight w:val="0"/>
          <w:marTop w:val="0"/>
          <w:marBottom w:val="0"/>
          <w:divBdr>
            <w:top w:val="none" w:sz="0" w:space="0" w:color="auto"/>
            <w:left w:val="none" w:sz="0" w:space="0" w:color="auto"/>
            <w:bottom w:val="none" w:sz="0" w:space="0" w:color="auto"/>
            <w:right w:val="none" w:sz="0" w:space="0" w:color="auto"/>
          </w:divBdr>
          <w:divsChild>
            <w:div w:id="2017539884">
              <w:marLeft w:val="0"/>
              <w:marRight w:val="0"/>
              <w:marTop w:val="0"/>
              <w:marBottom w:val="0"/>
              <w:divBdr>
                <w:top w:val="none" w:sz="0" w:space="0" w:color="auto"/>
                <w:left w:val="none" w:sz="0" w:space="0" w:color="auto"/>
                <w:bottom w:val="none" w:sz="0" w:space="0" w:color="auto"/>
                <w:right w:val="none" w:sz="0" w:space="0" w:color="auto"/>
              </w:divBdr>
              <w:divsChild>
                <w:div w:id="963272570">
                  <w:marLeft w:val="0"/>
                  <w:marRight w:val="0"/>
                  <w:marTop w:val="0"/>
                  <w:marBottom w:val="0"/>
                  <w:divBdr>
                    <w:top w:val="none" w:sz="0" w:space="0" w:color="auto"/>
                    <w:left w:val="none" w:sz="0" w:space="0" w:color="auto"/>
                    <w:bottom w:val="none" w:sz="0" w:space="0" w:color="auto"/>
                    <w:right w:val="none" w:sz="0" w:space="0" w:color="auto"/>
                  </w:divBdr>
                  <w:divsChild>
                    <w:div w:id="712121551">
                      <w:marLeft w:val="0"/>
                      <w:marRight w:val="0"/>
                      <w:marTop w:val="0"/>
                      <w:marBottom w:val="0"/>
                      <w:divBdr>
                        <w:top w:val="none" w:sz="0" w:space="0" w:color="auto"/>
                        <w:left w:val="none" w:sz="0" w:space="0" w:color="auto"/>
                        <w:bottom w:val="none" w:sz="0" w:space="0" w:color="auto"/>
                        <w:right w:val="none" w:sz="0" w:space="0" w:color="auto"/>
                      </w:divBdr>
                      <w:divsChild>
                        <w:div w:id="1523933202">
                          <w:marLeft w:val="0"/>
                          <w:marRight w:val="0"/>
                          <w:marTop w:val="0"/>
                          <w:marBottom w:val="0"/>
                          <w:divBdr>
                            <w:top w:val="none" w:sz="0" w:space="0" w:color="auto"/>
                            <w:left w:val="none" w:sz="0" w:space="0" w:color="auto"/>
                            <w:bottom w:val="none" w:sz="0" w:space="0" w:color="auto"/>
                            <w:right w:val="none" w:sz="0" w:space="0" w:color="auto"/>
                          </w:divBdr>
                          <w:divsChild>
                            <w:div w:id="861935974">
                              <w:marLeft w:val="0"/>
                              <w:marRight w:val="0"/>
                              <w:marTop w:val="0"/>
                              <w:marBottom w:val="0"/>
                              <w:divBdr>
                                <w:top w:val="none" w:sz="0" w:space="0" w:color="auto"/>
                                <w:left w:val="none" w:sz="0" w:space="0" w:color="auto"/>
                                <w:bottom w:val="none" w:sz="0" w:space="0" w:color="auto"/>
                                <w:right w:val="none" w:sz="0" w:space="0" w:color="auto"/>
                              </w:divBdr>
                              <w:divsChild>
                                <w:div w:id="824012946">
                                  <w:marLeft w:val="0"/>
                                  <w:marRight w:val="0"/>
                                  <w:marTop w:val="0"/>
                                  <w:marBottom w:val="0"/>
                                  <w:divBdr>
                                    <w:top w:val="none" w:sz="0" w:space="0" w:color="auto"/>
                                    <w:left w:val="none" w:sz="0" w:space="0" w:color="auto"/>
                                    <w:bottom w:val="none" w:sz="0" w:space="0" w:color="auto"/>
                                    <w:right w:val="none" w:sz="0" w:space="0" w:color="auto"/>
                                  </w:divBdr>
                                  <w:divsChild>
                                    <w:div w:id="160873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778653">
      <w:bodyDiv w:val="1"/>
      <w:marLeft w:val="0"/>
      <w:marRight w:val="0"/>
      <w:marTop w:val="0"/>
      <w:marBottom w:val="0"/>
      <w:divBdr>
        <w:top w:val="none" w:sz="0" w:space="0" w:color="auto"/>
        <w:left w:val="none" w:sz="0" w:space="0" w:color="auto"/>
        <w:bottom w:val="none" w:sz="0" w:space="0" w:color="auto"/>
        <w:right w:val="none" w:sz="0" w:space="0" w:color="auto"/>
      </w:divBdr>
    </w:div>
    <w:div w:id="982198509">
      <w:bodyDiv w:val="1"/>
      <w:marLeft w:val="0"/>
      <w:marRight w:val="0"/>
      <w:marTop w:val="0"/>
      <w:marBottom w:val="0"/>
      <w:divBdr>
        <w:top w:val="none" w:sz="0" w:space="0" w:color="auto"/>
        <w:left w:val="none" w:sz="0" w:space="0" w:color="auto"/>
        <w:bottom w:val="none" w:sz="0" w:space="0" w:color="auto"/>
        <w:right w:val="none" w:sz="0" w:space="0" w:color="auto"/>
      </w:divBdr>
    </w:div>
    <w:div w:id="1006136354">
      <w:bodyDiv w:val="1"/>
      <w:marLeft w:val="0"/>
      <w:marRight w:val="0"/>
      <w:marTop w:val="0"/>
      <w:marBottom w:val="0"/>
      <w:divBdr>
        <w:top w:val="none" w:sz="0" w:space="0" w:color="auto"/>
        <w:left w:val="none" w:sz="0" w:space="0" w:color="auto"/>
        <w:bottom w:val="none" w:sz="0" w:space="0" w:color="auto"/>
        <w:right w:val="none" w:sz="0" w:space="0" w:color="auto"/>
      </w:divBdr>
    </w:div>
    <w:div w:id="1011837687">
      <w:bodyDiv w:val="1"/>
      <w:marLeft w:val="0"/>
      <w:marRight w:val="0"/>
      <w:marTop w:val="0"/>
      <w:marBottom w:val="0"/>
      <w:divBdr>
        <w:top w:val="none" w:sz="0" w:space="0" w:color="auto"/>
        <w:left w:val="none" w:sz="0" w:space="0" w:color="auto"/>
        <w:bottom w:val="none" w:sz="0" w:space="0" w:color="auto"/>
        <w:right w:val="none" w:sz="0" w:space="0" w:color="auto"/>
      </w:divBdr>
    </w:div>
    <w:div w:id="1032808609">
      <w:bodyDiv w:val="1"/>
      <w:marLeft w:val="0"/>
      <w:marRight w:val="0"/>
      <w:marTop w:val="0"/>
      <w:marBottom w:val="0"/>
      <w:divBdr>
        <w:top w:val="none" w:sz="0" w:space="0" w:color="auto"/>
        <w:left w:val="none" w:sz="0" w:space="0" w:color="auto"/>
        <w:bottom w:val="none" w:sz="0" w:space="0" w:color="auto"/>
        <w:right w:val="none" w:sz="0" w:space="0" w:color="auto"/>
      </w:divBdr>
    </w:div>
    <w:div w:id="1055659111">
      <w:bodyDiv w:val="1"/>
      <w:marLeft w:val="0"/>
      <w:marRight w:val="0"/>
      <w:marTop w:val="0"/>
      <w:marBottom w:val="0"/>
      <w:divBdr>
        <w:top w:val="none" w:sz="0" w:space="0" w:color="auto"/>
        <w:left w:val="none" w:sz="0" w:space="0" w:color="auto"/>
        <w:bottom w:val="none" w:sz="0" w:space="0" w:color="auto"/>
        <w:right w:val="none" w:sz="0" w:space="0" w:color="auto"/>
      </w:divBdr>
    </w:div>
    <w:div w:id="1101024898">
      <w:bodyDiv w:val="1"/>
      <w:marLeft w:val="0"/>
      <w:marRight w:val="0"/>
      <w:marTop w:val="0"/>
      <w:marBottom w:val="0"/>
      <w:divBdr>
        <w:top w:val="none" w:sz="0" w:space="0" w:color="auto"/>
        <w:left w:val="none" w:sz="0" w:space="0" w:color="auto"/>
        <w:bottom w:val="none" w:sz="0" w:space="0" w:color="auto"/>
        <w:right w:val="none" w:sz="0" w:space="0" w:color="auto"/>
      </w:divBdr>
    </w:div>
    <w:div w:id="1113474061">
      <w:bodyDiv w:val="1"/>
      <w:marLeft w:val="0"/>
      <w:marRight w:val="0"/>
      <w:marTop w:val="0"/>
      <w:marBottom w:val="0"/>
      <w:divBdr>
        <w:top w:val="none" w:sz="0" w:space="0" w:color="auto"/>
        <w:left w:val="none" w:sz="0" w:space="0" w:color="auto"/>
        <w:bottom w:val="none" w:sz="0" w:space="0" w:color="auto"/>
        <w:right w:val="none" w:sz="0" w:space="0" w:color="auto"/>
      </w:divBdr>
    </w:div>
    <w:div w:id="1121218846">
      <w:bodyDiv w:val="1"/>
      <w:marLeft w:val="0"/>
      <w:marRight w:val="0"/>
      <w:marTop w:val="0"/>
      <w:marBottom w:val="0"/>
      <w:divBdr>
        <w:top w:val="none" w:sz="0" w:space="0" w:color="auto"/>
        <w:left w:val="none" w:sz="0" w:space="0" w:color="auto"/>
        <w:bottom w:val="none" w:sz="0" w:space="0" w:color="auto"/>
        <w:right w:val="none" w:sz="0" w:space="0" w:color="auto"/>
      </w:divBdr>
    </w:div>
    <w:div w:id="1151598887">
      <w:bodyDiv w:val="1"/>
      <w:marLeft w:val="0"/>
      <w:marRight w:val="0"/>
      <w:marTop w:val="0"/>
      <w:marBottom w:val="0"/>
      <w:divBdr>
        <w:top w:val="none" w:sz="0" w:space="0" w:color="auto"/>
        <w:left w:val="none" w:sz="0" w:space="0" w:color="auto"/>
        <w:bottom w:val="none" w:sz="0" w:space="0" w:color="auto"/>
        <w:right w:val="none" w:sz="0" w:space="0" w:color="auto"/>
      </w:divBdr>
      <w:divsChild>
        <w:div w:id="1861044269">
          <w:marLeft w:val="0"/>
          <w:marRight w:val="0"/>
          <w:marTop w:val="0"/>
          <w:marBottom w:val="0"/>
          <w:divBdr>
            <w:top w:val="none" w:sz="0" w:space="0" w:color="auto"/>
            <w:left w:val="none" w:sz="0" w:space="0" w:color="auto"/>
            <w:bottom w:val="none" w:sz="0" w:space="0" w:color="auto"/>
            <w:right w:val="none" w:sz="0" w:space="0" w:color="auto"/>
          </w:divBdr>
          <w:divsChild>
            <w:div w:id="1451313573">
              <w:marLeft w:val="0"/>
              <w:marRight w:val="0"/>
              <w:marTop w:val="0"/>
              <w:marBottom w:val="0"/>
              <w:divBdr>
                <w:top w:val="none" w:sz="0" w:space="0" w:color="auto"/>
                <w:left w:val="none" w:sz="0" w:space="0" w:color="auto"/>
                <w:bottom w:val="none" w:sz="0" w:space="0" w:color="auto"/>
                <w:right w:val="none" w:sz="0" w:space="0" w:color="auto"/>
              </w:divBdr>
            </w:div>
          </w:divsChild>
        </w:div>
        <w:div w:id="1846245897">
          <w:marLeft w:val="0"/>
          <w:marRight w:val="0"/>
          <w:marTop w:val="0"/>
          <w:marBottom w:val="0"/>
          <w:divBdr>
            <w:top w:val="none" w:sz="0" w:space="0" w:color="auto"/>
            <w:left w:val="none" w:sz="0" w:space="0" w:color="auto"/>
            <w:bottom w:val="none" w:sz="0" w:space="0" w:color="auto"/>
            <w:right w:val="none" w:sz="0" w:space="0" w:color="auto"/>
          </w:divBdr>
          <w:divsChild>
            <w:div w:id="1010447436">
              <w:marLeft w:val="0"/>
              <w:marRight w:val="0"/>
              <w:marTop w:val="0"/>
              <w:marBottom w:val="0"/>
              <w:divBdr>
                <w:top w:val="none" w:sz="0" w:space="0" w:color="auto"/>
                <w:left w:val="none" w:sz="0" w:space="0" w:color="auto"/>
                <w:bottom w:val="none" w:sz="0" w:space="0" w:color="auto"/>
                <w:right w:val="none" w:sz="0" w:space="0" w:color="auto"/>
              </w:divBdr>
            </w:div>
          </w:divsChild>
        </w:div>
        <w:div w:id="460804881">
          <w:marLeft w:val="0"/>
          <w:marRight w:val="0"/>
          <w:marTop w:val="0"/>
          <w:marBottom w:val="0"/>
          <w:divBdr>
            <w:top w:val="none" w:sz="0" w:space="0" w:color="auto"/>
            <w:left w:val="none" w:sz="0" w:space="0" w:color="auto"/>
            <w:bottom w:val="none" w:sz="0" w:space="0" w:color="auto"/>
            <w:right w:val="none" w:sz="0" w:space="0" w:color="auto"/>
          </w:divBdr>
          <w:divsChild>
            <w:div w:id="3811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758227">
      <w:bodyDiv w:val="1"/>
      <w:marLeft w:val="0"/>
      <w:marRight w:val="0"/>
      <w:marTop w:val="0"/>
      <w:marBottom w:val="0"/>
      <w:divBdr>
        <w:top w:val="none" w:sz="0" w:space="0" w:color="auto"/>
        <w:left w:val="none" w:sz="0" w:space="0" w:color="auto"/>
        <w:bottom w:val="none" w:sz="0" w:space="0" w:color="auto"/>
        <w:right w:val="none" w:sz="0" w:space="0" w:color="auto"/>
      </w:divBdr>
    </w:div>
    <w:div w:id="1225678011">
      <w:bodyDiv w:val="1"/>
      <w:marLeft w:val="0"/>
      <w:marRight w:val="0"/>
      <w:marTop w:val="0"/>
      <w:marBottom w:val="0"/>
      <w:divBdr>
        <w:top w:val="none" w:sz="0" w:space="0" w:color="auto"/>
        <w:left w:val="none" w:sz="0" w:space="0" w:color="auto"/>
        <w:bottom w:val="none" w:sz="0" w:space="0" w:color="auto"/>
        <w:right w:val="none" w:sz="0" w:space="0" w:color="auto"/>
      </w:divBdr>
    </w:div>
    <w:div w:id="1247762123">
      <w:bodyDiv w:val="1"/>
      <w:marLeft w:val="0"/>
      <w:marRight w:val="0"/>
      <w:marTop w:val="0"/>
      <w:marBottom w:val="0"/>
      <w:divBdr>
        <w:top w:val="none" w:sz="0" w:space="0" w:color="auto"/>
        <w:left w:val="none" w:sz="0" w:space="0" w:color="auto"/>
        <w:bottom w:val="none" w:sz="0" w:space="0" w:color="auto"/>
        <w:right w:val="none" w:sz="0" w:space="0" w:color="auto"/>
      </w:divBdr>
    </w:div>
    <w:div w:id="1288704495">
      <w:bodyDiv w:val="1"/>
      <w:marLeft w:val="0"/>
      <w:marRight w:val="0"/>
      <w:marTop w:val="0"/>
      <w:marBottom w:val="0"/>
      <w:divBdr>
        <w:top w:val="none" w:sz="0" w:space="0" w:color="auto"/>
        <w:left w:val="none" w:sz="0" w:space="0" w:color="auto"/>
        <w:bottom w:val="none" w:sz="0" w:space="0" w:color="auto"/>
        <w:right w:val="none" w:sz="0" w:space="0" w:color="auto"/>
      </w:divBdr>
      <w:divsChild>
        <w:div w:id="285746511">
          <w:marLeft w:val="0"/>
          <w:marRight w:val="0"/>
          <w:marTop w:val="0"/>
          <w:marBottom w:val="0"/>
          <w:divBdr>
            <w:top w:val="none" w:sz="0" w:space="0" w:color="auto"/>
            <w:left w:val="none" w:sz="0" w:space="0" w:color="auto"/>
            <w:bottom w:val="none" w:sz="0" w:space="0" w:color="auto"/>
            <w:right w:val="none" w:sz="0" w:space="0" w:color="auto"/>
          </w:divBdr>
          <w:divsChild>
            <w:div w:id="13018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598811">
      <w:bodyDiv w:val="1"/>
      <w:marLeft w:val="0"/>
      <w:marRight w:val="0"/>
      <w:marTop w:val="0"/>
      <w:marBottom w:val="0"/>
      <w:divBdr>
        <w:top w:val="none" w:sz="0" w:space="0" w:color="auto"/>
        <w:left w:val="none" w:sz="0" w:space="0" w:color="auto"/>
        <w:bottom w:val="none" w:sz="0" w:space="0" w:color="auto"/>
        <w:right w:val="none" w:sz="0" w:space="0" w:color="auto"/>
      </w:divBdr>
    </w:div>
    <w:div w:id="1301577288">
      <w:bodyDiv w:val="1"/>
      <w:marLeft w:val="0"/>
      <w:marRight w:val="0"/>
      <w:marTop w:val="0"/>
      <w:marBottom w:val="0"/>
      <w:divBdr>
        <w:top w:val="none" w:sz="0" w:space="0" w:color="auto"/>
        <w:left w:val="none" w:sz="0" w:space="0" w:color="auto"/>
        <w:bottom w:val="none" w:sz="0" w:space="0" w:color="auto"/>
        <w:right w:val="none" w:sz="0" w:space="0" w:color="auto"/>
      </w:divBdr>
    </w:div>
    <w:div w:id="1320157873">
      <w:bodyDiv w:val="1"/>
      <w:marLeft w:val="0"/>
      <w:marRight w:val="0"/>
      <w:marTop w:val="0"/>
      <w:marBottom w:val="0"/>
      <w:divBdr>
        <w:top w:val="none" w:sz="0" w:space="0" w:color="auto"/>
        <w:left w:val="none" w:sz="0" w:space="0" w:color="auto"/>
        <w:bottom w:val="none" w:sz="0" w:space="0" w:color="auto"/>
        <w:right w:val="none" w:sz="0" w:space="0" w:color="auto"/>
      </w:divBdr>
    </w:div>
    <w:div w:id="1337686121">
      <w:bodyDiv w:val="1"/>
      <w:marLeft w:val="0"/>
      <w:marRight w:val="0"/>
      <w:marTop w:val="0"/>
      <w:marBottom w:val="0"/>
      <w:divBdr>
        <w:top w:val="none" w:sz="0" w:space="0" w:color="auto"/>
        <w:left w:val="none" w:sz="0" w:space="0" w:color="auto"/>
        <w:bottom w:val="none" w:sz="0" w:space="0" w:color="auto"/>
        <w:right w:val="none" w:sz="0" w:space="0" w:color="auto"/>
      </w:divBdr>
    </w:div>
    <w:div w:id="1350764635">
      <w:bodyDiv w:val="1"/>
      <w:marLeft w:val="0"/>
      <w:marRight w:val="0"/>
      <w:marTop w:val="0"/>
      <w:marBottom w:val="0"/>
      <w:divBdr>
        <w:top w:val="none" w:sz="0" w:space="0" w:color="auto"/>
        <w:left w:val="none" w:sz="0" w:space="0" w:color="auto"/>
        <w:bottom w:val="none" w:sz="0" w:space="0" w:color="auto"/>
        <w:right w:val="none" w:sz="0" w:space="0" w:color="auto"/>
      </w:divBdr>
    </w:div>
    <w:div w:id="1381440388">
      <w:bodyDiv w:val="1"/>
      <w:marLeft w:val="0"/>
      <w:marRight w:val="0"/>
      <w:marTop w:val="0"/>
      <w:marBottom w:val="0"/>
      <w:divBdr>
        <w:top w:val="none" w:sz="0" w:space="0" w:color="auto"/>
        <w:left w:val="none" w:sz="0" w:space="0" w:color="auto"/>
        <w:bottom w:val="none" w:sz="0" w:space="0" w:color="auto"/>
        <w:right w:val="none" w:sz="0" w:space="0" w:color="auto"/>
      </w:divBdr>
      <w:divsChild>
        <w:div w:id="1229346377">
          <w:marLeft w:val="0"/>
          <w:marRight w:val="0"/>
          <w:marTop w:val="0"/>
          <w:marBottom w:val="0"/>
          <w:divBdr>
            <w:top w:val="none" w:sz="0" w:space="0" w:color="auto"/>
            <w:left w:val="none" w:sz="0" w:space="0" w:color="auto"/>
            <w:bottom w:val="none" w:sz="0" w:space="0" w:color="auto"/>
            <w:right w:val="none" w:sz="0" w:space="0" w:color="auto"/>
          </w:divBdr>
          <w:divsChild>
            <w:div w:id="1274750774">
              <w:marLeft w:val="0"/>
              <w:marRight w:val="0"/>
              <w:marTop w:val="0"/>
              <w:marBottom w:val="0"/>
              <w:divBdr>
                <w:top w:val="none" w:sz="0" w:space="0" w:color="auto"/>
                <w:left w:val="none" w:sz="0" w:space="0" w:color="auto"/>
                <w:bottom w:val="none" w:sz="0" w:space="0" w:color="auto"/>
                <w:right w:val="none" w:sz="0" w:space="0" w:color="auto"/>
              </w:divBdr>
              <w:divsChild>
                <w:div w:id="1795756986">
                  <w:marLeft w:val="0"/>
                  <w:marRight w:val="0"/>
                  <w:marTop w:val="0"/>
                  <w:marBottom w:val="0"/>
                  <w:divBdr>
                    <w:top w:val="none" w:sz="0" w:space="0" w:color="auto"/>
                    <w:left w:val="none" w:sz="0" w:space="0" w:color="auto"/>
                    <w:bottom w:val="none" w:sz="0" w:space="0" w:color="auto"/>
                    <w:right w:val="none" w:sz="0" w:space="0" w:color="auto"/>
                  </w:divBdr>
                  <w:divsChild>
                    <w:div w:id="1108037800">
                      <w:marLeft w:val="0"/>
                      <w:marRight w:val="0"/>
                      <w:marTop w:val="0"/>
                      <w:marBottom w:val="0"/>
                      <w:divBdr>
                        <w:top w:val="none" w:sz="0" w:space="0" w:color="auto"/>
                        <w:left w:val="none" w:sz="0" w:space="0" w:color="auto"/>
                        <w:bottom w:val="none" w:sz="0" w:space="0" w:color="auto"/>
                        <w:right w:val="none" w:sz="0" w:space="0" w:color="auto"/>
                      </w:divBdr>
                      <w:divsChild>
                        <w:div w:id="1996764949">
                          <w:marLeft w:val="0"/>
                          <w:marRight w:val="0"/>
                          <w:marTop w:val="0"/>
                          <w:marBottom w:val="0"/>
                          <w:divBdr>
                            <w:top w:val="none" w:sz="0" w:space="0" w:color="auto"/>
                            <w:left w:val="none" w:sz="0" w:space="0" w:color="auto"/>
                            <w:bottom w:val="none" w:sz="0" w:space="0" w:color="auto"/>
                            <w:right w:val="none" w:sz="0" w:space="0" w:color="auto"/>
                          </w:divBdr>
                          <w:divsChild>
                            <w:div w:id="223414632">
                              <w:marLeft w:val="0"/>
                              <w:marRight w:val="0"/>
                              <w:marTop w:val="0"/>
                              <w:marBottom w:val="0"/>
                              <w:divBdr>
                                <w:top w:val="none" w:sz="0" w:space="0" w:color="auto"/>
                                <w:left w:val="none" w:sz="0" w:space="0" w:color="auto"/>
                                <w:bottom w:val="none" w:sz="0" w:space="0" w:color="auto"/>
                                <w:right w:val="none" w:sz="0" w:space="0" w:color="auto"/>
                              </w:divBdr>
                              <w:divsChild>
                                <w:div w:id="1383553744">
                                  <w:marLeft w:val="0"/>
                                  <w:marRight w:val="0"/>
                                  <w:marTop w:val="0"/>
                                  <w:marBottom w:val="0"/>
                                  <w:divBdr>
                                    <w:top w:val="none" w:sz="0" w:space="0" w:color="auto"/>
                                    <w:left w:val="none" w:sz="0" w:space="0" w:color="auto"/>
                                    <w:bottom w:val="none" w:sz="0" w:space="0" w:color="auto"/>
                                    <w:right w:val="none" w:sz="0" w:space="0" w:color="auto"/>
                                  </w:divBdr>
                                  <w:divsChild>
                                    <w:div w:id="4353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873314">
      <w:bodyDiv w:val="1"/>
      <w:marLeft w:val="0"/>
      <w:marRight w:val="0"/>
      <w:marTop w:val="0"/>
      <w:marBottom w:val="0"/>
      <w:divBdr>
        <w:top w:val="none" w:sz="0" w:space="0" w:color="auto"/>
        <w:left w:val="none" w:sz="0" w:space="0" w:color="auto"/>
        <w:bottom w:val="none" w:sz="0" w:space="0" w:color="auto"/>
        <w:right w:val="none" w:sz="0" w:space="0" w:color="auto"/>
      </w:divBdr>
    </w:div>
    <w:div w:id="1392313125">
      <w:bodyDiv w:val="1"/>
      <w:marLeft w:val="0"/>
      <w:marRight w:val="0"/>
      <w:marTop w:val="0"/>
      <w:marBottom w:val="0"/>
      <w:divBdr>
        <w:top w:val="none" w:sz="0" w:space="0" w:color="auto"/>
        <w:left w:val="none" w:sz="0" w:space="0" w:color="auto"/>
        <w:bottom w:val="none" w:sz="0" w:space="0" w:color="auto"/>
        <w:right w:val="none" w:sz="0" w:space="0" w:color="auto"/>
      </w:divBdr>
    </w:div>
    <w:div w:id="1405373495">
      <w:bodyDiv w:val="1"/>
      <w:marLeft w:val="0"/>
      <w:marRight w:val="0"/>
      <w:marTop w:val="0"/>
      <w:marBottom w:val="0"/>
      <w:divBdr>
        <w:top w:val="none" w:sz="0" w:space="0" w:color="auto"/>
        <w:left w:val="none" w:sz="0" w:space="0" w:color="auto"/>
        <w:bottom w:val="none" w:sz="0" w:space="0" w:color="auto"/>
        <w:right w:val="none" w:sz="0" w:space="0" w:color="auto"/>
      </w:divBdr>
    </w:div>
    <w:div w:id="1415322140">
      <w:bodyDiv w:val="1"/>
      <w:marLeft w:val="0"/>
      <w:marRight w:val="0"/>
      <w:marTop w:val="0"/>
      <w:marBottom w:val="0"/>
      <w:divBdr>
        <w:top w:val="none" w:sz="0" w:space="0" w:color="auto"/>
        <w:left w:val="none" w:sz="0" w:space="0" w:color="auto"/>
        <w:bottom w:val="none" w:sz="0" w:space="0" w:color="auto"/>
        <w:right w:val="none" w:sz="0" w:space="0" w:color="auto"/>
      </w:divBdr>
    </w:div>
    <w:div w:id="1435713427">
      <w:bodyDiv w:val="1"/>
      <w:marLeft w:val="0"/>
      <w:marRight w:val="0"/>
      <w:marTop w:val="0"/>
      <w:marBottom w:val="0"/>
      <w:divBdr>
        <w:top w:val="none" w:sz="0" w:space="0" w:color="auto"/>
        <w:left w:val="none" w:sz="0" w:space="0" w:color="auto"/>
        <w:bottom w:val="none" w:sz="0" w:space="0" w:color="auto"/>
        <w:right w:val="none" w:sz="0" w:space="0" w:color="auto"/>
      </w:divBdr>
    </w:div>
    <w:div w:id="1484348775">
      <w:bodyDiv w:val="1"/>
      <w:marLeft w:val="0"/>
      <w:marRight w:val="0"/>
      <w:marTop w:val="0"/>
      <w:marBottom w:val="0"/>
      <w:divBdr>
        <w:top w:val="none" w:sz="0" w:space="0" w:color="auto"/>
        <w:left w:val="none" w:sz="0" w:space="0" w:color="auto"/>
        <w:bottom w:val="none" w:sz="0" w:space="0" w:color="auto"/>
        <w:right w:val="none" w:sz="0" w:space="0" w:color="auto"/>
      </w:divBdr>
    </w:div>
    <w:div w:id="1523057321">
      <w:bodyDiv w:val="1"/>
      <w:marLeft w:val="0"/>
      <w:marRight w:val="0"/>
      <w:marTop w:val="0"/>
      <w:marBottom w:val="0"/>
      <w:divBdr>
        <w:top w:val="none" w:sz="0" w:space="0" w:color="auto"/>
        <w:left w:val="none" w:sz="0" w:space="0" w:color="auto"/>
        <w:bottom w:val="none" w:sz="0" w:space="0" w:color="auto"/>
        <w:right w:val="none" w:sz="0" w:space="0" w:color="auto"/>
      </w:divBdr>
    </w:div>
    <w:div w:id="1558589999">
      <w:bodyDiv w:val="1"/>
      <w:marLeft w:val="0"/>
      <w:marRight w:val="0"/>
      <w:marTop w:val="0"/>
      <w:marBottom w:val="0"/>
      <w:divBdr>
        <w:top w:val="none" w:sz="0" w:space="0" w:color="auto"/>
        <w:left w:val="none" w:sz="0" w:space="0" w:color="auto"/>
        <w:bottom w:val="none" w:sz="0" w:space="0" w:color="auto"/>
        <w:right w:val="none" w:sz="0" w:space="0" w:color="auto"/>
      </w:divBdr>
    </w:div>
    <w:div w:id="1596400742">
      <w:bodyDiv w:val="1"/>
      <w:marLeft w:val="0"/>
      <w:marRight w:val="0"/>
      <w:marTop w:val="0"/>
      <w:marBottom w:val="0"/>
      <w:divBdr>
        <w:top w:val="none" w:sz="0" w:space="0" w:color="auto"/>
        <w:left w:val="none" w:sz="0" w:space="0" w:color="auto"/>
        <w:bottom w:val="none" w:sz="0" w:space="0" w:color="auto"/>
        <w:right w:val="none" w:sz="0" w:space="0" w:color="auto"/>
      </w:divBdr>
    </w:div>
    <w:div w:id="1611814340">
      <w:bodyDiv w:val="1"/>
      <w:marLeft w:val="0"/>
      <w:marRight w:val="0"/>
      <w:marTop w:val="0"/>
      <w:marBottom w:val="0"/>
      <w:divBdr>
        <w:top w:val="none" w:sz="0" w:space="0" w:color="auto"/>
        <w:left w:val="none" w:sz="0" w:space="0" w:color="auto"/>
        <w:bottom w:val="none" w:sz="0" w:space="0" w:color="auto"/>
        <w:right w:val="none" w:sz="0" w:space="0" w:color="auto"/>
      </w:divBdr>
    </w:div>
    <w:div w:id="1614173023">
      <w:bodyDiv w:val="1"/>
      <w:marLeft w:val="0"/>
      <w:marRight w:val="0"/>
      <w:marTop w:val="0"/>
      <w:marBottom w:val="0"/>
      <w:divBdr>
        <w:top w:val="none" w:sz="0" w:space="0" w:color="auto"/>
        <w:left w:val="none" w:sz="0" w:space="0" w:color="auto"/>
        <w:bottom w:val="none" w:sz="0" w:space="0" w:color="auto"/>
        <w:right w:val="none" w:sz="0" w:space="0" w:color="auto"/>
      </w:divBdr>
    </w:div>
    <w:div w:id="1617447828">
      <w:bodyDiv w:val="1"/>
      <w:marLeft w:val="0"/>
      <w:marRight w:val="0"/>
      <w:marTop w:val="0"/>
      <w:marBottom w:val="0"/>
      <w:divBdr>
        <w:top w:val="none" w:sz="0" w:space="0" w:color="auto"/>
        <w:left w:val="none" w:sz="0" w:space="0" w:color="auto"/>
        <w:bottom w:val="none" w:sz="0" w:space="0" w:color="auto"/>
        <w:right w:val="none" w:sz="0" w:space="0" w:color="auto"/>
      </w:divBdr>
    </w:div>
    <w:div w:id="1645425053">
      <w:bodyDiv w:val="1"/>
      <w:marLeft w:val="0"/>
      <w:marRight w:val="0"/>
      <w:marTop w:val="0"/>
      <w:marBottom w:val="0"/>
      <w:divBdr>
        <w:top w:val="none" w:sz="0" w:space="0" w:color="auto"/>
        <w:left w:val="none" w:sz="0" w:space="0" w:color="auto"/>
        <w:bottom w:val="none" w:sz="0" w:space="0" w:color="auto"/>
        <w:right w:val="none" w:sz="0" w:space="0" w:color="auto"/>
      </w:divBdr>
    </w:div>
    <w:div w:id="1657683402">
      <w:bodyDiv w:val="1"/>
      <w:marLeft w:val="0"/>
      <w:marRight w:val="0"/>
      <w:marTop w:val="0"/>
      <w:marBottom w:val="0"/>
      <w:divBdr>
        <w:top w:val="none" w:sz="0" w:space="0" w:color="auto"/>
        <w:left w:val="none" w:sz="0" w:space="0" w:color="auto"/>
        <w:bottom w:val="none" w:sz="0" w:space="0" w:color="auto"/>
        <w:right w:val="none" w:sz="0" w:space="0" w:color="auto"/>
      </w:divBdr>
    </w:div>
    <w:div w:id="1684937783">
      <w:bodyDiv w:val="1"/>
      <w:marLeft w:val="0"/>
      <w:marRight w:val="0"/>
      <w:marTop w:val="0"/>
      <w:marBottom w:val="0"/>
      <w:divBdr>
        <w:top w:val="none" w:sz="0" w:space="0" w:color="auto"/>
        <w:left w:val="none" w:sz="0" w:space="0" w:color="auto"/>
        <w:bottom w:val="none" w:sz="0" w:space="0" w:color="auto"/>
        <w:right w:val="none" w:sz="0" w:space="0" w:color="auto"/>
      </w:divBdr>
      <w:divsChild>
        <w:div w:id="1468234329">
          <w:marLeft w:val="0"/>
          <w:marRight w:val="0"/>
          <w:marTop w:val="0"/>
          <w:marBottom w:val="0"/>
          <w:divBdr>
            <w:top w:val="none" w:sz="0" w:space="0" w:color="auto"/>
            <w:left w:val="none" w:sz="0" w:space="0" w:color="auto"/>
            <w:bottom w:val="none" w:sz="0" w:space="0" w:color="auto"/>
            <w:right w:val="none" w:sz="0" w:space="0" w:color="auto"/>
          </w:divBdr>
          <w:divsChild>
            <w:div w:id="13576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86958">
      <w:bodyDiv w:val="1"/>
      <w:marLeft w:val="0"/>
      <w:marRight w:val="0"/>
      <w:marTop w:val="0"/>
      <w:marBottom w:val="0"/>
      <w:divBdr>
        <w:top w:val="none" w:sz="0" w:space="0" w:color="auto"/>
        <w:left w:val="none" w:sz="0" w:space="0" w:color="auto"/>
        <w:bottom w:val="none" w:sz="0" w:space="0" w:color="auto"/>
        <w:right w:val="none" w:sz="0" w:space="0" w:color="auto"/>
      </w:divBdr>
      <w:divsChild>
        <w:div w:id="895240730">
          <w:marLeft w:val="0"/>
          <w:marRight w:val="0"/>
          <w:marTop w:val="0"/>
          <w:marBottom w:val="0"/>
          <w:divBdr>
            <w:top w:val="none" w:sz="0" w:space="0" w:color="auto"/>
            <w:left w:val="none" w:sz="0" w:space="0" w:color="auto"/>
            <w:bottom w:val="none" w:sz="0" w:space="0" w:color="auto"/>
            <w:right w:val="none" w:sz="0" w:space="0" w:color="auto"/>
          </w:divBdr>
          <w:divsChild>
            <w:div w:id="6645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495448">
      <w:bodyDiv w:val="1"/>
      <w:marLeft w:val="0"/>
      <w:marRight w:val="0"/>
      <w:marTop w:val="0"/>
      <w:marBottom w:val="0"/>
      <w:divBdr>
        <w:top w:val="none" w:sz="0" w:space="0" w:color="auto"/>
        <w:left w:val="none" w:sz="0" w:space="0" w:color="auto"/>
        <w:bottom w:val="none" w:sz="0" w:space="0" w:color="auto"/>
        <w:right w:val="none" w:sz="0" w:space="0" w:color="auto"/>
      </w:divBdr>
    </w:div>
    <w:div w:id="1818034967">
      <w:bodyDiv w:val="1"/>
      <w:marLeft w:val="0"/>
      <w:marRight w:val="0"/>
      <w:marTop w:val="0"/>
      <w:marBottom w:val="0"/>
      <w:divBdr>
        <w:top w:val="none" w:sz="0" w:space="0" w:color="auto"/>
        <w:left w:val="none" w:sz="0" w:space="0" w:color="auto"/>
        <w:bottom w:val="none" w:sz="0" w:space="0" w:color="auto"/>
        <w:right w:val="none" w:sz="0" w:space="0" w:color="auto"/>
      </w:divBdr>
    </w:div>
    <w:div w:id="1829319297">
      <w:bodyDiv w:val="1"/>
      <w:marLeft w:val="0"/>
      <w:marRight w:val="0"/>
      <w:marTop w:val="0"/>
      <w:marBottom w:val="0"/>
      <w:divBdr>
        <w:top w:val="none" w:sz="0" w:space="0" w:color="auto"/>
        <w:left w:val="none" w:sz="0" w:space="0" w:color="auto"/>
        <w:bottom w:val="none" w:sz="0" w:space="0" w:color="auto"/>
        <w:right w:val="none" w:sz="0" w:space="0" w:color="auto"/>
      </w:divBdr>
    </w:div>
    <w:div w:id="1848863306">
      <w:bodyDiv w:val="1"/>
      <w:marLeft w:val="0"/>
      <w:marRight w:val="0"/>
      <w:marTop w:val="0"/>
      <w:marBottom w:val="0"/>
      <w:divBdr>
        <w:top w:val="none" w:sz="0" w:space="0" w:color="auto"/>
        <w:left w:val="none" w:sz="0" w:space="0" w:color="auto"/>
        <w:bottom w:val="none" w:sz="0" w:space="0" w:color="auto"/>
        <w:right w:val="none" w:sz="0" w:space="0" w:color="auto"/>
      </w:divBdr>
    </w:div>
    <w:div w:id="1960641618">
      <w:bodyDiv w:val="1"/>
      <w:marLeft w:val="0"/>
      <w:marRight w:val="0"/>
      <w:marTop w:val="0"/>
      <w:marBottom w:val="0"/>
      <w:divBdr>
        <w:top w:val="none" w:sz="0" w:space="0" w:color="auto"/>
        <w:left w:val="none" w:sz="0" w:space="0" w:color="auto"/>
        <w:bottom w:val="none" w:sz="0" w:space="0" w:color="auto"/>
        <w:right w:val="none" w:sz="0" w:space="0" w:color="auto"/>
      </w:divBdr>
    </w:div>
    <w:div w:id="1975671812">
      <w:bodyDiv w:val="1"/>
      <w:marLeft w:val="0"/>
      <w:marRight w:val="0"/>
      <w:marTop w:val="0"/>
      <w:marBottom w:val="0"/>
      <w:divBdr>
        <w:top w:val="none" w:sz="0" w:space="0" w:color="auto"/>
        <w:left w:val="none" w:sz="0" w:space="0" w:color="auto"/>
        <w:bottom w:val="none" w:sz="0" w:space="0" w:color="auto"/>
        <w:right w:val="none" w:sz="0" w:space="0" w:color="auto"/>
      </w:divBdr>
    </w:div>
    <w:div w:id="1987397181">
      <w:bodyDiv w:val="1"/>
      <w:marLeft w:val="0"/>
      <w:marRight w:val="0"/>
      <w:marTop w:val="0"/>
      <w:marBottom w:val="0"/>
      <w:divBdr>
        <w:top w:val="none" w:sz="0" w:space="0" w:color="auto"/>
        <w:left w:val="none" w:sz="0" w:space="0" w:color="auto"/>
        <w:bottom w:val="none" w:sz="0" w:space="0" w:color="auto"/>
        <w:right w:val="none" w:sz="0" w:space="0" w:color="auto"/>
      </w:divBdr>
    </w:div>
    <w:div w:id="2069037899">
      <w:bodyDiv w:val="1"/>
      <w:marLeft w:val="0"/>
      <w:marRight w:val="0"/>
      <w:marTop w:val="0"/>
      <w:marBottom w:val="0"/>
      <w:divBdr>
        <w:top w:val="none" w:sz="0" w:space="0" w:color="auto"/>
        <w:left w:val="none" w:sz="0" w:space="0" w:color="auto"/>
        <w:bottom w:val="none" w:sz="0" w:space="0" w:color="auto"/>
        <w:right w:val="none" w:sz="0" w:space="0" w:color="auto"/>
      </w:divBdr>
    </w:div>
    <w:div w:id="2073386502">
      <w:bodyDiv w:val="1"/>
      <w:marLeft w:val="0"/>
      <w:marRight w:val="0"/>
      <w:marTop w:val="0"/>
      <w:marBottom w:val="0"/>
      <w:divBdr>
        <w:top w:val="none" w:sz="0" w:space="0" w:color="auto"/>
        <w:left w:val="none" w:sz="0" w:space="0" w:color="auto"/>
        <w:bottom w:val="none" w:sz="0" w:space="0" w:color="auto"/>
        <w:right w:val="none" w:sz="0" w:space="0" w:color="auto"/>
      </w:divBdr>
    </w:div>
    <w:div w:id="2081171753">
      <w:bodyDiv w:val="1"/>
      <w:marLeft w:val="0"/>
      <w:marRight w:val="0"/>
      <w:marTop w:val="0"/>
      <w:marBottom w:val="0"/>
      <w:divBdr>
        <w:top w:val="none" w:sz="0" w:space="0" w:color="auto"/>
        <w:left w:val="none" w:sz="0" w:space="0" w:color="auto"/>
        <w:bottom w:val="none" w:sz="0" w:space="0" w:color="auto"/>
        <w:right w:val="none" w:sz="0" w:space="0" w:color="auto"/>
      </w:divBdr>
    </w:div>
    <w:div w:id="2108884922">
      <w:bodyDiv w:val="1"/>
      <w:marLeft w:val="0"/>
      <w:marRight w:val="0"/>
      <w:marTop w:val="0"/>
      <w:marBottom w:val="0"/>
      <w:divBdr>
        <w:top w:val="none" w:sz="0" w:space="0" w:color="auto"/>
        <w:left w:val="none" w:sz="0" w:space="0" w:color="auto"/>
        <w:bottom w:val="none" w:sz="0" w:space="0" w:color="auto"/>
        <w:right w:val="none" w:sz="0" w:space="0" w:color="auto"/>
      </w:divBdr>
    </w:div>
    <w:div w:id="2115323360">
      <w:bodyDiv w:val="1"/>
      <w:marLeft w:val="0"/>
      <w:marRight w:val="0"/>
      <w:marTop w:val="0"/>
      <w:marBottom w:val="0"/>
      <w:divBdr>
        <w:top w:val="none" w:sz="0" w:space="0" w:color="auto"/>
        <w:left w:val="none" w:sz="0" w:space="0" w:color="auto"/>
        <w:bottom w:val="none" w:sz="0" w:space="0" w:color="auto"/>
        <w:right w:val="none" w:sz="0" w:space="0" w:color="auto"/>
      </w:divBdr>
    </w:div>
    <w:div w:id="212384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investo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microsoft.com/investo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05647-28F6-4F02-980D-53EEACDCD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5997</Words>
  <Characters>34189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Glanville</dc:creator>
  <cp:lastModifiedBy>Tony Glanville</cp:lastModifiedBy>
  <cp:revision>2</cp:revision>
  <cp:lastPrinted>2025-07-10T22:07:00Z</cp:lastPrinted>
  <dcterms:created xsi:type="dcterms:W3CDTF">2025-11-22T19:47:00Z</dcterms:created>
  <dcterms:modified xsi:type="dcterms:W3CDTF">2025-11-22T19:47:00Z</dcterms:modified>
</cp:coreProperties>
</file>