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F726DF2" w14:textId="4CC5B5C3" w:rsidR="00004991" w:rsidRDefault="00004991" w:rsidP="00CB5033">
      <w:pPr>
        <w:spacing w:line="360" w:lineRule="auto"/>
        <w:jc w:val="center"/>
        <w:rPr>
          <w:rFonts w:ascii="Times New Roman" w:hAnsi="Times New Roman" w:cs="Times New Roman"/>
          <w:b/>
          <w:sz w:val="32"/>
          <w:szCs w:val="32"/>
        </w:rPr>
      </w:pPr>
    </w:p>
    <w:p w14:paraId="4EE67D48" w14:textId="106F804B" w:rsidR="00004991" w:rsidRDefault="00FB009D" w:rsidP="00FB009D">
      <w:pPr>
        <w:spacing w:line="360" w:lineRule="auto"/>
        <w:jc w:val="center"/>
        <w:rPr>
          <w:rFonts w:ascii="Times New Roman" w:hAnsi="Times New Roman" w:cs="Times New Roman"/>
          <w:b/>
          <w:sz w:val="32"/>
          <w:szCs w:val="32"/>
        </w:rPr>
      </w:pPr>
      <w:r>
        <w:rPr>
          <w:noProof/>
        </w:rPr>
        <w:drawing>
          <wp:inline distT="0" distB="0" distL="0" distR="0" wp14:anchorId="2B51B72B" wp14:editId="14F0760C">
            <wp:extent cx="3219450" cy="128587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3219450" cy="1285875"/>
                    </a:xfrm>
                    <a:prstGeom prst="rect">
                      <a:avLst/>
                    </a:prstGeom>
                  </pic:spPr>
                </pic:pic>
              </a:graphicData>
            </a:graphic>
          </wp:inline>
        </w:drawing>
      </w:r>
    </w:p>
    <w:p w14:paraId="3A01C427" w14:textId="77777777" w:rsidR="00004991" w:rsidRDefault="00004991" w:rsidP="00FB009D">
      <w:pPr>
        <w:spacing w:line="360" w:lineRule="auto"/>
        <w:rPr>
          <w:rFonts w:ascii="Times New Roman" w:hAnsi="Times New Roman" w:cs="Times New Roman"/>
          <w:b/>
          <w:sz w:val="32"/>
          <w:szCs w:val="32"/>
        </w:rPr>
      </w:pPr>
    </w:p>
    <w:p w14:paraId="70CECF9A" w14:textId="77777777" w:rsidR="00004991" w:rsidRDefault="00004991" w:rsidP="00CB5033">
      <w:pPr>
        <w:spacing w:line="360" w:lineRule="auto"/>
        <w:jc w:val="center"/>
        <w:rPr>
          <w:rFonts w:ascii="Times New Roman" w:hAnsi="Times New Roman" w:cs="Times New Roman"/>
          <w:b/>
          <w:sz w:val="32"/>
          <w:szCs w:val="32"/>
        </w:rPr>
      </w:pPr>
    </w:p>
    <w:p w14:paraId="48FF3311" w14:textId="26D4CC75" w:rsidR="00CB5033" w:rsidRPr="007E727D" w:rsidRDefault="001070A9" w:rsidP="00CB5033">
      <w:pPr>
        <w:spacing w:line="360" w:lineRule="auto"/>
        <w:jc w:val="center"/>
        <w:rPr>
          <w:rFonts w:ascii="Times New Roman" w:hAnsi="Times New Roman" w:cs="Times New Roman"/>
          <w:b/>
          <w:sz w:val="32"/>
          <w:szCs w:val="32"/>
        </w:rPr>
      </w:pPr>
      <w:r w:rsidRPr="007E727D">
        <w:rPr>
          <w:rFonts w:ascii="Times New Roman" w:hAnsi="Times New Roman" w:cs="Times New Roman"/>
          <w:b/>
          <w:sz w:val="32"/>
          <w:szCs w:val="32"/>
        </w:rPr>
        <w:t xml:space="preserve">EVIDENCE-BASED POLICING AND DECISION-MAKING </w:t>
      </w:r>
    </w:p>
    <w:p w14:paraId="3C4C4166" w14:textId="77777777" w:rsidR="00FB009D" w:rsidRDefault="00FB009D" w:rsidP="00FB009D">
      <w:pPr>
        <w:spacing w:line="360" w:lineRule="auto"/>
      </w:pPr>
    </w:p>
    <w:p w14:paraId="45BC9570" w14:textId="77777777" w:rsidR="00FB009D" w:rsidRDefault="00FB009D" w:rsidP="00FB009D">
      <w:pPr>
        <w:spacing w:line="360" w:lineRule="auto"/>
      </w:pPr>
    </w:p>
    <w:p w14:paraId="02FFACD4" w14:textId="77777777" w:rsidR="00FB009D" w:rsidRDefault="00FB009D" w:rsidP="00FB009D">
      <w:pPr>
        <w:spacing w:line="360" w:lineRule="auto"/>
      </w:pPr>
    </w:p>
    <w:p w14:paraId="04AED901" w14:textId="77777777" w:rsidR="00FB009D" w:rsidRDefault="00FB009D" w:rsidP="00FB009D">
      <w:pPr>
        <w:spacing w:line="360" w:lineRule="auto"/>
      </w:pPr>
    </w:p>
    <w:p w14:paraId="00D627EE" w14:textId="77777777" w:rsidR="00FB009D" w:rsidRDefault="00FB009D" w:rsidP="00FB009D">
      <w:pPr>
        <w:spacing w:line="360" w:lineRule="auto"/>
      </w:pPr>
    </w:p>
    <w:p w14:paraId="0418E108" w14:textId="77777777" w:rsidR="00FB009D" w:rsidRDefault="00FB009D" w:rsidP="00FB009D">
      <w:pPr>
        <w:spacing w:line="360" w:lineRule="auto"/>
      </w:pPr>
    </w:p>
    <w:p w14:paraId="724F7B16" w14:textId="77777777" w:rsidR="00FB009D" w:rsidRDefault="00FB009D" w:rsidP="00FB009D">
      <w:pPr>
        <w:spacing w:line="360" w:lineRule="auto"/>
      </w:pPr>
    </w:p>
    <w:p w14:paraId="5D872C25" w14:textId="77777777" w:rsidR="00FB009D" w:rsidRPr="00FB009D" w:rsidRDefault="00FB009D" w:rsidP="00FB009D">
      <w:pPr>
        <w:spacing w:line="360" w:lineRule="auto"/>
        <w:rPr>
          <w:sz w:val="28"/>
          <w:szCs w:val="28"/>
        </w:rPr>
      </w:pPr>
      <w:r w:rsidRPr="00FB009D">
        <w:rPr>
          <w:sz w:val="28"/>
          <w:szCs w:val="28"/>
        </w:rPr>
        <w:t>Student Name</w:t>
      </w:r>
      <w:r w:rsidRPr="00FB009D">
        <w:rPr>
          <w:sz w:val="28"/>
          <w:szCs w:val="28"/>
        </w:rPr>
        <w:tab/>
        <w:t>:</w:t>
      </w:r>
    </w:p>
    <w:p w14:paraId="2CB605B7" w14:textId="76A1C62A" w:rsidR="001318FC" w:rsidRPr="00FB009D" w:rsidRDefault="00FB009D" w:rsidP="00FB009D">
      <w:pPr>
        <w:spacing w:line="360" w:lineRule="auto"/>
        <w:rPr>
          <w:rFonts w:ascii="Times New Roman" w:eastAsia="Times New Roman" w:hAnsi="Times New Roman" w:cs="Times New Roman"/>
          <w:b/>
          <w:sz w:val="28"/>
          <w:szCs w:val="28"/>
        </w:rPr>
      </w:pPr>
      <w:r w:rsidRPr="00FB009D">
        <w:rPr>
          <w:sz w:val="28"/>
          <w:szCs w:val="28"/>
        </w:rPr>
        <w:t>Student ID</w:t>
      </w:r>
      <w:r w:rsidRPr="00FB009D">
        <w:rPr>
          <w:sz w:val="28"/>
          <w:szCs w:val="28"/>
        </w:rPr>
        <w:tab/>
      </w:r>
      <w:r>
        <w:rPr>
          <w:sz w:val="28"/>
          <w:szCs w:val="28"/>
        </w:rPr>
        <w:tab/>
      </w:r>
      <w:r w:rsidRPr="00FB009D">
        <w:rPr>
          <w:sz w:val="28"/>
          <w:szCs w:val="28"/>
        </w:rPr>
        <w:t>:</w:t>
      </w:r>
      <w:r w:rsidR="001070A9" w:rsidRPr="00FB009D">
        <w:rPr>
          <w:sz w:val="28"/>
          <w:szCs w:val="28"/>
        </w:rPr>
        <w:br w:type="page"/>
      </w:r>
    </w:p>
    <w:p w14:paraId="2A51FB1E" w14:textId="409EFAF7" w:rsidR="001F38BB" w:rsidRPr="003A110B" w:rsidRDefault="001070A9" w:rsidP="003A110B">
      <w:pPr>
        <w:spacing w:after="240"/>
        <w:rPr>
          <w:rFonts w:ascii="Times New Roman" w:eastAsia="Times New Roman" w:hAnsi="Times New Roman" w:cs="Times New Roman"/>
          <w:b/>
          <w:bCs/>
          <w:sz w:val="28"/>
          <w:szCs w:val="28"/>
        </w:rPr>
      </w:pPr>
      <w:bookmarkStart w:id="0" w:name="_Toc106036236"/>
      <w:r w:rsidRPr="003A110B">
        <w:rPr>
          <w:rFonts w:ascii="Times New Roman" w:hAnsi="Times New Roman" w:cs="Times New Roman"/>
          <w:b/>
          <w:bCs/>
          <w:sz w:val="32"/>
          <w:szCs w:val="32"/>
        </w:rPr>
        <w:lastRenderedPageBreak/>
        <w:t>Introduction</w:t>
      </w:r>
      <w:bookmarkEnd w:id="0"/>
    </w:p>
    <w:p w14:paraId="261B8232" w14:textId="77777777" w:rsidR="001F38BB" w:rsidRDefault="001070A9" w:rsidP="003A110B">
      <w:pPr>
        <w:pStyle w:val="NoSpacing"/>
        <w:spacing w:after="240" w:line="360" w:lineRule="auto"/>
        <w:jc w:val="both"/>
      </w:pPr>
      <w:bookmarkStart w:id="1" w:name="_Toc106036237"/>
      <w:r w:rsidRPr="001F38BB">
        <w:t>"</w:t>
      </w:r>
      <w:r w:rsidRPr="003A110B">
        <w:rPr>
          <w:rFonts w:ascii="Times New Roman" w:hAnsi="Times New Roman" w:cs="Times New Roman"/>
          <w:sz w:val="24"/>
          <w:szCs w:val="24"/>
        </w:rPr>
        <w:t xml:space="preserve">Evidence-Based Policing (EBP)" is a practice of the police foundation, based on the idea of Sherman. This practice develops the concept of making policies and decisions by the police in the workplace. To change </w:t>
      </w:r>
      <w:r w:rsidR="00667BDC" w:rsidRPr="003A110B">
        <w:rPr>
          <w:rFonts w:ascii="Times New Roman" w:hAnsi="Times New Roman" w:cs="Times New Roman"/>
          <w:sz w:val="24"/>
          <w:szCs w:val="24"/>
        </w:rPr>
        <w:t>or improve</w:t>
      </w:r>
      <w:r w:rsidRPr="003A110B">
        <w:rPr>
          <w:rFonts w:ascii="Times New Roman" w:hAnsi="Times New Roman" w:cs="Times New Roman"/>
          <w:sz w:val="24"/>
          <w:szCs w:val="24"/>
        </w:rPr>
        <w:t xml:space="preserve"> policing policies and practices, proper evidence is needed and it is provided by the Evidence-based policy. It encourages police to improve control policies in crime, build community relationships </w:t>
      </w:r>
      <w:r w:rsidR="00667BDC" w:rsidRPr="003A110B">
        <w:rPr>
          <w:rFonts w:ascii="Times New Roman" w:hAnsi="Times New Roman" w:cs="Times New Roman"/>
          <w:sz w:val="24"/>
          <w:szCs w:val="24"/>
        </w:rPr>
        <w:t>and manage</w:t>
      </w:r>
      <w:r w:rsidRPr="003A110B">
        <w:rPr>
          <w:rFonts w:ascii="Times New Roman" w:hAnsi="Times New Roman" w:cs="Times New Roman"/>
          <w:sz w:val="24"/>
          <w:szCs w:val="24"/>
        </w:rPr>
        <w:t xml:space="preserve"> internal problems. The main goal of this essay </w:t>
      </w:r>
      <w:r w:rsidR="00667BDC" w:rsidRPr="003A110B">
        <w:rPr>
          <w:rFonts w:ascii="Times New Roman" w:hAnsi="Times New Roman" w:cs="Times New Roman"/>
          <w:sz w:val="24"/>
          <w:szCs w:val="24"/>
        </w:rPr>
        <w:t>is to</w:t>
      </w:r>
      <w:r w:rsidRPr="003A110B">
        <w:rPr>
          <w:rFonts w:ascii="Times New Roman" w:hAnsi="Times New Roman" w:cs="Times New Roman"/>
          <w:sz w:val="24"/>
          <w:szCs w:val="24"/>
        </w:rPr>
        <w:t xml:space="preserve"> evaluate an in-depth discussion about the two main key models of Evidence-based policing, these are critical incidents of decision making and SARA and analyse the </w:t>
      </w:r>
      <w:r w:rsidR="00667BDC" w:rsidRPr="003A110B">
        <w:rPr>
          <w:rFonts w:ascii="Times New Roman" w:hAnsi="Times New Roman" w:cs="Times New Roman"/>
          <w:sz w:val="24"/>
          <w:szCs w:val="24"/>
        </w:rPr>
        <w:t>benefits and</w:t>
      </w:r>
      <w:r w:rsidRPr="003A110B">
        <w:rPr>
          <w:rFonts w:ascii="Times New Roman" w:hAnsi="Times New Roman" w:cs="Times New Roman"/>
          <w:sz w:val="24"/>
          <w:szCs w:val="24"/>
        </w:rPr>
        <w:t xml:space="preserve"> risks.</w:t>
      </w:r>
      <w:bookmarkEnd w:id="1"/>
    </w:p>
    <w:p w14:paraId="085E78E8" w14:textId="77777777" w:rsidR="00580548" w:rsidRPr="00A66A60" w:rsidRDefault="001070A9" w:rsidP="003A110B">
      <w:pPr>
        <w:pStyle w:val="Heading1"/>
        <w:spacing w:before="240" w:after="240"/>
        <w:rPr>
          <w:sz w:val="32"/>
          <w:szCs w:val="32"/>
        </w:rPr>
      </w:pPr>
      <w:bookmarkStart w:id="2" w:name="_Toc106036238"/>
      <w:r w:rsidRPr="00A66A60">
        <w:rPr>
          <w:sz w:val="32"/>
          <w:szCs w:val="32"/>
        </w:rPr>
        <w:t>Discussion and Analysis</w:t>
      </w:r>
      <w:bookmarkEnd w:id="2"/>
    </w:p>
    <w:p w14:paraId="2B510D5C" w14:textId="77777777" w:rsidR="001F38BB" w:rsidRDefault="001070A9" w:rsidP="003A110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incidents make multiple systems and policies in a vital situation and force those departments to make decisions incorrectly. It can be dynamic, distinctive and dangerous, some critical situations are, terrorist attacks (</w:t>
      </w:r>
      <w:r w:rsidR="00667BDC">
        <w:rPr>
          <w:rFonts w:ascii="Times New Roman" w:eastAsia="Times New Roman" w:hAnsi="Times New Roman" w:cs="Times New Roman"/>
          <w:sz w:val="24"/>
          <w:szCs w:val="24"/>
        </w:rPr>
        <w:t>e.g.,</w:t>
      </w:r>
      <w:r>
        <w:rPr>
          <w:rFonts w:ascii="Times New Roman" w:eastAsia="Times New Roman" w:hAnsi="Times New Roman" w:cs="Times New Roman"/>
          <w:sz w:val="24"/>
          <w:szCs w:val="24"/>
        </w:rPr>
        <w:t xml:space="preserve"> "bombing in Manchester", "London Bridge"), firings (</w:t>
      </w:r>
      <w:r w:rsidR="00667BDC">
        <w:rPr>
          <w:rFonts w:ascii="Times New Roman" w:eastAsia="Times New Roman" w:hAnsi="Times New Roman" w:cs="Times New Roman"/>
          <w:sz w:val="24"/>
          <w:szCs w:val="24"/>
        </w:rPr>
        <w:t>e.g.,</w:t>
      </w:r>
      <w:r>
        <w:rPr>
          <w:rFonts w:ascii="Times New Roman" w:eastAsia="Times New Roman" w:hAnsi="Times New Roman" w:cs="Times New Roman"/>
          <w:sz w:val="24"/>
          <w:szCs w:val="24"/>
        </w:rPr>
        <w:t xml:space="preserve"> “</w:t>
      </w:r>
      <w:r w:rsidR="00667BDC">
        <w:rPr>
          <w:rFonts w:ascii="Times New Roman" w:eastAsia="Times New Roman" w:hAnsi="Times New Roman" w:cs="Times New Roman"/>
          <w:sz w:val="24"/>
          <w:szCs w:val="24"/>
        </w:rPr>
        <w:t>Wildfire</w:t>
      </w:r>
      <w:r>
        <w:rPr>
          <w:rFonts w:ascii="Times New Roman" w:eastAsia="Times New Roman" w:hAnsi="Times New Roman" w:cs="Times New Roman"/>
          <w:sz w:val="24"/>
          <w:szCs w:val="24"/>
        </w:rPr>
        <w:t xml:space="preserve"> in California", "Grenfell Tower") and the covid-19 pandemic in 2020 all over the </w:t>
      </w:r>
      <w:r w:rsidR="00667BDC">
        <w:rPr>
          <w:rFonts w:ascii="Times New Roman" w:eastAsia="Times New Roman" w:hAnsi="Times New Roman" w:cs="Times New Roman"/>
          <w:sz w:val="24"/>
          <w:szCs w:val="24"/>
        </w:rPr>
        <w:t>world (</w:t>
      </w:r>
      <w:r>
        <w:rPr>
          <w:rFonts w:ascii="Times New Roman" w:eastAsia="Times New Roman" w:hAnsi="Times New Roman" w:cs="Times New Roman"/>
          <w:sz w:val="24"/>
          <w:szCs w:val="24"/>
        </w:rPr>
        <w:t xml:space="preserve">Bérubé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term "critical incident decision making" is mainly focused on making proper decisions in any situation, that can be easy or very critical. Any complexity, ambiguity and emergency should be handled carefully and properly by the police department is the main focus of this key model of the EBP. To make it successful first-line supervisors have played an important role. CDM or critical decision making gave a structure of making decisions for supervisors and officers step by step. It has an algorithm for achieving the goals and simplifying the problems. Solving critical incidents requires a different and complex approach that can be effective for the operation (Pappas and Glyptou, 2021).   </w:t>
      </w:r>
    </w:p>
    <w:p w14:paraId="4FFE4E46" w14:textId="77777777" w:rsidR="001F38BB" w:rsidRDefault="001070A9" w:rsidP="003A110B">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critical incident decision-making or CDM is circulated by five steps. These are steps 1- before arriving at the crime spot collect information as much as possible. Step 2- access the situation and emergency, this can be, how much police force is needed and if there are any threats or risks still present or not. Step 3- legal rights of police and policy of the agency. It describes the legal rights or power of the officers to present on the spot. First-Line Supervisors (FLSs) should inform officers if it is a police matter or not and the policies to make decisions for the incident (Smith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Step 4- this step includes the options identifications and the best process of action determination. These are, identifying the threats, </w:t>
      </w:r>
      <w:r>
        <w:rPr>
          <w:rFonts w:ascii="Times New Roman" w:eastAsia="Times New Roman" w:hAnsi="Times New Roman" w:cs="Times New Roman"/>
          <w:sz w:val="24"/>
          <w:szCs w:val="24"/>
        </w:rPr>
        <w:lastRenderedPageBreak/>
        <w:t xml:space="preserve">communicating with the subject in custody, noting some information, discussing with other officers and lastly taking the most appropriate decision against the critical situation. Step 5- this is the last step, in this step FLSs order the officers to take the proper action. After completion of the action, FLSs need to confirm if the action was completed successfully or not.          </w:t>
      </w:r>
    </w:p>
    <w:p w14:paraId="6A0DA699" w14:textId="77777777" w:rsidR="001F38BB" w:rsidRDefault="001070A9" w:rsidP="003A110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SARA is a model of decision making, which provides a structure for complex systems in crime situations and develops the investigation process to identify the actual causes of this situation. It is an analytical process of </w:t>
      </w:r>
      <w:r w:rsidR="00667BDC">
        <w:rPr>
          <w:rFonts w:ascii="Times New Roman" w:eastAsia="Times New Roman" w:hAnsi="Times New Roman" w:cs="Times New Roman"/>
          <w:sz w:val="24"/>
          <w:szCs w:val="24"/>
        </w:rPr>
        <w:t>problem-oriented</w:t>
      </w:r>
      <w:r>
        <w:rPr>
          <w:rFonts w:ascii="Times New Roman" w:eastAsia="Times New Roman" w:hAnsi="Times New Roman" w:cs="Times New Roman"/>
          <w:sz w:val="24"/>
          <w:szCs w:val="24"/>
        </w:rPr>
        <w:t xml:space="preserve"> policing (</w:t>
      </w:r>
      <w:r w:rsidR="00667BDC">
        <w:rPr>
          <w:rFonts w:ascii="Times New Roman" w:eastAsia="Times New Roman" w:hAnsi="Times New Roman" w:cs="Times New Roman"/>
          <w:sz w:val="24"/>
          <w:szCs w:val="24"/>
        </w:rPr>
        <w:t>POP) SARA</w:t>
      </w:r>
      <w:r>
        <w:rPr>
          <w:rFonts w:ascii="Times New Roman" w:eastAsia="Times New Roman" w:hAnsi="Times New Roman" w:cs="Times New Roman"/>
          <w:sz w:val="24"/>
          <w:szCs w:val="24"/>
        </w:rPr>
        <w:t xml:space="preserve"> stands for scanning, analysis, response and assessment. Many agencies of police training problem-solving structures are developed based on the SARA model. SARA depends on common sense and is suitable for the daily police (Hinkle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model implies that without the involvement of community resources and its people, police are not capable of stopping the crime alone. By this model, the main concern of the police and public is whether more than one incident is similar in more ways or not. It is used to identify the problems and crimes of a community. It can overcome the problems of any community by implementing the four steps of this model. This model completes its task in four steps with the help of police and community resources, which are, scanning, analyzing, response and assessment.     </w:t>
      </w:r>
    </w:p>
    <w:p w14:paraId="28BD2D40" w14:textId="77777777" w:rsidR="001F38BB" w:rsidRDefault="001070A9" w:rsidP="003A110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part, scanning includes, finding out the problems, priority of the problems, making a target, selecting any one problem for study and collecting related data. The analysis part of this model points out the effectiveness of the problem for the society, calculates how frequently the problem is occurring and identifies the circumstances that give potential to the problem. The next part, which is a response, search for similar problems which are occurring, "brainstorm" for new interventions, choose an appropriate solution, set a particular goal for the response, find out the collecting data during the response and structure the plan of activities (Turan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last part of this model, that is assessment, determines if the plan is properly implemented or not, identifies if any new action is needed to be added to the original plan or not, and ensures the long-term effectiveness of the plan. Assessment is an ongoing process of the SARA model (Tam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48DC8000" w14:textId="77777777" w:rsidR="001F38BB" w:rsidRDefault="001070A9" w:rsidP="003A110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benefits of this model </w:t>
      </w:r>
      <w:r w:rsidR="00667BDC">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it makes FLSs more conscious and provides the ability to make decisions in the most critical situations and also makes the police department crucial and punctual. Through the CDM any supervisor can set a proper direction to manage the critical situation and ensure a successful result. This model follows mainly five steps which </w:t>
      </w:r>
      <w:r>
        <w:rPr>
          <w:rFonts w:ascii="Times New Roman" w:eastAsia="Times New Roman" w:hAnsi="Times New Roman" w:cs="Times New Roman"/>
          <w:sz w:val="24"/>
          <w:szCs w:val="24"/>
        </w:rPr>
        <w:lastRenderedPageBreak/>
        <w:t xml:space="preserve">were previously discussed. Among these, if any single step occurs improperly the whole process will be affected. The direction of supervisors for officers also matters for the best outcome. If any of them become dishonest the total work process will go in vain. It helps to improve the skill of decision making, enhance the strength of solving </w:t>
      </w:r>
      <w:r w:rsidR="00667BDC">
        <w:rPr>
          <w:rFonts w:ascii="Times New Roman" w:eastAsia="Times New Roman" w:hAnsi="Times New Roman" w:cs="Times New Roman"/>
          <w:sz w:val="24"/>
          <w:szCs w:val="24"/>
        </w:rPr>
        <w:t>problems, refine</w:t>
      </w:r>
      <w:r>
        <w:rPr>
          <w:rFonts w:ascii="Times New Roman" w:eastAsia="Times New Roman" w:hAnsi="Times New Roman" w:cs="Times New Roman"/>
          <w:sz w:val="24"/>
          <w:szCs w:val="24"/>
        </w:rPr>
        <w:t xml:space="preserve"> and polish skills and creativity and improve innovation power.</w:t>
      </w:r>
    </w:p>
    <w:p w14:paraId="4E274B01" w14:textId="77777777" w:rsidR="001F38BB" w:rsidRDefault="001070A9" w:rsidP="003A110B">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structure of CDM can easily be made theoretically but sometimes implementation of it becomes very complicated. If any wrong decision is taken, there would be negative consequences in the whole process (Tan </w:t>
      </w:r>
      <w:r>
        <w:rPr>
          <w:rFonts w:ascii="Times New Roman" w:eastAsia="Times New Roman" w:hAnsi="Times New Roman" w:cs="Times New Roman"/>
          <w:i/>
          <w:sz w:val="24"/>
          <w:szCs w:val="24"/>
        </w:rPr>
        <w:t>e</w:t>
      </w:r>
      <w:r w:rsidR="00667BDC">
        <w:rPr>
          <w:rFonts w:ascii="Times New Roman" w:eastAsia="Times New Roman" w:hAnsi="Times New Roman" w:cs="Times New Roman"/>
          <w:i/>
          <w:sz w:val="24"/>
          <w:szCs w:val="24"/>
        </w:rPr>
        <w:t>t</w:t>
      </w:r>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2018). It is sometimes also difficult to take the right action in several critical situations.  It is costly and involves many people making appropriate actions, huge funds are needed for this. It is </w:t>
      </w:r>
      <w:r w:rsidR="00667BDC">
        <w:rPr>
          <w:rFonts w:ascii="Times New Roman" w:eastAsia="Times New Roman" w:hAnsi="Times New Roman" w:cs="Times New Roman"/>
          <w:sz w:val="24"/>
          <w:szCs w:val="24"/>
        </w:rPr>
        <w:t>also time</w:t>
      </w:r>
      <w:r>
        <w:rPr>
          <w:rFonts w:ascii="Times New Roman" w:eastAsia="Times New Roman" w:hAnsi="Times New Roman" w:cs="Times New Roman"/>
          <w:sz w:val="24"/>
          <w:szCs w:val="24"/>
        </w:rPr>
        <w:t xml:space="preserve">-consuming, collecting all people's decisions and analyzing all these take a long period. Another disadvantage of CMD is ambiguous responsibility, in a group of decision-makers the responsibility of individuals sometimes is not clear. This decreases the scope of the goal achievement.           </w:t>
      </w:r>
    </w:p>
    <w:p w14:paraId="54753862" w14:textId="77777777" w:rsidR="001F38BB" w:rsidRDefault="001070A9" w:rsidP="003A110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SARA model provides a long-term solution to any problems. If the department is used to it once, the police will get more time to handle major problems and be able to stop the problem. The SARA model helps to identify the consequences of the incident for the society, it is very beneficial. SARA model is useful to organize the process of repairing problems but sometimes finding out the particular problem becomes very difficult. In an analysis, 84% of the practitioners preferred SARA among all models. Approximately 60% of practitioners believed that SARA can simply solve the problem. Nearly 30% find it beneficial for solving problems. SARA is very user-friendly for its clarity and absence of difficulty.   </w:t>
      </w:r>
    </w:p>
    <w:p w14:paraId="3000EB55" w14:textId="77777777" w:rsidR="001F38BB" w:rsidRPr="001F38BB" w:rsidRDefault="001070A9" w:rsidP="003A110B">
      <w:pPr>
        <w:spacing w:before="240" w:after="240" w:line="360" w:lineRule="auto"/>
        <w:jc w:val="both"/>
      </w:pPr>
      <w:r>
        <w:rPr>
          <w:rFonts w:ascii="Times New Roman" w:eastAsia="Times New Roman" w:hAnsi="Times New Roman" w:cs="Times New Roman"/>
          <w:sz w:val="24"/>
          <w:szCs w:val="24"/>
        </w:rPr>
        <w:t xml:space="preserve">SARA implementation is costly to the police department but the result achieved by it is very beneficial. It is very important to implement the SARA model properly, otherwise, the solving process of the problem can't be successful. Some common weaknesses of SARA are scanning </w:t>
      </w:r>
      <w:r w:rsidR="00667BDC">
        <w:rPr>
          <w:rFonts w:ascii="Times New Roman" w:eastAsia="Times New Roman" w:hAnsi="Times New Roman" w:cs="Times New Roman"/>
          <w:sz w:val="24"/>
          <w:szCs w:val="24"/>
        </w:rPr>
        <w:t>and analysis</w:t>
      </w:r>
      <w:r>
        <w:rPr>
          <w:rFonts w:ascii="Times New Roman" w:eastAsia="Times New Roman" w:hAnsi="Times New Roman" w:cs="Times New Roman"/>
          <w:sz w:val="24"/>
          <w:szCs w:val="24"/>
        </w:rPr>
        <w:t xml:space="preserve"> data are limited, responses that can increase the traditional implementation. Poor assessment and lengthy assessment </w:t>
      </w:r>
      <w:r w:rsidR="00667BDC">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also big problems of this model (Chou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If there are no positive relations between police and the community, all attempts of the SARA model fail. Investigation sometimes stops for poor assessments.</w:t>
      </w:r>
    </w:p>
    <w:p w14:paraId="2E50ECA7" w14:textId="77777777" w:rsidR="00580548" w:rsidRDefault="001070A9" w:rsidP="003A110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interpretation of the critical decision-making model can be interpreted by the understanding of its core. This particular aspect can be justified by the elements present at the core having the ability to have huge applicability in real life. Figure 1 has indicated the core </w:t>
      </w:r>
      <w:r>
        <w:rPr>
          <w:rFonts w:ascii="Times New Roman" w:eastAsia="Times New Roman" w:hAnsi="Times New Roman" w:cs="Times New Roman"/>
          <w:sz w:val="24"/>
          <w:szCs w:val="24"/>
        </w:rPr>
        <w:lastRenderedPageBreak/>
        <w:t xml:space="preserve">element of this particular model and the elements have been recognized to be associated with various contexts including </w:t>
      </w:r>
      <w:r>
        <w:rPr>
          <w:rFonts w:ascii="Times New Roman" w:eastAsia="Times New Roman" w:hAnsi="Times New Roman" w:cs="Times New Roman"/>
          <w:b/>
          <w:i/>
          <w:sz w:val="24"/>
          <w:szCs w:val="24"/>
        </w:rPr>
        <w:t xml:space="preserve">police ethics, agency values, </w:t>
      </w:r>
      <w:r>
        <w:rPr>
          <w:rFonts w:ascii="Times New Roman" w:eastAsia="Times New Roman" w:hAnsi="Times New Roman" w:cs="Times New Roman"/>
          <w:sz w:val="24"/>
          <w:szCs w:val="24"/>
        </w:rPr>
        <w:t>and others</w:t>
      </w:r>
    </w:p>
    <w:p w14:paraId="34442645" w14:textId="77777777" w:rsidR="00580548" w:rsidRDefault="001070A9" w:rsidP="003A110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fact can be observed that the real-life implementation of CDM is linked to the appropriate application of the phases starting from the very initial phase. As suggested by Harrington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the strength of a good decision-making process exclusively depends on the broader insights of relevant </w:t>
      </w:r>
      <w:r>
        <w:rPr>
          <w:rFonts w:ascii="Times New Roman" w:eastAsia="Times New Roman" w:hAnsi="Times New Roman" w:cs="Times New Roman"/>
          <w:b/>
          <w:i/>
          <w:sz w:val="24"/>
          <w:szCs w:val="24"/>
        </w:rPr>
        <w:t xml:space="preserve">information </w:t>
      </w:r>
      <w:r>
        <w:rPr>
          <w:rFonts w:ascii="Times New Roman" w:eastAsia="Times New Roman" w:hAnsi="Times New Roman" w:cs="Times New Roman"/>
          <w:sz w:val="24"/>
          <w:szCs w:val="24"/>
        </w:rPr>
        <w:t xml:space="preserve">along with </w:t>
      </w:r>
      <w:r>
        <w:rPr>
          <w:rFonts w:ascii="Times New Roman" w:eastAsia="Times New Roman" w:hAnsi="Times New Roman" w:cs="Times New Roman"/>
          <w:b/>
          <w:i/>
          <w:sz w:val="24"/>
          <w:szCs w:val="24"/>
        </w:rPr>
        <w:t xml:space="preserve">intelligence. </w:t>
      </w:r>
    </w:p>
    <w:p w14:paraId="357CF0AC" w14:textId="77777777" w:rsidR="00580548" w:rsidRDefault="001070A9" w:rsidP="003A110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respective process has thus been recognized to be associated with the development of a clear insight into a particular situation. The collection of information helps the respective officers in terms of understanding the nature of the overall situation as the </w:t>
      </w:r>
      <w:r>
        <w:rPr>
          <w:rFonts w:ascii="Times New Roman" w:eastAsia="Times New Roman" w:hAnsi="Times New Roman" w:cs="Times New Roman"/>
          <w:i/>
          <w:sz w:val="24"/>
          <w:szCs w:val="24"/>
        </w:rPr>
        <w:t xml:space="preserve">circumstances </w:t>
      </w:r>
      <w:r>
        <w:rPr>
          <w:rFonts w:ascii="Times New Roman" w:eastAsia="Times New Roman" w:hAnsi="Times New Roman" w:cs="Times New Roman"/>
          <w:sz w:val="24"/>
          <w:szCs w:val="24"/>
        </w:rPr>
        <w:t xml:space="preserve">that provoked the emergency call, the </w:t>
      </w:r>
      <w:r>
        <w:rPr>
          <w:rFonts w:ascii="Times New Roman" w:eastAsia="Times New Roman" w:hAnsi="Times New Roman" w:cs="Times New Roman"/>
          <w:i/>
          <w:sz w:val="24"/>
          <w:szCs w:val="24"/>
        </w:rPr>
        <w:t xml:space="preserve">physical environment, the </w:t>
      </w:r>
      <w:r>
        <w:rPr>
          <w:rFonts w:ascii="Times New Roman" w:eastAsia="Times New Roman" w:hAnsi="Times New Roman" w:cs="Times New Roman"/>
          <w:sz w:val="24"/>
          <w:szCs w:val="24"/>
        </w:rPr>
        <w:t xml:space="preserve">presence of </w:t>
      </w:r>
      <w:r>
        <w:rPr>
          <w:rFonts w:ascii="Times New Roman" w:eastAsia="Times New Roman" w:hAnsi="Times New Roman" w:cs="Times New Roman"/>
          <w:i/>
          <w:sz w:val="24"/>
          <w:szCs w:val="24"/>
        </w:rPr>
        <w:t xml:space="preserve">weapons, bystanders, </w:t>
      </w:r>
      <w:r>
        <w:rPr>
          <w:rFonts w:ascii="Times New Roman" w:eastAsia="Times New Roman" w:hAnsi="Times New Roman" w:cs="Times New Roman"/>
          <w:sz w:val="24"/>
          <w:szCs w:val="24"/>
        </w:rPr>
        <w:t xml:space="preserve">and others. Additionally, </w:t>
      </w:r>
      <w:r>
        <w:rPr>
          <w:rFonts w:ascii="Times New Roman" w:eastAsia="Times New Roman" w:hAnsi="Times New Roman" w:cs="Times New Roman"/>
          <w:b/>
          <w:i/>
          <w:sz w:val="24"/>
          <w:szCs w:val="24"/>
        </w:rPr>
        <w:t xml:space="preserve">Nassau County PD </w:t>
      </w:r>
      <w:r>
        <w:rPr>
          <w:rFonts w:ascii="Times New Roman" w:eastAsia="Times New Roman" w:hAnsi="Times New Roman" w:cs="Times New Roman"/>
          <w:sz w:val="24"/>
          <w:szCs w:val="24"/>
        </w:rPr>
        <w:t xml:space="preserve">has imposed a </w:t>
      </w:r>
      <w:r w:rsidR="00667BDC">
        <w:rPr>
          <w:rFonts w:ascii="Times New Roman" w:eastAsia="Times New Roman" w:hAnsi="Times New Roman" w:cs="Times New Roman"/>
          <w:sz w:val="24"/>
          <w:szCs w:val="24"/>
        </w:rPr>
        <w:t>unique</w:t>
      </w:r>
      <w:r>
        <w:rPr>
          <w:rFonts w:ascii="Times New Roman" w:eastAsia="Times New Roman" w:hAnsi="Times New Roman" w:cs="Times New Roman"/>
          <w:sz w:val="24"/>
          <w:szCs w:val="24"/>
        </w:rPr>
        <w:t xml:space="preserve"> version of CDM that has strategically improvised the presence of values and ethics. This particular context of the utilization of CDM by </w:t>
      </w:r>
      <w:r>
        <w:rPr>
          <w:rFonts w:ascii="Times New Roman" w:eastAsia="Times New Roman" w:hAnsi="Times New Roman" w:cs="Times New Roman"/>
          <w:b/>
          <w:i/>
          <w:sz w:val="24"/>
          <w:szCs w:val="24"/>
        </w:rPr>
        <w:t xml:space="preserve">NCPD </w:t>
      </w:r>
      <w:r>
        <w:rPr>
          <w:rFonts w:ascii="Times New Roman" w:eastAsia="Times New Roman" w:hAnsi="Times New Roman" w:cs="Times New Roman"/>
          <w:sz w:val="24"/>
          <w:szCs w:val="24"/>
        </w:rPr>
        <w:t>has been recognized to be attached to the higher pace of assessing a particular threat.</w:t>
      </w:r>
    </w:p>
    <w:p w14:paraId="1529B487" w14:textId="77777777" w:rsidR="00580548" w:rsidRDefault="001070A9" w:rsidP="003A110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respective model has been described as a “</w:t>
      </w:r>
      <w:r>
        <w:rPr>
          <w:rFonts w:ascii="Times New Roman" w:eastAsia="Times New Roman" w:hAnsi="Times New Roman" w:cs="Times New Roman"/>
          <w:b/>
          <w:i/>
          <w:sz w:val="24"/>
          <w:szCs w:val="24"/>
        </w:rPr>
        <w:t>preeminent conceptual model</w:t>
      </w:r>
      <w:r>
        <w:rPr>
          <w:rFonts w:ascii="Times New Roman" w:eastAsia="Times New Roman" w:hAnsi="Times New Roman" w:cs="Times New Roman"/>
          <w:sz w:val="24"/>
          <w:szCs w:val="24"/>
        </w:rPr>
        <w:t>” from the point of view of incorporating it within the decision-making process. This particular model has been classified as an efficient tool that has been accessed mainly by various “</w:t>
      </w:r>
      <w:r>
        <w:rPr>
          <w:rFonts w:ascii="Times New Roman" w:eastAsia="Times New Roman" w:hAnsi="Times New Roman" w:cs="Times New Roman"/>
          <w:b/>
          <w:i/>
          <w:sz w:val="24"/>
          <w:szCs w:val="24"/>
        </w:rPr>
        <w:t>problem-oriented policing projects</w:t>
      </w:r>
      <w:r>
        <w:rPr>
          <w:rFonts w:ascii="Times New Roman" w:eastAsia="Times New Roman" w:hAnsi="Times New Roman" w:cs="Times New Roman"/>
          <w:sz w:val="24"/>
          <w:szCs w:val="24"/>
        </w:rPr>
        <w:t>” (Glenn, 2020). Following the trail of the discussion above the real-life interpretation of SARA can be derived from the driving forces of this particular model. It has been described that the SARA model has been integrated mainly by various police agencies as an effective tool for “</w:t>
      </w:r>
      <w:r>
        <w:rPr>
          <w:rFonts w:ascii="Times New Roman" w:eastAsia="Times New Roman" w:hAnsi="Times New Roman" w:cs="Times New Roman"/>
          <w:b/>
          <w:i/>
          <w:sz w:val="24"/>
          <w:szCs w:val="24"/>
        </w:rPr>
        <w:t>training curricula and problem-solving efforts</w:t>
      </w:r>
      <w:r>
        <w:rPr>
          <w:rFonts w:ascii="Times New Roman" w:eastAsia="Times New Roman" w:hAnsi="Times New Roman" w:cs="Times New Roman"/>
          <w:sz w:val="24"/>
          <w:szCs w:val="24"/>
        </w:rPr>
        <w:t>". Figure 2 has highlighted the key phases of this particular model as it has been integrated in terms of having the ability to deal with complicated decision-making processes.</w:t>
      </w:r>
    </w:p>
    <w:p w14:paraId="1B16694E" w14:textId="77777777" w:rsidR="00300D20" w:rsidRDefault="001070A9" w:rsidP="003A110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SARA model has been recognized to be imposed several times by the </w:t>
      </w:r>
      <w:r>
        <w:rPr>
          <w:rFonts w:ascii="Times New Roman" w:eastAsia="Times New Roman" w:hAnsi="Times New Roman" w:cs="Times New Roman"/>
          <w:b/>
          <w:i/>
          <w:sz w:val="24"/>
          <w:szCs w:val="24"/>
        </w:rPr>
        <w:t xml:space="preserve">US Department of Justice. </w:t>
      </w:r>
      <w:r>
        <w:rPr>
          <w:rFonts w:ascii="Times New Roman" w:eastAsia="Times New Roman" w:hAnsi="Times New Roman" w:cs="Times New Roman"/>
          <w:sz w:val="24"/>
          <w:szCs w:val="24"/>
        </w:rPr>
        <w:t xml:space="preserve">It has been observed that the respective justice department has imposed this model in terms of dealing with the crisis that has been generated from the core of </w:t>
      </w:r>
      <w:r>
        <w:rPr>
          <w:rFonts w:ascii="Times New Roman" w:eastAsia="Times New Roman" w:hAnsi="Times New Roman" w:cs="Times New Roman"/>
          <w:b/>
          <w:i/>
          <w:sz w:val="24"/>
          <w:szCs w:val="24"/>
        </w:rPr>
        <w:t xml:space="preserve">homelessness. </w:t>
      </w:r>
      <w:r>
        <w:rPr>
          <w:rFonts w:ascii="Times New Roman" w:eastAsia="Times New Roman" w:hAnsi="Times New Roman" w:cs="Times New Roman"/>
          <w:sz w:val="24"/>
          <w:szCs w:val="24"/>
        </w:rPr>
        <w:t xml:space="preserve">It has been recognized that various police organizations including </w:t>
      </w:r>
      <w:r>
        <w:rPr>
          <w:rFonts w:ascii="Times New Roman" w:eastAsia="Times New Roman" w:hAnsi="Times New Roman" w:cs="Times New Roman"/>
          <w:b/>
          <w:i/>
          <w:sz w:val="24"/>
          <w:szCs w:val="24"/>
        </w:rPr>
        <w:t xml:space="preserve">Charlotte-Mecklenburg Police Department, North Carolina, </w:t>
      </w:r>
      <w:r>
        <w:rPr>
          <w:rFonts w:ascii="Times New Roman" w:eastAsia="Times New Roman" w:hAnsi="Times New Roman" w:cs="Times New Roman"/>
          <w:sz w:val="24"/>
          <w:szCs w:val="24"/>
        </w:rPr>
        <w:t xml:space="preserve">have used </w:t>
      </w:r>
      <w:r>
        <w:rPr>
          <w:rFonts w:ascii="Times New Roman" w:eastAsia="Times New Roman" w:hAnsi="Times New Roman" w:cs="Times New Roman"/>
          <w:i/>
          <w:sz w:val="24"/>
          <w:szCs w:val="24"/>
        </w:rPr>
        <w:t xml:space="preserve">scanning </w:t>
      </w:r>
      <w:r w:rsidR="00BC5ADA">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keeping track of reports related to the respective context. The second phase of analysis has been designed by conducting a survey of every 911 call that has been made addressing a particular crisis. This particular model has been implemented within various real-life situations according to the fundamentals of a </w:t>
      </w:r>
      <w:r>
        <w:rPr>
          <w:rFonts w:ascii="Times New Roman" w:eastAsia="Times New Roman" w:hAnsi="Times New Roman" w:cs="Times New Roman"/>
          <w:sz w:val="24"/>
          <w:szCs w:val="24"/>
        </w:rPr>
        <w:lastRenderedPageBreak/>
        <w:t>structured “</w:t>
      </w:r>
      <w:r>
        <w:rPr>
          <w:rFonts w:ascii="Times New Roman" w:eastAsia="Times New Roman" w:hAnsi="Times New Roman" w:cs="Times New Roman"/>
          <w:b/>
          <w:i/>
          <w:sz w:val="24"/>
          <w:szCs w:val="24"/>
        </w:rPr>
        <w:t>Problem Analysis Triangle (PAT)</w:t>
      </w:r>
      <w:r>
        <w:rPr>
          <w:rFonts w:ascii="Times New Roman" w:eastAsia="Times New Roman" w:hAnsi="Times New Roman" w:cs="Times New Roman"/>
          <w:sz w:val="24"/>
          <w:szCs w:val="24"/>
        </w:rPr>
        <w:t>” (Xie and Baumer, 2019)</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This particular mechanism contains three fundamental factors “</w:t>
      </w:r>
      <w:r>
        <w:rPr>
          <w:rFonts w:ascii="Times New Roman" w:eastAsia="Times New Roman" w:hAnsi="Times New Roman" w:cs="Times New Roman"/>
          <w:b/>
          <w:i/>
          <w:sz w:val="24"/>
          <w:szCs w:val="24"/>
        </w:rPr>
        <w:t>location, victim, and offender</w:t>
      </w:r>
      <w:r>
        <w:rPr>
          <w:rFonts w:ascii="Times New Roman" w:eastAsia="Times New Roman" w:hAnsi="Times New Roman" w:cs="Times New Roman"/>
          <w:sz w:val="24"/>
          <w:szCs w:val="24"/>
        </w:rPr>
        <w:t>” as an integral portion of the SARA model.</w:t>
      </w:r>
    </w:p>
    <w:p w14:paraId="45D2A356" w14:textId="77777777" w:rsidR="001F38BB" w:rsidRPr="00A66A60" w:rsidRDefault="001070A9" w:rsidP="003A110B">
      <w:pPr>
        <w:pStyle w:val="Heading1"/>
        <w:spacing w:before="240" w:after="240"/>
        <w:rPr>
          <w:sz w:val="32"/>
          <w:szCs w:val="32"/>
        </w:rPr>
      </w:pPr>
      <w:bookmarkStart w:id="3" w:name="_Toc106036239"/>
      <w:r w:rsidRPr="00A66A60">
        <w:rPr>
          <w:sz w:val="32"/>
          <w:szCs w:val="32"/>
        </w:rPr>
        <w:t>Conclusion</w:t>
      </w:r>
      <w:bookmarkEnd w:id="3"/>
    </w:p>
    <w:p w14:paraId="3CD0F774" w14:textId="77777777" w:rsidR="001F38BB" w:rsidRDefault="001070A9" w:rsidP="003A110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Nowadays it is very important to get used to Evidence-based policing. Proper implementation of the EBP can make the crime rate less. Innovation is a key to success through evidence-based polishing. The main two key models of EBP are CDM and SARA, which are previously explained in depth in the discussion part. These two models are very helpful for police operations against any violence or vital incident. These models have many beneficial values as well as some weaknesses. This also can be solved by proper implementation of the steps of these models. The adoption of </w:t>
      </w:r>
      <w:r w:rsidR="00667BDC">
        <w:rPr>
          <w:rFonts w:ascii="Times New Roman" w:eastAsia="Times New Roman" w:hAnsi="Times New Roman" w:cs="Times New Roman"/>
          <w:sz w:val="24"/>
          <w:szCs w:val="24"/>
        </w:rPr>
        <w:t>evidence-based</w:t>
      </w:r>
      <w:r>
        <w:rPr>
          <w:rFonts w:ascii="Times New Roman" w:eastAsia="Times New Roman" w:hAnsi="Times New Roman" w:cs="Times New Roman"/>
          <w:sz w:val="24"/>
          <w:szCs w:val="24"/>
        </w:rPr>
        <w:t xml:space="preserve"> policy can make the police department strong for the agencies which are charged with the responsibility for services by the government. Evidence</w:t>
      </w:r>
      <w:r w:rsidR="00667BDC">
        <w:rPr>
          <w:rFonts w:ascii="Times New Roman" w:eastAsia="Times New Roman" w:hAnsi="Times New Roman" w:cs="Times New Roman"/>
          <w:sz w:val="24"/>
          <w:szCs w:val="24"/>
        </w:rPr>
        <w:t>-based policing</w:t>
      </w:r>
      <w:r>
        <w:rPr>
          <w:rFonts w:ascii="Times New Roman" w:eastAsia="Times New Roman" w:hAnsi="Times New Roman" w:cs="Times New Roman"/>
          <w:sz w:val="24"/>
          <w:szCs w:val="24"/>
        </w:rPr>
        <w:t xml:space="preserve"> is a process to involves police officers and academic staff in the creation of challenging policies, practices and decisions. EBP is an innovative process for any organization, it provides a faster </w:t>
      </w:r>
      <w:r w:rsidR="00667BDC">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capacity. Using the EBP police department can simply catch the criminals and also solve the case more efficiently.</w:t>
      </w:r>
    </w:p>
    <w:p w14:paraId="37B1F57B" w14:textId="77777777" w:rsidR="00300D20" w:rsidRDefault="001070A9" w:rsidP="003A110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1234F71" w14:textId="6721B8EC" w:rsidR="00300D20" w:rsidRPr="003E6070" w:rsidRDefault="001070A9" w:rsidP="003A110B">
      <w:pPr>
        <w:pStyle w:val="Heading1"/>
        <w:spacing w:after="240"/>
        <w:rPr>
          <w:sz w:val="32"/>
          <w:szCs w:val="32"/>
        </w:rPr>
      </w:pPr>
      <w:bookmarkStart w:id="4" w:name="_Toc106036240"/>
      <w:r w:rsidRPr="003E6070">
        <w:rPr>
          <w:sz w:val="32"/>
          <w:szCs w:val="32"/>
        </w:rPr>
        <w:lastRenderedPageBreak/>
        <w:t>Reference</w:t>
      </w:r>
      <w:bookmarkEnd w:id="4"/>
      <w:r w:rsidR="003E6070" w:rsidRPr="003E6070">
        <w:rPr>
          <w:sz w:val="32"/>
          <w:szCs w:val="32"/>
        </w:rPr>
        <w:t>s</w:t>
      </w:r>
    </w:p>
    <w:p w14:paraId="2F8966AD"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Bérubé, M., Tang, T.U., Fortin, F., Ozalp, S., Williams, M.L. and Burnap, P., 2020. Social media forensics applied to assessment of post–critical incident social reaction: The case of the 2017 Manchester Arena terrorist attack. </w:t>
      </w:r>
      <w:r w:rsidRPr="003A62FF">
        <w:rPr>
          <w:rFonts w:ascii="Times New Roman" w:eastAsia="Times New Roman" w:hAnsi="Times New Roman" w:cs="Times New Roman"/>
          <w:i/>
          <w:iCs/>
          <w:sz w:val="24"/>
          <w:szCs w:val="24"/>
        </w:rPr>
        <w:t>Forensic science international</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313</w:t>
      </w:r>
      <w:r w:rsidRPr="003A62FF">
        <w:rPr>
          <w:rFonts w:ascii="Times New Roman" w:eastAsia="Times New Roman" w:hAnsi="Times New Roman" w:cs="Times New Roman"/>
          <w:sz w:val="24"/>
          <w:szCs w:val="24"/>
        </w:rPr>
        <w:t>, p.110364.</w:t>
      </w:r>
    </w:p>
    <w:p w14:paraId="4534CBD8"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Burton, S. and McGregor, M., 2018. Enhancing SARA: a new approach in an increasingly complex world. </w:t>
      </w:r>
      <w:r w:rsidRPr="003A62FF">
        <w:rPr>
          <w:rFonts w:ascii="Times New Roman" w:eastAsia="Times New Roman" w:hAnsi="Times New Roman" w:cs="Times New Roman"/>
          <w:i/>
          <w:iCs/>
          <w:sz w:val="24"/>
          <w:szCs w:val="24"/>
        </w:rPr>
        <w:t>Crime Science</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7</w:t>
      </w:r>
      <w:r w:rsidRPr="003A62FF">
        <w:rPr>
          <w:rFonts w:ascii="Times New Roman" w:eastAsia="Times New Roman" w:hAnsi="Times New Roman" w:cs="Times New Roman"/>
          <w:sz w:val="24"/>
          <w:szCs w:val="24"/>
        </w:rPr>
        <w:t>(1), pp.1-5.</w:t>
      </w:r>
    </w:p>
    <w:p w14:paraId="157D04DF"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Chou, V.B., Walker, N. and Kanyangarara, M., 2019. Estimating the global impact of poor quality of care on maternal and neonatal outcomes in 81 low-and middle-income countries: a modeling study. </w:t>
      </w:r>
      <w:r w:rsidRPr="003A62FF">
        <w:rPr>
          <w:rFonts w:ascii="Times New Roman" w:eastAsia="Times New Roman" w:hAnsi="Times New Roman" w:cs="Times New Roman"/>
          <w:i/>
          <w:iCs/>
          <w:sz w:val="24"/>
          <w:szCs w:val="24"/>
        </w:rPr>
        <w:t>PLoS medicine</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16</w:t>
      </w:r>
      <w:r w:rsidRPr="003A62FF">
        <w:rPr>
          <w:rFonts w:ascii="Times New Roman" w:eastAsia="Times New Roman" w:hAnsi="Times New Roman" w:cs="Times New Roman"/>
          <w:sz w:val="24"/>
          <w:szCs w:val="24"/>
        </w:rPr>
        <w:t>(12), p.e1002990.</w:t>
      </w:r>
    </w:p>
    <w:p w14:paraId="7830ABF6" w14:textId="77777777" w:rsidR="003A62FF" w:rsidRPr="003A62FF" w:rsidRDefault="003A62FF" w:rsidP="003A110B">
      <w:pPr>
        <w:spacing w:before="240" w:after="240" w:line="360" w:lineRule="auto"/>
        <w:jc w:val="both"/>
        <w:rPr>
          <w:rFonts w:ascii="Times New Roman" w:hAnsi="Times New Roman" w:cs="Times New Roman"/>
          <w:sz w:val="24"/>
          <w:szCs w:val="24"/>
        </w:rPr>
      </w:pPr>
      <w:r w:rsidRPr="003A62FF">
        <w:rPr>
          <w:rFonts w:ascii="Times New Roman" w:hAnsi="Times New Roman" w:cs="Times New Roman"/>
          <w:sz w:val="24"/>
          <w:szCs w:val="24"/>
        </w:rPr>
        <w:t xml:space="preserve">Glenn, K., 2020. The S.A.R.A. Model. </w:t>
      </w:r>
      <w:r w:rsidRPr="003A62FF">
        <w:rPr>
          <w:rFonts w:ascii="Times New Roman" w:hAnsi="Times New Roman" w:cs="Times New Roman"/>
          <w:i/>
          <w:sz w:val="24"/>
          <w:szCs w:val="24"/>
        </w:rPr>
        <w:t xml:space="preserve">CRIMINAL JUSTICE KNOW HOW. </w:t>
      </w:r>
      <w:r w:rsidRPr="003A62FF">
        <w:rPr>
          <w:rFonts w:ascii="Times New Roman" w:hAnsi="Times New Roman" w:cs="Times New Roman"/>
          <w:sz w:val="24"/>
          <w:szCs w:val="24"/>
        </w:rPr>
        <w:t>Available at: https://criminaljusticeknowhow.com/the-sara-model/ [Accessed on 2 June 2022]</w:t>
      </w:r>
    </w:p>
    <w:p w14:paraId="7E41EB1C" w14:textId="77777777" w:rsidR="003A62FF" w:rsidRPr="003A62FF" w:rsidRDefault="003A62FF" w:rsidP="003A110B">
      <w:pPr>
        <w:spacing w:before="240" w:after="240" w:line="360" w:lineRule="auto"/>
        <w:jc w:val="both"/>
        <w:rPr>
          <w:rFonts w:ascii="Times New Roman" w:hAnsi="Times New Roman" w:cs="Times New Roman"/>
          <w:sz w:val="24"/>
          <w:szCs w:val="24"/>
        </w:rPr>
      </w:pPr>
      <w:r w:rsidRPr="003A62FF">
        <w:rPr>
          <w:rFonts w:ascii="Times New Roman" w:hAnsi="Times New Roman" w:cs="Times New Roman"/>
          <w:sz w:val="24"/>
          <w:szCs w:val="24"/>
        </w:rPr>
        <w:t>Harrington, K., Brown, M., Pinchin, J. and Sharples, S., 2018. Decision-making within missing person search. </w:t>
      </w:r>
      <w:r w:rsidRPr="003A62FF">
        <w:rPr>
          <w:rFonts w:ascii="Times New Roman" w:hAnsi="Times New Roman" w:cs="Times New Roman"/>
          <w:i/>
          <w:iCs/>
          <w:sz w:val="24"/>
          <w:szCs w:val="24"/>
        </w:rPr>
        <w:t>Cognition, Technology &amp; Work</w:t>
      </w:r>
      <w:r w:rsidRPr="003A62FF">
        <w:rPr>
          <w:rFonts w:ascii="Times New Roman" w:hAnsi="Times New Roman" w:cs="Times New Roman"/>
          <w:sz w:val="24"/>
          <w:szCs w:val="24"/>
        </w:rPr>
        <w:t>, </w:t>
      </w:r>
      <w:r w:rsidRPr="003A62FF">
        <w:rPr>
          <w:rFonts w:ascii="Times New Roman" w:hAnsi="Times New Roman" w:cs="Times New Roman"/>
          <w:i/>
          <w:iCs/>
          <w:sz w:val="24"/>
          <w:szCs w:val="24"/>
        </w:rPr>
        <w:t>20</w:t>
      </w:r>
      <w:r w:rsidRPr="003A62FF">
        <w:rPr>
          <w:rFonts w:ascii="Times New Roman" w:hAnsi="Times New Roman" w:cs="Times New Roman"/>
          <w:sz w:val="24"/>
          <w:szCs w:val="24"/>
        </w:rPr>
        <w:t>(4), pp.665-680.</w:t>
      </w:r>
    </w:p>
    <w:p w14:paraId="41E57CFE"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Hinkle, J.C., Weisburd, D., Telep, C.W. and Petersen, K., 2020. Problem</w:t>
      </w:r>
      <w:r w:rsidRPr="003A62FF">
        <w:rPr>
          <w:rFonts w:ascii="Cambria Math" w:eastAsia="Times New Roman" w:hAnsi="Cambria Math" w:cs="Times New Roman"/>
          <w:sz w:val="24"/>
          <w:szCs w:val="24"/>
        </w:rPr>
        <w:t>‐</w:t>
      </w:r>
      <w:r w:rsidRPr="003A62FF">
        <w:rPr>
          <w:rFonts w:ascii="Times New Roman" w:eastAsia="Times New Roman" w:hAnsi="Times New Roman" w:cs="Times New Roman"/>
          <w:sz w:val="24"/>
          <w:szCs w:val="24"/>
        </w:rPr>
        <w:t>oriented policing for reducing crime and disorder: An updated systematic review and meta</w:t>
      </w:r>
      <w:r w:rsidRPr="003A62FF">
        <w:rPr>
          <w:rFonts w:ascii="Cambria Math" w:eastAsia="Times New Roman" w:hAnsi="Cambria Math" w:cs="Times New Roman"/>
          <w:sz w:val="24"/>
          <w:szCs w:val="24"/>
        </w:rPr>
        <w:t>‐</w:t>
      </w:r>
      <w:r w:rsidRPr="003A62FF">
        <w:rPr>
          <w:rFonts w:ascii="Times New Roman" w:eastAsia="Times New Roman" w:hAnsi="Times New Roman" w:cs="Times New Roman"/>
          <w:sz w:val="24"/>
          <w:szCs w:val="24"/>
        </w:rPr>
        <w:t xml:space="preserve">analysis. </w:t>
      </w:r>
      <w:r w:rsidRPr="003A62FF">
        <w:rPr>
          <w:rFonts w:ascii="Times New Roman" w:eastAsia="Times New Roman" w:hAnsi="Times New Roman" w:cs="Times New Roman"/>
          <w:i/>
          <w:iCs/>
          <w:sz w:val="24"/>
          <w:szCs w:val="24"/>
        </w:rPr>
        <w:t>Campbell systematic reviews</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16</w:t>
      </w:r>
      <w:r w:rsidRPr="003A62FF">
        <w:rPr>
          <w:rFonts w:ascii="Times New Roman" w:eastAsia="Times New Roman" w:hAnsi="Times New Roman" w:cs="Times New Roman"/>
          <w:sz w:val="24"/>
          <w:szCs w:val="24"/>
        </w:rPr>
        <w:t>(2), p.e1089.</w:t>
      </w:r>
    </w:p>
    <w:p w14:paraId="1BF904CD"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Pappas, N. and Glyptou, K., 2021. Accommodation decision-making during the COVID-19 pandemic: Complexity insights from Greece. </w:t>
      </w:r>
      <w:r w:rsidRPr="003A62FF">
        <w:rPr>
          <w:rFonts w:ascii="Times New Roman" w:eastAsia="Times New Roman" w:hAnsi="Times New Roman" w:cs="Times New Roman"/>
          <w:i/>
          <w:iCs/>
          <w:sz w:val="24"/>
          <w:szCs w:val="24"/>
        </w:rPr>
        <w:t>International Journal of Hospitality Management</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93</w:t>
      </w:r>
      <w:r w:rsidRPr="003A62FF">
        <w:rPr>
          <w:rFonts w:ascii="Times New Roman" w:eastAsia="Times New Roman" w:hAnsi="Times New Roman" w:cs="Times New Roman"/>
          <w:sz w:val="24"/>
          <w:szCs w:val="24"/>
        </w:rPr>
        <w:t>, p.102767.</w:t>
      </w:r>
    </w:p>
    <w:p w14:paraId="3B39EEDC"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Smith, J.J., Santos, R.B. and Santos, R.G., 2018. Evidence-based policing and the stratified integration of crime analysis in police agencies: National survey results. </w:t>
      </w:r>
      <w:r w:rsidRPr="003A62FF">
        <w:rPr>
          <w:rFonts w:ascii="Times New Roman" w:eastAsia="Times New Roman" w:hAnsi="Times New Roman" w:cs="Times New Roman"/>
          <w:i/>
          <w:iCs/>
          <w:sz w:val="24"/>
          <w:szCs w:val="24"/>
        </w:rPr>
        <w:t>Policing: a journal of policy and practice</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12</w:t>
      </w:r>
      <w:r w:rsidRPr="003A62FF">
        <w:rPr>
          <w:rFonts w:ascii="Times New Roman" w:eastAsia="Times New Roman" w:hAnsi="Times New Roman" w:cs="Times New Roman"/>
          <w:sz w:val="24"/>
          <w:szCs w:val="24"/>
        </w:rPr>
        <w:t>(3), pp.303-315.</w:t>
      </w:r>
    </w:p>
    <w:p w14:paraId="388D4537"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Tam, C., da Costa Moura, E.J., Oliveira, T. and Varajão, J., 2020. The factors influencing the success of on-going agile software development projects. </w:t>
      </w:r>
      <w:r w:rsidRPr="003A62FF">
        <w:rPr>
          <w:rFonts w:ascii="Times New Roman" w:eastAsia="Times New Roman" w:hAnsi="Times New Roman" w:cs="Times New Roman"/>
          <w:i/>
          <w:iCs/>
          <w:sz w:val="24"/>
          <w:szCs w:val="24"/>
        </w:rPr>
        <w:t>International Journal of Project Management</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38</w:t>
      </w:r>
      <w:r w:rsidRPr="003A62FF">
        <w:rPr>
          <w:rFonts w:ascii="Times New Roman" w:eastAsia="Times New Roman" w:hAnsi="Times New Roman" w:cs="Times New Roman"/>
          <w:sz w:val="24"/>
          <w:szCs w:val="24"/>
        </w:rPr>
        <w:t>(3), pp.165-176.</w:t>
      </w:r>
    </w:p>
    <w:p w14:paraId="1EA519E9"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lastRenderedPageBreak/>
        <w:t xml:space="preserve">Tan, Y.M., Worley, R.R., Leonard, J.A. and Fisher, J.W., 2018. Challenges associated with applying physiologically based pharmacokinetic modeling for public health decision-making. </w:t>
      </w:r>
      <w:r w:rsidRPr="003A62FF">
        <w:rPr>
          <w:rFonts w:ascii="Times New Roman" w:eastAsia="Times New Roman" w:hAnsi="Times New Roman" w:cs="Times New Roman"/>
          <w:i/>
          <w:iCs/>
          <w:sz w:val="24"/>
          <w:szCs w:val="24"/>
        </w:rPr>
        <w:t>Toxicological Sciences</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162</w:t>
      </w:r>
      <w:r w:rsidRPr="003A62FF">
        <w:rPr>
          <w:rFonts w:ascii="Times New Roman" w:eastAsia="Times New Roman" w:hAnsi="Times New Roman" w:cs="Times New Roman"/>
          <w:sz w:val="24"/>
          <w:szCs w:val="24"/>
        </w:rPr>
        <w:t>(2), pp.341-348.</w:t>
      </w:r>
    </w:p>
    <w:p w14:paraId="3EDFCBB2" w14:textId="77777777" w:rsidR="003A62FF" w:rsidRPr="003A62FF" w:rsidRDefault="003A62FF" w:rsidP="003A110B">
      <w:pPr>
        <w:spacing w:before="240" w:after="240" w:line="360" w:lineRule="auto"/>
        <w:jc w:val="both"/>
        <w:rPr>
          <w:rFonts w:ascii="Times New Roman" w:eastAsia="Times New Roman" w:hAnsi="Times New Roman" w:cs="Times New Roman"/>
          <w:sz w:val="24"/>
          <w:szCs w:val="24"/>
        </w:rPr>
      </w:pPr>
      <w:r w:rsidRPr="003A62FF">
        <w:rPr>
          <w:rFonts w:ascii="Times New Roman" w:eastAsia="Times New Roman" w:hAnsi="Times New Roman" w:cs="Times New Roman"/>
          <w:sz w:val="24"/>
          <w:szCs w:val="24"/>
        </w:rPr>
        <w:t xml:space="preserve">Turan, U., Fidan, Y. and Yıldıran, C., 2019. Critical thinking as a qualified </w:t>
      </w:r>
      <w:proofErr w:type="gramStart"/>
      <w:r w:rsidRPr="003A62FF">
        <w:rPr>
          <w:rFonts w:ascii="Times New Roman" w:eastAsia="Times New Roman" w:hAnsi="Times New Roman" w:cs="Times New Roman"/>
          <w:sz w:val="24"/>
          <w:szCs w:val="24"/>
        </w:rPr>
        <w:t>decision making</w:t>
      </w:r>
      <w:proofErr w:type="gramEnd"/>
      <w:r w:rsidRPr="003A62FF">
        <w:rPr>
          <w:rFonts w:ascii="Times New Roman" w:eastAsia="Times New Roman" w:hAnsi="Times New Roman" w:cs="Times New Roman"/>
          <w:sz w:val="24"/>
          <w:szCs w:val="24"/>
        </w:rPr>
        <w:t xml:space="preserve"> tool. </w:t>
      </w:r>
      <w:r w:rsidRPr="003A62FF">
        <w:rPr>
          <w:rFonts w:ascii="Times New Roman" w:eastAsia="Times New Roman" w:hAnsi="Times New Roman" w:cs="Times New Roman"/>
          <w:i/>
          <w:iCs/>
          <w:sz w:val="24"/>
          <w:szCs w:val="24"/>
        </w:rPr>
        <w:t>Journal of History Culture and Art Research</w:t>
      </w:r>
      <w:r w:rsidRPr="003A62FF">
        <w:rPr>
          <w:rFonts w:ascii="Times New Roman" w:eastAsia="Times New Roman" w:hAnsi="Times New Roman" w:cs="Times New Roman"/>
          <w:sz w:val="24"/>
          <w:szCs w:val="24"/>
        </w:rPr>
        <w:t xml:space="preserve">, </w:t>
      </w:r>
      <w:r w:rsidRPr="003A62FF">
        <w:rPr>
          <w:rFonts w:ascii="Times New Roman" w:eastAsia="Times New Roman" w:hAnsi="Times New Roman" w:cs="Times New Roman"/>
          <w:i/>
          <w:iCs/>
          <w:sz w:val="24"/>
          <w:szCs w:val="24"/>
        </w:rPr>
        <w:t>8</w:t>
      </w:r>
      <w:r w:rsidRPr="003A62FF">
        <w:rPr>
          <w:rFonts w:ascii="Times New Roman" w:eastAsia="Times New Roman" w:hAnsi="Times New Roman" w:cs="Times New Roman"/>
          <w:sz w:val="24"/>
          <w:szCs w:val="24"/>
        </w:rPr>
        <w:t>(4), pp.1-18.</w:t>
      </w:r>
    </w:p>
    <w:p w14:paraId="2A965384" w14:textId="77777777" w:rsidR="003A62FF" w:rsidRPr="003A62FF" w:rsidRDefault="003A62FF" w:rsidP="003A110B">
      <w:pPr>
        <w:spacing w:before="240" w:after="240" w:line="360" w:lineRule="auto"/>
        <w:jc w:val="both"/>
        <w:rPr>
          <w:rFonts w:ascii="Times New Roman" w:hAnsi="Times New Roman" w:cs="Times New Roman"/>
          <w:sz w:val="24"/>
          <w:szCs w:val="24"/>
        </w:rPr>
      </w:pPr>
      <w:r w:rsidRPr="003A62FF">
        <w:rPr>
          <w:rFonts w:ascii="Times New Roman" w:hAnsi="Times New Roman" w:cs="Times New Roman"/>
          <w:sz w:val="24"/>
          <w:szCs w:val="24"/>
        </w:rPr>
        <w:t>Xie, M. and Baumer, E.P., 2019. Crime victims’ decisions to call the police: Past research and new directions. </w:t>
      </w:r>
      <w:r w:rsidRPr="003A62FF">
        <w:rPr>
          <w:rFonts w:ascii="Times New Roman" w:hAnsi="Times New Roman" w:cs="Times New Roman"/>
          <w:i/>
          <w:iCs/>
          <w:sz w:val="24"/>
          <w:szCs w:val="24"/>
        </w:rPr>
        <w:t>Annual Review of Criminology</w:t>
      </w:r>
      <w:r w:rsidRPr="003A62FF">
        <w:rPr>
          <w:rFonts w:ascii="Times New Roman" w:hAnsi="Times New Roman" w:cs="Times New Roman"/>
          <w:sz w:val="24"/>
          <w:szCs w:val="24"/>
        </w:rPr>
        <w:t>, </w:t>
      </w:r>
      <w:r w:rsidRPr="003A62FF">
        <w:rPr>
          <w:rFonts w:ascii="Times New Roman" w:hAnsi="Times New Roman" w:cs="Times New Roman"/>
          <w:i/>
          <w:iCs/>
          <w:sz w:val="24"/>
          <w:szCs w:val="24"/>
        </w:rPr>
        <w:t>2</w:t>
      </w:r>
      <w:r w:rsidRPr="003A62FF">
        <w:rPr>
          <w:rFonts w:ascii="Times New Roman" w:hAnsi="Times New Roman" w:cs="Times New Roman"/>
          <w:sz w:val="24"/>
          <w:szCs w:val="24"/>
        </w:rPr>
        <w:t>(1), pp.217-240.</w:t>
      </w:r>
    </w:p>
    <w:p w14:paraId="0970F42B" w14:textId="77777777" w:rsidR="001F38BB" w:rsidRPr="002F1D0E" w:rsidRDefault="001F38BB" w:rsidP="003A110B">
      <w:pPr>
        <w:spacing w:after="240" w:line="360" w:lineRule="auto"/>
        <w:jc w:val="both"/>
        <w:rPr>
          <w:rFonts w:ascii="Times New Roman" w:hAnsi="Times New Roman" w:cs="Times New Roman"/>
          <w:sz w:val="24"/>
          <w:szCs w:val="24"/>
        </w:rPr>
      </w:pPr>
    </w:p>
    <w:p w14:paraId="4D53CABF" w14:textId="77777777" w:rsidR="00580548" w:rsidRDefault="00580548" w:rsidP="003A110B">
      <w:pPr>
        <w:spacing w:after="240" w:line="360" w:lineRule="auto"/>
        <w:jc w:val="both"/>
        <w:rPr>
          <w:rFonts w:ascii="Times New Roman" w:eastAsia="Times New Roman" w:hAnsi="Times New Roman" w:cs="Times New Roman"/>
          <w:sz w:val="24"/>
          <w:szCs w:val="24"/>
        </w:rPr>
      </w:pPr>
    </w:p>
    <w:p w14:paraId="2295D2E9" w14:textId="77777777" w:rsidR="00580548" w:rsidRDefault="00580548" w:rsidP="003A110B">
      <w:pPr>
        <w:spacing w:after="240" w:line="360" w:lineRule="auto"/>
        <w:jc w:val="both"/>
        <w:rPr>
          <w:rFonts w:ascii="Times New Roman" w:eastAsia="Times New Roman" w:hAnsi="Times New Roman" w:cs="Times New Roman"/>
          <w:b/>
          <w:i/>
          <w:sz w:val="24"/>
          <w:szCs w:val="24"/>
        </w:rPr>
      </w:pPr>
    </w:p>
    <w:p w14:paraId="68C90018" w14:textId="77777777" w:rsidR="00580548" w:rsidRDefault="00580548" w:rsidP="003A110B">
      <w:pPr>
        <w:spacing w:after="240" w:line="360" w:lineRule="auto"/>
        <w:jc w:val="both"/>
        <w:rPr>
          <w:rFonts w:ascii="Times New Roman" w:eastAsia="Times New Roman" w:hAnsi="Times New Roman" w:cs="Times New Roman"/>
          <w:b/>
          <w:i/>
          <w:sz w:val="24"/>
          <w:szCs w:val="24"/>
        </w:rPr>
      </w:pPr>
    </w:p>
    <w:p w14:paraId="0215958E" w14:textId="77777777" w:rsidR="00580548" w:rsidRDefault="00580548" w:rsidP="003A110B">
      <w:pPr>
        <w:spacing w:after="240" w:line="360" w:lineRule="auto"/>
        <w:jc w:val="both"/>
        <w:rPr>
          <w:rFonts w:ascii="Times New Roman" w:eastAsia="Times New Roman" w:hAnsi="Times New Roman" w:cs="Times New Roman"/>
          <w:b/>
          <w:sz w:val="24"/>
          <w:szCs w:val="24"/>
        </w:rPr>
      </w:pPr>
    </w:p>
    <w:p w14:paraId="11170D3B" w14:textId="77777777" w:rsidR="00580548" w:rsidRDefault="00580548" w:rsidP="003A110B">
      <w:pPr>
        <w:spacing w:after="240" w:line="360" w:lineRule="auto"/>
        <w:jc w:val="both"/>
        <w:rPr>
          <w:rFonts w:ascii="Times New Roman" w:eastAsia="Times New Roman" w:hAnsi="Times New Roman" w:cs="Times New Roman"/>
          <w:sz w:val="24"/>
          <w:szCs w:val="24"/>
        </w:rPr>
      </w:pPr>
    </w:p>
    <w:p w14:paraId="3C633D18" w14:textId="77777777" w:rsidR="00580548" w:rsidRDefault="00580548" w:rsidP="003A110B">
      <w:pPr>
        <w:spacing w:after="240" w:line="360" w:lineRule="auto"/>
        <w:jc w:val="both"/>
        <w:rPr>
          <w:rFonts w:ascii="Times New Roman" w:eastAsia="Times New Roman" w:hAnsi="Times New Roman" w:cs="Times New Roman"/>
          <w:sz w:val="24"/>
          <w:szCs w:val="24"/>
        </w:rPr>
      </w:pPr>
    </w:p>
    <w:p w14:paraId="462B9617" w14:textId="77777777" w:rsidR="00580548" w:rsidRDefault="00580548" w:rsidP="003A110B">
      <w:pPr>
        <w:spacing w:after="240" w:line="360" w:lineRule="auto"/>
        <w:jc w:val="both"/>
        <w:rPr>
          <w:rFonts w:ascii="Times New Roman" w:eastAsia="Times New Roman" w:hAnsi="Times New Roman" w:cs="Times New Roman"/>
          <w:sz w:val="24"/>
          <w:szCs w:val="24"/>
        </w:rPr>
      </w:pPr>
    </w:p>
    <w:sectPr w:rsidR="00580548" w:rsidSect="00597B1C">
      <w:footerReference w:type="default" r:id="rId9"/>
      <w:pgSz w:w="11906" w:h="16838" w:code="9"/>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7B6BB" w14:textId="77777777" w:rsidR="005A3484" w:rsidRDefault="005A3484">
      <w:pPr>
        <w:spacing w:line="240" w:lineRule="auto"/>
      </w:pPr>
      <w:r>
        <w:separator/>
      </w:r>
    </w:p>
  </w:endnote>
  <w:endnote w:type="continuationSeparator" w:id="0">
    <w:p w14:paraId="0097BFE2" w14:textId="77777777" w:rsidR="005A3484" w:rsidRDefault="005A34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2640503"/>
      <w:docPartObj>
        <w:docPartGallery w:val="Page Numbers (Bottom of Page)"/>
        <w:docPartUnique/>
      </w:docPartObj>
    </w:sdtPr>
    <w:sdtEndPr/>
    <w:sdtContent>
      <w:p w14:paraId="18EEF9A0" w14:textId="77777777" w:rsidR="00A0136C" w:rsidRPr="00A0136C" w:rsidRDefault="001070A9" w:rsidP="00A0136C">
        <w:pPr>
          <w:pStyle w:val="Footer"/>
          <w:spacing w:line="360" w:lineRule="auto"/>
          <w:jc w:val="right"/>
          <w:rPr>
            <w:rFonts w:ascii="Times New Roman" w:hAnsi="Times New Roman" w:cs="Times New Roman"/>
            <w:sz w:val="20"/>
            <w:szCs w:val="20"/>
          </w:rPr>
        </w:pPr>
        <w:r w:rsidRPr="00A0136C">
          <w:rPr>
            <w:rFonts w:ascii="Times New Roman" w:hAnsi="Times New Roman" w:cs="Times New Roman"/>
            <w:sz w:val="20"/>
            <w:szCs w:val="20"/>
          </w:rPr>
          <w:fldChar w:fldCharType="begin"/>
        </w:r>
        <w:r w:rsidRPr="00A0136C">
          <w:rPr>
            <w:rFonts w:ascii="Times New Roman" w:hAnsi="Times New Roman" w:cs="Times New Roman"/>
            <w:sz w:val="20"/>
            <w:szCs w:val="20"/>
          </w:rPr>
          <w:instrText xml:space="preserve"> PAGE   \* MERGEFORMAT </w:instrText>
        </w:r>
        <w:r w:rsidRPr="00A0136C">
          <w:rPr>
            <w:rFonts w:ascii="Times New Roman" w:hAnsi="Times New Roman" w:cs="Times New Roman"/>
            <w:sz w:val="20"/>
            <w:szCs w:val="20"/>
          </w:rPr>
          <w:fldChar w:fldCharType="separate"/>
        </w:r>
        <w:r w:rsidR="001F38BB">
          <w:rPr>
            <w:rFonts w:ascii="Times New Roman" w:hAnsi="Times New Roman" w:cs="Times New Roman"/>
            <w:noProof/>
            <w:sz w:val="20"/>
            <w:szCs w:val="20"/>
          </w:rPr>
          <w:t>2</w:t>
        </w:r>
        <w:r w:rsidRPr="00A0136C">
          <w:rPr>
            <w:rFonts w:ascii="Times New Roman" w:hAnsi="Times New Roman" w:cs="Times New Roman"/>
            <w:sz w:val="20"/>
            <w:szCs w:val="20"/>
          </w:rPr>
          <w:fldChar w:fldCharType="end"/>
        </w:r>
      </w:p>
    </w:sdtContent>
  </w:sdt>
  <w:p w14:paraId="22EB40B9" w14:textId="77777777" w:rsidR="00A0136C" w:rsidRPr="00A0136C" w:rsidRDefault="00A0136C" w:rsidP="00A0136C">
    <w:pPr>
      <w:pStyle w:val="Footer"/>
      <w:spacing w:line="360" w:lineRule="auto"/>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F15F0" w14:textId="77777777" w:rsidR="005A3484" w:rsidRDefault="005A3484">
      <w:pPr>
        <w:spacing w:line="240" w:lineRule="auto"/>
      </w:pPr>
      <w:r>
        <w:separator/>
      </w:r>
    </w:p>
  </w:footnote>
  <w:footnote w:type="continuationSeparator" w:id="0">
    <w:p w14:paraId="65A319A8" w14:textId="77777777" w:rsidR="005A3484" w:rsidRDefault="005A34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D7FC3"/>
    <w:multiLevelType w:val="hybridMultilevel"/>
    <w:tmpl w:val="6AACE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C5126D"/>
    <w:multiLevelType w:val="hybridMultilevel"/>
    <w:tmpl w:val="3940D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548"/>
    <w:rsid w:val="00004991"/>
    <w:rsid w:val="000B5136"/>
    <w:rsid w:val="001070A9"/>
    <w:rsid w:val="001318FC"/>
    <w:rsid w:val="001F38BB"/>
    <w:rsid w:val="001F6486"/>
    <w:rsid w:val="002C2D36"/>
    <w:rsid w:val="002F1D0E"/>
    <w:rsid w:val="00300D20"/>
    <w:rsid w:val="003810F1"/>
    <w:rsid w:val="003A110B"/>
    <w:rsid w:val="003A62FF"/>
    <w:rsid w:val="003E6070"/>
    <w:rsid w:val="003F0E25"/>
    <w:rsid w:val="004E14F3"/>
    <w:rsid w:val="00580548"/>
    <w:rsid w:val="00597B1C"/>
    <w:rsid w:val="005A3484"/>
    <w:rsid w:val="00667BDC"/>
    <w:rsid w:val="007C5CB0"/>
    <w:rsid w:val="007E727D"/>
    <w:rsid w:val="00896C94"/>
    <w:rsid w:val="008B6FA6"/>
    <w:rsid w:val="00A0136C"/>
    <w:rsid w:val="00A101FF"/>
    <w:rsid w:val="00A66A60"/>
    <w:rsid w:val="00A95449"/>
    <w:rsid w:val="00B23249"/>
    <w:rsid w:val="00B41064"/>
    <w:rsid w:val="00B71B90"/>
    <w:rsid w:val="00BC5ADA"/>
    <w:rsid w:val="00CB5033"/>
    <w:rsid w:val="00D25DE8"/>
    <w:rsid w:val="00D85C9B"/>
    <w:rsid w:val="00FB00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9B6C3"/>
  <w15:docId w15:val="{5116C94A-54B4-4EAF-AEEA-73BED162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80548"/>
  </w:style>
  <w:style w:type="paragraph" w:styleId="Heading1">
    <w:name w:val="heading 1"/>
    <w:basedOn w:val="Normal"/>
    <w:next w:val="Normal"/>
    <w:rsid w:val="00B41064"/>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580548"/>
    <w:pPr>
      <w:keepNext/>
      <w:keepLines/>
      <w:spacing w:before="360" w:after="120"/>
      <w:outlineLvl w:val="1"/>
    </w:pPr>
    <w:rPr>
      <w:sz w:val="32"/>
      <w:szCs w:val="32"/>
    </w:rPr>
  </w:style>
  <w:style w:type="paragraph" w:styleId="Heading3">
    <w:name w:val="heading 3"/>
    <w:basedOn w:val="Normal"/>
    <w:next w:val="Normal"/>
    <w:rsid w:val="00580548"/>
    <w:pPr>
      <w:keepNext/>
      <w:keepLines/>
      <w:spacing w:before="320" w:after="80"/>
      <w:outlineLvl w:val="2"/>
    </w:pPr>
    <w:rPr>
      <w:color w:val="434343"/>
      <w:sz w:val="28"/>
      <w:szCs w:val="28"/>
    </w:rPr>
  </w:style>
  <w:style w:type="paragraph" w:styleId="Heading4">
    <w:name w:val="heading 4"/>
    <w:basedOn w:val="Normal"/>
    <w:next w:val="Normal"/>
    <w:rsid w:val="00580548"/>
    <w:pPr>
      <w:keepNext/>
      <w:keepLines/>
      <w:spacing w:before="280" w:after="80"/>
      <w:outlineLvl w:val="3"/>
    </w:pPr>
    <w:rPr>
      <w:color w:val="666666"/>
      <w:sz w:val="24"/>
      <w:szCs w:val="24"/>
    </w:rPr>
  </w:style>
  <w:style w:type="paragraph" w:styleId="Heading5">
    <w:name w:val="heading 5"/>
    <w:basedOn w:val="Normal"/>
    <w:next w:val="Normal"/>
    <w:rsid w:val="00580548"/>
    <w:pPr>
      <w:keepNext/>
      <w:keepLines/>
      <w:spacing w:before="240" w:after="80"/>
      <w:outlineLvl w:val="4"/>
    </w:pPr>
    <w:rPr>
      <w:color w:val="666666"/>
    </w:rPr>
  </w:style>
  <w:style w:type="paragraph" w:styleId="Heading6">
    <w:name w:val="heading 6"/>
    <w:basedOn w:val="Normal"/>
    <w:next w:val="Normal"/>
    <w:rsid w:val="0058054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80548"/>
    <w:pPr>
      <w:keepNext/>
      <w:keepLines/>
      <w:spacing w:after="60"/>
    </w:pPr>
    <w:rPr>
      <w:sz w:val="52"/>
      <w:szCs w:val="52"/>
    </w:rPr>
  </w:style>
  <w:style w:type="paragraph" w:styleId="Subtitle">
    <w:name w:val="Subtitle"/>
    <w:basedOn w:val="Normal"/>
    <w:next w:val="Normal"/>
    <w:rsid w:val="0058054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00D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0D20"/>
    <w:rPr>
      <w:rFonts w:ascii="Tahoma" w:hAnsi="Tahoma" w:cs="Tahoma"/>
      <w:sz w:val="16"/>
      <w:szCs w:val="16"/>
    </w:rPr>
  </w:style>
  <w:style w:type="paragraph" w:styleId="TOCHeading">
    <w:name w:val="TOC Heading"/>
    <w:basedOn w:val="Heading1"/>
    <w:next w:val="Normal"/>
    <w:uiPriority w:val="39"/>
    <w:unhideWhenUsed/>
    <w:qFormat/>
    <w:rsid w:val="001318FC"/>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1318FC"/>
    <w:pPr>
      <w:spacing w:after="100"/>
    </w:pPr>
  </w:style>
  <w:style w:type="character" w:styleId="Hyperlink">
    <w:name w:val="Hyperlink"/>
    <w:basedOn w:val="DefaultParagraphFont"/>
    <w:uiPriority w:val="99"/>
    <w:unhideWhenUsed/>
    <w:rsid w:val="001318FC"/>
    <w:rPr>
      <w:color w:val="0000FF" w:themeColor="hyperlink"/>
      <w:u w:val="single"/>
    </w:rPr>
  </w:style>
  <w:style w:type="paragraph" w:styleId="Header">
    <w:name w:val="header"/>
    <w:basedOn w:val="Normal"/>
    <w:link w:val="HeaderChar"/>
    <w:uiPriority w:val="99"/>
    <w:semiHidden/>
    <w:unhideWhenUsed/>
    <w:rsid w:val="00A0136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136C"/>
  </w:style>
  <w:style w:type="paragraph" w:styleId="Footer">
    <w:name w:val="footer"/>
    <w:basedOn w:val="Normal"/>
    <w:link w:val="FooterChar"/>
    <w:uiPriority w:val="99"/>
    <w:unhideWhenUsed/>
    <w:rsid w:val="00A0136C"/>
    <w:pPr>
      <w:tabs>
        <w:tab w:val="center" w:pos="4680"/>
        <w:tab w:val="right" w:pos="9360"/>
      </w:tabs>
      <w:spacing w:line="240" w:lineRule="auto"/>
    </w:pPr>
  </w:style>
  <w:style w:type="character" w:customStyle="1" w:styleId="FooterChar">
    <w:name w:val="Footer Char"/>
    <w:basedOn w:val="DefaultParagraphFont"/>
    <w:link w:val="Footer"/>
    <w:uiPriority w:val="99"/>
    <w:rsid w:val="00A0136C"/>
  </w:style>
  <w:style w:type="paragraph" w:customStyle="1" w:styleId="Normal1">
    <w:name w:val="Normal1"/>
    <w:rsid w:val="001F38BB"/>
  </w:style>
  <w:style w:type="paragraph" w:styleId="ListParagraph">
    <w:name w:val="List Paragraph"/>
    <w:basedOn w:val="Normal"/>
    <w:uiPriority w:val="34"/>
    <w:qFormat/>
    <w:rsid w:val="00597B1C"/>
    <w:pPr>
      <w:ind w:left="720"/>
      <w:contextualSpacing/>
    </w:pPr>
  </w:style>
  <w:style w:type="paragraph" w:styleId="NoSpacing">
    <w:name w:val="No Spacing"/>
    <w:uiPriority w:val="1"/>
    <w:qFormat/>
    <w:rsid w:val="001F6486"/>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B11A23-C018-41C0-8E91-90EFF9B22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Taijul Islam</cp:lastModifiedBy>
  <cp:revision>2</cp:revision>
  <dcterms:created xsi:type="dcterms:W3CDTF">2022-06-13T07:34:00Z</dcterms:created>
  <dcterms:modified xsi:type="dcterms:W3CDTF">2022-06-15T11:59:00Z</dcterms:modified>
</cp:coreProperties>
</file>