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C1F73" w14:textId="77777777" w:rsidR="0070293F" w:rsidRDefault="0070293F" w:rsidP="00736C93">
      <w:pPr>
        <w:spacing w:line="360" w:lineRule="auto"/>
        <w:rPr>
          <w:rFonts w:asciiTheme="minorBidi" w:hAnsiTheme="minorBidi"/>
          <w:b/>
          <w:bCs/>
          <w:sz w:val="22"/>
          <w:szCs w:val="22"/>
        </w:rPr>
      </w:pPr>
    </w:p>
    <w:p w14:paraId="1341050A" w14:textId="77777777" w:rsidR="0070293F" w:rsidRDefault="0070293F" w:rsidP="00736C93">
      <w:pPr>
        <w:spacing w:line="360" w:lineRule="auto"/>
        <w:rPr>
          <w:rFonts w:asciiTheme="minorBidi" w:hAnsiTheme="minorBidi"/>
          <w:b/>
          <w:bCs/>
          <w:sz w:val="22"/>
          <w:szCs w:val="22"/>
        </w:rPr>
      </w:pPr>
    </w:p>
    <w:p w14:paraId="3D9F855A" w14:textId="45F9ED56" w:rsidR="00AB0241" w:rsidRPr="00AB0241" w:rsidRDefault="00AB0241" w:rsidP="00AB0241">
      <w:pPr>
        <w:spacing w:line="360" w:lineRule="auto"/>
        <w:jc w:val="center"/>
        <w:rPr>
          <w:rFonts w:asciiTheme="minorBidi" w:hAnsiTheme="minorBidi"/>
          <w:b/>
          <w:bCs/>
          <w:sz w:val="22"/>
          <w:szCs w:val="22"/>
        </w:rPr>
      </w:pPr>
      <w:r>
        <w:rPr>
          <w:rFonts w:asciiTheme="minorBidi" w:hAnsiTheme="minorBidi"/>
          <w:b/>
          <w:bCs/>
          <w:sz w:val="22"/>
          <w:szCs w:val="22"/>
        </w:rPr>
        <w:t>H</w:t>
      </w:r>
      <w:r w:rsidRPr="00AB0241">
        <w:rPr>
          <w:rFonts w:asciiTheme="minorBidi" w:hAnsiTheme="minorBidi"/>
          <w:b/>
          <w:bCs/>
          <w:sz w:val="22"/>
          <w:szCs w:val="22"/>
        </w:rPr>
        <w:t xml:space="preserve">ow the ‘Early Help’ system is signposted to UK families by their local authority website.  </w:t>
      </w:r>
    </w:p>
    <w:p w14:paraId="2BCBB061" w14:textId="77777777" w:rsidR="00AB0241" w:rsidRPr="00AB0241" w:rsidRDefault="00AB0241" w:rsidP="00AB0241">
      <w:pPr>
        <w:spacing w:line="360" w:lineRule="auto"/>
        <w:jc w:val="center"/>
        <w:rPr>
          <w:rFonts w:asciiTheme="minorBidi" w:hAnsiTheme="minorBidi"/>
          <w:b/>
          <w:bCs/>
          <w:sz w:val="22"/>
          <w:szCs w:val="22"/>
        </w:rPr>
      </w:pPr>
    </w:p>
    <w:p w14:paraId="0CAAEF54" w14:textId="0CD708FE" w:rsidR="00736C93" w:rsidRDefault="00736C93" w:rsidP="00F73DAA">
      <w:pPr>
        <w:spacing w:line="360" w:lineRule="auto"/>
        <w:jc w:val="center"/>
        <w:rPr>
          <w:rFonts w:asciiTheme="minorBidi" w:hAnsiTheme="minorBidi"/>
          <w:sz w:val="22"/>
          <w:szCs w:val="22"/>
        </w:rPr>
      </w:pPr>
      <w:r w:rsidRPr="00736C93">
        <w:rPr>
          <w:rFonts w:asciiTheme="minorBidi" w:hAnsiTheme="minorBidi"/>
          <w:b/>
          <w:bCs/>
          <w:sz w:val="22"/>
          <w:szCs w:val="22"/>
        </w:rPr>
        <w:t>Student Name:</w:t>
      </w:r>
      <w:r w:rsidR="00DE056D">
        <w:rPr>
          <w:rFonts w:asciiTheme="minorBidi" w:hAnsiTheme="minorBidi"/>
          <w:b/>
          <w:bCs/>
          <w:sz w:val="22"/>
          <w:szCs w:val="22"/>
        </w:rPr>
        <w:t xml:space="preserve"> Ola AbuSaid</w:t>
      </w:r>
      <w:r w:rsidRPr="00736C93">
        <w:rPr>
          <w:rFonts w:asciiTheme="minorBidi" w:hAnsiTheme="minorBidi"/>
          <w:sz w:val="22"/>
          <w:szCs w:val="22"/>
        </w:rPr>
        <w:br/>
      </w:r>
      <w:r w:rsidRPr="00736C93">
        <w:rPr>
          <w:rFonts w:asciiTheme="minorBidi" w:hAnsiTheme="minorBidi"/>
          <w:b/>
          <w:bCs/>
          <w:sz w:val="22"/>
          <w:szCs w:val="22"/>
        </w:rPr>
        <w:t>Student Number:</w:t>
      </w:r>
      <w:r w:rsidR="004562E4">
        <w:rPr>
          <w:rFonts w:asciiTheme="minorBidi" w:hAnsiTheme="minorBidi"/>
          <w:b/>
          <w:bCs/>
          <w:sz w:val="22"/>
          <w:szCs w:val="22"/>
        </w:rPr>
        <w:t xml:space="preserve"> 2408409</w:t>
      </w:r>
      <w:r w:rsidRPr="00736C93">
        <w:rPr>
          <w:rFonts w:asciiTheme="minorBidi" w:hAnsiTheme="minorBidi"/>
          <w:sz w:val="22"/>
          <w:szCs w:val="22"/>
        </w:rPr>
        <w:br/>
      </w:r>
      <w:r w:rsidRPr="00736C93">
        <w:rPr>
          <w:rFonts w:asciiTheme="minorBidi" w:hAnsiTheme="minorBidi"/>
          <w:b/>
          <w:bCs/>
          <w:sz w:val="22"/>
          <w:szCs w:val="22"/>
        </w:rPr>
        <w:t>Module Code: BMHP5021</w:t>
      </w:r>
    </w:p>
    <w:p w14:paraId="1CF3AEEF" w14:textId="77777777" w:rsidR="00F73DAA" w:rsidRPr="00F73DAA" w:rsidRDefault="00F73DAA" w:rsidP="00F73DAA">
      <w:pPr>
        <w:spacing w:line="360" w:lineRule="auto"/>
        <w:jc w:val="center"/>
        <w:rPr>
          <w:rFonts w:asciiTheme="minorBidi" w:hAnsiTheme="minorBidi"/>
          <w:sz w:val="22"/>
          <w:szCs w:val="22"/>
        </w:rPr>
      </w:pPr>
    </w:p>
    <w:p w14:paraId="612F69DC" w14:textId="77777777" w:rsidR="00F73DAA" w:rsidRPr="00F73DAA" w:rsidRDefault="00F73DAA" w:rsidP="00F73DAA">
      <w:pPr>
        <w:spacing w:line="360" w:lineRule="auto"/>
        <w:jc w:val="center"/>
        <w:rPr>
          <w:rFonts w:asciiTheme="minorBidi" w:hAnsiTheme="minorBidi"/>
          <w:sz w:val="22"/>
          <w:szCs w:val="22"/>
        </w:rPr>
      </w:pPr>
    </w:p>
    <w:p w14:paraId="7008EC30" w14:textId="77777777" w:rsidR="00F73DAA" w:rsidRPr="00736C93" w:rsidRDefault="00F73DAA" w:rsidP="00F73DAA">
      <w:pPr>
        <w:spacing w:line="360" w:lineRule="auto"/>
        <w:jc w:val="center"/>
        <w:rPr>
          <w:rFonts w:asciiTheme="minorBidi" w:hAnsiTheme="minorBidi"/>
          <w:sz w:val="22"/>
          <w:szCs w:val="22"/>
        </w:rPr>
      </w:pPr>
    </w:p>
    <w:p w14:paraId="0B53F8F7"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1. Introduction</w:t>
      </w:r>
    </w:p>
    <w:p w14:paraId="2F82C132"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Early intervention and safeguarding are central to health and social care practice in the United Kingdom. Local authorities have a statutory responsibility to promote the welfare of children and young people and to support families through preventative services designed to address emerging needs before they escalate into safeguarding concerns. One of the most important elements of this preventative approach is the Early Help system, which aims to provide timely and coordinated support to families experiencing difficulties. Early Help services are designed to identify problems at the earliest possible stage and offer support before issues become more serious.</w:t>
      </w:r>
    </w:p>
    <w:p w14:paraId="463A6E1C"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This approach reflects the broader safeguarding framework outlined in national policy, particularly </w:t>
      </w:r>
      <w:r w:rsidRPr="006E7AFE">
        <w:rPr>
          <w:rFonts w:asciiTheme="minorBidi" w:hAnsiTheme="minorBidi"/>
          <w:i/>
          <w:iCs/>
          <w:sz w:val="22"/>
          <w:szCs w:val="22"/>
        </w:rPr>
        <w:t>Working Together to Safeguard Children</w:t>
      </w:r>
      <w:r w:rsidRPr="006E7AFE">
        <w:rPr>
          <w:rFonts w:asciiTheme="minorBidi" w:hAnsiTheme="minorBidi"/>
          <w:sz w:val="22"/>
          <w:szCs w:val="22"/>
        </w:rPr>
        <w:t>, which emphasises that protecting children is a shared responsibility between professionals, organisations, and communities (Department for Education, 2023). Early Help therefore plays a critical role in supporting family wellbeing, strengthening resilience, and preventing the need for more intensive statutory interventions. By addressing issues early, families can receive guidance on parenting, youth mental health, financial advice, and support for children with special educational needs.</w:t>
      </w:r>
    </w:p>
    <w:p w14:paraId="4A9F04EF" w14:textId="0EEAE1C3"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Local authority websites are often the </w:t>
      </w:r>
      <w:r w:rsidR="00F73DAA" w:rsidRPr="00F73DAA">
        <w:rPr>
          <w:rFonts w:asciiTheme="minorBidi" w:hAnsiTheme="minorBidi"/>
          <w:sz w:val="22"/>
          <w:szCs w:val="22"/>
        </w:rPr>
        <w:t>first-place</w:t>
      </w:r>
      <w:r w:rsidRPr="006E7AFE">
        <w:rPr>
          <w:rFonts w:asciiTheme="minorBidi" w:hAnsiTheme="minorBidi"/>
          <w:sz w:val="22"/>
          <w:szCs w:val="22"/>
        </w:rPr>
        <w:t xml:space="preserve"> families go when searching for support services. As a result, the way information about Early Help is presented online is extremely important. Websites that provide clear, accessible, and well-organised information can help families understand what support is available, how to access it, and what outcomes they can </w:t>
      </w:r>
      <w:r w:rsidRPr="006E7AFE">
        <w:rPr>
          <w:rFonts w:asciiTheme="minorBidi" w:hAnsiTheme="minorBidi"/>
          <w:sz w:val="22"/>
          <w:szCs w:val="22"/>
        </w:rPr>
        <w:lastRenderedPageBreak/>
        <w:t>expect. Conversely, websites that contain complex language, unclear navigation, or professional jargon may discourage families from seeking help at an early stage, potentially increasing risks for children.</w:t>
      </w:r>
    </w:p>
    <w:p w14:paraId="518D19B8"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This report examines how Early Help services are communicated through the websites of three local authorities: Leeds City Council, Leicestershire County Council, and Norfolk County Council. The report evaluates the accessibility, clarity, and range of information provided by each website. It also compares the strengths and weaknesses of each authority’s approach to signposting Early Help services. The report concludes by identifying which website provides the most effective communication of Early Help services and offers practical recommendations for improvement.</w:t>
      </w:r>
    </w:p>
    <w:p w14:paraId="2D2079F7"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While Early Help is widely recognised as an effective preventative strategy, its success depends on how accessible and understandable services are to families, highlighting the critical role of clear communication through local authority websites. Moreover, in a digital age, online accessibility is a key element of safeguarding, as timely access to information can prevent crises from escalating.</w:t>
      </w:r>
    </w:p>
    <w:p w14:paraId="7AC6A0D5" w14:textId="77777777" w:rsidR="00F73DAA" w:rsidRPr="00F73DAA" w:rsidRDefault="00F73DAA" w:rsidP="00F73DAA">
      <w:pPr>
        <w:spacing w:line="360" w:lineRule="auto"/>
        <w:rPr>
          <w:rFonts w:asciiTheme="minorBidi" w:hAnsiTheme="minorBidi"/>
          <w:sz w:val="22"/>
          <w:szCs w:val="22"/>
        </w:rPr>
      </w:pPr>
    </w:p>
    <w:p w14:paraId="1254F78A" w14:textId="5B021AAF"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2. The Early Help System</w:t>
      </w:r>
    </w:p>
    <w:p w14:paraId="60A93722"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Early Help refers to the provision of support to children, young people, and families as soon as difficulties emerge, with the aim of preventing problems from escalating into more serious safeguarding concerns (Department for Education, 2023). It represents a preventative approach within the safeguarding system and aims to improve outcomes for families by addressing challenges at an early stage.</w:t>
      </w:r>
    </w:p>
    <w:p w14:paraId="56B4F090"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 Early Help System Guide explains that early intervention can reduce the need for statutory services by supporting families before problems become severe (HM Government, 2020). Early Help services may address a wide range of issues affecting families, including poor school attendance, mental health difficulties, housing instability, domestic abuse, and financial stress. Services can include family hubs, parenting programmes, youth mentoring, counselling, and specialist support for children with additional needs. By addressing these issues early, services can help families build resilience and improve long-term wellbeing.</w:t>
      </w:r>
    </w:p>
    <w:p w14:paraId="767D9CA6"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The concept of early intervention has been widely supported within UK social policy. Allen (2011) highlights that providing support during the early stages of difficulty can significantly improve outcomes for children and reduce the likelihood of more serious social problems developing later in life. Early intervention programmes can therefore benefit both families </w:t>
      </w:r>
      <w:r w:rsidRPr="006E7AFE">
        <w:rPr>
          <w:rFonts w:asciiTheme="minorBidi" w:hAnsiTheme="minorBidi"/>
          <w:sz w:val="22"/>
          <w:szCs w:val="22"/>
        </w:rPr>
        <w:lastRenderedPageBreak/>
        <w:t>and wider society by reducing the need for more intensive and costly services, while also promoting equality and social inclusion.</w:t>
      </w:r>
    </w:p>
    <w:p w14:paraId="4BEF926D"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Key principles of the Early Help system include prevention, voluntary engagement, and a family-centred approach. Early Help services are typically offered with the consent of families and focus on building positive relationships between professionals and service users. This strengths-based approach encourages families to participate actively in identifying their needs and developing solutions. Voluntary engagement ensures that families feel empowered rather than coerced, helping build trust between service users and professionals.</w:t>
      </w:r>
    </w:p>
    <w:p w14:paraId="40D13ED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Early Help also operates across a continuum of need. Families may receive support from a single service or from multiple agencies working together, depending on the complexity of their circumstances. This flexible approach allows professionals to respond to a wide range of family needs while ensuring that children remain safe and supported.</w:t>
      </w:r>
    </w:p>
    <w:p w14:paraId="3664460C"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However, some researchers have questioned the way Early Help policies are implemented in practice. Featherstone, Morris, and White (2014) argue that early intervention policies can sometimes blur the boundary between supportive services and surveillance. Families may feel that engagement with services could lead to increased scrutiny rather than support. This highlights the importance of ensuring that Early Help remains voluntary, supportive, and focused on improving family wellbeing. This further demonstrates an important tension within Early Help policy, as services intended to provide support may also be perceived as intrusive.</w:t>
      </w:r>
    </w:p>
    <w:p w14:paraId="13E96964" w14:textId="797324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Therefore, ensuring that information is clearly communicated as supportive rather than punitive is essential in encouraging family engagement. Local authority websites play an important role in this communication, helping families understand the purpose, availability, and processes of Early Help services. By presenting information in an accessible manner, councils can encourage earlier engagement and reduce potential misunderstandings about the role of these services.</w:t>
      </w:r>
      <w:r w:rsidR="00F73DAA" w:rsidRPr="00F73DAA">
        <w:rPr>
          <w:rFonts w:asciiTheme="minorBidi" w:hAnsiTheme="minorBidi"/>
          <w:noProof/>
          <w:sz w:val="22"/>
          <w:szCs w:val="22"/>
        </w:rPr>
        <w:pict w14:anchorId="0848C94B">
          <v:rect id="_x0000_s1027" style="position:absolute;margin-left:0;margin-top:0;width:3276.75pt;height:.1pt;z-index:251659264;mso-position-horizontal:left;mso-position-horizontal-relative:text;mso-position-vertical-relative:text" o:hralign="center" o:hrstd="t" o:hr="t" fillcolor="#a0a0a0" stroked="f">
            <w10:wrap type="square" side="right"/>
          </v:rect>
        </w:pict>
      </w:r>
      <w:r w:rsidR="00F73DAA" w:rsidRPr="00F73DAA">
        <w:rPr>
          <w:rFonts w:asciiTheme="minorBidi" w:hAnsiTheme="minorBidi"/>
          <w:sz w:val="22"/>
          <w:szCs w:val="22"/>
        </w:rPr>
        <w:br w:type="textWrapping" w:clear="all"/>
      </w:r>
    </w:p>
    <w:p w14:paraId="7C7CD5B3"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3. Multi-Agency Working in Early Help</w:t>
      </w:r>
    </w:p>
    <w:p w14:paraId="5C1F32F4"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Multi-agency working is a fundamental component of the Early Help system. It involves collaboration between professionals from different sectors, including health, education, social care, housing, and voluntary organisations, to provide coordinated support to families (Department for Education, 2023). This collaborative approach recognises that family </w:t>
      </w:r>
      <w:r w:rsidRPr="006E7AFE">
        <w:rPr>
          <w:rFonts w:asciiTheme="minorBidi" w:hAnsiTheme="minorBidi"/>
          <w:sz w:val="22"/>
          <w:szCs w:val="22"/>
        </w:rPr>
        <w:lastRenderedPageBreak/>
        <w:t>difficulties often involve multiple factors and therefore require input from a range of professionals.</w:t>
      </w:r>
    </w:p>
    <w:p w14:paraId="33F2AF74"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Effective multi-agency working enables professionals to share information, coordinate interventions, and provide a more holistic response to family needs. Frost (2011) suggests that collaboration between services allows professionals to gain a broader understanding of family circumstances and respond more effectively to emerging risks. For example, a school may identify concerns about attendance or behaviour, while a health visitor may notice signs of emotional distress. Coordinated responses between these professionals ensure that families receive support that addresses multiple dimensions of wellbeing simultaneously.</w:t>
      </w:r>
    </w:p>
    <w:p w14:paraId="0041D5CD"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 importance of collaboration in safeguarding practice was highlighted by the Munro Review of Child Protection, which emphasised that poor communication between agencies has historically contributed to serious safeguarding failures (Munro, 2011). As a result, safeguarding policies now place significant emphasis on partnership working and information sharing between organisations. Professionals commonly involved in Early Help include social workers, teachers, health visitors, midwives, police officers, housing officers, and voluntary sector workers.</w:t>
      </w:r>
    </w:p>
    <w:p w14:paraId="78B3D91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Despite the benefits of multi-agency working, collaboration between organisations can present challenges. Atkinson, Jones, and Lamont (2007) identify barriers such as differences in professional cultures, organisational priorities, and information-sharing procedures. Professionals from different sectors may also have differing interpretations of safeguarding thresholds, which can complicate decision-making processes.</w:t>
      </w:r>
    </w:p>
    <w:p w14:paraId="269C0300"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Nevertheless, multi-agency working remains essential. Coordinated support allows services to address multiple aspects of family wellbeing, improving outcomes for children and reducing the likelihood of crises. Clear communication between agencies is therefore crucial to ensure families receive timely and appropriate support. Local authority websites support this by providing clear guidance on referral pathways, contact points, and available services, helping both professionals and families navigate the Early Help system efficiently.</w:t>
      </w:r>
    </w:p>
    <w:p w14:paraId="4A2BEF57" w14:textId="514ADBF2" w:rsidR="006E7AFE" w:rsidRPr="006E7AFE" w:rsidRDefault="006E7AFE" w:rsidP="00F73DAA">
      <w:pPr>
        <w:spacing w:line="360" w:lineRule="auto"/>
        <w:rPr>
          <w:rFonts w:asciiTheme="minorBidi" w:hAnsiTheme="minorBidi"/>
          <w:sz w:val="22"/>
          <w:szCs w:val="22"/>
        </w:rPr>
      </w:pPr>
    </w:p>
    <w:p w14:paraId="1289BC5E"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4. Evaluation of Local Authority Websites</w:t>
      </w:r>
    </w:p>
    <w:p w14:paraId="490C1ADE"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4.1 Leeds City Council</w:t>
      </w:r>
    </w:p>
    <w:p w14:paraId="706FA3BE"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Leeds City Council provides a dedicated section on its website for family support and Early Help services, including parenting programmes, youth services, mental health support, and </w:t>
      </w:r>
      <w:r w:rsidRPr="006E7AFE">
        <w:rPr>
          <w:rFonts w:asciiTheme="minorBidi" w:hAnsiTheme="minorBidi"/>
          <w:sz w:val="22"/>
          <w:szCs w:val="22"/>
        </w:rPr>
        <w:lastRenderedPageBreak/>
        <w:t>safeguarding guidance. The website reflects a preventative approach aimed at supporting families before difficulties escalate.</w:t>
      </w:r>
    </w:p>
    <w:p w14:paraId="05E99BD9"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In terms of accessibility, the Leeds website is relatively easy to navigate, with family services located under the main children and families section. However, users may need to follow several links to reach detailed Early Help information, which could delay access for families experiencing urgent difficulties.</w:t>
      </w:r>
    </w:p>
    <w:p w14:paraId="6E0C95FE"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 language used is generally clear, though some sections appear tailored to professionals rather than families. References to safeguarding thresholds and referral procedures may be difficult for some users to understand (Morris et al., 2018).</w:t>
      </w:r>
    </w:p>
    <w:p w14:paraId="73E31A0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A notable strength is the wide range of services presented, including support for mental health, special educational needs, domestic abuse, and financial advice. This holistic approach recognises the interconnected nature of family wellbeing. Despite this, accessibility could be improved by providing a single, clearly labelled Early Help page with direct contact information, making navigation simpler and faster.</w:t>
      </w:r>
    </w:p>
    <w:p w14:paraId="6A6A2F9E" w14:textId="3FE4B05A" w:rsidR="006E7AFE" w:rsidRPr="006E7AFE" w:rsidRDefault="006E7AFE" w:rsidP="00F73DAA">
      <w:pPr>
        <w:spacing w:line="360" w:lineRule="auto"/>
        <w:rPr>
          <w:rFonts w:asciiTheme="minorBidi" w:hAnsiTheme="minorBidi"/>
          <w:sz w:val="22"/>
          <w:szCs w:val="22"/>
        </w:rPr>
      </w:pPr>
    </w:p>
    <w:p w14:paraId="06B1BFB5"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4.2 Leicestershire County Council</w:t>
      </w:r>
    </w:p>
    <w:p w14:paraId="6C14272B"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Leicestershire County Council presents Early Help as part of a wider family support framework. The website provides detailed service information and emphasises the importance of partnership working between agencies.</w:t>
      </w:r>
    </w:p>
    <w:p w14:paraId="5C2F8119"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 website structure is logical, with clear headings guiding users through different types of support. Families can access information on parenting programmes, youth services, safeguarding, and special educational needs. However, some sections use professional terminology that may be challenging for families unfamiliar with social care systems.</w:t>
      </w:r>
    </w:p>
    <w:p w14:paraId="25788C40"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The website demonstrates strong emphasis on multi-agency collaboration, highlighting how different services work together. While detailed, clarity could be improved by simplifying terminology and providing step-by-step guidance for families requesting support.</w:t>
      </w:r>
    </w:p>
    <w:p w14:paraId="1CA949DF" w14:textId="434E3394" w:rsidR="006E7AFE" w:rsidRPr="006E7AFE" w:rsidRDefault="006E7AFE" w:rsidP="00F73DAA">
      <w:pPr>
        <w:spacing w:line="360" w:lineRule="auto"/>
        <w:rPr>
          <w:rFonts w:asciiTheme="minorBidi" w:hAnsiTheme="minorBidi"/>
          <w:sz w:val="22"/>
          <w:szCs w:val="22"/>
        </w:rPr>
      </w:pPr>
    </w:p>
    <w:p w14:paraId="2583A297"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4.3 Norfolk County Council</w:t>
      </w:r>
    </w:p>
    <w:p w14:paraId="460145A2"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Norfolk County Council offers a comprehensive Early Help section with guidance on referral pathways, thresholds of need, and available support services.</w:t>
      </w:r>
    </w:p>
    <w:p w14:paraId="39D93C5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A key strength is the clear explanation of how families and professionals can access Early Help, including step-by-step instructions and direct contact information. The website also </w:t>
      </w:r>
      <w:r w:rsidRPr="006E7AFE">
        <w:rPr>
          <w:rFonts w:asciiTheme="minorBidi" w:hAnsiTheme="minorBidi"/>
          <w:sz w:val="22"/>
          <w:szCs w:val="22"/>
        </w:rPr>
        <w:lastRenderedPageBreak/>
        <w:t>emphasises multi-agency working and provides information on mental health support, parenting programmes, domestic abuse services, and community resources, reflecting a holistic approach.</w:t>
      </w:r>
    </w:p>
    <w:p w14:paraId="5DEC529B"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However, the volume of information may be overwhelming for some users. Families under stress may benefit from concise summaries or visual guides to complement detailed content. Despite this, Norfolk provides the most structured and thorough guidance among the three authorities.</w:t>
      </w:r>
    </w:p>
    <w:p w14:paraId="4E29FA52" w14:textId="696A15B2" w:rsidR="006E7AFE" w:rsidRPr="006E7AFE" w:rsidRDefault="006E7AFE" w:rsidP="00F73DAA">
      <w:pPr>
        <w:spacing w:line="360" w:lineRule="auto"/>
        <w:rPr>
          <w:rFonts w:asciiTheme="minorBidi" w:hAnsiTheme="minorBidi"/>
          <w:sz w:val="22"/>
          <w:szCs w:val="22"/>
        </w:rPr>
      </w:pPr>
    </w:p>
    <w:p w14:paraId="3B74F8DA"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5. Comparative Analysis</w:t>
      </w:r>
    </w:p>
    <w:p w14:paraId="117B8D9A"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Comparing the three websites highlights similarities and differences in communicating Early Help services. Norfolk provides the clearest navigation, making it easier for families to locate information quickly. Leeds provides extensive information but requires navigating multiple pages, while Leicestershire has logical structure but may require familiarity with professional terminology.</w:t>
      </w:r>
    </w:p>
    <w:p w14:paraId="4BF40E9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In terms of clarity, Leeds uses generally accessible language but includes some professional jargon. Leicestershire is detailed but less accessible to families unfamiliar with safeguarding frameworks. Norfolk is comprehensive but may overwhelm users due to content volume.</w:t>
      </w:r>
    </w:p>
    <w:p w14:paraId="6CE04876"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All three authorities provide information on mental health support, parenting programmes, and safeguarding, demonstrating commitment to early intervention. Norfolk stands out with clear referral pathways and structured guidance, helping families and professionals understand the Early Help process.</w:t>
      </w:r>
    </w:p>
    <w:p w14:paraId="7348CB01"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Accessibility is as important as service availability. While all councils offer a wide range of support, differences in website design and communication affect families’ ability to engage. This highlights a gap between policy intentions and practical accessibility, reinforcing that digital communication is central to effective safeguarding.</w:t>
      </w:r>
    </w:p>
    <w:p w14:paraId="4AA0D42F" w14:textId="2A1D882A" w:rsidR="006E7AFE" w:rsidRPr="006E7AFE" w:rsidRDefault="006E7AFE" w:rsidP="00F73DAA">
      <w:pPr>
        <w:spacing w:line="360" w:lineRule="auto"/>
        <w:rPr>
          <w:rFonts w:asciiTheme="minorBidi" w:hAnsiTheme="minorBidi"/>
          <w:sz w:val="22"/>
          <w:szCs w:val="22"/>
        </w:rPr>
      </w:pPr>
    </w:p>
    <w:p w14:paraId="16F8DB6E"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6. Conclusion and Recommendations</w:t>
      </w:r>
    </w:p>
    <w:p w14:paraId="6406C1F5"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This report examined Early Help services on the websites of Leeds City Council, Leicestershire County Council, and Norfolk County Council. Each authority demonstrates commitment to supporting families through preventative services.</w:t>
      </w:r>
    </w:p>
    <w:p w14:paraId="724BBA47"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Norfolk provides the most effective communication, with clear referral pathways, structured guidance, and detailed explanations. Leeds offers a wide range of services but could </w:t>
      </w:r>
      <w:r w:rsidRPr="006E7AFE">
        <w:rPr>
          <w:rFonts w:asciiTheme="minorBidi" w:hAnsiTheme="minorBidi"/>
          <w:sz w:val="22"/>
          <w:szCs w:val="22"/>
        </w:rPr>
        <w:lastRenderedPageBreak/>
        <w:t>improve navigation, while Leicestershire emphasises multi-agency collaboration but could simplify professional terminology.</w:t>
      </w:r>
    </w:p>
    <w:p w14:paraId="5E3633AC"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b/>
          <w:bCs/>
          <w:sz w:val="22"/>
          <w:szCs w:val="22"/>
        </w:rPr>
        <w:t>Recommendations:</w:t>
      </w:r>
    </w:p>
    <w:p w14:paraId="60692D51" w14:textId="77777777" w:rsidR="006E7AFE" w:rsidRPr="006E7AFE" w:rsidRDefault="006E7AFE" w:rsidP="00F73DAA">
      <w:pPr>
        <w:numPr>
          <w:ilvl w:val="0"/>
          <w:numId w:val="3"/>
        </w:numPr>
        <w:spacing w:line="360" w:lineRule="auto"/>
        <w:rPr>
          <w:rFonts w:asciiTheme="minorBidi" w:hAnsiTheme="minorBidi"/>
          <w:sz w:val="22"/>
          <w:szCs w:val="22"/>
        </w:rPr>
      </w:pPr>
      <w:r w:rsidRPr="006E7AFE">
        <w:rPr>
          <w:rFonts w:asciiTheme="minorBidi" w:hAnsiTheme="minorBidi"/>
          <w:sz w:val="22"/>
          <w:szCs w:val="22"/>
        </w:rPr>
        <w:t>Simplify website language for families</w:t>
      </w:r>
    </w:p>
    <w:p w14:paraId="3DFC627B" w14:textId="77777777" w:rsidR="006E7AFE" w:rsidRPr="006E7AFE" w:rsidRDefault="006E7AFE" w:rsidP="00F73DAA">
      <w:pPr>
        <w:numPr>
          <w:ilvl w:val="0"/>
          <w:numId w:val="3"/>
        </w:numPr>
        <w:spacing w:line="360" w:lineRule="auto"/>
        <w:rPr>
          <w:rFonts w:asciiTheme="minorBidi" w:hAnsiTheme="minorBidi"/>
          <w:sz w:val="22"/>
          <w:szCs w:val="22"/>
        </w:rPr>
      </w:pPr>
      <w:r w:rsidRPr="006E7AFE">
        <w:rPr>
          <w:rFonts w:asciiTheme="minorBidi" w:hAnsiTheme="minorBidi"/>
          <w:sz w:val="22"/>
          <w:szCs w:val="22"/>
        </w:rPr>
        <w:t>Provide step-by-step guidance on accessing services</w:t>
      </w:r>
    </w:p>
    <w:p w14:paraId="165ACB4C" w14:textId="77777777" w:rsidR="006E7AFE" w:rsidRPr="006E7AFE" w:rsidRDefault="006E7AFE" w:rsidP="00F73DAA">
      <w:pPr>
        <w:numPr>
          <w:ilvl w:val="0"/>
          <w:numId w:val="3"/>
        </w:numPr>
        <w:spacing w:line="360" w:lineRule="auto"/>
        <w:rPr>
          <w:rFonts w:asciiTheme="minorBidi" w:hAnsiTheme="minorBidi"/>
          <w:sz w:val="22"/>
          <w:szCs w:val="22"/>
        </w:rPr>
      </w:pPr>
      <w:r w:rsidRPr="006E7AFE">
        <w:rPr>
          <w:rFonts w:asciiTheme="minorBidi" w:hAnsiTheme="minorBidi"/>
          <w:sz w:val="22"/>
          <w:szCs w:val="22"/>
        </w:rPr>
        <w:t>Use visual aids such as diagrams or videos</w:t>
      </w:r>
    </w:p>
    <w:p w14:paraId="3435E872" w14:textId="77777777" w:rsidR="006E7AFE" w:rsidRPr="006E7AFE" w:rsidRDefault="006E7AFE" w:rsidP="00F73DAA">
      <w:pPr>
        <w:numPr>
          <w:ilvl w:val="0"/>
          <w:numId w:val="3"/>
        </w:numPr>
        <w:spacing w:line="360" w:lineRule="auto"/>
        <w:rPr>
          <w:rFonts w:asciiTheme="minorBidi" w:hAnsiTheme="minorBidi"/>
          <w:sz w:val="22"/>
          <w:szCs w:val="22"/>
        </w:rPr>
      </w:pPr>
      <w:r w:rsidRPr="006E7AFE">
        <w:rPr>
          <w:rFonts w:asciiTheme="minorBidi" w:hAnsiTheme="minorBidi"/>
          <w:sz w:val="22"/>
          <w:szCs w:val="22"/>
        </w:rPr>
        <w:t>Offer translated materials for diverse communities</w:t>
      </w:r>
    </w:p>
    <w:p w14:paraId="13231BFB" w14:textId="77777777" w:rsidR="006E7AFE" w:rsidRPr="006E7AFE" w:rsidRDefault="006E7AFE" w:rsidP="00F73DAA">
      <w:pPr>
        <w:numPr>
          <w:ilvl w:val="0"/>
          <w:numId w:val="3"/>
        </w:numPr>
        <w:spacing w:line="360" w:lineRule="auto"/>
        <w:rPr>
          <w:rFonts w:asciiTheme="minorBidi" w:hAnsiTheme="minorBidi"/>
          <w:sz w:val="22"/>
          <w:szCs w:val="22"/>
        </w:rPr>
      </w:pPr>
      <w:r w:rsidRPr="006E7AFE">
        <w:rPr>
          <w:rFonts w:asciiTheme="minorBidi" w:hAnsiTheme="minorBidi"/>
          <w:sz w:val="22"/>
          <w:szCs w:val="22"/>
        </w:rPr>
        <w:t>Highlight key information with summaries or quick-access guides</w:t>
      </w:r>
    </w:p>
    <w:p w14:paraId="44F5395C"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Improving digital accessibility can help families seek support earlier, reducing the likelihood of more serious safeguarding concerns.</w:t>
      </w:r>
    </w:p>
    <w:p w14:paraId="0EA65BB6" w14:textId="49FD6D1A" w:rsidR="006E7AFE" w:rsidRPr="00F73DAA" w:rsidRDefault="006E7AFE" w:rsidP="00F73DAA">
      <w:pPr>
        <w:spacing w:line="360" w:lineRule="auto"/>
        <w:rPr>
          <w:rFonts w:asciiTheme="minorBidi" w:hAnsiTheme="minorBidi"/>
          <w:sz w:val="22"/>
          <w:szCs w:val="22"/>
        </w:rPr>
      </w:pPr>
    </w:p>
    <w:p w14:paraId="72482B30" w14:textId="77777777" w:rsidR="00F73DAA" w:rsidRPr="006E7AFE" w:rsidRDefault="00F73DAA" w:rsidP="00F73DAA">
      <w:pPr>
        <w:spacing w:line="360" w:lineRule="auto"/>
        <w:rPr>
          <w:rFonts w:asciiTheme="minorBidi" w:hAnsiTheme="minorBidi"/>
          <w:sz w:val="22"/>
          <w:szCs w:val="22"/>
        </w:rPr>
      </w:pPr>
    </w:p>
    <w:p w14:paraId="1F190E11" w14:textId="77777777" w:rsidR="006E7AFE" w:rsidRPr="006E7AFE" w:rsidRDefault="006E7AFE" w:rsidP="00F73DAA">
      <w:pPr>
        <w:spacing w:line="360" w:lineRule="auto"/>
        <w:rPr>
          <w:rFonts w:asciiTheme="minorBidi" w:hAnsiTheme="minorBidi"/>
          <w:b/>
          <w:bCs/>
          <w:sz w:val="22"/>
          <w:szCs w:val="22"/>
        </w:rPr>
      </w:pPr>
      <w:r w:rsidRPr="006E7AFE">
        <w:rPr>
          <w:rFonts w:asciiTheme="minorBidi" w:hAnsiTheme="minorBidi"/>
          <w:b/>
          <w:bCs/>
          <w:sz w:val="22"/>
          <w:szCs w:val="22"/>
        </w:rPr>
        <w:t>References</w:t>
      </w:r>
    </w:p>
    <w:p w14:paraId="1F3D5774" w14:textId="77777777" w:rsidR="006E7AFE" w:rsidRPr="006E7AFE" w:rsidRDefault="006E7AFE" w:rsidP="00F73DAA">
      <w:pPr>
        <w:spacing w:line="360" w:lineRule="auto"/>
        <w:rPr>
          <w:rFonts w:asciiTheme="minorBidi" w:hAnsiTheme="minorBidi"/>
          <w:sz w:val="22"/>
          <w:szCs w:val="22"/>
        </w:rPr>
      </w:pPr>
      <w:r w:rsidRPr="006E7AFE">
        <w:rPr>
          <w:rFonts w:asciiTheme="minorBidi" w:hAnsiTheme="minorBidi"/>
          <w:sz w:val="22"/>
          <w:szCs w:val="22"/>
        </w:rPr>
        <w:t xml:space="preserve">Allen, G. (2011) </w:t>
      </w:r>
      <w:r w:rsidRPr="006E7AFE">
        <w:rPr>
          <w:rFonts w:asciiTheme="minorBidi" w:hAnsiTheme="minorBidi"/>
          <w:i/>
          <w:iCs/>
          <w:sz w:val="22"/>
          <w:szCs w:val="22"/>
        </w:rPr>
        <w:t>Early intervention: The next steps</w:t>
      </w:r>
      <w:r w:rsidRPr="006E7AFE">
        <w:rPr>
          <w:rFonts w:asciiTheme="minorBidi" w:hAnsiTheme="minorBidi"/>
          <w:sz w:val="22"/>
          <w:szCs w:val="22"/>
        </w:rPr>
        <w:t>. London: HM Government.</w:t>
      </w:r>
      <w:r w:rsidRPr="006E7AFE">
        <w:rPr>
          <w:rFonts w:asciiTheme="minorBidi" w:hAnsiTheme="minorBidi"/>
          <w:sz w:val="22"/>
          <w:szCs w:val="22"/>
        </w:rPr>
        <w:br/>
        <w:t xml:space="preserve">Atkinson, M., Jones, M. and Lamont, E. (2007) </w:t>
      </w:r>
      <w:r w:rsidRPr="006E7AFE">
        <w:rPr>
          <w:rFonts w:asciiTheme="minorBidi" w:hAnsiTheme="minorBidi"/>
          <w:i/>
          <w:iCs/>
          <w:sz w:val="22"/>
          <w:szCs w:val="22"/>
        </w:rPr>
        <w:t>Multi-agency working and its implications for practice</w:t>
      </w:r>
      <w:r w:rsidRPr="006E7AFE">
        <w:rPr>
          <w:rFonts w:asciiTheme="minorBidi" w:hAnsiTheme="minorBidi"/>
          <w:sz w:val="22"/>
          <w:szCs w:val="22"/>
        </w:rPr>
        <w:t xml:space="preserve">. London: </w:t>
      </w:r>
      <w:proofErr w:type="spellStart"/>
      <w:r w:rsidRPr="006E7AFE">
        <w:rPr>
          <w:rFonts w:asciiTheme="minorBidi" w:hAnsiTheme="minorBidi"/>
          <w:sz w:val="22"/>
          <w:szCs w:val="22"/>
        </w:rPr>
        <w:t>CfBT</w:t>
      </w:r>
      <w:proofErr w:type="spellEnd"/>
      <w:r w:rsidRPr="006E7AFE">
        <w:rPr>
          <w:rFonts w:asciiTheme="minorBidi" w:hAnsiTheme="minorBidi"/>
          <w:sz w:val="22"/>
          <w:szCs w:val="22"/>
        </w:rPr>
        <w:t xml:space="preserve"> Education Trust.</w:t>
      </w:r>
      <w:r w:rsidRPr="006E7AFE">
        <w:rPr>
          <w:rFonts w:asciiTheme="minorBidi" w:hAnsiTheme="minorBidi"/>
          <w:sz w:val="22"/>
          <w:szCs w:val="22"/>
        </w:rPr>
        <w:br/>
        <w:t xml:space="preserve">Department for Education (2023) </w:t>
      </w:r>
      <w:r w:rsidRPr="006E7AFE">
        <w:rPr>
          <w:rFonts w:asciiTheme="minorBidi" w:hAnsiTheme="minorBidi"/>
          <w:i/>
          <w:iCs/>
          <w:sz w:val="22"/>
          <w:szCs w:val="22"/>
        </w:rPr>
        <w:t>Working together to safeguard children</w:t>
      </w:r>
      <w:r w:rsidRPr="006E7AFE">
        <w:rPr>
          <w:rFonts w:asciiTheme="minorBidi" w:hAnsiTheme="minorBidi"/>
          <w:sz w:val="22"/>
          <w:szCs w:val="22"/>
        </w:rPr>
        <w:t>. London: HM Government.</w:t>
      </w:r>
      <w:r w:rsidRPr="006E7AFE">
        <w:rPr>
          <w:rFonts w:asciiTheme="minorBidi" w:hAnsiTheme="minorBidi"/>
          <w:sz w:val="22"/>
          <w:szCs w:val="22"/>
        </w:rPr>
        <w:br/>
        <w:t xml:space="preserve">Featherstone, B., Morris, K. and White, S. (2014) ‘A marriage made in hell: Early intervention meets child protection’, </w:t>
      </w:r>
      <w:r w:rsidRPr="006E7AFE">
        <w:rPr>
          <w:rFonts w:asciiTheme="minorBidi" w:hAnsiTheme="minorBidi"/>
          <w:i/>
          <w:iCs/>
          <w:sz w:val="22"/>
          <w:szCs w:val="22"/>
        </w:rPr>
        <w:t>British Journal of Social Work</w:t>
      </w:r>
      <w:r w:rsidRPr="006E7AFE">
        <w:rPr>
          <w:rFonts w:asciiTheme="minorBidi" w:hAnsiTheme="minorBidi"/>
          <w:sz w:val="22"/>
          <w:szCs w:val="22"/>
        </w:rPr>
        <w:t>, 44(7), pp. 1735–1749.</w:t>
      </w:r>
      <w:r w:rsidRPr="006E7AFE">
        <w:rPr>
          <w:rFonts w:asciiTheme="minorBidi" w:hAnsiTheme="minorBidi"/>
          <w:sz w:val="22"/>
          <w:szCs w:val="22"/>
        </w:rPr>
        <w:br/>
        <w:t xml:space="preserve">Frost, N. (2011) </w:t>
      </w:r>
      <w:r w:rsidRPr="006E7AFE">
        <w:rPr>
          <w:rFonts w:asciiTheme="minorBidi" w:hAnsiTheme="minorBidi"/>
          <w:i/>
          <w:iCs/>
          <w:sz w:val="22"/>
          <w:szCs w:val="22"/>
        </w:rPr>
        <w:t>Child welfare and safeguarding</w:t>
      </w:r>
      <w:r w:rsidRPr="006E7AFE">
        <w:rPr>
          <w:rFonts w:asciiTheme="minorBidi" w:hAnsiTheme="minorBidi"/>
          <w:sz w:val="22"/>
          <w:szCs w:val="22"/>
        </w:rPr>
        <w:t>. London: Sage.</w:t>
      </w:r>
      <w:r w:rsidRPr="006E7AFE">
        <w:rPr>
          <w:rFonts w:asciiTheme="minorBidi" w:hAnsiTheme="minorBidi"/>
          <w:sz w:val="22"/>
          <w:szCs w:val="22"/>
        </w:rPr>
        <w:br/>
        <w:t xml:space="preserve">HM Government (2020) </w:t>
      </w:r>
      <w:r w:rsidRPr="006E7AFE">
        <w:rPr>
          <w:rFonts w:asciiTheme="minorBidi" w:hAnsiTheme="minorBidi"/>
          <w:i/>
          <w:iCs/>
          <w:sz w:val="22"/>
          <w:szCs w:val="22"/>
        </w:rPr>
        <w:t>Early Help System Guide</w:t>
      </w:r>
      <w:r w:rsidRPr="006E7AFE">
        <w:rPr>
          <w:rFonts w:asciiTheme="minorBidi" w:hAnsiTheme="minorBidi"/>
          <w:sz w:val="22"/>
          <w:szCs w:val="22"/>
        </w:rPr>
        <w:t>. London: HM Government.</w:t>
      </w:r>
      <w:r w:rsidRPr="006E7AFE">
        <w:rPr>
          <w:rFonts w:asciiTheme="minorBidi" w:hAnsiTheme="minorBidi"/>
          <w:sz w:val="22"/>
          <w:szCs w:val="22"/>
        </w:rPr>
        <w:br/>
        <w:t xml:space="preserve">Leeds City Council (2026) </w:t>
      </w:r>
      <w:r w:rsidRPr="006E7AFE">
        <w:rPr>
          <w:rFonts w:asciiTheme="minorBidi" w:hAnsiTheme="minorBidi"/>
          <w:i/>
          <w:iCs/>
          <w:sz w:val="22"/>
          <w:szCs w:val="22"/>
        </w:rPr>
        <w:t>Early Help and family support</w:t>
      </w:r>
      <w:r w:rsidRPr="006E7AFE">
        <w:rPr>
          <w:rFonts w:asciiTheme="minorBidi" w:hAnsiTheme="minorBidi"/>
          <w:sz w:val="22"/>
          <w:szCs w:val="22"/>
        </w:rPr>
        <w:t xml:space="preserve">. Available at: </w:t>
      </w:r>
      <w:hyperlink r:id="rId9" w:history="1">
        <w:r w:rsidRPr="006E7AFE">
          <w:rPr>
            <w:rStyle w:val="Hyperlink"/>
            <w:rFonts w:asciiTheme="minorBidi" w:hAnsiTheme="minorBidi"/>
            <w:sz w:val="22"/>
            <w:szCs w:val="22"/>
          </w:rPr>
          <w:t>https://www.leeds.gov.uk</w:t>
        </w:r>
      </w:hyperlink>
      <w:r w:rsidRPr="006E7AFE">
        <w:rPr>
          <w:rFonts w:asciiTheme="minorBidi" w:hAnsiTheme="minorBidi"/>
          <w:sz w:val="22"/>
          <w:szCs w:val="22"/>
        </w:rPr>
        <w:t xml:space="preserve"> (Accessed: 1 March 2026).</w:t>
      </w:r>
      <w:r w:rsidRPr="006E7AFE">
        <w:rPr>
          <w:rFonts w:asciiTheme="minorBidi" w:hAnsiTheme="minorBidi"/>
          <w:sz w:val="22"/>
          <w:szCs w:val="22"/>
        </w:rPr>
        <w:br/>
        <w:t xml:space="preserve">Leicestershire County Council (2026) </w:t>
      </w:r>
      <w:r w:rsidRPr="006E7AFE">
        <w:rPr>
          <w:rFonts w:asciiTheme="minorBidi" w:hAnsiTheme="minorBidi"/>
          <w:i/>
          <w:iCs/>
          <w:sz w:val="22"/>
          <w:szCs w:val="22"/>
        </w:rPr>
        <w:t>Early Help and family services</w:t>
      </w:r>
      <w:r w:rsidRPr="006E7AFE">
        <w:rPr>
          <w:rFonts w:asciiTheme="minorBidi" w:hAnsiTheme="minorBidi"/>
          <w:sz w:val="22"/>
          <w:szCs w:val="22"/>
        </w:rPr>
        <w:t xml:space="preserve">. Available at: </w:t>
      </w:r>
      <w:hyperlink r:id="rId10" w:history="1">
        <w:r w:rsidRPr="006E7AFE">
          <w:rPr>
            <w:rStyle w:val="Hyperlink"/>
            <w:rFonts w:asciiTheme="minorBidi" w:hAnsiTheme="minorBidi"/>
            <w:sz w:val="22"/>
            <w:szCs w:val="22"/>
          </w:rPr>
          <w:t>https://www.leicestershire.gov.uk</w:t>
        </w:r>
      </w:hyperlink>
      <w:r w:rsidRPr="006E7AFE">
        <w:rPr>
          <w:rFonts w:asciiTheme="minorBidi" w:hAnsiTheme="minorBidi"/>
          <w:sz w:val="22"/>
          <w:szCs w:val="22"/>
        </w:rPr>
        <w:t xml:space="preserve"> (Accessed: 1 March 2026).</w:t>
      </w:r>
      <w:r w:rsidRPr="006E7AFE">
        <w:rPr>
          <w:rFonts w:asciiTheme="minorBidi" w:hAnsiTheme="minorBidi"/>
          <w:sz w:val="22"/>
          <w:szCs w:val="22"/>
        </w:rPr>
        <w:br/>
        <w:t xml:space="preserve">Morris, K. et al. (2018) </w:t>
      </w:r>
      <w:proofErr w:type="spellStart"/>
      <w:r w:rsidRPr="006E7AFE">
        <w:rPr>
          <w:rFonts w:asciiTheme="minorBidi" w:hAnsiTheme="minorBidi"/>
          <w:sz w:val="22"/>
          <w:szCs w:val="22"/>
        </w:rPr>
        <w:t>‘Re</w:t>
      </w:r>
      <w:proofErr w:type="spellEnd"/>
      <w:r w:rsidRPr="006E7AFE">
        <w:rPr>
          <w:rFonts w:asciiTheme="minorBidi" w:hAnsiTheme="minorBidi"/>
          <w:sz w:val="22"/>
          <w:szCs w:val="22"/>
        </w:rPr>
        <w:t xml:space="preserve">-imagining social work with families’, </w:t>
      </w:r>
      <w:r w:rsidRPr="006E7AFE">
        <w:rPr>
          <w:rFonts w:asciiTheme="minorBidi" w:hAnsiTheme="minorBidi"/>
          <w:i/>
          <w:iCs/>
          <w:sz w:val="22"/>
          <w:szCs w:val="22"/>
        </w:rPr>
        <w:t>Child &amp; Family Social Work</w:t>
      </w:r>
      <w:r w:rsidRPr="006E7AFE">
        <w:rPr>
          <w:rFonts w:asciiTheme="minorBidi" w:hAnsiTheme="minorBidi"/>
          <w:sz w:val="22"/>
          <w:szCs w:val="22"/>
        </w:rPr>
        <w:t>, 23(3), pp. 1–9.</w:t>
      </w:r>
      <w:r w:rsidRPr="006E7AFE">
        <w:rPr>
          <w:rFonts w:asciiTheme="minorBidi" w:hAnsiTheme="minorBidi"/>
          <w:sz w:val="22"/>
          <w:szCs w:val="22"/>
        </w:rPr>
        <w:br/>
        <w:t xml:space="preserve">Munro, E. (2011) </w:t>
      </w:r>
      <w:r w:rsidRPr="006E7AFE">
        <w:rPr>
          <w:rFonts w:asciiTheme="minorBidi" w:hAnsiTheme="minorBidi"/>
          <w:i/>
          <w:iCs/>
          <w:sz w:val="22"/>
          <w:szCs w:val="22"/>
        </w:rPr>
        <w:t>The Munro Review of Child Protection</w:t>
      </w:r>
      <w:r w:rsidRPr="006E7AFE">
        <w:rPr>
          <w:rFonts w:asciiTheme="minorBidi" w:hAnsiTheme="minorBidi"/>
          <w:sz w:val="22"/>
          <w:szCs w:val="22"/>
        </w:rPr>
        <w:t>. London: Department for Education.</w:t>
      </w:r>
      <w:r w:rsidRPr="006E7AFE">
        <w:rPr>
          <w:rFonts w:asciiTheme="minorBidi" w:hAnsiTheme="minorBidi"/>
          <w:sz w:val="22"/>
          <w:szCs w:val="22"/>
        </w:rPr>
        <w:br/>
        <w:t xml:space="preserve">Norfolk County Council (2026) </w:t>
      </w:r>
      <w:r w:rsidRPr="006E7AFE">
        <w:rPr>
          <w:rFonts w:asciiTheme="minorBidi" w:hAnsiTheme="minorBidi"/>
          <w:i/>
          <w:iCs/>
          <w:sz w:val="22"/>
          <w:szCs w:val="22"/>
        </w:rPr>
        <w:t>Early Help services</w:t>
      </w:r>
      <w:r w:rsidRPr="006E7AFE">
        <w:rPr>
          <w:rFonts w:asciiTheme="minorBidi" w:hAnsiTheme="minorBidi"/>
          <w:sz w:val="22"/>
          <w:szCs w:val="22"/>
        </w:rPr>
        <w:t xml:space="preserve">. Available at: </w:t>
      </w:r>
      <w:hyperlink r:id="rId11" w:history="1">
        <w:r w:rsidRPr="006E7AFE">
          <w:rPr>
            <w:rStyle w:val="Hyperlink"/>
            <w:rFonts w:asciiTheme="minorBidi" w:hAnsiTheme="minorBidi"/>
            <w:sz w:val="22"/>
            <w:szCs w:val="22"/>
          </w:rPr>
          <w:t>https://www.norfolk.gov.uk</w:t>
        </w:r>
      </w:hyperlink>
      <w:r w:rsidRPr="006E7AFE">
        <w:rPr>
          <w:rFonts w:asciiTheme="minorBidi" w:hAnsiTheme="minorBidi"/>
          <w:sz w:val="22"/>
          <w:szCs w:val="22"/>
        </w:rPr>
        <w:t xml:space="preserve"> (Accessed: 1 March 2026).</w:t>
      </w:r>
    </w:p>
    <w:p w14:paraId="38E88F17" w14:textId="77777777" w:rsidR="003F0F54" w:rsidRPr="00F73DAA" w:rsidRDefault="003F0F54" w:rsidP="00F73DAA">
      <w:pPr>
        <w:spacing w:line="360" w:lineRule="auto"/>
        <w:rPr>
          <w:rFonts w:asciiTheme="minorBidi" w:hAnsiTheme="minorBidi"/>
          <w:sz w:val="22"/>
          <w:szCs w:val="22"/>
        </w:rPr>
      </w:pPr>
    </w:p>
    <w:sectPr w:rsidR="003F0F54" w:rsidRPr="00F73DA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9498A"/>
    <w:multiLevelType w:val="multilevel"/>
    <w:tmpl w:val="DF86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93000B"/>
    <w:multiLevelType w:val="multilevel"/>
    <w:tmpl w:val="8B74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1C4653"/>
    <w:multiLevelType w:val="multilevel"/>
    <w:tmpl w:val="3A86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7754437">
    <w:abstractNumId w:val="2"/>
  </w:num>
  <w:num w:numId="2" w16cid:durableId="464659447">
    <w:abstractNumId w:val="0"/>
  </w:num>
  <w:num w:numId="3" w16cid:durableId="222638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54"/>
    <w:rsid w:val="003F0F54"/>
    <w:rsid w:val="004562E4"/>
    <w:rsid w:val="006E7AFE"/>
    <w:rsid w:val="0070293F"/>
    <w:rsid w:val="00736C93"/>
    <w:rsid w:val="00754CD5"/>
    <w:rsid w:val="00A120D7"/>
    <w:rsid w:val="00AB0241"/>
    <w:rsid w:val="00C313FC"/>
    <w:rsid w:val="00D74BF5"/>
    <w:rsid w:val="00D84762"/>
    <w:rsid w:val="00DE056D"/>
    <w:rsid w:val="00F73D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8B594A0"/>
  <w15:chartTrackingRefBased/>
  <w15:docId w15:val="{FBF9D2F4-AB75-4FC2-B621-1E6B1B0A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F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F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F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F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F54"/>
    <w:rPr>
      <w:rFonts w:eastAsiaTheme="majorEastAsia" w:cstheme="majorBidi"/>
      <w:color w:val="272727" w:themeColor="text1" w:themeTint="D8"/>
    </w:rPr>
  </w:style>
  <w:style w:type="paragraph" w:styleId="Title">
    <w:name w:val="Title"/>
    <w:basedOn w:val="Normal"/>
    <w:next w:val="Normal"/>
    <w:link w:val="TitleChar"/>
    <w:uiPriority w:val="10"/>
    <w:qFormat/>
    <w:rsid w:val="003F0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F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F54"/>
    <w:pPr>
      <w:spacing w:before="160"/>
      <w:jc w:val="center"/>
    </w:pPr>
    <w:rPr>
      <w:i/>
      <w:iCs/>
      <w:color w:val="404040" w:themeColor="text1" w:themeTint="BF"/>
    </w:rPr>
  </w:style>
  <w:style w:type="character" w:customStyle="1" w:styleId="QuoteChar">
    <w:name w:val="Quote Char"/>
    <w:basedOn w:val="DefaultParagraphFont"/>
    <w:link w:val="Quote"/>
    <w:uiPriority w:val="29"/>
    <w:rsid w:val="003F0F54"/>
    <w:rPr>
      <w:i/>
      <w:iCs/>
      <w:color w:val="404040" w:themeColor="text1" w:themeTint="BF"/>
    </w:rPr>
  </w:style>
  <w:style w:type="paragraph" w:styleId="ListParagraph">
    <w:name w:val="List Paragraph"/>
    <w:basedOn w:val="Normal"/>
    <w:uiPriority w:val="34"/>
    <w:qFormat/>
    <w:rsid w:val="003F0F54"/>
    <w:pPr>
      <w:ind w:left="720"/>
      <w:contextualSpacing/>
    </w:pPr>
  </w:style>
  <w:style w:type="character" w:styleId="IntenseEmphasis">
    <w:name w:val="Intense Emphasis"/>
    <w:basedOn w:val="DefaultParagraphFont"/>
    <w:uiPriority w:val="21"/>
    <w:qFormat/>
    <w:rsid w:val="003F0F54"/>
    <w:rPr>
      <w:i/>
      <w:iCs/>
      <w:color w:val="0F4761" w:themeColor="accent1" w:themeShade="BF"/>
    </w:rPr>
  </w:style>
  <w:style w:type="paragraph" w:styleId="IntenseQuote">
    <w:name w:val="Intense Quote"/>
    <w:basedOn w:val="Normal"/>
    <w:next w:val="Normal"/>
    <w:link w:val="IntenseQuoteChar"/>
    <w:uiPriority w:val="30"/>
    <w:qFormat/>
    <w:rsid w:val="003F0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F54"/>
    <w:rPr>
      <w:i/>
      <w:iCs/>
      <w:color w:val="0F4761" w:themeColor="accent1" w:themeShade="BF"/>
    </w:rPr>
  </w:style>
  <w:style w:type="character" w:styleId="IntenseReference">
    <w:name w:val="Intense Reference"/>
    <w:basedOn w:val="DefaultParagraphFont"/>
    <w:uiPriority w:val="32"/>
    <w:qFormat/>
    <w:rsid w:val="003F0F54"/>
    <w:rPr>
      <w:b/>
      <w:bCs/>
      <w:smallCaps/>
      <w:color w:val="0F4761" w:themeColor="accent1" w:themeShade="BF"/>
      <w:spacing w:val="5"/>
    </w:rPr>
  </w:style>
  <w:style w:type="character" w:styleId="Hyperlink">
    <w:name w:val="Hyperlink"/>
    <w:basedOn w:val="DefaultParagraphFont"/>
    <w:uiPriority w:val="99"/>
    <w:unhideWhenUsed/>
    <w:rsid w:val="00736C93"/>
    <w:rPr>
      <w:color w:val="467886" w:themeColor="hyperlink"/>
      <w:u w:val="single"/>
    </w:rPr>
  </w:style>
  <w:style w:type="character" w:styleId="UnresolvedMention">
    <w:name w:val="Unresolved Mention"/>
    <w:basedOn w:val="DefaultParagraphFont"/>
    <w:uiPriority w:val="99"/>
    <w:semiHidden/>
    <w:unhideWhenUsed/>
    <w:rsid w:val="00736C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rfolk.gov.uk/" TargetMode="External"/><Relationship Id="rId5" Type="http://schemas.openxmlformats.org/officeDocument/2006/relationships/numbering" Target="numbering.xml"/><Relationship Id="rId10" Type="http://schemas.openxmlformats.org/officeDocument/2006/relationships/hyperlink" Target="https://www.leicestershire.gov.uk/" TargetMode="External"/><Relationship Id="rId4" Type="http://schemas.openxmlformats.org/officeDocument/2006/relationships/customXml" Target="../customXml/item4.xml"/><Relationship Id="rId9" Type="http://schemas.openxmlformats.org/officeDocument/2006/relationships/hyperlink" Target="https://www.leed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DC82B-E1AA-4982-8188-0B4E0C01D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742196-50C5-4483-9E41-89BBC733C732}">
  <ds:schemaRefs>
    <ds:schemaRef ds:uri="http://schemas.microsoft.com/sharepoint/v3/contenttype/forms"/>
  </ds:schemaRefs>
</ds:datastoreItem>
</file>

<file path=customXml/itemProps3.xml><?xml version="1.0" encoding="utf-8"?>
<ds:datastoreItem xmlns:ds="http://schemas.openxmlformats.org/officeDocument/2006/customXml" ds:itemID="{E6700E06-F924-416E-9F8B-5B4649BF2C1E}">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E944BC36-DB06-4203-9507-65C57713B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2372</Words>
  <Characters>13525</Characters>
  <Application>Microsoft Office Word</Application>
  <DocSecurity>0</DocSecurity>
  <Lines>112</Lines>
  <Paragraphs>31</Paragraphs>
  <ScaleCrop>false</ScaleCrop>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 Said</dc:creator>
  <cp:keywords/>
  <dc:description/>
  <cp:lastModifiedBy>Aleen Said</cp:lastModifiedBy>
  <cp:revision>2</cp:revision>
  <dcterms:created xsi:type="dcterms:W3CDTF">2026-03-26T14:02:00Z</dcterms:created>
  <dcterms:modified xsi:type="dcterms:W3CDTF">2026-03-26T14:02:00Z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