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C1F425" w14:textId="77777777" w:rsidR="001C170E" w:rsidRDefault="001C170E" w:rsidP="001C170E">
      <w:pPr>
        <w:rPr>
          <w:lang w:val="ro-RO"/>
        </w:rPr>
      </w:pPr>
      <w:r>
        <w:rPr>
          <w:noProof/>
          <w:lang w:val="ro-RO"/>
        </w:rPr>
        <w:drawing>
          <wp:anchor distT="0" distB="0" distL="114300" distR="114300" simplePos="0" relativeHeight="251659264" behindDoc="0" locked="0" layoutInCell="1" allowOverlap="1" wp14:anchorId="04E6470E" wp14:editId="11409312">
            <wp:simplePos x="0" y="0"/>
            <wp:positionH relativeFrom="column">
              <wp:posOffset>-398194</wp:posOffset>
            </wp:positionH>
            <wp:positionV relativeFrom="paragraph">
              <wp:posOffset>147</wp:posOffset>
            </wp:positionV>
            <wp:extent cx="1981200" cy="693714"/>
            <wp:effectExtent l="0" t="0" r="0" b="5080"/>
            <wp:wrapThrough wrapText="bothSides">
              <wp:wrapPolygon edited="0">
                <wp:start x="0" y="0"/>
                <wp:lineTo x="0" y="21363"/>
                <wp:lineTo x="21462" y="21363"/>
                <wp:lineTo x="2146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81200" cy="693714"/>
                    </a:xfrm>
                    <a:prstGeom prst="rect">
                      <a:avLst/>
                    </a:prstGeom>
                  </pic:spPr>
                </pic:pic>
              </a:graphicData>
            </a:graphic>
            <wp14:sizeRelH relativeFrom="page">
              <wp14:pctWidth>0</wp14:pctWidth>
            </wp14:sizeRelH>
            <wp14:sizeRelV relativeFrom="page">
              <wp14:pctHeight>0</wp14:pctHeight>
            </wp14:sizeRelV>
          </wp:anchor>
        </w:drawing>
      </w:r>
    </w:p>
    <w:p w14:paraId="41BFEBE9" w14:textId="77777777" w:rsidR="001C170E" w:rsidRDefault="001C170E" w:rsidP="001C170E">
      <w:pPr>
        <w:rPr>
          <w:lang w:val="ro-RO"/>
        </w:rPr>
      </w:pPr>
    </w:p>
    <w:p w14:paraId="7ACA1385" w14:textId="77777777" w:rsidR="001C170E" w:rsidRDefault="001C170E" w:rsidP="001C170E">
      <w:pPr>
        <w:rPr>
          <w:lang w:val="ro-RO"/>
        </w:rPr>
      </w:pPr>
    </w:p>
    <w:p w14:paraId="355BD944" w14:textId="77777777" w:rsidR="001C170E" w:rsidRDefault="001C170E" w:rsidP="001C170E">
      <w:pPr>
        <w:rPr>
          <w:lang w:val="ro-RO"/>
        </w:rPr>
      </w:pPr>
    </w:p>
    <w:p w14:paraId="1FAADA99" w14:textId="77777777" w:rsidR="001C170E" w:rsidRDefault="001C170E" w:rsidP="001C170E">
      <w:pPr>
        <w:rPr>
          <w:lang w:val="ro-RO"/>
        </w:rPr>
      </w:pPr>
    </w:p>
    <w:p w14:paraId="7890F1B3" w14:textId="77777777" w:rsidR="001C170E" w:rsidRDefault="001C170E" w:rsidP="001C170E">
      <w:pPr>
        <w:rPr>
          <w:lang w:val="ro-RO"/>
        </w:rPr>
      </w:pPr>
    </w:p>
    <w:p w14:paraId="6B956339" w14:textId="77777777" w:rsidR="001C170E" w:rsidRDefault="001C170E" w:rsidP="001C170E">
      <w:pPr>
        <w:rPr>
          <w:lang w:val="ro-RO"/>
        </w:rPr>
      </w:pPr>
    </w:p>
    <w:p w14:paraId="5D0C8402" w14:textId="77777777" w:rsidR="001C170E" w:rsidRDefault="001C170E" w:rsidP="001C170E">
      <w:pPr>
        <w:rPr>
          <w:lang w:val="ro-RO"/>
        </w:rPr>
      </w:pPr>
    </w:p>
    <w:p w14:paraId="443115C5" w14:textId="77777777" w:rsidR="001C170E" w:rsidRDefault="001C170E" w:rsidP="001C170E">
      <w:pPr>
        <w:rPr>
          <w:lang w:val="ro-RO"/>
        </w:rPr>
      </w:pPr>
    </w:p>
    <w:p w14:paraId="2A1D06A0" w14:textId="77777777" w:rsidR="001C170E" w:rsidRPr="00FC2A5F" w:rsidRDefault="001C170E" w:rsidP="001C170E">
      <w:pPr>
        <w:jc w:val="center"/>
        <w:rPr>
          <w:sz w:val="28"/>
          <w:szCs w:val="28"/>
          <w:lang w:val="ro-RO"/>
        </w:rPr>
      </w:pPr>
      <w:r w:rsidRPr="00FC2A5F">
        <w:rPr>
          <w:sz w:val="28"/>
          <w:szCs w:val="28"/>
          <w:lang w:val="ro-RO"/>
        </w:rPr>
        <w:t>BA BUSINESS MANAGEMENT</w:t>
      </w:r>
    </w:p>
    <w:p w14:paraId="3693FCB8" w14:textId="334FCADD" w:rsidR="001C170E" w:rsidRPr="00FC2A5F" w:rsidRDefault="001C170E" w:rsidP="001C170E">
      <w:pPr>
        <w:jc w:val="center"/>
        <w:rPr>
          <w:sz w:val="28"/>
          <w:szCs w:val="28"/>
          <w:lang w:val="ro-RO"/>
        </w:rPr>
      </w:pPr>
      <w:r w:rsidRPr="00FC2A5F">
        <w:rPr>
          <w:sz w:val="28"/>
          <w:szCs w:val="28"/>
          <w:lang w:val="ro-RO"/>
        </w:rPr>
        <w:t xml:space="preserve">Module </w:t>
      </w:r>
      <w:proofErr w:type="spellStart"/>
      <w:r w:rsidRPr="00FC2A5F">
        <w:rPr>
          <w:sz w:val="28"/>
          <w:szCs w:val="28"/>
          <w:lang w:val="ro-RO"/>
        </w:rPr>
        <w:t>Title</w:t>
      </w:r>
      <w:proofErr w:type="spellEnd"/>
      <w:r w:rsidRPr="00FC2A5F">
        <w:rPr>
          <w:sz w:val="28"/>
          <w:szCs w:val="28"/>
          <w:lang w:val="ro-RO"/>
        </w:rPr>
        <w:t xml:space="preserve">: International </w:t>
      </w:r>
      <w:r>
        <w:rPr>
          <w:sz w:val="28"/>
          <w:szCs w:val="28"/>
          <w:lang w:val="ro-RO"/>
        </w:rPr>
        <w:t>Financial Management</w:t>
      </w:r>
    </w:p>
    <w:p w14:paraId="6652FB74" w14:textId="3F7CB6BA" w:rsidR="001C170E" w:rsidRPr="00FC2A5F" w:rsidRDefault="001C170E" w:rsidP="001C170E">
      <w:pPr>
        <w:jc w:val="center"/>
        <w:rPr>
          <w:sz w:val="28"/>
          <w:szCs w:val="28"/>
          <w:lang w:val="ro-RO"/>
        </w:rPr>
      </w:pPr>
      <w:r w:rsidRPr="00FC2A5F">
        <w:rPr>
          <w:sz w:val="28"/>
          <w:szCs w:val="28"/>
          <w:lang w:val="ro-RO"/>
        </w:rPr>
        <w:t>Module Code: LCBB60</w:t>
      </w:r>
      <w:r>
        <w:rPr>
          <w:sz w:val="28"/>
          <w:szCs w:val="28"/>
          <w:lang w:val="ro-RO"/>
        </w:rPr>
        <w:t>02</w:t>
      </w:r>
    </w:p>
    <w:p w14:paraId="18857E77" w14:textId="77777777" w:rsidR="001C170E" w:rsidRPr="00FC2A5F" w:rsidRDefault="001C170E" w:rsidP="001C170E">
      <w:pPr>
        <w:jc w:val="center"/>
        <w:rPr>
          <w:sz w:val="28"/>
          <w:szCs w:val="28"/>
          <w:lang w:val="ro-RO"/>
        </w:rPr>
      </w:pPr>
      <w:r w:rsidRPr="00FC2A5F">
        <w:rPr>
          <w:sz w:val="28"/>
          <w:szCs w:val="28"/>
          <w:lang w:val="ro-RO"/>
        </w:rPr>
        <w:t xml:space="preserve">Student </w:t>
      </w:r>
      <w:proofErr w:type="spellStart"/>
      <w:r w:rsidRPr="00FC2A5F">
        <w:rPr>
          <w:sz w:val="28"/>
          <w:szCs w:val="28"/>
          <w:lang w:val="ro-RO"/>
        </w:rPr>
        <w:t>Name</w:t>
      </w:r>
      <w:proofErr w:type="spellEnd"/>
      <w:r w:rsidRPr="00FC2A5F">
        <w:rPr>
          <w:sz w:val="28"/>
          <w:szCs w:val="28"/>
          <w:lang w:val="ro-RO"/>
        </w:rPr>
        <w:t xml:space="preserve">: Mihaela </w:t>
      </w:r>
      <w:proofErr w:type="spellStart"/>
      <w:r w:rsidRPr="00FC2A5F">
        <w:rPr>
          <w:sz w:val="28"/>
          <w:szCs w:val="28"/>
          <w:lang w:val="ro-RO"/>
        </w:rPr>
        <w:t>Boicu</w:t>
      </w:r>
      <w:proofErr w:type="spellEnd"/>
    </w:p>
    <w:p w14:paraId="54514F3B" w14:textId="77777777" w:rsidR="001C170E" w:rsidRPr="00FC2A5F" w:rsidRDefault="001C170E" w:rsidP="001C170E">
      <w:pPr>
        <w:jc w:val="center"/>
        <w:rPr>
          <w:sz w:val="28"/>
          <w:szCs w:val="28"/>
          <w:lang w:val="ro-RO"/>
        </w:rPr>
      </w:pPr>
      <w:r w:rsidRPr="00FC2A5F">
        <w:rPr>
          <w:sz w:val="28"/>
          <w:szCs w:val="28"/>
          <w:lang w:val="ro-RO"/>
        </w:rPr>
        <w:t>Student ID: 2223393</w:t>
      </w:r>
    </w:p>
    <w:p w14:paraId="4E596685" w14:textId="30E2503E" w:rsidR="001C170E" w:rsidRPr="00FC2A5F" w:rsidRDefault="001C170E" w:rsidP="001C170E">
      <w:pPr>
        <w:jc w:val="center"/>
        <w:rPr>
          <w:sz w:val="28"/>
          <w:szCs w:val="28"/>
          <w:lang w:val="ro-RO"/>
        </w:rPr>
      </w:pPr>
      <w:r w:rsidRPr="00FC2A5F">
        <w:rPr>
          <w:sz w:val="28"/>
          <w:szCs w:val="28"/>
          <w:lang w:val="ro-RO"/>
        </w:rPr>
        <w:t xml:space="preserve">Module </w:t>
      </w:r>
      <w:proofErr w:type="spellStart"/>
      <w:r w:rsidRPr="00FC2A5F">
        <w:rPr>
          <w:sz w:val="28"/>
          <w:szCs w:val="28"/>
          <w:lang w:val="ro-RO"/>
        </w:rPr>
        <w:t>Leader</w:t>
      </w:r>
      <w:proofErr w:type="spellEnd"/>
      <w:r w:rsidRPr="00FC2A5F">
        <w:rPr>
          <w:sz w:val="28"/>
          <w:szCs w:val="28"/>
          <w:lang w:val="ro-RO"/>
        </w:rPr>
        <w:t xml:space="preserve">: </w:t>
      </w:r>
      <w:r>
        <w:rPr>
          <w:sz w:val="28"/>
          <w:szCs w:val="28"/>
          <w:lang w:val="ro-RO"/>
        </w:rPr>
        <w:t xml:space="preserve">Dr. </w:t>
      </w:r>
      <w:proofErr w:type="spellStart"/>
      <w:r>
        <w:rPr>
          <w:sz w:val="28"/>
          <w:szCs w:val="28"/>
          <w:lang w:val="ro-RO"/>
        </w:rPr>
        <w:t>Mudassar</w:t>
      </w:r>
      <w:proofErr w:type="spellEnd"/>
      <w:r>
        <w:rPr>
          <w:sz w:val="28"/>
          <w:szCs w:val="28"/>
          <w:lang w:val="ro-RO"/>
        </w:rPr>
        <w:t xml:space="preserve"> </w:t>
      </w:r>
      <w:proofErr w:type="spellStart"/>
      <w:r>
        <w:rPr>
          <w:sz w:val="28"/>
          <w:szCs w:val="28"/>
          <w:lang w:val="ro-RO"/>
        </w:rPr>
        <w:t>Hasan</w:t>
      </w:r>
      <w:proofErr w:type="spellEnd"/>
    </w:p>
    <w:p w14:paraId="56BEDF38" w14:textId="77777777" w:rsidR="001C170E" w:rsidRPr="00FC2A5F" w:rsidRDefault="001C170E" w:rsidP="001C170E">
      <w:pPr>
        <w:jc w:val="center"/>
        <w:rPr>
          <w:sz w:val="28"/>
          <w:szCs w:val="28"/>
          <w:lang w:val="ro-RO"/>
        </w:rPr>
      </w:pPr>
    </w:p>
    <w:p w14:paraId="73865E8D" w14:textId="2170B3EE" w:rsidR="001C170E" w:rsidRDefault="001C170E" w:rsidP="001C170E">
      <w:pPr>
        <w:jc w:val="center"/>
        <w:rPr>
          <w:sz w:val="36"/>
          <w:szCs w:val="36"/>
          <w:lang w:val="ro-RO"/>
        </w:rPr>
      </w:pPr>
    </w:p>
    <w:p w14:paraId="7BB377E4" w14:textId="2F0B5C24" w:rsidR="00587503" w:rsidRDefault="00587503" w:rsidP="001C170E">
      <w:pPr>
        <w:jc w:val="center"/>
        <w:rPr>
          <w:sz w:val="36"/>
          <w:szCs w:val="36"/>
          <w:lang w:val="ro-RO"/>
        </w:rPr>
      </w:pPr>
    </w:p>
    <w:p w14:paraId="61DAA3B9" w14:textId="1BC7D776" w:rsidR="00587503" w:rsidRDefault="00587503" w:rsidP="001C170E">
      <w:pPr>
        <w:jc w:val="center"/>
        <w:rPr>
          <w:sz w:val="36"/>
          <w:szCs w:val="36"/>
          <w:lang w:val="ro-RO"/>
        </w:rPr>
      </w:pPr>
    </w:p>
    <w:p w14:paraId="5CA188E1" w14:textId="3C0D16BA" w:rsidR="00587503" w:rsidRDefault="00587503" w:rsidP="001C170E">
      <w:pPr>
        <w:jc w:val="center"/>
        <w:rPr>
          <w:sz w:val="36"/>
          <w:szCs w:val="36"/>
          <w:lang w:val="ro-RO"/>
        </w:rPr>
      </w:pPr>
    </w:p>
    <w:p w14:paraId="5D2DA221" w14:textId="77777777" w:rsidR="00587503" w:rsidRDefault="00587503" w:rsidP="001C170E">
      <w:pPr>
        <w:jc w:val="center"/>
        <w:rPr>
          <w:sz w:val="36"/>
          <w:szCs w:val="36"/>
          <w:lang w:val="ro-RO"/>
        </w:rPr>
      </w:pPr>
    </w:p>
    <w:p w14:paraId="66DFB29A" w14:textId="77777777" w:rsidR="00587503" w:rsidRDefault="00321F2F" w:rsidP="00587503">
      <w:pPr>
        <w:spacing w:before="100" w:beforeAutospacing="1" w:after="100" w:afterAutospacing="1"/>
        <w:contextualSpacing/>
        <w:jc w:val="center"/>
        <w:rPr>
          <w:rFonts w:ascii="Times New Roman" w:eastAsia="Times New Roman" w:hAnsi="Times New Roman" w:cs="Times New Roman"/>
          <w:b/>
          <w:bCs/>
          <w:color w:val="000000"/>
          <w:sz w:val="32"/>
          <w:szCs w:val="32"/>
          <w:lang w:eastAsia="en-GB"/>
        </w:rPr>
      </w:pPr>
      <w:r w:rsidRPr="00321F2F">
        <w:rPr>
          <w:rFonts w:ascii="Times New Roman" w:eastAsia="Times New Roman" w:hAnsi="Times New Roman" w:cs="Times New Roman"/>
          <w:b/>
          <w:bCs/>
          <w:color w:val="000000"/>
          <w:sz w:val="32"/>
          <w:szCs w:val="32"/>
          <w:lang w:eastAsia="en-GB"/>
        </w:rPr>
        <w:t xml:space="preserve">Corporate Governance and Agency Theory in </w:t>
      </w:r>
    </w:p>
    <w:p w14:paraId="69EAA5C8" w14:textId="77777777" w:rsidR="00860049" w:rsidRDefault="00321F2F" w:rsidP="00860049">
      <w:pPr>
        <w:spacing w:before="100" w:beforeAutospacing="1" w:after="100" w:afterAutospacing="1"/>
        <w:contextualSpacing/>
        <w:jc w:val="center"/>
        <w:rPr>
          <w:rFonts w:ascii="Times New Roman" w:eastAsia="Times New Roman" w:hAnsi="Times New Roman" w:cs="Times New Roman"/>
          <w:i/>
          <w:iCs/>
          <w:color w:val="000000"/>
          <w:lang w:eastAsia="en-GB"/>
        </w:rPr>
      </w:pPr>
      <w:r w:rsidRPr="00321F2F">
        <w:rPr>
          <w:rFonts w:ascii="Times New Roman" w:eastAsia="Times New Roman" w:hAnsi="Times New Roman" w:cs="Times New Roman"/>
          <w:b/>
          <w:bCs/>
          <w:color w:val="000000"/>
          <w:sz w:val="32"/>
          <w:szCs w:val="32"/>
          <w:lang w:eastAsia="en-GB"/>
        </w:rPr>
        <w:t>International Financial Management</w:t>
      </w:r>
      <w:r w:rsidRPr="00321F2F">
        <w:rPr>
          <w:rFonts w:ascii="Times New Roman" w:eastAsia="Times New Roman" w:hAnsi="Times New Roman" w:cs="Times New Roman"/>
          <w:color w:val="000000"/>
          <w:sz w:val="32"/>
          <w:szCs w:val="32"/>
          <w:lang w:eastAsia="en-GB"/>
        </w:rPr>
        <w:br/>
      </w:r>
    </w:p>
    <w:p w14:paraId="4D5B9A5E" w14:textId="6EA5347C" w:rsidR="00587503" w:rsidRDefault="00321F2F" w:rsidP="00860049">
      <w:pPr>
        <w:spacing w:before="100" w:beforeAutospacing="1" w:after="100" w:afterAutospacing="1"/>
        <w:contextualSpacing/>
        <w:jc w:val="center"/>
        <w:rPr>
          <w:rFonts w:ascii="Times New Roman" w:eastAsia="Times New Roman" w:hAnsi="Times New Roman" w:cs="Times New Roman"/>
          <w:color w:val="000000"/>
          <w:sz w:val="32"/>
          <w:szCs w:val="32"/>
          <w:lang w:eastAsia="en-GB"/>
        </w:rPr>
      </w:pPr>
      <w:r w:rsidRPr="00321F2F">
        <w:rPr>
          <w:rFonts w:ascii="Times New Roman" w:eastAsia="Times New Roman" w:hAnsi="Times New Roman" w:cs="Times New Roman"/>
          <w:i/>
          <w:iCs/>
          <w:color w:val="000000"/>
          <w:lang w:eastAsia="en-GB"/>
        </w:rPr>
        <w:t xml:space="preserve">A Report for the Board of Directors of </w:t>
      </w:r>
      <w:r w:rsidR="00587503" w:rsidRPr="00587503">
        <w:rPr>
          <w:rFonts w:ascii="Times New Roman" w:eastAsia="Times New Roman" w:hAnsi="Times New Roman" w:cs="Times New Roman"/>
          <w:i/>
          <w:iCs/>
          <w:color w:val="000000"/>
          <w:lang w:eastAsia="en-GB"/>
        </w:rPr>
        <w:t>Clara BG</w:t>
      </w:r>
      <w:r w:rsidRPr="00321F2F">
        <w:rPr>
          <w:rFonts w:ascii="Times New Roman" w:eastAsia="Times New Roman" w:hAnsi="Times New Roman" w:cs="Times New Roman"/>
          <w:i/>
          <w:iCs/>
          <w:color w:val="000000"/>
          <w:lang w:eastAsia="en-GB"/>
        </w:rPr>
        <w:br/>
      </w:r>
    </w:p>
    <w:p w14:paraId="36A35DA0" w14:textId="0CF05309" w:rsidR="00587503" w:rsidRDefault="00587503" w:rsidP="00587503">
      <w:pPr>
        <w:spacing w:before="100" w:beforeAutospacing="1" w:after="100" w:afterAutospacing="1"/>
        <w:contextualSpacing/>
        <w:jc w:val="center"/>
        <w:rPr>
          <w:rFonts w:ascii="Times New Roman" w:eastAsia="Times New Roman" w:hAnsi="Times New Roman" w:cs="Times New Roman"/>
          <w:color w:val="000000"/>
          <w:sz w:val="32"/>
          <w:szCs w:val="32"/>
          <w:lang w:eastAsia="en-GB"/>
        </w:rPr>
      </w:pPr>
    </w:p>
    <w:p w14:paraId="7AAE3038" w14:textId="077CDE24" w:rsidR="00B119E3" w:rsidRDefault="00B119E3" w:rsidP="00587503">
      <w:pPr>
        <w:spacing w:before="100" w:beforeAutospacing="1" w:after="100" w:afterAutospacing="1"/>
        <w:contextualSpacing/>
        <w:jc w:val="center"/>
        <w:rPr>
          <w:rFonts w:ascii="Times New Roman" w:eastAsia="Times New Roman" w:hAnsi="Times New Roman" w:cs="Times New Roman"/>
          <w:color w:val="000000"/>
          <w:sz w:val="32"/>
          <w:szCs w:val="32"/>
          <w:lang w:eastAsia="en-GB"/>
        </w:rPr>
      </w:pPr>
    </w:p>
    <w:p w14:paraId="557D462E" w14:textId="41FA286E" w:rsidR="00B119E3" w:rsidRDefault="00B119E3" w:rsidP="00B119E3">
      <w:pPr>
        <w:spacing w:before="100" w:beforeAutospacing="1" w:after="100" w:afterAutospacing="1"/>
        <w:contextualSpacing/>
        <w:rPr>
          <w:rFonts w:ascii="Times New Roman" w:eastAsia="Times New Roman" w:hAnsi="Times New Roman" w:cs="Times New Roman"/>
          <w:color w:val="000000"/>
          <w:sz w:val="32"/>
          <w:szCs w:val="32"/>
          <w:lang w:eastAsia="en-GB"/>
        </w:rPr>
      </w:pPr>
    </w:p>
    <w:p w14:paraId="34EDD602" w14:textId="420ABE6A" w:rsidR="00B119E3" w:rsidRPr="00860049" w:rsidRDefault="00B119E3" w:rsidP="00B119E3">
      <w:pPr>
        <w:spacing w:before="100" w:beforeAutospacing="1" w:after="100" w:afterAutospacing="1"/>
        <w:contextualSpacing/>
        <w:rPr>
          <w:rFonts w:ascii="Times New Roman" w:eastAsia="Times New Roman" w:hAnsi="Times New Roman" w:cs="Times New Roman"/>
          <w:b/>
          <w:bCs/>
          <w:color w:val="000000"/>
          <w:sz w:val="28"/>
          <w:szCs w:val="28"/>
          <w:lang w:eastAsia="en-GB"/>
        </w:rPr>
      </w:pPr>
      <w:r w:rsidRPr="00860049">
        <w:rPr>
          <w:rFonts w:ascii="Times New Roman" w:eastAsia="Times New Roman" w:hAnsi="Times New Roman" w:cs="Times New Roman"/>
          <w:b/>
          <w:bCs/>
          <w:color w:val="000000"/>
          <w:sz w:val="28"/>
          <w:szCs w:val="28"/>
          <w:lang w:eastAsia="en-GB"/>
        </w:rPr>
        <w:t>Table of contents</w:t>
      </w:r>
    </w:p>
    <w:p w14:paraId="3137B7DC" w14:textId="77777777" w:rsidR="00B119E3" w:rsidRPr="00B119E3" w:rsidRDefault="00B119E3" w:rsidP="001C4219">
      <w:pPr>
        <w:spacing w:before="100" w:beforeAutospacing="1" w:after="100" w:afterAutospacing="1"/>
        <w:contextualSpacing/>
        <w:jc w:val="center"/>
        <w:rPr>
          <w:rFonts w:ascii="Times New Roman" w:eastAsia="Times New Roman" w:hAnsi="Times New Roman" w:cs="Times New Roman"/>
          <w:b/>
          <w:bCs/>
          <w:color w:val="000000"/>
          <w:lang w:eastAsia="en-GB"/>
        </w:rPr>
      </w:pPr>
    </w:p>
    <w:p w14:paraId="31B00734" w14:textId="185B3AE6" w:rsidR="00B119E3" w:rsidRPr="00B119E3" w:rsidRDefault="00B119E3" w:rsidP="001C4219">
      <w:pPr>
        <w:spacing w:before="100" w:beforeAutospacing="1" w:after="100" w:afterAutospacing="1"/>
        <w:contextualSpacing/>
        <w:jc w:val="center"/>
        <w:rPr>
          <w:rFonts w:ascii="Times New Roman" w:eastAsia="Times New Roman" w:hAnsi="Times New Roman" w:cs="Times New Roman"/>
          <w:color w:val="000000"/>
          <w:lang w:eastAsia="en-GB"/>
        </w:rPr>
      </w:pPr>
      <w:r w:rsidRPr="00B119E3">
        <w:rPr>
          <w:rFonts w:ascii="Times New Roman" w:eastAsia="Times New Roman" w:hAnsi="Times New Roman" w:cs="Times New Roman"/>
          <w:color w:val="000000"/>
          <w:lang w:eastAsia="en-GB"/>
        </w:rPr>
        <w:t>Executive Summary</w:t>
      </w:r>
      <w:r>
        <w:rPr>
          <w:rFonts w:ascii="Times New Roman" w:eastAsia="Times New Roman" w:hAnsi="Times New Roman" w:cs="Times New Roman"/>
          <w:color w:val="000000"/>
          <w:lang w:eastAsia="en-GB"/>
        </w:rPr>
        <w:t>……………………………………………</w:t>
      </w:r>
      <w:r w:rsidR="00860049">
        <w:rPr>
          <w:rFonts w:ascii="Times New Roman" w:eastAsia="Times New Roman" w:hAnsi="Times New Roman" w:cs="Times New Roman"/>
          <w:color w:val="000000"/>
          <w:lang w:eastAsia="en-GB"/>
        </w:rPr>
        <w:t>...</w:t>
      </w:r>
      <w:r>
        <w:rPr>
          <w:rFonts w:ascii="Times New Roman" w:eastAsia="Times New Roman" w:hAnsi="Times New Roman" w:cs="Times New Roman"/>
          <w:color w:val="000000"/>
          <w:lang w:eastAsia="en-GB"/>
        </w:rPr>
        <w:t>……</w:t>
      </w:r>
      <w:r w:rsidR="00860049">
        <w:rPr>
          <w:rFonts w:ascii="Times New Roman" w:eastAsia="Times New Roman" w:hAnsi="Times New Roman" w:cs="Times New Roman"/>
          <w:color w:val="000000"/>
          <w:lang w:eastAsia="en-GB"/>
        </w:rPr>
        <w:t>1</w:t>
      </w:r>
    </w:p>
    <w:p w14:paraId="0A9303E3" w14:textId="2E1BED62" w:rsidR="00B119E3" w:rsidRPr="00B119E3" w:rsidRDefault="00B119E3" w:rsidP="001C4219">
      <w:pPr>
        <w:spacing w:before="100" w:beforeAutospacing="1" w:after="100" w:afterAutospacing="1"/>
        <w:contextualSpacing/>
        <w:jc w:val="center"/>
        <w:rPr>
          <w:rFonts w:ascii="Times New Roman" w:eastAsia="Times New Roman" w:hAnsi="Times New Roman" w:cs="Times New Roman"/>
          <w:color w:val="000000"/>
          <w:lang w:eastAsia="en-GB"/>
        </w:rPr>
      </w:pPr>
      <w:r w:rsidRPr="00B119E3">
        <w:rPr>
          <w:rFonts w:ascii="Times New Roman" w:eastAsia="Times New Roman" w:hAnsi="Times New Roman" w:cs="Times New Roman"/>
          <w:color w:val="000000"/>
          <w:lang w:eastAsia="en-GB"/>
        </w:rPr>
        <w:t>Introduction</w:t>
      </w:r>
      <w:r>
        <w:rPr>
          <w:rFonts w:ascii="Times New Roman" w:eastAsia="Times New Roman" w:hAnsi="Times New Roman" w:cs="Times New Roman"/>
          <w:color w:val="000000"/>
          <w:lang w:eastAsia="en-GB"/>
        </w:rPr>
        <w:t>……………………………………………………………</w:t>
      </w:r>
      <w:r w:rsidR="00860049">
        <w:rPr>
          <w:rFonts w:ascii="Times New Roman" w:eastAsia="Times New Roman" w:hAnsi="Times New Roman" w:cs="Times New Roman"/>
          <w:color w:val="000000"/>
          <w:lang w:eastAsia="en-GB"/>
        </w:rPr>
        <w:t>1</w:t>
      </w:r>
    </w:p>
    <w:p w14:paraId="75489C69" w14:textId="006EA2D2" w:rsidR="00B119E3" w:rsidRPr="00B119E3" w:rsidRDefault="00B119E3" w:rsidP="001C4219">
      <w:pPr>
        <w:spacing w:before="100" w:beforeAutospacing="1" w:after="100" w:afterAutospacing="1"/>
        <w:contextualSpacing/>
        <w:jc w:val="center"/>
        <w:rPr>
          <w:rFonts w:ascii="Times New Roman" w:eastAsia="Times New Roman" w:hAnsi="Times New Roman" w:cs="Times New Roman"/>
          <w:color w:val="000000"/>
          <w:lang w:eastAsia="en-GB"/>
        </w:rPr>
      </w:pPr>
      <w:r w:rsidRPr="00B119E3">
        <w:rPr>
          <w:rFonts w:ascii="Times New Roman" w:eastAsia="Times New Roman" w:hAnsi="Times New Roman" w:cs="Times New Roman"/>
          <w:color w:val="000000"/>
          <w:lang w:eastAsia="en-GB"/>
        </w:rPr>
        <w:t>Discussion of findings</w:t>
      </w:r>
      <w:r>
        <w:rPr>
          <w:rFonts w:ascii="Times New Roman" w:eastAsia="Times New Roman" w:hAnsi="Times New Roman" w:cs="Times New Roman"/>
          <w:color w:val="000000"/>
          <w:lang w:eastAsia="en-GB"/>
        </w:rPr>
        <w:t>…………………………………………………</w:t>
      </w:r>
      <w:r w:rsidR="00860049">
        <w:rPr>
          <w:rFonts w:ascii="Times New Roman" w:eastAsia="Times New Roman" w:hAnsi="Times New Roman" w:cs="Times New Roman"/>
          <w:color w:val="000000"/>
          <w:lang w:eastAsia="en-GB"/>
        </w:rPr>
        <w:t>1</w:t>
      </w:r>
    </w:p>
    <w:p w14:paraId="5E504304" w14:textId="574012FF" w:rsidR="00B119E3" w:rsidRPr="00321F2F" w:rsidRDefault="00B119E3" w:rsidP="001C4219">
      <w:pPr>
        <w:spacing w:before="100" w:beforeAutospacing="1" w:after="100" w:afterAutospacing="1"/>
        <w:contextualSpacing/>
        <w:jc w:val="center"/>
        <w:outlineLvl w:val="2"/>
        <w:rPr>
          <w:rFonts w:ascii="Times New Roman" w:eastAsia="Times New Roman" w:hAnsi="Times New Roman" w:cs="Times New Roman"/>
          <w:color w:val="000000"/>
          <w:lang w:eastAsia="en-GB"/>
        </w:rPr>
      </w:pPr>
      <w:r w:rsidRPr="00321F2F">
        <w:rPr>
          <w:rFonts w:ascii="Times New Roman" w:eastAsia="Times New Roman" w:hAnsi="Times New Roman" w:cs="Times New Roman"/>
          <w:color w:val="000000"/>
          <w:lang w:eastAsia="en-GB"/>
        </w:rPr>
        <w:t>A. Corporate Governance and Agency Theory</w:t>
      </w:r>
      <w:r>
        <w:rPr>
          <w:rFonts w:ascii="Times New Roman" w:eastAsia="Times New Roman" w:hAnsi="Times New Roman" w:cs="Times New Roman"/>
          <w:color w:val="000000"/>
          <w:lang w:eastAsia="en-GB"/>
        </w:rPr>
        <w:t>…………</w:t>
      </w:r>
      <w:r w:rsidR="001C4219">
        <w:rPr>
          <w:rFonts w:ascii="Times New Roman" w:eastAsia="Times New Roman" w:hAnsi="Times New Roman" w:cs="Times New Roman"/>
          <w:color w:val="000000"/>
          <w:lang w:eastAsia="en-GB"/>
        </w:rPr>
        <w:t>…</w:t>
      </w:r>
      <w:r>
        <w:rPr>
          <w:rFonts w:ascii="Times New Roman" w:eastAsia="Times New Roman" w:hAnsi="Times New Roman" w:cs="Times New Roman"/>
          <w:color w:val="000000"/>
          <w:lang w:eastAsia="en-GB"/>
        </w:rPr>
        <w:t>……</w:t>
      </w:r>
      <w:r w:rsidR="00860049">
        <w:rPr>
          <w:rFonts w:ascii="Times New Roman" w:eastAsia="Times New Roman" w:hAnsi="Times New Roman" w:cs="Times New Roman"/>
          <w:color w:val="000000"/>
          <w:lang w:eastAsia="en-GB"/>
        </w:rPr>
        <w:t>...</w:t>
      </w:r>
      <w:r>
        <w:rPr>
          <w:rFonts w:ascii="Times New Roman" w:eastAsia="Times New Roman" w:hAnsi="Times New Roman" w:cs="Times New Roman"/>
          <w:color w:val="000000"/>
          <w:lang w:eastAsia="en-GB"/>
        </w:rPr>
        <w:t>……</w:t>
      </w:r>
      <w:r w:rsidR="00860049">
        <w:rPr>
          <w:rFonts w:ascii="Times New Roman" w:eastAsia="Times New Roman" w:hAnsi="Times New Roman" w:cs="Times New Roman"/>
          <w:color w:val="000000"/>
          <w:lang w:eastAsia="en-GB"/>
        </w:rPr>
        <w:t>1</w:t>
      </w:r>
    </w:p>
    <w:p w14:paraId="6D3C04A1" w14:textId="67310708" w:rsidR="00B119E3" w:rsidRPr="00321F2F" w:rsidRDefault="00B119E3" w:rsidP="001C4219">
      <w:pPr>
        <w:spacing w:before="100" w:beforeAutospacing="1" w:after="100" w:afterAutospacing="1"/>
        <w:contextualSpacing/>
        <w:jc w:val="center"/>
        <w:outlineLvl w:val="2"/>
        <w:rPr>
          <w:rFonts w:ascii="Times New Roman" w:eastAsia="Times New Roman" w:hAnsi="Times New Roman" w:cs="Times New Roman"/>
          <w:color w:val="000000"/>
          <w:lang w:eastAsia="en-GB"/>
        </w:rPr>
      </w:pPr>
      <w:r w:rsidRPr="00321F2F">
        <w:rPr>
          <w:rFonts w:ascii="Times New Roman" w:eastAsia="Times New Roman" w:hAnsi="Times New Roman" w:cs="Times New Roman"/>
          <w:color w:val="000000"/>
          <w:lang w:eastAsia="en-GB"/>
        </w:rPr>
        <w:t>B. Retaining Control with a 30% Shareholding</w:t>
      </w:r>
      <w:r>
        <w:rPr>
          <w:rFonts w:ascii="Times New Roman" w:eastAsia="Times New Roman" w:hAnsi="Times New Roman" w:cs="Times New Roman"/>
          <w:color w:val="000000"/>
          <w:lang w:eastAsia="en-GB"/>
        </w:rPr>
        <w:t>…………</w:t>
      </w:r>
      <w:r w:rsidR="001C4219">
        <w:rPr>
          <w:rFonts w:ascii="Times New Roman" w:eastAsia="Times New Roman" w:hAnsi="Times New Roman" w:cs="Times New Roman"/>
          <w:color w:val="000000"/>
          <w:lang w:eastAsia="en-GB"/>
        </w:rPr>
        <w:t>...</w:t>
      </w:r>
      <w:r>
        <w:rPr>
          <w:rFonts w:ascii="Times New Roman" w:eastAsia="Times New Roman" w:hAnsi="Times New Roman" w:cs="Times New Roman"/>
          <w:color w:val="000000"/>
          <w:lang w:eastAsia="en-GB"/>
        </w:rPr>
        <w:t>…………</w:t>
      </w:r>
      <w:r w:rsidR="001C4219">
        <w:rPr>
          <w:rFonts w:ascii="Times New Roman" w:eastAsia="Times New Roman" w:hAnsi="Times New Roman" w:cs="Times New Roman"/>
          <w:color w:val="000000"/>
          <w:lang w:eastAsia="en-GB"/>
        </w:rPr>
        <w:t>.</w:t>
      </w:r>
      <w:r>
        <w:rPr>
          <w:rFonts w:ascii="Times New Roman" w:eastAsia="Times New Roman" w:hAnsi="Times New Roman" w:cs="Times New Roman"/>
          <w:color w:val="000000"/>
          <w:lang w:eastAsia="en-GB"/>
        </w:rPr>
        <w:t>..</w:t>
      </w:r>
      <w:r w:rsidR="00860049">
        <w:rPr>
          <w:rFonts w:ascii="Times New Roman" w:eastAsia="Times New Roman" w:hAnsi="Times New Roman" w:cs="Times New Roman"/>
          <w:color w:val="000000"/>
          <w:lang w:eastAsia="en-GB"/>
        </w:rPr>
        <w:t>2</w:t>
      </w:r>
    </w:p>
    <w:p w14:paraId="1EAB3960" w14:textId="579DFE4B" w:rsidR="00B119E3" w:rsidRPr="00321F2F" w:rsidRDefault="00B119E3" w:rsidP="001C4219">
      <w:pPr>
        <w:spacing w:before="100" w:beforeAutospacing="1" w:after="100" w:afterAutospacing="1"/>
        <w:contextualSpacing/>
        <w:jc w:val="center"/>
        <w:outlineLvl w:val="2"/>
        <w:rPr>
          <w:rFonts w:ascii="Times New Roman" w:eastAsia="Times New Roman" w:hAnsi="Times New Roman" w:cs="Times New Roman"/>
          <w:color w:val="000000"/>
          <w:lang w:eastAsia="en-GB"/>
        </w:rPr>
      </w:pPr>
      <w:r w:rsidRPr="00321F2F">
        <w:rPr>
          <w:rFonts w:ascii="Times New Roman" w:eastAsia="Times New Roman" w:hAnsi="Times New Roman" w:cs="Times New Roman"/>
          <w:color w:val="000000"/>
          <w:lang w:eastAsia="en-GB"/>
        </w:rPr>
        <w:t>C. Director Remuneration Structures</w:t>
      </w:r>
      <w:r>
        <w:rPr>
          <w:rFonts w:ascii="Times New Roman" w:eastAsia="Times New Roman" w:hAnsi="Times New Roman" w:cs="Times New Roman"/>
          <w:color w:val="000000"/>
          <w:lang w:eastAsia="en-GB"/>
        </w:rPr>
        <w:t>……………………</w:t>
      </w:r>
      <w:r w:rsidR="001C4219">
        <w:rPr>
          <w:rFonts w:ascii="Times New Roman" w:eastAsia="Times New Roman" w:hAnsi="Times New Roman" w:cs="Times New Roman"/>
          <w:color w:val="000000"/>
          <w:lang w:eastAsia="en-GB"/>
        </w:rPr>
        <w:t>…</w:t>
      </w:r>
      <w:r>
        <w:rPr>
          <w:rFonts w:ascii="Times New Roman" w:eastAsia="Times New Roman" w:hAnsi="Times New Roman" w:cs="Times New Roman"/>
          <w:color w:val="000000"/>
          <w:lang w:eastAsia="en-GB"/>
        </w:rPr>
        <w:t>………</w:t>
      </w:r>
      <w:proofErr w:type="gramStart"/>
      <w:r>
        <w:rPr>
          <w:rFonts w:ascii="Times New Roman" w:eastAsia="Times New Roman" w:hAnsi="Times New Roman" w:cs="Times New Roman"/>
          <w:color w:val="000000"/>
          <w:lang w:eastAsia="en-GB"/>
        </w:rPr>
        <w:t>…..</w:t>
      </w:r>
      <w:proofErr w:type="gramEnd"/>
      <w:r w:rsidR="00860049">
        <w:rPr>
          <w:rFonts w:ascii="Times New Roman" w:eastAsia="Times New Roman" w:hAnsi="Times New Roman" w:cs="Times New Roman"/>
          <w:color w:val="000000"/>
          <w:lang w:eastAsia="en-GB"/>
        </w:rPr>
        <w:t>2</w:t>
      </w:r>
    </w:p>
    <w:p w14:paraId="0F71E1B1" w14:textId="70A0E2FD" w:rsidR="00B119E3" w:rsidRPr="007874B0" w:rsidRDefault="00B119E3" w:rsidP="001C4219">
      <w:pPr>
        <w:spacing w:before="100" w:beforeAutospacing="1" w:after="100" w:afterAutospacing="1"/>
        <w:contextualSpacing/>
        <w:jc w:val="center"/>
        <w:outlineLvl w:val="2"/>
        <w:rPr>
          <w:rFonts w:ascii="Times New Roman" w:eastAsia="Times New Roman" w:hAnsi="Times New Roman" w:cs="Times New Roman"/>
          <w:color w:val="000000"/>
          <w:lang w:eastAsia="en-GB"/>
        </w:rPr>
      </w:pPr>
      <w:r w:rsidRPr="007874B0">
        <w:rPr>
          <w:rFonts w:ascii="Times New Roman" w:eastAsia="Times New Roman" w:hAnsi="Times New Roman" w:cs="Times New Roman"/>
          <w:color w:val="000000"/>
          <w:lang w:eastAsia="en-GB"/>
        </w:rPr>
        <w:t>D. Institutional Differences: UK vs. Shanghai vs. Netherlands</w:t>
      </w:r>
      <w:r>
        <w:rPr>
          <w:rFonts w:ascii="Times New Roman" w:eastAsia="Times New Roman" w:hAnsi="Times New Roman" w:cs="Times New Roman"/>
          <w:color w:val="000000"/>
          <w:lang w:eastAsia="en-GB"/>
        </w:rPr>
        <w:t>……</w:t>
      </w:r>
      <w:proofErr w:type="gramStart"/>
      <w:r w:rsidR="001C4219">
        <w:rPr>
          <w:rFonts w:ascii="Times New Roman" w:eastAsia="Times New Roman" w:hAnsi="Times New Roman" w:cs="Times New Roman"/>
          <w:color w:val="000000"/>
          <w:lang w:eastAsia="en-GB"/>
        </w:rPr>
        <w:t>…</w:t>
      </w:r>
      <w:r>
        <w:rPr>
          <w:rFonts w:ascii="Times New Roman" w:eastAsia="Times New Roman" w:hAnsi="Times New Roman" w:cs="Times New Roman"/>
          <w:color w:val="000000"/>
          <w:lang w:eastAsia="en-GB"/>
        </w:rPr>
        <w:t>..</w:t>
      </w:r>
      <w:proofErr w:type="gramEnd"/>
      <w:r w:rsidR="00860049">
        <w:rPr>
          <w:rFonts w:ascii="Times New Roman" w:eastAsia="Times New Roman" w:hAnsi="Times New Roman" w:cs="Times New Roman"/>
          <w:color w:val="000000"/>
          <w:lang w:eastAsia="en-GB"/>
        </w:rPr>
        <w:t>3</w:t>
      </w:r>
    </w:p>
    <w:p w14:paraId="6BC0CB9D" w14:textId="5EE7B950" w:rsidR="00B119E3" w:rsidRPr="00B119E3" w:rsidRDefault="00B119E3" w:rsidP="001C4219">
      <w:pPr>
        <w:spacing w:before="100" w:beforeAutospacing="1" w:after="100" w:afterAutospacing="1"/>
        <w:contextualSpacing/>
        <w:jc w:val="center"/>
        <w:rPr>
          <w:rFonts w:ascii="Times New Roman" w:eastAsia="Times New Roman" w:hAnsi="Times New Roman" w:cs="Times New Roman"/>
          <w:color w:val="000000"/>
          <w:lang w:eastAsia="en-GB"/>
        </w:rPr>
      </w:pPr>
      <w:r w:rsidRPr="00B119E3">
        <w:rPr>
          <w:rFonts w:ascii="Times New Roman" w:eastAsia="Times New Roman" w:hAnsi="Times New Roman" w:cs="Times New Roman"/>
          <w:color w:val="000000"/>
          <w:lang w:eastAsia="en-GB"/>
        </w:rPr>
        <w:t>Conclusion</w:t>
      </w:r>
      <w:r>
        <w:rPr>
          <w:rFonts w:ascii="Times New Roman" w:eastAsia="Times New Roman" w:hAnsi="Times New Roman" w:cs="Times New Roman"/>
          <w:color w:val="000000"/>
          <w:lang w:eastAsia="en-GB"/>
        </w:rPr>
        <w:t>………………………………………………………</w:t>
      </w:r>
      <w:r w:rsidR="00860049">
        <w:rPr>
          <w:rFonts w:ascii="Times New Roman" w:eastAsia="Times New Roman" w:hAnsi="Times New Roman" w:cs="Times New Roman"/>
          <w:color w:val="000000"/>
          <w:lang w:eastAsia="en-GB"/>
        </w:rPr>
        <w:t>.</w:t>
      </w:r>
      <w:r>
        <w:rPr>
          <w:rFonts w:ascii="Times New Roman" w:eastAsia="Times New Roman" w:hAnsi="Times New Roman" w:cs="Times New Roman"/>
          <w:color w:val="000000"/>
          <w:lang w:eastAsia="en-GB"/>
        </w:rPr>
        <w:t>…</w:t>
      </w:r>
      <w:r w:rsidR="001C4219">
        <w:rPr>
          <w:rFonts w:ascii="Times New Roman" w:eastAsia="Times New Roman" w:hAnsi="Times New Roman" w:cs="Times New Roman"/>
          <w:color w:val="000000"/>
          <w:lang w:eastAsia="en-GB"/>
        </w:rPr>
        <w:t>.</w:t>
      </w:r>
      <w:r>
        <w:rPr>
          <w:rFonts w:ascii="Times New Roman" w:eastAsia="Times New Roman" w:hAnsi="Times New Roman" w:cs="Times New Roman"/>
          <w:color w:val="000000"/>
          <w:lang w:eastAsia="en-GB"/>
        </w:rPr>
        <w:t>….</w:t>
      </w:r>
      <w:r w:rsidR="00860049">
        <w:rPr>
          <w:rFonts w:ascii="Times New Roman" w:eastAsia="Times New Roman" w:hAnsi="Times New Roman" w:cs="Times New Roman"/>
          <w:color w:val="000000"/>
          <w:lang w:eastAsia="en-GB"/>
        </w:rPr>
        <w:t>3</w:t>
      </w:r>
    </w:p>
    <w:p w14:paraId="16163AFC" w14:textId="7ABD121E" w:rsidR="00B119E3" w:rsidRPr="00B119E3" w:rsidRDefault="00B119E3" w:rsidP="001C4219">
      <w:pPr>
        <w:spacing w:before="100" w:beforeAutospacing="1" w:after="100" w:afterAutospacing="1"/>
        <w:contextualSpacing/>
        <w:jc w:val="center"/>
        <w:rPr>
          <w:rFonts w:ascii="Times New Roman" w:eastAsia="Times New Roman" w:hAnsi="Times New Roman" w:cs="Times New Roman"/>
          <w:color w:val="000000"/>
          <w:lang w:eastAsia="en-GB"/>
        </w:rPr>
      </w:pPr>
      <w:r w:rsidRPr="00B119E3">
        <w:rPr>
          <w:rFonts w:ascii="Times New Roman" w:eastAsia="Times New Roman" w:hAnsi="Times New Roman" w:cs="Times New Roman"/>
          <w:color w:val="000000"/>
          <w:lang w:eastAsia="en-GB"/>
        </w:rPr>
        <w:t>Recommendations</w:t>
      </w:r>
      <w:r>
        <w:rPr>
          <w:rFonts w:ascii="Times New Roman" w:eastAsia="Times New Roman" w:hAnsi="Times New Roman" w:cs="Times New Roman"/>
          <w:color w:val="000000"/>
          <w:lang w:eastAsia="en-GB"/>
        </w:rPr>
        <w:t>………………………………………………</w:t>
      </w:r>
      <w:proofErr w:type="gramStart"/>
      <w:r>
        <w:rPr>
          <w:rFonts w:ascii="Times New Roman" w:eastAsia="Times New Roman" w:hAnsi="Times New Roman" w:cs="Times New Roman"/>
          <w:color w:val="000000"/>
          <w:lang w:eastAsia="en-GB"/>
        </w:rPr>
        <w:t>…</w:t>
      </w:r>
      <w:r w:rsidR="001C4219">
        <w:rPr>
          <w:rFonts w:ascii="Times New Roman" w:eastAsia="Times New Roman" w:hAnsi="Times New Roman" w:cs="Times New Roman"/>
          <w:color w:val="000000"/>
          <w:lang w:eastAsia="en-GB"/>
        </w:rPr>
        <w:t>.</w:t>
      </w:r>
      <w:r>
        <w:rPr>
          <w:rFonts w:ascii="Times New Roman" w:eastAsia="Times New Roman" w:hAnsi="Times New Roman" w:cs="Times New Roman"/>
          <w:color w:val="000000"/>
          <w:lang w:eastAsia="en-GB"/>
        </w:rPr>
        <w:t>…..</w:t>
      </w:r>
      <w:proofErr w:type="gramEnd"/>
      <w:r w:rsidR="00860049">
        <w:rPr>
          <w:rFonts w:ascii="Times New Roman" w:eastAsia="Times New Roman" w:hAnsi="Times New Roman" w:cs="Times New Roman"/>
          <w:color w:val="000000"/>
          <w:lang w:eastAsia="en-GB"/>
        </w:rPr>
        <w:t>4</w:t>
      </w:r>
    </w:p>
    <w:p w14:paraId="6DCC2A89" w14:textId="426D03DB" w:rsidR="00B119E3" w:rsidRPr="00B119E3" w:rsidRDefault="00B119E3" w:rsidP="001C4219">
      <w:pPr>
        <w:spacing w:before="100" w:beforeAutospacing="1" w:after="100" w:afterAutospacing="1"/>
        <w:contextualSpacing/>
        <w:jc w:val="center"/>
        <w:rPr>
          <w:rFonts w:ascii="Times New Roman" w:eastAsia="Times New Roman" w:hAnsi="Times New Roman" w:cs="Times New Roman"/>
          <w:color w:val="000000"/>
          <w:lang w:eastAsia="en-GB"/>
        </w:rPr>
      </w:pPr>
      <w:r w:rsidRPr="00B119E3">
        <w:rPr>
          <w:rFonts w:ascii="Times New Roman" w:eastAsia="Times New Roman" w:hAnsi="Times New Roman" w:cs="Times New Roman"/>
          <w:color w:val="000000"/>
          <w:lang w:eastAsia="en-GB"/>
        </w:rPr>
        <w:t>References</w:t>
      </w:r>
      <w:r>
        <w:rPr>
          <w:rFonts w:ascii="Times New Roman" w:eastAsia="Times New Roman" w:hAnsi="Times New Roman" w:cs="Times New Roman"/>
          <w:color w:val="000000"/>
          <w:lang w:eastAsia="en-GB"/>
        </w:rPr>
        <w:t>………………………………………………………</w:t>
      </w:r>
      <w:r w:rsidR="00860049">
        <w:rPr>
          <w:rFonts w:ascii="Times New Roman" w:eastAsia="Times New Roman" w:hAnsi="Times New Roman" w:cs="Times New Roman"/>
          <w:color w:val="000000"/>
          <w:lang w:eastAsia="en-GB"/>
        </w:rPr>
        <w:t>.</w:t>
      </w:r>
      <w:r>
        <w:rPr>
          <w:rFonts w:ascii="Times New Roman" w:eastAsia="Times New Roman" w:hAnsi="Times New Roman" w:cs="Times New Roman"/>
          <w:color w:val="000000"/>
          <w:lang w:eastAsia="en-GB"/>
        </w:rPr>
        <w:t>…</w:t>
      </w:r>
      <w:r w:rsidR="001C4219">
        <w:rPr>
          <w:rFonts w:ascii="Times New Roman" w:eastAsia="Times New Roman" w:hAnsi="Times New Roman" w:cs="Times New Roman"/>
          <w:color w:val="000000"/>
          <w:lang w:eastAsia="en-GB"/>
        </w:rPr>
        <w:t>.</w:t>
      </w:r>
      <w:r>
        <w:rPr>
          <w:rFonts w:ascii="Times New Roman" w:eastAsia="Times New Roman" w:hAnsi="Times New Roman" w:cs="Times New Roman"/>
          <w:color w:val="000000"/>
          <w:lang w:eastAsia="en-GB"/>
        </w:rPr>
        <w:t>….</w:t>
      </w:r>
      <w:r w:rsidR="00860049">
        <w:rPr>
          <w:rFonts w:ascii="Times New Roman" w:eastAsia="Times New Roman" w:hAnsi="Times New Roman" w:cs="Times New Roman"/>
          <w:color w:val="000000"/>
          <w:lang w:eastAsia="en-GB"/>
        </w:rPr>
        <w:t>5</w:t>
      </w:r>
    </w:p>
    <w:p w14:paraId="2C3D125A" w14:textId="77777777" w:rsidR="00B119E3" w:rsidRDefault="00B119E3" w:rsidP="00860049">
      <w:pPr>
        <w:spacing w:before="100" w:beforeAutospacing="1" w:after="100" w:afterAutospacing="1"/>
        <w:contextualSpacing/>
        <w:rPr>
          <w:rFonts w:ascii="Times New Roman" w:eastAsia="Times New Roman" w:hAnsi="Times New Roman" w:cs="Times New Roman"/>
          <w:color w:val="000000"/>
          <w:sz w:val="32"/>
          <w:szCs w:val="32"/>
          <w:lang w:eastAsia="en-GB"/>
        </w:rPr>
      </w:pPr>
    </w:p>
    <w:p w14:paraId="70907B33" w14:textId="77777777" w:rsidR="00321F2F" w:rsidRPr="00321F2F" w:rsidRDefault="00321F2F" w:rsidP="00B119E3">
      <w:pPr>
        <w:spacing w:before="100" w:beforeAutospacing="1" w:after="100" w:afterAutospacing="1"/>
        <w:contextualSpacing/>
        <w:rPr>
          <w:rFonts w:ascii="Times New Roman" w:eastAsia="Times New Roman" w:hAnsi="Times New Roman" w:cs="Times New Roman"/>
          <w:color w:val="000000"/>
          <w:sz w:val="28"/>
          <w:szCs w:val="28"/>
          <w:lang w:eastAsia="en-GB"/>
        </w:rPr>
      </w:pPr>
      <w:r w:rsidRPr="00321F2F">
        <w:rPr>
          <w:rFonts w:ascii="Times New Roman" w:eastAsia="Times New Roman" w:hAnsi="Times New Roman" w:cs="Times New Roman"/>
          <w:b/>
          <w:bCs/>
          <w:color w:val="000000"/>
          <w:sz w:val="28"/>
          <w:szCs w:val="28"/>
          <w:lang w:eastAsia="en-GB"/>
        </w:rPr>
        <w:lastRenderedPageBreak/>
        <w:t>Executive Summary</w:t>
      </w:r>
    </w:p>
    <w:p w14:paraId="0AABA6DD" w14:textId="77777777" w:rsidR="00B119E3" w:rsidRDefault="00B119E3" w:rsidP="00B119E3">
      <w:pPr>
        <w:pStyle w:val="NormalWeb"/>
        <w:contextualSpacing/>
        <w:jc w:val="both"/>
        <w:rPr>
          <w:color w:val="000000"/>
        </w:rPr>
      </w:pPr>
      <w:r>
        <w:rPr>
          <w:color w:val="000000"/>
        </w:rPr>
        <w:t>This report examines the key financial management principles relevant to Clara BG as it transitions to a publicly listed entity on the Alternative Investment Market (AIM) in the UK. The transition necessitates changes in corporate governance, ownership control, and director remuneration.</w:t>
      </w:r>
    </w:p>
    <w:p w14:paraId="762D2620" w14:textId="0E6D35DF" w:rsidR="00B119E3" w:rsidRDefault="00B119E3" w:rsidP="00B119E3">
      <w:pPr>
        <w:pStyle w:val="NormalWeb"/>
        <w:contextualSpacing/>
        <w:jc w:val="both"/>
        <w:rPr>
          <w:color w:val="000000"/>
        </w:rPr>
      </w:pPr>
      <w:r>
        <w:rPr>
          <w:color w:val="000000"/>
        </w:rPr>
        <w:t xml:space="preserve">Key areas </w:t>
      </w:r>
      <w:r w:rsidR="00860049">
        <w:rPr>
          <w:color w:val="000000"/>
        </w:rPr>
        <w:t>analysed</w:t>
      </w:r>
      <w:r>
        <w:rPr>
          <w:color w:val="000000"/>
        </w:rPr>
        <w:t xml:space="preserve"> include agency theory and its role in mitigating conflicts of interest between managers and shareholders. Strategies for retaining control with a reduced family shareholding of 30% are explored, alongside competitive yet balanced director remuneration structures. Additionally, a comparative analysis of listing regulations in AIM, Shanghai, and the Netherlands provides insights into potential market advantages and regulatory requirements.</w:t>
      </w:r>
    </w:p>
    <w:p w14:paraId="3D1CA285" w14:textId="77777777" w:rsidR="00B119E3" w:rsidRDefault="00B119E3" w:rsidP="00B119E3">
      <w:pPr>
        <w:pStyle w:val="NormalWeb"/>
        <w:contextualSpacing/>
        <w:jc w:val="both"/>
        <w:rPr>
          <w:color w:val="000000"/>
        </w:rPr>
      </w:pPr>
      <w:r>
        <w:rPr>
          <w:color w:val="000000"/>
        </w:rPr>
        <w:t>The report concludes with recommendations on governance measures, shareholder agreements, remuneration strategies, and investor transparency to ensure Clara BG’s long-term success in the public market while maintaining strategic influence.</w:t>
      </w:r>
    </w:p>
    <w:p w14:paraId="300BCC97" w14:textId="257FB239" w:rsidR="00321F2F" w:rsidRPr="00860049" w:rsidRDefault="00321F2F" w:rsidP="00B119E3">
      <w:pPr>
        <w:spacing w:before="100" w:beforeAutospacing="1" w:after="100" w:afterAutospacing="1"/>
        <w:contextualSpacing/>
        <w:rPr>
          <w:rFonts w:ascii="Times New Roman" w:eastAsia="Times New Roman" w:hAnsi="Times New Roman" w:cs="Times New Roman"/>
          <w:b/>
          <w:bCs/>
          <w:color w:val="000000"/>
          <w:sz w:val="28"/>
          <w:szCs w:val="28"/>
          <w:lang w:eastAsia="en-GB"/>
        </w:rPr>
      </w:pPr>
      <w:r w:rsidRPr="00321F2F">
        <w:rPr>
          <w:rFonts w:ascii="Times New Roman" w:eastAsia="Times New Roman" w:hAnsi="Times New Roman" w:cs="Times New Roman"/>
          <w:b/>
          <w:bCs/>
          <w:color w:val="000000"/>
          <w:sz w:val="28"/>
          <w:szCs w:val="28"/>
          <w:lang w:eastAsia="en-GB"/>
        </w:rPr>
        <w:t>Introduction</w:t>
      </w:r>
    </w:p>
    <w:p w14:paraId="2EE5028F" w14:textId="77777777" w:rsidR="00B119E3" w:rsidRPr="00321F2F" w:rsidRDefault="00B119E3" w:rsidP="00B119E3">
      <w:pPr>
        <w:spacing w:before="100" w:beforeAutospacing="1" w:after="100" w:afterAutospacing="1"/>
        <w:contextualSpacing/>
        <w:rPr>
          <w:rFonts w:ascii="Times New Roman" w:eastAsia="Times New Roman" w:hAnsi="Times New Roman" w:cs="Times New Roman"/>
          <w:color w:val="000000"/>
          <w:lang w:eastAsia="en-GB"/>
        </w:rPr>
      </w:pPr>
    </w:p>
    <w:p w14:paraId="6002F9E4" w14:textId="77777777" w:rsidR="00321F2F" w:rsidRPr="00321F2F" w:rsidRDefault="00321F2F" w:rsidP="00B119E3">
      <w:pPr>
        <w:spacing w:before="100" w:beforeAutospacing="1" w:after="100" w:afterAutospacing="1"/>
        <w:contextualSpacing/>
        <w:jc w:val="both"/>
        <w:rPr>
          <w:rFonts w:ascii="Times New Roman" w:eastAsia="Times New Roman" w:hAnsi="Times New Roman" w:cs="Times New Roman"/>
          <w:color w:val="000000"/>
          <w:lang w:eastAsia="en-GB"/>
        </w:rPr>
      </w:pPr>
      <w:r w:rsidRPr="00321F2F">
        <w:rPr>
          <w:rFonts w:ascii="Times New Roman" w:eastAsia="Times New Roman" w:hAnsi="Times New Roman" w:cs="Times New Roman"/>
          <w:color w:val="000000"/>
          <w:lang w:eastAsia="en-GB"/>
        </w:rPr>
        <w:t>As Clara BG moves toward becoming a publicly listed firm, its transition from a privately owned entity to a publicly traded company necessitates a complete reassessment of its governance and management structures. The AIM listing presents opportunities for capital expansion and increased market visibility; however, it also introduces regulatory requirements and shareholder scrutiny that were previously absent. Effective corporate governance mechanisms must be implemented to ensure compliance, investor confidence, and efficient management oversight.</w:t>
      </w:r>
    </w:p>
    <w:p w14:paraId="6D39990F" w14:textId="77777777" w:rsidR="00321F2F" w:rsidRPr="00321F2F" w:rsidRDefault="00321F2F" w:rsidP="00B119E3">
      <w:pPr>
        <w:spacing w:before="100" w:beforeAutospacing="1" w:after="100" w:afterAutospacing="1"/>
        <w:contextualSpacing/>
        <w:jc w:val="both"/>
        <w:rPr>
          <w:rFonts w:ascii="Times New Roman" w:eastAsia="Times New Roman" w:hAnsi="Times New Roman" w:cs="Times New Roman"/>
          <w:color w:val="000000"/>
          <w:lang w:eastAsia="en-GB"/>
        </w:rPr>
      </w:pPr>
      <w:r w:rsidRPr="00321F2F">
        <w:rPr>
          <w:rFonts w:ascii="Times New Roman" w:eastAsia="Times New Roman" w:hAnsi="Times New Roman" w:cs="Times New Roman"/>
          <w:color w:val="000000"/>
          <w:lang w:eastAsia="en-GB"/>
        </w:rPr>
        <w:t>A significant concern in this transition is the reduction in family ownership from 100% to 30%, resulting in a potential loss of decision-making control. The board must therefore evaluate and implement strategies that allow them to retain significant influence over corporate affairs. Additionally, executive remuneration frameworks must be designed to attract and retain top managerial talent while ensuring that compensation structures align with performance and long-term business objectives.</w:t>
      </w:r>
    </w:p>
    <w:p w14:paraId="55B1D09B" w14:textId="77777777" w:rsidR="00321F2F" w:rsidRPr="00321F2F" w:rsidRDefault="00321F2F" w:rsidP="00B119E3">
      <w:pPr>
        <w:spacing w:before="100" w:beforeAutospacing="1" w:after="100" w:afterAutospacing="1"/>
        <w:contextualSpacing/>
        <w:jc w:val="both"/>
        <w:rPr>
          <w:rFonts w:ascii="Times New Roman" w:eastAsia="Times New Roman" w:hAnsi="Times New Roman" w:cs="Times New Roman"/>
          <w:color w:val="000000"/>
          <w:lang w:eastAsia="en-GB"/>
        </w:rPr>
      </w:pPr>
      <w:r w:rsidRPr="00321F2F">
        <w:rPr>
          <w:rFonts w:ascii="Times New Roman" w:eastAsia="Times New Roman" w:hAnsi="Times New Roman" w:cs="Times New Roman"/>
          <w:color w:val="000000"/>
          <w:lang w:eastAsia="en-GB"/>
        </w:rPr>
        <w:t>Furthermore, the company must assess international listing options beyond AIM, considering markets such as Shanghai and Euronext Amsterdam. Each of these markets presents unique regulatory, governance, and investor relations challenges. This report provides a comprehensive analysis of these factors to guide the board’s decision-making process.</w:t>
      </w:r>
    </w:p>
    <w:p w14:paraId="7452BF3E" w14:textId="77777777" w:rsidR="00B119E3" w:rsidRDefault="00B119E3" w:rsidP="00B119E3">
      <w:pPr>
        <w:spacing w:before="100" w:beforeAutospacing="1" w:after="100" w:afterAutospacing="1"/>
        <w:contextualSpacing/>
        <w:rPr>
          <w:rFonts w:ascii="Times New Roman" w:eastAsia="Times New Roman" w:hAnsi="Times New Roman" w:cs="Times New Roman"/>
          <w:b/>
          <w:bCs/>
          <w:color w:val="000000"/>
          <w:lang w:eastAsia="en-GB"/>
        </w:rPr>
      </w:pPr>
    </w:p>
    <w:p w14:paraId="701C7A5F" w14:textId="229FF73A" w:rsidR="00321F2F" w:rsidRPr="00860049" w:rsidRDefault="00321F2F" w:rsidP="00B119E3">
      <w:pPr>
        <w:spacing w:before="100" w:beforeAutospacing="1" w:after="100" w:afterAutospacing="1"/>
        <w:contextualSpacing/>
        <w:rPr>
          <w:rFonts w:ascii="Times New Roman" w:eastAsia="Times New Roman" w:hAnsi="Times New Roman" w:cs="Times New Roman"/>
          <w:b/>
          <w:bCs/>
          <w:color w:val="000000"/>
          <w:sz w:val="28"/>
          <w:szCs w:val="28"/>
          <w:lang w:eastAsia="en-GB"/>
        </w:rPr>
      </w:pPr>
      <w:r w:rsidRPr="00321F2F">
        <w:rPr>
          <w:rFonts w:ascii="Times New Roman" w:eastAsia="Times New Roman" w:hAnsi="Times New Roman" w:cs="Times New Roman"/>
          <w:b/>
          <w:bCs/>
          <w:color w:val="000000"/>
          <w:sz w:val="28"/>
          <w:szCs w:val="28"/>
          <w:lang w:eastAsia="en-GB"/>
        </w:rPr>
        <w:t>Discussion of Findings</w:t>
      </w:r>
    </w:p>
    <w:p w14:paraId="6DDC264A" w14:textId="77777777" w:rsidR="00B119E3" w:rsidRPr="00321F2F" w:rsidRDefault="00B119E3" w:rsidP="00B119E3">
      <w:pPr>
        <w:spacing w:before="100" w:beforeAutospacing="1" w:after="100" w:afterAutospacing="1"/>
        <w:contextualSpacing/>
        <w:rPr>
          <w:rFonts w:ascii="Times New Roman" w:eastAsia="Times New Roman" w:hAnsi="Times New Roman" w:cs="Times New Roman"/>
          <w:color w:val="000000"/>
          <w:lang w:eastAsia="en-GB"/>
        </w:rPr>
      </w:pPr>
    </w:p>
    <w:p w14:paraId="0F8F6F9F" w14:textId="65A9D931" w:rsidR="00321F2F" w:rsidRPr="00321F2F" w:rsidRDefault="00321F2F" w:rsidP="00860049">
      <w:pPr>
        <w:spacing w:before="100" w:beforeAutospacing="1" w:after="100" w:afterAutospacing="1"/>
        <w:contextualSpacing/>
        <w:jc w:val="both"/>
        <w:outlineLvl w:val="2"/>
        <w:rPr>
          <w:rFonts w:ascii="Times New Roman" w:eastAsia="Times New Roman" w:hAnsi="Times New Roman" w:cs="Times New Roman"/>
          <w:b/>
          <w:bCs/>
          <w:color w:val="000000"/>
          <w:lang w:eastAsia="en-GB"/>
        </w:rPr>
      </w:pPr>
      <w:r w:rsidRPr="00321F2F">
        <w:rPr>
          <w:rFonts w:ascii="Times New Roman" w:eastAsia="Times New Roman" w:hAnsi="Times New Roman" w:cs="Times New Roman"/>
          <w:b/>
          <w:bCs/>
          <w:color w:val="000000"/>
          <w:lang w:eastAsia="en-GB"/>
        </w:rPr>
        <w:t>A. Corporate Governance and Agency Theory: Significance to Public Limited</w:t>
      </w:r>
      <w:r w:rsidR="00860049">
        <w:rPr>
          <w:rFonts w:ascii="Times New Roman" w:eastAsia="Times New Roman" w:hAnsi="Times New Roman" w:cs="Times New Roman"/>
          <w:b/>
          <w:bCs/>
          <w:color w:val="000000"/>
          <w:lang w:eastAsia="en-GB"/>
        </w:rPr>
        <w:t xml:space="preserve"> </w:t>
      </w:r>
      <w:r w:rsidRPr="00321F2F">
        <w:rPr>
          <w:rFonts w:ascii="Times New Roman" w:eastAsia="Times New Roman" w:hAnsi="Times New Roman" w:cs="Times New Roman"/>
          <w:b/>
          <w:bCs/>
          <w:color w:val="000000"/>
          <w:lang w:eastAsia="en-GB"/>
        </w:rPr>
        <w:t>Companies</w:t>
      </w:r>
    </w:p>
    <w:p w14:paraId="3722A55D" w14:textId="77777777" w:rsidR="00321F2F" w:rsidRDefault="00321F2F" w:rsidP="00860049">
      <w:pPr>
        <w:pStyle w:val="NormalWeb"/>
        <w:contextualSpacing/>
        <w:jc w:val="both"/>
        <w:rPr>
          <w:color w:val="000000"/>
        </w:rPr>
      </w:pPr>
      <w:r>
        <w:rPr>
          <w:color w:val="000000"/>
        </w:rPr>
        <w:t xml:space="preserve">Corporate governance refers to the framework of rules, systems, and processes that direct and control business operations in a manner that prioritizes transparency, ethical decision-making, and accountability to shareholders (Bekaert &amp; </w:t>
      </w:r>
      <w:proofErr w:type="spellStart"/>
      <w:r>
        <w:rPr>
          <w:color w:val="000000"/>
        </w:rPr>
        <w:t>Hodrick</w:t>
      </w:r>
      <w:proofErr w:type="spellEnd"/>
      <w:r>
        <w:rPr>
          <w:color w:val="000000"/>
        </w:rPr>
        <w:t>, 2011). It plays a critical role in fostering investor confidence, reducing financial mismanagement risks, and enhancing the overall reputation of the firm in public markets.</w:t>
      </w:r>
    </w:p>
    <w:p w14:paraId="472EA8F1" w14:textId="77777777" w:rsidR="00321F2F" w:rsidRDefault="00321F2F" w:rsidP="00860049">
      <w:pPr>
        <w:pStyle w:val="NormalWeb"/>
        <w:contextualSpacing/>
        <w:jc w:val="both"/>
        <w:rPr>
          <w:color w:val="000000"/>
        </w:rPr>
      </w:pPr>
      <w:r>
        <w:rPr>
          <w:color w:val="000000"/>
        </w:rPr>
        <w:t xml:space="preserve">Agency theory, developed by Jensen and </w:t>
      </w:r>
      <w:proofErr w:type="spellStart"/>
      <w:r>
        <w:rPr>
          <w:color w:val="000000"/>
        </w:rPr>
        <w:t>Meckling</w:t>
      </w:r>
      <w:proofErr w:type="spellEnd"/>
      <w:r>
        <w:rPr>
          <w:color w:val="000000"/>
        </w:rPr>
        <w:t xml:space="preserve"> (1976), underscores the conflicts of interest that arise when company executives (agents) make decisions that may not necessarily align with the interests of shareholders (principals). Publicly listed firms are particularly prone to such agency conflicts, as external investors may have different priorities from the company’s management and founding shareholders. To mitigate these risks, robust governance structures are necessary, including:</w:t>
      </w:r>
    </w:p>
    <w:p w14:paraId="6413FC51" w14:textId="77777777" w:rsidR="00321F2F" w:rsidRDefault="00321F2F" w:rsidP="00860049">
      <w:pPr>
        <w:pStyle w:val="NormalWeb"/>
        <w:numPr>
          <w:ilvl w:val="0"/>
          <w:numId w:val="17"/>
        </w:numPr>
        <w:contextualSpacing/>
        <w:jc w:val="both"/>
        <w:rPr>
          <w:color w:val="000000"/>
        </w:rPr>
      </w:pPr>
      <w:r w:rsidRPr="00860049">
        <w:rPr>
          <w:rStyle w:val="Strong"/>
          <w:b w:val="0"/>
          <w:bCs w:val="0"/>
          <w:color w:val="000000"/>
        </w:rPr>
        <w:lastRenderedPageBreak/>
        <w:t>Board Independence</w:t>
      </w:r>
      <w:r>
        <w:rPr>
          <w:rStyle w:val="Strong"/>
          <w:color w:val="000000"/>
        </w:rPr>
        <w:t>:</w:t>
      </w:r>
      <w:r>
        <w:rPr>
          <w:rStyle w:val="apple-converted-space"/>
          <w:color w:val="000000"/>
        </w:rPr>
        <w:t> </w:t>
      </w:r>
      <w:r>
        <w:rPr>
          <w:color w:val="000000"/>
        </w:rPr>
        <w:t>Ensuring that the board includes a majority of independent directors who are not influenced by internal management or founding shareholders (Madura &amp; Fox, 2011).</w:t>
      </w:r>
    </w:p>
    <w:p w14:paraId="6DC3964D" w14:textId="77777777" w:rsidR="00321F2F" w:rsidRDefault="00321F2F" w:rsidP="00860049">
      <w:pPr>
        <w:pStyle w:val="NormalWeb"/>
        <w:numPr>
          <w:ilvl w:val="0"/>
          <w:numId w:val="17"/>
        </w:numPr>
        <w:contextualSpacing/>
        <w:jc w:val="both"/>
        <w:rPr>
          <w:color w:val="000000"/>
        </w:rPr>
      </w:pPr>
      <w:r w:rsidRPr="00860049">
        <w:rPr>
          <w:rStyle w:val="Strong"/>
          <w:b w:val="0"/>
          <w:bCs w:val="0"/>
          <w:color w:val="000000"/>
        </w:rPr>
        <w:t>Performance-Linked Compensation</w:t>
      </w:r>
      <w:r>
        <w:rPr>
          <w:rStyle w:val="Strong"/>
          <w:color w:val="000000"/>
        </w:rPr>
        <w:t>:</w:t>
      </w:r>
      <w:r>
        <w:rPr>
          <w:rStyle w:val="apple-converted-space"/>
          <w:color w:val="000000"/>
        </w:rPr>
        <w:t> </w:t>
      </w:r>
      <w:r>
        <w:rPr>
          <w:color w:val="000000"/>
        </w:rPr>
        <w:t>Structuring executive pay in a manner that incentivizes long-term growth and profitability rather than short-term gains.</w:t>
      </w:r>
    </w:p>
    <w:p w14:paraId="0369F0E0" w14:textId="77777777" w:rsidR="00321F2F" w:rsidRDefault="00321F2F" w:rsidP="00860049">
      <w:pPr>
        <w:pStyle w:val="NormalWeb"/>
        <w:numPr>
          <w:ilvl w:val="0"/>
          <w:numId w:val="17"/>
        </w:numPr>
        <w:contextualSpacing/>
        <w:jc w:val="both"/>
        <w:rPr>
          <w:color w:val="000000"/>
        </w:rPr>
      </w:pPr>
      <w:r w:rsidRPr="00860049">
        <w:rPr>
          <w:rStyle w:val="Strong"/>
          <w:b w:val="0"/>
          <w:bCs w:val="0"/>
          <w:color w:val="000000"/>
        </w:rPr>
        <w:t>Shareholder Rights Protections</w:t>
      </w:r>
      <w:r>
        <w:rPr>
          <w:rStyle w:val="Strong"/>
          <w:color w:val="000000"/>
        </w:rPr>
        <w:t>:</w:t>
      </w:r>
      <w:r>
        <w:rPr>
          <w:rStyle w:val="apple-converted-space"/>
          <w:color w:val="000000"/>
        </w:rPr>
        <w:t> </w:t>
      </w:r>
      <w:r>
        <w:rPr>
          <w:color w:val="000000"/>
        </w:rPr>
        <w:t>Establishing safeguards that allow minority shareholders to hold the management accountable through voting rights and transparency requirements.</w:t>
      </w:r>
    </w:p>
    <w:p w14:paraId="124A803E" w14:textId="77777777" w:rsidR="00321F2F" w:rsidRDefault="00321F2F" w:rsidP="00860049">
      <w:pPr>
        <w:pStyle w:val="NormalWeb"/>
        <w:contextualSpacing/>
        <w:jc w:val="both"/>
        <w:rPr>
          <w:color w:val="000000"/>
        </w:rPr>
      </w:pPr>
      <w:r>
        <w:rPr>
          <w:color w:val="000000"/>
        </w:rPr>
        <w:t>AIM-listed companies are subject to a lighter governance framework compared to the London Stock Exchange’s Main Market. However, compliance with the UK Corporate Governance Code remains essential in maintaining investor trust and preventing governance failures (Financial Times, 2023).</w:t>
      </w:r>
    </w:p>
    <w:p w14:paraId="69D80854" w14:textId="77777777" w:rsidR="00321F2F" w:rsidRPr="00321F2F" w:rsidRDefault="00321F2F" w:rsidP="00B119E3">
      <w:pPr>
        <w:spacing w:before="100" w:beforeAutospacing="1" w:after="100" w:afterAutospacing="1"/>
        <w:contextualSpacing/>
        <w:outlineLvl w:val="2"/>
        <w:rPr>
          <w:rFonts w:ascii="Times New Roman" w:eastAsia="Times New Roman" w:hAnsi="Times New Roman" w:cs="Times New Roman"/>
          <w:b/>
          <w:bCs/>
          <w:color w:val="000000"/>
          <w:sz w:val="27"/>
          <w:szCs w:val="27"/>
          <w:lang w:eastAsia="en-GB"/>
        </w:rPr>
      </w:pPr>
      <w:r w:rsidRPr="00321F2F">
        <w:rPr>
          <w:rFonts w:ascii="Times New Roman" w:eastAsia="Times New Roman" w:hAnsi="Times New Roman" w:cs="Times New Roman"/>
          <w:b/>
          <w:bCs/>
          <w:color w:val="000000"/>
          <w:sz w:val="27"/>
          <w:szCs w:val="27"/>
          <w:lang w:eastAsia="en-GB"/>
        </w:rPr>
        <w:t>B. Retaining Control with a 30% Shareholding</w:t>
      </w:r>
    </w:p>
    <w:p w14:paraId="06679D12" w14:textId="77777777" w:rsidR="00321F2F" w:rsidRDefault="00321F2F" w:rsidP="00860049">
      <w:pPr>
        <w:pStyle w:val="NormalWeb"/>
        <w:contextualSpacing/>
        <w:jc w:val="both"/>
        <w:rPr>
          <w:color w:val="000000"/>
        </w:rPr>
      </w:pPr>
      <w:r>
        <w:rPr>
          <w:color w:val="000000"/>
        </w:rPr>
        <w:t>The transition to AIM will result in family shareholders holding only 30% of the company’s equity, raising concerns about maintaining strategic influence. To preserve control despite a diluted ownership stake, the following mechanisms can be considered:</w:t>
      </w:r>
    </w:p>
    <w:p w14:paraId="500169FE" w14:textId="77777777" w:rsidR="00321F2F" w:rsidRDefault="00321F2F" w:rsidP="00860049">
      <w:pPr>
        <w:pStyle w:val="NormalWeb"/>
        <w:numPr>
          <w:ilvl w:val="0"/>
          <w:numId w:val="18"/>
        </w:numPr>
        <w:contextualSpacing/>
        <w:jc w:val="both"/>
        <w:rPr>
          <w:color w:val="000000"/>
        </w:rPr>
      </w:pPr>
      <w:r w:rsidRPr="00860049">
        <w:rPr>
          <w:rStyle w:val="Strong"/>
          <w:b w:val="0"/>
          <w:bCs w:val="0"/>
          <w:color w:val="000000"/>
        </w:rPr>
        <w:t>Dual-Class Share Structure:</w:t>
      </w:r>
      <w:r>
        <w:rPr>
          <w:rStyle w:val="apple-converted-space"/>
          <w:color w:val="000000"/>
        </w:rPr>
        <w:t> </w:t>
      </w:r>
      <w:r>
        <w:rPr>
          <w:color w:val="000000"/>
        </w:rPr>
        <w:t>By issuing two classes of shares, with one class granting superior voting rights to the founding family, it is possible to retain control without requiring majority ownership (Corporate Finance, 2023).</w:t>
      </w:r>
    </w:p>
    <w:p w14:paraId="614C26CA" w14:textId="77777777" w:rsidR="00321F2F" w:rsidRDefault="00321F2F" w:rsidP="00860049">
      <w:pPr>
        <w:pStyle w:val="NormalWeb"/>
        <w:numPr>
          <w:ilvl w:val="0"/>
          <w:numId w:val="18"/>
        </w:numPr>
        <w:contextualSpacing/>
        <w:jc w:val="both"/>
        <w:rPr>
          <w:color w:val="000000"/>
        </w:rPr>
      </w:pPr>
      <w:r w:rsidRPr="00860049">
        <w:rPr>
          <w:rStyle w:val="Strong"/>
          <w:b w:val="0"/>
          <w:bCs w:val="0"/>
          <w:color w:val="000000"/>
        </w:rPr>
        <w:t>Shareholder Agreements</w:t>
      </w:r>
      <w:r>
        <w:rPr>
          <w:rStyle w:val="Strong"/>
          <w:color w:val="000000"/>
        </w:rPr>
        <w:t>:</w:t>
      </w:r>
      <w:r>
        <w:rPr>
          <w:rStyle w:val="apple-converted-space"/>
          <w:color w:val="000000"/>
        </w:rPr>
        <w:t> </w:t>
      </w:r>
      <w:r>
        <w:rPr>
          <w:color w:val="000000"/>
        </w:rPr>
        <w:t>Establishing legally binding agreements among shareholders that protect the family’s board representation, voting rights, and decision-making influence (Arnold, 2012).</w:t>
      </w:r>
    </w:p>
    <w:p w14:paraId="4178F457" w14:textId="77777777" w:rsidR="00321F2F" w:rsidRDefault="00321F2F" w:rsidP="00860049">
      <w:pPr>
        <w:pStyle w:val="NormalWeb"/>
        <w:numPr>
          <w:ilvl w:val="0"/>
          <w:numId w:val="18"/>
        </w:numPr>
        <w:contextualSpacing/>
        <w:jc w:val="both"/>
        <w:rPr>
          <w:color w:val="000000"/>
        </w:rPr>
      </w:pPr>
      <w:r w:rsidRPr="00860049">
        <w:rPr>
          <w:rStyle w:val="Strong"/>
          <w:b w:val="0"/>
          <w:bCs w:val="0"/>
          <w:color w:val="000000"/>
        </w:rPr>
        <w:t>Strategic Board Appointments</w:t>
      </w:r>
      <w:r>
        <w:rPr>
          <w:rStyle w:val="Strong"/>
          <w:color w:val="000000"/>
        </w:rPr>
        <w:t>:</w:t>
      </w:r>
      <w:r>
        <w:rPr>
          <w:rStyle w:val="apple-converted-space"/>
          <w:color w:val="000000"/>
        </w:rPr>
        <w:t> </w:t>
      </w:r>
      <w:r>
        <w:rPr>
          <w:color w:val="000000"/>
        </w:rPr>
        <w:t>Ensuring that family representatives hold key board positions and appointing aligned independent directors who support the company’s strategic vision (Harvard Business Review, 2023).</w:t>
      </w:r>
    </w:p>
    <w:p w14:paraId="58428917" w14:textId="77777777" w:rsidR="00321F2F" w:rsidRDefault="00321F2F" w:rsidP="00860049">
      <w:pPr>
        <w:pStyle w:val="NormalWeb"/>
        <w:numPr>
          <w:ilvl w:val="0"/>
          <w:numId w:val="18"/>
        </w:numPr>
        <w:contextualSpacing/>
        <w:jc w:val="both"/>
        <w:rPr>
          <w:color w:val="000000"/>
        </w:rPr>
      </w:pPr>
      <w:r w:rsidRPr="00860049">
        <w:rPr>
          <w:rStyle w:val="Strong"/>
          <w:b w:val="0"/>
          <w:bCs w:val="0"/>
          <w:color w:val="000000"/>
        </w:rPr>
        <w:t>Poison Pills &amp; Golden Shares:</w:t>
      </w:r>
      <w:r>
        <w:rPr>
          <w:rStyle w:val="apple-converted-space"/>
          <w:color w:val="000000"/>
        </w:rPr>
        <w:t> </w:t>
      </w:r>
      <w:r>
        <w:rPr>
          <w:color w:val="000000"/>
        </w:rPr>
        <w:t>Implementing protective measures that grant veto power over major decisions or make hostile takeovers challenging (Finance and Management, 2023).</w:t>
      </w:r>
    </w:p>
    <w:p w14:paraId="78291D71" w14:textId="77777777" w:rsidR="00321F2F" w:rsidRPr="00321F2F" w:rsidRDefault="00321F2F" w:rsidP="00860049">
      <w:pPr>
        <w:spacing w:before="100" w:beforeAutospacing="1" w:after="100" w:afterAutospacing="1"/>
        <w:contextualSpacing/>
        <w:jc w:val="both"/>
        <w:outlineLvl w:val="2"/>
        <w:rPr>
          <w:rFonts w:ascii="Times New Roman" w:eastAsia="Times New Roman" w:hAnsi="Times New Roman" w:cs="Times New Roman"/>
          <w:b/>
          <w:bCs/>
          <w:color w:val="000000"/>
          <w:sz w:val="27"/>
          <w:szCs w:val="27"/>
          <w:lang w:eastAsia="en-GB"/>
        </w:rPr>
      </w:pPr>
      <w:r w:rsidRPr="00321F2F">
        <w:rPr>
          <w:rFonts w:ascii="Times New Roman" w:eastAsia="Times New Roman" w:hAnsi="Times New Roman" w:cs="Times New Roman"/>
          <w:b/>
          <w:bCs/>
          <w:color w:val="000000"/>
          <w:sz w:val="27"/>
          <w:szCs w:val="27"/>
          <w:lang w:eastAsia="en-GB"/>
        </w:rPr>
        <w:t>C. Director Remuneration Structures</w:t>
      </w:r>
    </w:p>
    <w:p w14:paraId="26B8F7B4" w14:textId="77777777" w:rsidR="00321F2F" w:rsidRDefault="00321F2F" w:rsidP="00860049">
      <w:pPr>
        <w:pStyle w:val="NormalWeb"/>
        <w:contextualSpacing/>
        <w:jc w:val="both"/>
        <w:rPr>
          <w:color w:val="000000"/>
        </w:rPr>
      </w:pPr>
      <w:r>
        <w:rPr>
          <w:color w:val="000000"/>
        </w:rPr>
        <w:t>The remuneration of directors must be designed to balance competitiveness with governance best practices. This can be achieved through:</w:t>
      </w:r>
    </w:p>
    <w:p w14:paraId="21036C70" w14:textId="77777777" w:rsidR="00321F2F" w:rsidRDefault="00321F2F" w:rsidP="00860049">
      <w:pPr>
        <w:pStyle w:val="NormalWeb"/>
        <w:numPr>
          <w:ilvl w:val="0"/>
          <w:numId w:val="19"/>
        </w:numPr>
        <w:contextualSpacing/>
        <w:jc w:val="both"/>
        <w:rPr>
          <w:color w:val="000000"/>
        </w:rPr>
      </w:pPr>
      <w:r w:rsidRPr="00860049">
        <w:rPr>
          <w:rStyle w:val="Strong"/>
          <w:b w:val="0"/>
          <w:bCs w:val="0"/>
          <w:color w:val="000000"/>
        </w:rPr>
        <w:t>Base Salary and Performance Incentives:</w:t>
      </w:r>
      <w:r>
        <w:rPr>
          <w:rStyle w:val="apple-converted-space"/>
          <w:color w:val="000000"/>
        </w:rPr>
        <w:t> </w:t>
      </w:r>
      <w:r>
        <w:rPr>
          <w:color w:val="000000"/>
        </w:rPr>
        <w:t>Compensation should include a fixed salary and bonuses tied to key performance indicators such as revenue growth, return on equity, and market expansion (Madura &amp; Fox, 2011).</w:t>
      </w:r>
    </w:p>
    <w:p w14:paraId="1B63D96F" w14:textId="77777777" w:rsidR="00321F2F" w:rsidRDefault="00321F2F" w:rsidP="00860049">
      <w:pPr>
        <w:pStyle w:val="NormalWeb"/>
        <w:numPr>
          <w:ilvl w:val="0"/>
          <w:numId w:val="19"/>
        </w:numPr>
        <w:contextualSpacing/>
        <w:jc w:val="both"/>
        <w:rPr>
          <w:color w:val="000000"/>
        </w:rPr>
      </w:pPr>
      <w:r w:rsidRPr="00860049">
        <w:rPr>
          <w:rStyle w:val="Strong"/>
          <w:b w:val="0"/>
          <w:bCs w:val="0"/>
          <w:color w:val="000000"/>
        </w:rPr>
        <w:t>Long-Term Incentive Plans (LTIPs):</w:t>
      </w:r>
      <w:r>
        <w:rPr>
          <w:rStyle w:val="apple-converted-space"/>
          <w:color w:val="000000"/>
        </w:rPr>
        <w:t> </w:t>
      </w:r>
      <w:r>
        <w:rPr>
          <w:color w:val="000000"/>
        </w:rPr>
        <w:t>Offering equity-based compensation such as stock options and restricted shares ensures that executives remain committed to long-term corporate success (Arnold, 2012).</w:t>
      </w:r>
    </w:p>
    <w:p w14:paraId="60993B82" w14:textId="77777777" w:rsidR="00321F2F" w:rsidRDefault="00321F2F" w:rsidP="00860049">
      <w:pPr>
        <w:pStyle w:val="NormalWeb"/>
        <w:numPr>
          <w:ilvl w:val="0"/>
          <w:numId w:val="19"/>
        </w:numPr>
        <w:contextualSpacing/>
        <w:jc w:val="both"/>
        <w:rPr>
          <w:color w:val="000000"/>
        </w:rPr>
      </w:pPr>
      <w:r w:rsidRPr="00860049">
        <w:rPr>
          <w:rStyle w:val="Strong"/>
          <w:b w:val="0"/>
          <w:bCs w:val="0"/>
          <w:color w:val="000000"/>
        </w:rPr>
        <w:t>Independent Remuneration Committees:</w:t>
      </w:r>
      <w:r>
        <w:rPr>
          <w:rStyle w:val="apple-converted-space"/>
          <w:color w:val="000000"/>
        </w:rPr>
        <w:t> </w:t>
      </w:r>
      <w:r>
        <w:rPr>
          <w:color w:val="000000"/>
        </w:rPr>
        <w:t>Establishing a committee responsible for determining pay structures ensures transparency and prevents excessive compensation (Financial Times, 2023).</w:t>
      </w:r>
    </w:p>
    <w:p w14:paraId="718CCF4D" w14:textId="77777777" w:rsidR="00321F2F" w:rsidRDefault="00321F2F" w:rsidP="00860049">
      <w:pPr>
        <w:pStyle w:val="NormalWeb"/>
        <w:numPr>
          <w:ilvl w:val="0"/>
          <w:numId w:val="19"/>
        </w:numPr>
        <w:contextualSpacing/>
        <w:jc w:val="both"/>
        <w:rPr>
          <w:color w:val="000000"/>
        </w:rPr>
      </w:pPr>
      <w:r w:rsidRPr="00860049">
        <w:rPr>
          <w:rStyle w:val="Strong"/>
          <w:b w:val="0"/>
          <w:bCs w:val="0"/>
          <w:color w:val="000000"/>
        </w:rPr>
        <w:t>Industry Benchmarking:</w:t>
      </w:r>
      <w:r>
        <w:rPr>
          <w:rStyle w:val="apple-converted-space"/>
          <w:color w:val="000000"/>
        </w:rPr>
        <w:t> </w:t>
      </w:r>
      <w:r>
        <w:rPr>
          <w:color w:val="000000"/>
        </w:rPr>
        <w:t xml:space="preserve">Aligning executive pay with industry standards ensures competitiveness without creating financial burdens for the firm (Bekaert &amp; </w:t>
      </w:r>
      <w:proofErr w:type="spellStart"/>
      <w:r>
        <w:rPr>
          <w:color w:val="000000"/>
        </w:rPr>
        <w:t>Hodrick</w:t>
      </w:r>
      <w:proofErr w:type="spellEnd"/>
      <w:r>
        <w:rPr>
          <w:color w:val="000000"/>
        </w:rPr>
        <w:t>, 2011).</w:t>
      </w:r>
    </w:p>
    <w:p w14:paraId="50A1A230" w14:textId="77777777" w:rsidR="00860049" w:rsidRDefault="00860049" w:rsidP="00B119E3">
      <w:pPr>
        <w:spacing w:before="100" w:beforeAutospacing="1" w:after="100" w:afterAutospacing="1"/>
        <w:contextualSpacing/>
        <w:outlineLvl w:val="2"/>
        <w:rPr>
          <w:rFonts w:ascii="Times New Roman" w:eastAsia="Times New Roman" w:hAnsi="Times New Roman" w:cs="Times New Roman"/>
          <w:b/>
          <w:bCs/>
          <w:color w:val="000000"/>
          <w:sz w:val="27"/>
          <w:szCs w:val="27"/>
          <w:lang w:eastAsia="en-GB"/>
        </w:rPr>
      </w:pPr>
    </w:p>
    <w:p w14:paraId="6CABE4A7" w14:textId="77777777" w:rsidR="00860049" w:rsidRDefault="00860049" w:rsidP="00B119E3">
      <w:pPr>
        <w:spacing w:before="100" w:beforeAutospacing="1" w:after="100" w:afterAutospacing="1"/>
        <w:contextualSpacing/>
        <w:outlineLvl w:val="2"/>
        <w:rPr>
          <w:rFonts w:ascii="Times New Roman" w:eastAsia="Times New Roman" w:hAnsi="Times New Roman" w:cs="Times New Roman"/>
          <w:b/>
          <w:bCs/>
          <w:color w:val="000000"/>
          <w:sz w:val="27"/>
          <w:szCs w:val="27"/>
          <w:lang w:eastAsia="en-GB"/>
        </w:rPr>
      </w:pPr>
    </w:p>
    <w:p w14:paraId="562D3DF4" w14:textId="63D7E653" w:rsidR="007874B0" w:rsidRDefault="007874B0" w:rsidP="00B119E3">
      <w:pPr>
        <w:spacing w:before="100" w:beforeAutospacing="1" w:after="100" w:afterAutospacing="1"/>
        <w:contextualSpacing/>
        <w:outlineLvl w:val="2"/>
        <w:rPr>
          <w:rFonts w:ascii="Times New Roman" w:eastAsia="Times New Roman" w:hAnsi="Times New Roman" w:cs="Times New Roman"/>
          <w:b/>
          <w:bCs/>
          <w:color w:val="000000"/>
          <w:sz w:val="27"/>
          <w:szCs w:val="27"/>
          <w:lang w:eastAsia="en-GB"/>
        </w:rPr>
      </w:pPr>
      <w:r w:rsidRPr="007874B0">
        <w:rPr>
          <w:rFonts w:ascii="Times New Roman" w:eastAsia="Times New Roman" w:hAnsi="Times New Roman" w:cs="Times New Roman"/>
          <w:b/>
          <w:bCs/>
          <w:color w:val="000000"/>
          <w:sz w:val="27"/>
          <w:szCs w:val="27"/>
          <w:lang w:eastAsia="en-GB"/>
        </w:rPr>
        <w:lastRenderedPageBreak/>
        <w:t>D. Institutional Differences: UK vs. Shanghai vs. Netherlands</w:t>
      </w:r>
    </w:p>
    <w:p w14:paraId="35123888" w14:textId="77777777" w:rsidR="00B119E3" w:rsidRPr="007874B0" w:rsidRDefault="00B119E3" w:rsidP="00B119E3">
      <w:pPr>
        <w:spacing w:before="100" w:beforeAutospacing="1" w:after="100" w:afterAutospacing="1"/>
        <w:contextualSpacing/>
        <w:outlineLvl w:val="2"/>
        <w:rPr>
          <w:rFonts w:ascii="Times New Roman" w:eastAsia="Times New Roman" w:hAnsi="Times New Roman" w:cs="Times New Roman"/>
          <w:b/>
          <w:bCs/>
          <w:color w:val="000000"/>
          <w:sz w:val="27"/>
          <w:szCs w:val="27"/>
          <w:lang w:eastAsia="en-GB"/>
        </w:rPr>
      </w:pPr>
    </w:p>
    <w:p w14:paraId="20AEA8D6" w14:textId="196FC718" w:rsidR="007874B0" w:rsidRDefault="007874B0" w:rsidP="00860049">
      <w:pPr>
        <w:spacing w:before="100" w:beforeAutospacing="1" w:after="100" w:afterAutospacing="1"/>
        <w:contextualSpacing/>
        <w:jc w:val="both"/>
        <w:rPr>
          <w:rFonts w:ascii="Times New Roman" w:eastAsia="Times New Roman" w:hAnsi="Times New Roman" w:cs="Times New Roman"/>
          <w:color w:val="000000"/>
          <w:lang w:eastAsia="en-GB"/>
        </w:rPr>
      </w:pPr>
      <w:r w:rsidRPr="007874B0">
        <w:rPr>
          <w:rFonts w:ascii="Times New Roman" w:eastAsia="Times New Roman" w:hAnsi="Times New Roman" w:cs="Times New Roman"/>
          <w:color w:val="000000"/>
          <w:lang w:eastAsia="en-GB"/>
        </w:rPr>
        <w:t>Listing in AIM, Shanghai, or Amsterdam presents distinct regulatory, governance, and investor access considerations:</w:t>
      </w:r>
    </w:p>
    <w:p w14:paraId="703590E6" w14:textId="77777777" w:rsidR="00860049" w:rsidRPr="007874B0" w:rsidRDefault="00860049" w:rsidP="00860049">
      <w:pPr>
        <w:spacing w:before="100" w:beforeAutospacing="1" w:after="100" w:afterAutospacing="1"/>
        <w:contextualSpacing/>
        <w:jc w:val="both"/>
        <w:rPr>
          <w:rFonts w:ascii="Times New Roman" w:eastAsia="Times New Roman" w:hAnsi="Times New Roman" w:cs="Times New Roman"/>
          <w:color w:val="000000"/>
          <w:lang w:eastAsia="en-GB"/>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29"/>
        <w:gridCol w:w="2312"/>
        <w:gridCol w:w="2511"/>
        <w:gridCol w:w="2264"/>
      </w:tblGrid>
      <w:tr w:rsidR="007874B0" w:rsidRPr="007874B0" w14:paraId="65BB4E36" w14:textId="77777777" w:rsidTr="00860049">
        <w:trPr>
          <w:tblCellSpacing w:w="15" w:type="dxa"/>
          <w:jc w:val="center"/>
        </w:trPr>
        <w:tc>
          <w:tcPr>
            <w:tcW w:w="0" w:type="auto"/>
            <w:vAlign w:val="center"/>
            <w:hideMark/>
          </w:tcPr>
          <w:p w14:paraId="678FE27F" w14:textId="77777777" w:rsidR="007874B0" w:rsidRPr="007874B0" w:rsidRDefault="007874B0" w:rsidP="00B119E3">
            <w:pPr>
              <w:contextualSpacing/>
              <w:jc w:val="center"/>
              <w:rPr>
                <w:rFonts w:ascii="Times New Roman" w:eastAsia="Times New Roman" w:hAnsi="Times New Roman" w:cs="Times New Roman"/>
                <w:b/>
                <w:bCs/>
                <w:color w:val="000000"/>
                <w:lang w:eastAsia="en-GB"/>
              </w:rPr>
            </w:pPr>
            <w:r w:rsidRPr="007874B0">
              <w:rPr>
                <w:rFonts w:ascii="Times New Roman" w:eastAsia="Times New Roman" w:hAnsi="Times New Roman" w:cs="Times New Roman"/>
                <w:b/>
                <w:bCs/>
                <w:color w:val="000000"/>
                <w:lang w:eastAsia="en-GB"/>
              </w:rPr>
              <w:t>Factor</w:t>
            </w:r>
          </w:p>
        </w:tc>
        <w:tc>
          <w:tcPr>
            <w:tcW w:w="0" w:type="auto"/>
            <w:vAlign w:val="center"/>
            <w:hideMark/>
          </w:tcPr>
          <w:p w14:paraId="15F10A4A" w14:textId="77777777" w:rsidR="007874B0" w:rsidRPr="007874B0" w:rsidRDefault="007874B0" w:rsidP="00B119E3">
            <w:pPr>
              <w:contextualSpacing/>
              <w:jc w:val="center"/>
              <w:rPr>
                <w:rFonts w:ascii="Times New Roman" w:eastAsia="Times New Roman" w:hAnsi="Times New Roman" w:cs="Times New Roman"/>
                <w:b/>
                <w:bCs/>
                <w:color w:val="000000"/>
                <w:lang w:eastAsia="en-GB"/>
              </w:rPr>
            </w:pPr>
            <w:r w:rsidRPr="007874B0">
              <w:rPr>
                <w:rFonts w:ascii="Times New Roman" w:eastAsia="Times New Roman" w:hAnsi="Times New Roman" w:cs="Times New Roman"/>
                <w:b/>
                <w:bCs/>
                <w:color w:val="000000"/>
                <w:lang w:eastAsia="en-GB"/>
              </w:rPr>
              <w:t>AIM (UK)</w:t>
            </w:r>
          </w:p>
        </w:tc>
        <w:tc>
          <w:tcPr>
            <w:tcW w:w="0" w:type="auto"/>
            <w:vAlign w:val="center"/>
            <w:hideMark/>
          </w:tcPr>
          <w:p w14:paraId="5B247ECA" w14:textId="77777777" w:rsidR="007874B0" w:rsidRPr="007874B0" w:rsidRDefault="007874B0" w:rsidP="00B119E3">
            <w:pPr>
              <w:contextualSpacing/>
              <w:jc w:val="center"/>
              <w:rPr>
                <w:rFonts w:ascii="Times New Roman" w:eastAsia="Times New Roman" w:hAnsi="Times New Roman" w:cs="Times New Roman"/>
                <w:b/>
                <w:bCs/>
                <w:color w:val="000000"/>
                <w:lang w:eastAsia="en-GB"/>
              </w:rPr>
            </w:pPr>
            <w:r w:rsidRPr="007874B0">
              <w:rPr>
                <w:rFonts w:ascii="Times New Roman" w:eastAsia="Times New Roman" w:hAnsi="Times New Roman" w:cs="Times New Roman"/>
                <w:b/>
                <w:bCs/>
                <w:color w:val="000000"/>
                <w:lang w:eastAsia="en-GB"/>
              </w:rPr>
              <w:t>Shanghai Stock Exchange (SSE)</w:t>
            </w:r>
          </w:p>
        </w:tc>
        <w:tc>
          <w:tcPr>
            <w:tcW w:w="0" w:type="auto"/>
            <w:vAlign w:val="center"/>
            <w:hideMark/>
          </w:tcPr>
          <w:p w14:paraId="2220F748" w14:textId="77777777" w:rsidR="007874B0" w:rsidRPr="007874B0" w:rsidRDefault="007874B0" w:rsidP="00B119E3">
            <w:pPr>
              <w:contextualSpacing/>
              <w:jc w:val="center"/>
              <w:rPr>
                <w:rFonts w:ascii="Times New Roman" w:eastAsia="Times New Roman" w:hAnsi="Times New Roman" w:cs="Times New Roman"/>
                <w:b/>
                <w:bCs/>
                <w:color w:val="000000"/>
                <w:lang w:eastAsia="en-GB"/>
              </w:rPr>
            </w:pPr>
            <w:r w:rsidRPr="007874B0">
              <w:rPr>
                <w:rFonts w:ascii="Times New Roman" w:eastAsia="Times New Roman" w:hAnsi="Times New Roman" w:cs="Times New Roman"/>
                <w:b/>
                <w:bCs/>
                <w:color w:val="000000"/>
                <w:lang w:eastAsia="en-GB"/>
              </w:rPr>
              <w:t>Euronext Amsterdam (Netherlands)</w:t>
            </w:r>
          </w:p>
        </w:tc>
      </w:tr>
      <w:tr w:rsidR="007874B0" w:rsidRPr="007874B0" w14:paraId="1C6DA00A" w14:textId="77777777" w:rsidTr="00860049">
        <w:trPr>
          <w:tblCellSpacing w:w="15" w:type="dxa"/>
          <w:jc w:val="center"/>
        </w:trPr>
        <w:tc>
          <w:tcPr>
            <w:tcW w:w="0" w:type="auto"/>
            <w:vAlign w:val="center"/>
            <w:hideMark/>
          </w:tcPr>
          <w:p w14:paraId="5DB44B47" w14:textId="77777777" w:rsidR="007874B0" w:rsidRPr="007874B0" w:rsidRDefault="007874B0" w:rsidP="00B119E3">
            <w:pPr>
              <w:contextualSpacing/>
              <w:rPr>
                <w:rFonts w:ascii="Times New Roman" w:eastAsia="Times New Roman" w:hAnsi="Times New Roman" w:cs="Times New Roman"/>
                <w:color w:val="000000"/>
                <w:lang w:eastAsia="en-GB"/>
              </w:rPr>
            </w:pPr>
            <w:r w:rsidRPr="007874B0">
              <w:rPr>
                <w:rFonts w:ascii="Times New Roman" w:eastAsia="Times New Roman" w:hAnsi="Times New Roman" w:cs="Times New Roman"/>
                <w:b/>
                <w:bCs/>
                <w:color w:val="000000"/>
                <w:lang w:eastAsia="en-GB"/>
              </w:rPr>
              <w:t>Regulatory Framework</w:t>
            </w:r>
          </w:p>
        </w:tc>
        <w:tc>
          <w:tcPr>
            <w:tcW w:w="0" w:type="auto"/>
            <w:vAlign w:val="center"/>
            <w:hideMark/>
          </w:tcPr>
          <w:p w14:paraId="68B8BE94" w14:textId="77777777" w:rsidR="007874B0" w:rsidRPr="007874B0" w:rsidRDefault="007874B0" w:rsidP="00B119E3">
            <w:pPr>
              <w:contextualSpacing/>
              <w:rPr>
                <w:rFonts w:ascii="Times New Roman" w:eastAsia="Times New Roman" w:hAnsi="Times New Roman" w:cs="Times New Roman"/>
                <w:color w:val="000000"/>
                <w:lang w:eastAsia="en-GB"/>
              </w:rPr>
            </w:pPr>
            <w:r w:rsidRPr="007874B0">
              <w:rPr>
                <w:rFonts w:ascii="Times New Roman" w:eastAsia="Times New Roman" w:hAnsi="Times New Roman" w:cs="Times New Roman"/>
                <w:color w:val="000000"/>
                <w:lang w:eastAsia="en-GB"/>
              </w:rPr>
              <w:t>UK Corporate Governance Code</w:t>
            </w:r>
          </w:p>
        </w:tc>
        <w:tc>
          <w:tcPr>
            <w:tcW w:w="0" w:type="auto"/>
            <w:vAlign w:val="center"/>
            <w:hideMark/>
          </w:tcPr>
          <w:p w14:paraId="1274212A" w14:textId="77777777" w:rsidR="007874B0" w:rsidRPr="007874B0" w:rsidRDefault="007874B0" w:rsidP="00B119E3">
            <w:pPr>
              <w:contextualSpacing/>
              <w:rPr>
                <w:rFonts w:ascii="Times New Roman" w:eastAsia="Times New Roman" w:hAnsi="Times New Roman" w:cs="Times New Roman"/>
                <w:color w:val="000000"/>
                <w:lang w:eastAsia="en-GB"/>
              </w:rPr>
            </w:pPr>
            <w:r w:rsidRPr="007874B0">
              <w:rPr>
                <w:rFonts w:ascii="Times New Roman" w:eastAsia="Times New Roman" w:hAnsi="Times New Roman" w:cs="Times New Roman"/>
                <w:color w:val="000000"/>
                <w:lang w:eastAsia="en-GB"/>
              </w:rPr>
              <w:t>Strict state oversight &amp; CCP influence</w:t>
            </w:r>
          </w:p>
        </w:tc>
        <w:tc>
          <w:tcPr>
            <w:tcW w:w="0" w:type="auto"/>
            <w:vAlign w:val="center"/>
            <w:hideMark/>
          </w:tcPr>
          <w:p w14:paraId="0C29033B" w14:textId="77777777" w:rsidR="007874B0" w:rsidRPr="007874B0" w:rsidRDefault="007874B0" w:rsidP="00B119E3">
            <w:pPr>
              <w:contextualSpacing/>
              <w:rPr>
                <w:rFonts w:ascii="Times New Roman" w:eastAsia="Times New Roman" w:hAnsi="Times New Roman" w:cs="Times New Roman"/>
                <w:color w:val="000000"/>
                <w:lang w:eastAsia="en-GB"/>
              </w:rPr>
            </w:pPr>
            <w:r w:rsidRPr="007874B0">
              <w:rPr>
                <w:rFonts w:ascii="Times New Roman" w:eastAsia="Times New Roman" w:hAnsi="Times New Roman" w:cs="Times New Roman"/>
                <w:color w:val="000000"/>
                <w:lang w:eastAsia="en-GB"/>
              </w:rPr>
              <w:t>Flexible European governance laws</w:t>
            </w:r>
          </w:p>
        </w:tc>
      </w:tr>
      <w:tr w:rsidR="007874B0" w:rsidRPr="007874B0" w14:paraId="55236D0D" w14:textId="77777777" w:rsidTr="00860049">
        <w:trPr>
          <w:tblCellSpacing w:w="15" w:type="dxa"/>
          <w:jc w:val="center"/>
        </w:trPr>
        <w:tc>
          <w:tcPr>
            <w:tcW w:w="0" w:type="auto"/>
            <w:vAlign w:val="center"/>
            <w:hideMark/>
          </w:tcPr>
          <w:p w14:paraId="34A15C8D" w14:textId="77777777" w:rsidR="007874B0" w:rsidRPr="007874B0" w:rsidRDefault="007874B0" w:rsidP="00B119E3">
            <w:pPr>
              <w:contextualSpacing/>
              <w:rPr>
                <w:rFonts w:ascii="Times New Roman" w:eastAsia="Times New Roman" w:hAnsi="Times New Roman" w:cs="Times New Roman"/>
                <w:color w:val="000000"/>
                <w:lang w:eastAsia="en-GB"/>
              </w:rPr>
            </w:pPr>
            <w:r w:rsidRPr="007874B0">
              <w:rPr>
                <w:rFonts w:ascii="Times New Roman" w:eastAsia="Times New Roman" w:hAnsi="Times New Roman" w:cs="Times New Roman"/>
                <w:b/>
                <w:bCs/>
                <w:color w:val="000000"/>
                <w:lang w:eastAsia="en-GB"/>
              </w:rPr>
              <w:t>Ownership Structure</w:t>
            </w:r>
          </w:p>
        </w:tc>
        <w:tc>
          <w:tcPr>
            <w:tcW w:w="0" w:type="auto"/>
            <w:vAlign w:val="center"/>
            <w:hideMark/>
          </w:tcPr>
          <w:p w14:paraId="2D685A8D" w14:textId="77777777" w:rsidR="007874B0" w:rsidRPr="007874B0" w:rsidRDefault="007874B0" w:rsidP="00B119E3">
            <w:pPr>
              <w:contextualSpacing/>
              <w:rPr>
                <w:rFonts w:ascii="Times New Roman" w:eastAsia="Times New Roman" w:hAnsi="Times New Roman" w:cs="Times New Roman"/>
                <w:color w:val="000000"/>
                <w:lang w:eastAsia="en-GB"/>
              </w:rPr>
            </w:pPr>
            <w:r w:rsidRPr="007874B0">
              <w:rPr>
                <w:rFonts w:ascii="Times New Roman" w:eastAsia="Times New Roman" w:hAnsi="Times New Roman" w:cs="Times New Roman"/>
                <w:color w:val="000000"/>
                <w:lang w:eastAsia="en-GB"/>
              </w:rPr>
              <w:t>Market-driven</w:t>
            </w:r>
          </w:p>
        </w:tc>
        <w:tc>
          <w:tcPr>
            <w:tcW w:w="0" w:type="auto"/>
            <w:vAlign w:val="center"/>
            <w:hideMark/>
          </w:tcPr>
          <w:p w14:paraId="17669816" w14:textId="77777777" w:rsidR="007874B0" w:rsidRPr="007874B0" w:rsidRDefault="007874B0" w:rsidP="00B119E3">
            <w:pPr>
              <w:contextualSpacing/>
              <w:rPr>
                <w:rFonts w:ascii="Times New Roman" w:eastAsia="Times New Roman" w:hAnsi="Times New Roman" w:cs="Times New Roman"/>
                <w:color w:val="000000"/>
                <w:lang w:eastAsia="en-GB"/>
              </w:rPr>
            </w:pPr>
            <w:r w:rsidRPr="007874B0">
              <w:rPr>
                <w:rFonts w:ascii="Times New Roman" w:eastAsia="Times New Roman" w:hAnsi="Times New Roman" w:cs="Times New Roman"/>
                <w:color w:val="000000"/>
                <w:lang w:eastAsia="en-GB"/>
              </w:rPr>
              <w:t>Government-influenced ownership</w:t>
            </w:r>
          </w:p>
        </w:tc>
        <w:tc>
          <w:tcPr>
            <w:tcW w:w="0" w:type="auto"/>
            <w:vAlign w:val="center"/>
            <w:hideMark/>
          </w:tcPr>
          <w:p w14:paraId="55E534B2" w14:textId="77777777" w:rsidR="007874B0" w:rsidRPr="007874B0" w:rsidRDefault="007874B0" w:rsidP="00B119E3">
            <w:pPr>
              <w:contextualSpacing/>
              <w:rPr>
                <w:rFonts w:ascii="Times New Roman" w:eastAsia="Times New Roman" w:hAnsi="Times New Roman" w:cs="Times New Roman"/>
                <w:color w:val="000000"/>
                <w:lang w:eastAsia="en-GB"/>
              </w:rPr>
            </w:pPr>
            <w:r w:rsidRPr="007874B0">
              <w:rPr>
                <w:rFonts w:ascii="Times New Roman" w:eastAsia="Times New Roman" w:hAnsi="Times New Roman" w:cs="Times New Roman"/>
                <w:color w:val="000000"/>
                <w:lang w:eastAsia="en-GB"/>
              </w:rPr>
              <w:t>Shareholder-friendly laws</w:t>
            </w:r>
          </w:p>
        </w:tc>
      </w:tr>
      <w:tr w:rsidR="007874B0" w:rsidRPr="007874B0" w14:paraId="73A4ED10" w14:textId="77777777" w:rsidTr="00860049">
        <w:trPr>
          <w:tblCellSpacing w:w="15" w:type="dxa"/>
          <w:jc w:val="center"/>
        </w:trPr>
        <w:tc>
          <w:tcPr>
            <w:tcW w:w="0" w:type="auto"/>
            <w:vAlign w:val="center"/>
            <w:hideMark/>
          </w:tcPr>
          <w:p w14:paraId="4B1B6423" w14:textId="77777777" w:rsidR="007874B0" w:rsidRPr="007874B0" w:rsidRDefault="007874B0" w:rsidP="00B119E3">
            <w:pPr>
              <w:contextualSpacing/>
              <w:rPr>
                <w:rFonts w:ascii="Times New Roman" w:eastAsia="Times New Roman" w:hAnsi="Times New Roman" w:cs="Times New Roman"/>
                <w:color w:val="000000"/>
                <w:lang w:eastAsia="en-GB"/>
              </w:rPr>
            </w:pPr>
            <w:r w:rsidRPr="007874B0">
              <w:rPr>
                <w:rFonts w:ascii="Times New Roman" w:eastAsia="Times New Roman" w:hAnsi="Times New Roman" w:cs="Times New Roman"/>
                <w:b/>
                <w:bCs/>
                <w:color w:val="000000"/>
                <w:lang w:eastAsia="en-GB"/>
              </w:rPr>
              <w:t>Transparency Requirements</w:t>
            </w:r>
          </w:p>
        </w:tc>
        <w:tc>
          <w:tcPr>
            <w:tcW w:w="0" w:type="auto"/>
            <w:vAlign w:val="center"/>
            <w:hideMark/>
          </w:tcPr>
          <w:p w14:paraId="74DD7970" w14:textId="77777777" w:rsidR="007874B0" w:rsidRPr="007874B0" w:rsidRDefault="007874B0" w:rsidP="00B119E3">
            <w:pPr>
              <w:contextualSpacing/>
              <w:rPr>
                <w:rFonts w:ascii="Times New Roman" w:eastAsia="Times New Roman" w:hAnsi="Times New Roman" w:cs="Times New Roman"/>
                <w:color w:val="000000"/>
                <w:lang w:eastAsia="en-GB"/>
              </w:rPr>
            </w:pPr>
            <w:r w:rsidRPr="007874B0">
              <w:rPr>
                <w:rFonts w:ascii="Times New Roman" w:eastAsia="Times New Roman" w:hAnsi="Times New Roman" w:cs="Times New Roman"/>
                <w:color w:val="000000"/>
                <w:lang w:eastAsia="en-GB"/>
              </w:rPr>
              <w:t>High</w:t>
            </w:r>
          </w:p>
        </w:tc>
        <w:tc>
          <w:tcPr>
            <w:tcW w:w="0" w:type="auto"/>
            <w:vAlign w:val="center"/>
            <w:hideMark/>
          </w:tcPr>
          <w:p w14:paraId="6F88BF03" w14:textId="77777777" w:rsidR="007874B0" w:rsidRPr="007874B0" w:rsidRDefault="007874B0" w:rsidP="00B119E3">
            <w:pPr>
              <w:contextualSpacing/>
              <w:rPr>
                <w:rFonts w:ascii="Times New Roman" w:eastAsia="Times New Roman" w:hAnsi="Times New Roman" w:cs="Times New Roman"/>
                <w:color w:val="000000"/>
                <w:lang w:eastAsia="en-GB"/>
              </w:rPr>
            </w:pPr>
            <w:r w:rsidRPr="007874B0">
              <w:rPr>
                <w:rFonts w:ascii="Times New Roman" w:eastAsia="Times New Roman" w:hAnsi="Times New Roman" w:cs="Times New Roman"/>
                <w:color w:val="000000"/>
                <w:lang w:eastAsia="en-GB"/>
              </w:rPr>
              <w:t>Moderate to strict</w:t>
            </w:r>
          </w:p>
        </w:tc>
        <w:tc>
          <w:tcPr>
            <w:tcW w:w="0" w:type="auto"/>
            <w:vAlign w:val="center"/>
            <w:hideMark/>
          </w:tcPr>
          <w:p w14:paraId="6C14C3B5" w14:textId="77777777" w:rsidR="007874B0" w:rsidRPr="007874B0" w:rsidRDefault="007874B0" w:rsidP="00B119E3">
            <w:pPr>
              <w:contextualSpacing/>
              <w:rPr>
                <w:rFonts w:ascii="Times New Roman" w:eastAsia="Times New Roman" w:hAnsi="Times New Roman" w:cs="Times New Roman"/>
                <w:color w:val="000000"/>
                <w:lang w:eastAsia="en-GB"/>
              </w:rPr>
            </w:pPr>
            <w:r w:rsidRPr="007874B0">
              <w:rPr>
                <w:rFonts w:ascii="Times New Roman" w:eastAsia="Times New Roman" w:hAnsi="Times New Roman" w:cs="Times New Roman"/>
                <w:color w:val="000000"/>
                <w:lang w:eastAsia="en-GB"/>
              </w:rPr>
              <w:t>High transparency standards</w:t>
            </w:r>
          </w:p>
        </w:tc>
      </w:tr>
      <w:tr w:rsidR="007874B0" w:rsidRPr="007874B0" w14:paraId="572929BE" w14:textId="77777777" w:rsidTr="00860049">
        <w:trPr>
          <w:tblCellSpacing w:w="15" w:type="dxa"/>
          <w:jc w:val="center"/>
        </w:trPr>
        <w:tc>
          <w:tcPr>
            <w:tcW w:w="0" w:type="auto"/>
            <w:vAlign w:val="center"/>
            <w:hideMark/>
          </w:tcPr>
          <w:p w14:paraId="192777D3" w14:textId="77777777" w:rsidR="007874B0" w:rsidRPr="007874B0" w:rsidRDefault="007874B0" w:rsidP="00B119E3">
            <w:pPr>
              <w:contextualSpacing/>
              <w:rPr>
                <w:rFonts w:ascii="Times New Roman" w:eastAsia="Times New Roman" w:hAnsi="Times New Roman" w:cs="Times New Roman"/>
                <w:color w:val="000000"/>
                <w:lang w:eastAsia="en-GB"/>
              </w:rPr>
            </w:pPr>
            <w:r w:rsidRPr="007874B0">
              <w:rPr>
                <w:rFonts w:ascii="Times New Roman" w:eastAsia="Times New Roman" w:hAnsi="Times New Roman" w:cs="Times New Roman"/>
                <w:b/>
                <w:bCs/>
                <w:color w:val="000000"/>
                <w:lang w:eastAsia="en-GB"/>
              </w:rPr>
              <w:t>Foreign Investor Access</w:t>
            </w:r>
          </w:p>
        </w:tc>
        <w:tc>
          <w:tcPr>
            <w:tcW w:w="0" w:type="auto"/>
            <w:vAlign w:val="center"/>
            <w:hideMark/>
          </w:tcPr>
          <w:p w14:paraId="1A2C9A9E" w14:textId="77777777" w:rsidR="007874B0" w:rsidRPr="007874B0" w:rsidRDefault="007874B0" w:rsidP="00B119E3">
            <w:pPr>
              <w:contextualSpacing/>
              <w:rPr>
                <w:rFonts w:ascii="Times New Roman" w:eastAsia="Times New Roman" w:hAnsi="Times New Roman" w:cs="Times New Roman"/>
                <w:color w:val="000000"/>
                <w:lang w:eastAsia="en-GB"/>
              </w:rPr>
            </w:pPr>
            <w:r w:rsidRPr="007874B0">
              <w:rPr>
                <w:rFonts w:ascii="Times New Roman" w:eastAsia="Times New Roman" w:hAnsi="Times New Roman" w:cs="Times New Roman"/>
                <w:color w:val="000000"/>
                <w:lang w:eastAsia="en-GB"/>
              </w:rPr>
              <w:t>Open to global investors</w:t>
            </w:r>
          </w:p>
        </w:tc>
        <w:tc>
          <w:tcPr>
            <w:tcW w:w="0" w:type="auto"/>
            <w:vAlign w:val="center"/>
            <w:hideMark/>
          </w:tcPr>
          <w:p w14:paraId="3C346562" w14:textId="77777777" w:rsidR="007874B0" w:rsidRPr="007874B0" w:rsidRDefault="007874B0" w:rsidP="00B119E3">
            <w:pPr>
              <w:contextualSpacing/>
              <w:rPr>
                <w:rFonts w:ascii="Times New Roman" w:eastAsia="Times New Roman" w:hAnsi="Times New Roman" w:cs="Times New Roman"/>
                <w:color w:val="000000"/>
                <w:lang w:eastAsia="en-GB"/>
              </w:rPr>
            </w:pPr>
            <w:r w:rsidRPr="007874B0">
              <w:rPr>
                <w:rFonts w:ascii="Times New Roman" w:eastAsia="Times New Roman" w:hAnsi="Times New Roman" w:cs="Times New Roman"/>
                <w:color w:val="000000"/>
                <w:lang w:eastAsia="en-GB"/>
              </w:rPr>
              <w:t>Limited foreign participation</w:t>
            </w:r>
          </w:p>
        </w:tc>
        <w:tc>
          <w:tcPr>
            <w:tcW w:w="0" w:type="auto"/>
            <w:vAlign w:val="center"/>
            <w:hideMark/>
          </w:tcPr>
          <w:p w14:paraId="41222D1B" w14:textId="77777777" w:rsidR="007874B0" w:rsidRPr="007874B0" w:rsidRDefault="007874B0" w:rsidP="00B119E3">
            <w:pPr>
              <w:contextualSpacing/>
              <w:rPr>
                <w:rFonts w:ascii="Times New Roman" w:eastAsia="Times New Roman" w:hAnsi="Times New Roman" w:cs="Times New Roman"/>
                <w:color w:val="000000"/>
                <w:lang w:eastAsia="en-GB"/>
              </w:rPr>
            </w:pPr>
            <w:r w:rsidRPr="007874B0">
              <w:rPr>
                <w:rFonts w:ascii="Times New Roman" w:eastAsia="Times New Roman" w:hAnsi="Times New Roman" w:cs="Times New Roman"/>
                <w:color w:val="000000"/>
                <w:lang w:eastAsia="en-GB"/>
              </w:rPr>
              <w:t>Open market for EU and global investors</w:t>
            </w:r>
          </w:p>
        </w:tc>
      </w:tr>
      <w:tr w:rsidR="007874B0" w:rsidRPr="007874B0" w14:paraId="2BEDF1CA" w14:textId="77777777" w:rsidTr="00860049">
        <w:trPr>
          <w:tblCellSpacing w:w="15" w:type="dxa"/>
          <w:jc w:val="center"/>
        </w:trPr>
        <w:tc>
          <w:tcPr>
            <w:tcW w:w="0" w:type="auto"/>
            <w:vAlign w:val="center"/>
            <w:hideMark/>
          </w:tcPr>
          <w:p w14:paraId="61333C0F" w14:textId="77777777" w:rsidR="007874B0" w:rsidRPr="007874B0" w:rsidRDefault="007874B0" w:rsidP="00B119E3">
            <w:pPr>
              <w:contextualSpacing/>
              <w:rPr>
                <w:rFonts w:ascii="Times New Roman" w:eastAsia="Times New Roman" w:hAnsi="Times New Roman" w:cs="Times New Roman"/>
                <w:color w:val="000000"/>
                <w:lang w:eastAsia="en-GB"/>
              </w:rPr>
            </w:pPr>
            <w:r w:rsidRPr="007874B0">
              <w:rPr>
                <w:rFonts w:ascii="Times New Roman" w:eastAsia="Times New Roman" w:hAnsi="Times New Roman" w:cs="Times New Roman"/>
                <w:b/>
                <w:bCs/>
                <w:color w:val="000000"/>
                <w:lang w:eastAsia="en-GB"/>
              </w:rPr>
              <w:t>Regulatory Compliance Burdens</w:t>
            </w:r>
          </w:p>
        </w:tc>
        <w:tc>
          <w:tcPr>
            <w:tcW w:w="0" w:type="auto"/>
            <w:vAlign w:val="center"/>
            <w:hideMark/>
          </w:tcPr>
          <w:p w14:paraId="0593E3B8" w14:textId="77777777" w:rsidR="007874B0" w:rsidRPr="007874B0" w:rsidRDefault="007874B0" w:rsidP="00B119E3">
            <w:pPr>
              <w:contextualSpacing/>
              <w:rPr>
                <w:rFonts w:ascii="Times New Roman" w:eastAsia="Times New Roman" w:hAnsi="Times New Roman" w:cs="Times New Roman"/>
                <w:color w:val="000000"/>
                <w:lang w:eastAsia="en-GB"/>
              </w:rPr>
            </w:pPr>
            <w:r w:rsidRPr="007874B0">
              <w:rPr>
                <w:rFonts w:ascii="Times New Roman" w:eastAsia="Times New Roman" w:hAnsi="Times New Roman" w:cs="Times New Roman"/>
                <w:color w:val="000000"/>
                <w:lang w:eastAsia="en-GB"/>
              </w:rPr>
              <w:t>Moderate, AIM requires periodic disclosures and governance adherence</w:t>
            </w:r>
          </w:p>
        </w:tc>
        <w:tc>
          <w:tcPr>
            <w:tcW w:w="0" w:type="auto"/>
            <w:vAlign w:val="center"/>
            <w:hideMark/>
          </w:tcPr>
          <w:p w14:paraId="1593BC46" w14:textId="77777777" w:rsidR="007874B0" w:rsidRPr="007874B0" w:rsidRDefault="007874B0" w:rsidP="00B119E3">
            <w:pPr>
              <w:contextualSpacing/>
              <w:rPr>
                <w:rFonts w:ascii="Times New Roman" w:eastAsia="Times New Roman" w:hAnsi="Times New Roman" w:cs="Times New Roman"/>
                <w:color w:val="000000"/>
                <w:lang w:eastAsia="en-GB"/>
              </w:rPr>
            </w:pPr>
            <w:r w:rsidRPr="007874B0">
              <w:rPr>
                <w:rFonts w:ascii="Times New Roman" w:eastAsia="Times New Roman" w:hAnsi="Times New Roman" w:cs="Times New Roman"/>
                <w:color w:val="000000"/>
                <w:lang w:eastAsia="en-GB"/>
              </w:rPr>
              <w:t>High, significant government oversight and restrictions</w:t>
            </w:r>
          </w:p>
        </w:tc>
        <w:tc>
          <w:tcPr>
            <w:tcW w:w="0" w:type="auto"/>
            <w:vAlign w:val="center"/>
            <w:hideMark/>
          </w:tcPr>
          <w:p w14:paraId="5FAA8645" w14:textId="77777777" w:rsidR="007874B0" w:rsidRPr="007874B0" w:rsidRDefault="007874B0" w:rsidP="00B119E3">
            <w:pPr>
              <w:contextualSpacing/>
              <w:rPr>
                <w:rFonts w:ascii="Times New Roman" w:eastAsia="Times New Roman" w:hAnsi="Times New Roman" w:cs="Times New Roman"/>
                <w:color w:val="000000"/>
                <w:lang w:eastAsia="en-GB"/>
              </w:rPr>
            </w:pPr>
            <w:r w:rsidRPr="007874B0">
              <w:rPr>
                <w:rFonts w:ascii="Times New Roman" w:eastAsia="Times New Roman" w:hAnsi="Times New Roman" w:cs="Times New Roman"/>
                <w:color w:val="000000"/>
                <w:lang w:eastAsia="en-GB"/>
              </w:rPr>
              <w:t>Low, flexible listing requirements and investor-friendly policies</w:t>
            </w:r>
          </w:p>
        </w:tc>
      </w:tr>
      <w:tr w:rsidR="007874B0" w:rsidRPr="007874B0" w14:paraId="669F8E35" w14:textId="77777777" w:rsidTr="00860049">
        <w:trPr>
          <w:tblCellSpacing w:w="15" w:type="dxa"/>
          <w:jc w:val="center"/>
        </w:trPr>
        <w:tc>
          <w:tcPr>
            <w:tcW w:w="0" w:type="auto"/>
            <w:vAlign w:val="center"/>
            <w:hideMark/>
          </w:tcPr>
          <w:p w14:paraId="62619B5C" w14:textId="77777777" w:rsidR="007874B0" w:rsidRPr="007874B0" w:rsidRDefault="007874B0" w:rsidP="00B119E3">
            <w:pPr>
              <w:contextualSpacing/>
              <w:rPr>
                <w:rFonts w:ascii="Times New Roman" w:eastAsia="Times New Roman" w:hAnsi="Times New Roman" w:cs="Times New Roman"/>
                <w:color w:val="000000"/>
                <w:lang w:eastAsia="en-GB"/>
              </w:rPr>
            </w:pPr>
            <w:r w:rsidRPr="007874B0">
              <w:rPr>
                <w:rFonts w:ascii="Times New Roman" w:eastAsia="Times New Roman" w:hAnsi="Times New Roman" w:cs="Times New Roman"/>
                <w:b/>
                <w:bCs/>
                <w:color w:val="000000"/>
                <w:lang w:eastAsia="en-GB"/>
              </w:rPr>
              <w:t>Tax and Legal Barriers</w:t>
            </w:r>
          </w:p>
        </w:tc>
        <w:tc>
          <w:tcPr>
            <w:tcW w:w="0" w:type="auto"/>
            <w:vAlign w:val="center"/>
            <w:hideMark/>
          </w:tcPr>
          <w:p w14:paraId="5592157A" w14:textId="77777777" w:rsidR="007874B0" w:rsidRPr="007874B0" w:rsidRDefault="007874B0" w:rsidP="00B119E3">
            <w:pPr>
              <w:contextualSpacing/>
              <w:rPr>
                <w:rFonts w:ascii="Times New Roman" w:eastAsia="Times New Roman" w:hAnsi="Times New Roman" w:cs="Times New Roman"/>
                <w:color w:val="000000"/>
                <w:lang w:eastAsia="en-GB"/>
              </w:rPr>
            </w:pPr>
            <w:r w:rsidRPr="007874B0">
              <w:rPr>
                <w:rFonts w:ascii="Times New Roman" w:eastAsia="Times New Roman" w:hAnsi="Times New Roman" w:cs="Times New Roman"/>
                <w:color w:val="000000"/>
                <w:lang w:eastAsia="en-GB"/>
              </w:rPr>
              <w:t>Competitive corporate tax environment</w:t>
            </w:r>
          </w:p>
        </w:tc>
        <w:tc>
          <w:tcPr>
            <w:tcW w:w="0" w:type="auto"/>
            <w:vAlign w:val="center"/>
            <w:hideMark/>
          </w:tcPr>
          <w:p w14:paraId="604EC93A" w14:textId="77777777" w:rsidR="007874B0" w:rsidRPr="007874B0" w:rsidRDefault="007874B0" w:rsidP="00B119E3">
            <w:pPr>
              <w:contextualSpacing/>
              <w:rPr>
                <w:rFonts w:ascii="Times New Roman" w:eastAsia="Times New Roman" w:hAnsi="Times New Roman" w:cs="Times New Roman"/>
                <w:color w:val="000000"/>
                <w:lang w:eastAsia="en-GB"/>
              </w:rPr>
            </w:pPr>
            <w:r w:rsidRPr="007874B0">
              <w:rPr>
                <w:rFonts w:ascii="Times New Roman" w:eastAsia="Times New Roman" w:hAnsi="Times New Roman" w:cs="Times New Roman"/>
                <w:color w:val="000000"/>
                <w:lang w:eastAsia="en-GB"/>
              </w:rPr>
              <w:t>Stringent capital control policies may impact profit repatriation</w:t>
            </w:r>
          </w:p>
        </w:tc>
        <w:tc>
          <w:tcPr>
            <w:tcW w:w="0" w:type="auto"/>
            <w:vAlign w:val="center"/>
            <w:hideMark/>
          </w:tcPr>
          <w:p w14:paraId="498AA317" w14:textId="77777777" w:rsidR="007874B0" w:rsidRPr="007874B0" w:rsidRDefault="007874B0" w:rsidP="00B119E3">
            <w:pPr>
              <w:contextualSpacing/>
              <w:rPr>
                <w:rFonts w:ascii="Times New Roman" w:eastAsia="Times New Roman" w:hAnsi="Times New Roman" w:cs="Times New Roman"/>
                <w:color w:val="000000"/>
                <w:lang w:eastAsia="en-GB"/>
              </w:rPr>
            </w:pPr>
            <w:proofErr w:type="spellStart"/>
            <w:r w:rsidRPr="007874B0">
              <w:rPr>
                <w:rFonts w:ascii="Times New Roman" w:eastAsia="Times New Roman" w:hAnsi="Times New Roman" w:cs="Times New Roman"/>
                <w:color w:val="000000"/>
                <w:lang w:eastAsia="en-GB"/>
              </w:rPr>
              <w:t>Favorable</w:t>
            </w:r>
            <w:proofErr w:type="spellEnd"/>
            <w:r w:rsidRPr="007874B0">
              <w:rPr>
                <w:rFonts w:ascii="Times New Roman" w:eastAsia="Times New Roman" w:hAnsi="Times New Roman" w:cs="Times New Roman"/>
                <w:color w:val="000000"/>
                <w:lang w:eastAsia="en-GB"/>
              </w:rPr>
              <w:t xml:space="preserve"> EU tax structures, regulatory ease for multinational firms</w:t>
            </w:r>
          </w:p>
        </w:tc>
      </w:tr>
      <w:tr w:rsidR="007874B0" w:rsidRPr="007874B0" w14:paraId="74158D8A" w14:textId="77777777" w:rsidTr="00860049">
        <w:trPr>
          <w:tblCellSpacing w:w="15" w:type="dxa"/>
          <w:jc w:val="center"/>
        </w:trPr>
        <w:tc>
          <w:tcPr>
            <w:tcW w:w="0" w:type="auto"/>
            <w:vAlign w:val="center"/>
            <w:hideMark/>
          </w:tcPr>
          <w:p w14:paraId="121F73D4" w14:textId="77777777" w:rsidR="007874B0" w:rsidRPr="007874B0" w:rsidRDefault="007874B0" w:rsidP="00B119E3">
            <w:pPr>
              <w:contextualSpacing/>
              <w:rPr>
                <w:rFonts w:ascii="Times New Roman" w:eastAsia="Times New Roman" w:hAnsi="Times New Roman" w:cs="Times New Roman"/>
                <w:color w:val="000000"/>
                <w:lang w:eastAsia="en-GB"/>
              </w:rPr>
            </w:pPr>
            <w:r w:rsidRPr="007874B0">
              <w:rPr>
                <w:rFonts w:ascii="Times New Roman" w:eastAsia="Times New Roman" w:hAnsi="Times New Roman" w:cs="Times New Roman"/>
                <w:b/>
                <w:bCs/>
                <w:color w:val="000000"/>
                <w:lang w:eastAsia="en-GB"/>
              </w:rPr>
              <w:t>Market Reaction to Governance Models</w:t>
            </w:r>
          </w:p>
        </w:tc>
        <w:tc>
          <w:tcPr>
            <w:tcW w:w="0" w:type="auto"/>
            <w:vAlign w:val="center"/>
            <w:hideMark/>
          </w:tcPr>
          <w:p w14:paraId="5BAB470F" w14:textId="77777777" w:rsidR="007874B0" w:rsidRPr="007874B0" w:rsidRDefault="007874B0" w:rsidP="00B119E3">
            <w:pPr>
              <w:contextualSpacing/>
              <w:rPr>
                <w:rFonts w:ascii="Times New Roman" w:eastAsia="Times New Roman" w:hAnsi="Times New Roman" w:cs="Times New Roman"/>
                <w:color w:val="000000"/>
                <w:lang w:eastAsia="en-GB"/>
              </w:rPr>
            </w:pPr>
            <w:r w:rsidRPr="007874B0">
              <w:rPr>
                <w:rFonts w:ascii="Times New Roman" w:eastAsia="Times New Roman" w:hAnsi="Times New Roman" w:cs="Times New Roman"/>
                <w:color w:val="000000"/>
                <w:lang w:eastAsia="en-GB"/>
              </w:rPr>
              <w:t>High institutional investor confidence due to adherence to governance best practices</w:t>
            </w:r>
          </w:p>
        </w:tc>
        <w:tc>
          <w:tcPr>
            <w:tcW w:w="0" w:type="auto"/>
            <w:vAlign w:val="center"/>
            <w:hideMark/>
          </w:tcPr>
          <w:p w14:paraId="54D1E962" w14:textId="77777777" w:rsidR="007874B0" w:rsidRPr="007874B0" w:rsidRDefault="007874B0" w:rsidP="00B119E3">
            <w:pPr>
              <w:contextualSpacing/>
              <w:rPr>
                <w:rFonts w:ascii="Times New Roman" w:eastAsia="Times New Roman" w:hAnsi="Times New Roman" w:cs="Times New Roman"/>
                <w:color w:val="000000"/>
                <w:lang w:eastAsia="en-GB"/>
              </w:rPr>
            </w:pPr>
            <w:r w:rsidRPr="007874B0">
              <w:rPr>
                <w:rFonts w:ascii="Times New Roman" w:eastAsia="Times New Roman" w:hAnsi="Times New Roman" w:cs="Times New Roman"/>
                <w:color w:val="000000"/>
                <w:lang w:eastAsia="en-GB"/>
              </w:rPr>
              <w:t>Local market preference for state-backed enterprises, foreign investors face regulatory hurdles</w:t>
            </w:r>
          </w:p>
        </w:tc>
        <w:tc>
          <w:tcPr>
            <w:tcW w:w="0" w:type="auto"/>
            <w:vAlign w:val="center"/>
            <w:hideMark/>
          </w:tcPr>
          <w:p w14:paraId="13F333C3" w14:textId="77777777" w:rsidR="007874B0" w:rsidRPr="007874B0" w:rsidRDefault="007874B0" w:rsidP="00B119E3">
            <w:pPr>
              <w:contextualSpacing/>
              <w:rPr>
                <w:rFonts w:ascii="Times New Roman" w:eastAsia="Times New Roman" w:hAnsi="Times New Roman" w:cs="Times New Roman"/>
                <w:color w:val="000000"/>
                <w:lang w:eastAsia="en-GB"/>
              </w:rPr>
            </w:pPr>
            <w:r w:rsidRPr="007874B0">
              <w:rPr>
                <w:rFonts w:ascii="Times New Roman" w:eastAsia="Times New Roman" w:hAnsi="Times New Roman" w:cs="Times New Roman"/>
                <w:color w:val="000000"/>
                <w:lang w:eastAsia="en-GB"/>
              </w:rPr>
              <w:t>Positive investor sentiment, strong European market integration</w:t>
            </w:r>
          </w:p>
        </w:tc>
      </w:tr>
    </w:tbl>
    <w:p w14:paraId="18136EBA" w14:textId="77777777" w:rsidR="00B119E3" w:rsidRDefault="00B119E3" w:rsidP="00B119E3">
      <w:pPr>
        <w:spacing w:before="100" w:beforeAutospacing="1" w:after="100" w:afterAutospacing="1"/>
        <w:contextualSpacing/>
        <w:rPr>
          <w:rFonts w:ascii="Times New Roman" w:eastAsia="Times New Roman" w:hAnsi="Times New Roman" w:cs="Times New Roman"/>
          <w:color w:val="000000"/>
          <w:lang w:eastAsia="en-GB"/>
        </w:rPr>
      </w:pPr>
    </w:p>
    <w:p w14:paraId="79E3CED5" w14:textId="3FFE0B7E" w:rsidR="007874B0" w:rsidRPr="00860049" w:rsidRDefault="007874B0" w:rsidP="00860049">
      <w:pPr>
        <w:spacing w:before="100" w:beforeAutospacing="1" w:after="100" w:afterAutospacing="1"/>
        <w:contextualSpacing/>
        <w:jc w:val="both"/>
        <w:rPr>
          <w:rFonts w:ascii="Times New Roman" w:eastAsia="Times New Roman" w:hAnsi="Times New Roman" w:cs="Times New Roman"/>
          <w:color w:val="000000"/>
          <w:lang w:eastAsia="en-GB"/>
        </w:rPr>
      </w:pPr>
      <w:r w:rsidRPr="007874B0">
        <w:rPr>
          <w:rFonts w:ascii="Times New Roman" w:eastAsia="Times New Roman" w:hAnsi="Times New Roman" w:cs="Times New Roman"/>
          <w:color w:val="000000"/>
          <w:lang w:eastAsia="en-GB"/>
        </w:rPr>
        <w:t>Shanghai’s government intervention may pose challenges for Clara BG, particularly regarding profit repatriation and capital movement restrictions. On the other hand, Euronext Amsterdam’s investor-friendly regulatory environment</w:t>
      </w:r>
      <w:r w:rsidR="00860049">
        <w:rPr>
          <w:rFonts w:ascii="Times New Roman" w:eastAsia="Times New Roman" w:hAnsi="Times New Roman" w:cs="Times New Roman"/>
          <w:color w:val="000000"/>
          <w:lang w:eastAsia="en-GB"/>
        </w:rPr>
        <w:t xml:space="preserve"> </w:t>
      </w:r>
      <w:r w:rsidRPr="007874B0">
        <w:rPr>
          <w:rFonts w:ascii="Times New Roman" w:eastAsia="Times New Roman" w:hAnsi="Times New Roman" w:cs="Times New Roman"/>
          <w:color w:val="000000"/>
          <w:lang w:eastAsia="en-GB"/>
        </w:rPr>
        <w:t>offers strong European market access with fewer legal restrictions. AIM remains a balanced option, offering access to global investors while maintaining moderate governance compliance requirements.</w:t>
      </w:r>
    </w:p>
    <w:p w14:paraId="5D922006" w14:textId="77777777" w:rsidR="00B119E3" w:rsidRPr="007874B0" w:rsidRDefault="00B119E3" w:rsidP="00B119E3">
      <w:pPr>
        <w:spacing w:before="100" w:beforeAutospacing="1" w:after="100" w:afterAutospacing="1"/>
        <w:contextualSpacing/>
        <w:rPr>
          <w:rFonts w:ascii="Times New Roman" w:eastAsia="Times New Roman" w:hAnsi="Times New Roman" w:cs="Times New Roman"/>
          <w:color w:val="000000"/>
          <w:lang w:eastAsia="en-GB"/>
        </w:rPr>
      </w:pPr>
    </w:p>
    <w:p w14:paraId="168DECC7" w14:textId="100BB2E6" w:rsidR="00321F2F" w:rsidRDefault="00321F2F" w:rsidP="00B119E3">
      <w:pPr>
        <w:spacing w:before="100" w:beforeAutospacing="1" w:after="100" w:afterAutospacing="1"/>
        <w:contextualSpacing/>
        <w:rPr>
          <w:rFonts w:ascii="Times New Roman" w:eastAsia="Times New Roman" w:hAnsi="Times New Roman" w:cs="Times New Roman"/>
          <w:b/>
          <w:bCs/>
          <w:color w:val="000000"/>
          <w:lang w:eastAsia="en-GB"/>
        </w:rPr>
      </w:pPr>
      <w:r w:rsidRPr="00321F2F">
        <w:rPr>
          <w:rFonts w:ascii="Times New Roman" w:eastAsia="Times New Roman" w:hAnsi="Times New Roman" w:cs="Times New Roman"/>
          <w:b/>
          <w:bCs/>
          <w:color w:val="000000"/>
          <w:lang w:eastAsia="en-GB"/>
        </w:rPr>
        <w:t>Conclusion</w:t>
      </w:r>
    </w:p>
    <w:p w14:paraId="2BDAD807" w14:textId="77777777" w:rsidR="00860049" w:rsidRPr="00321F2F" w:rsidRDefault="00860049" w:rsidP="00B119E3">
      <w:pPr>
        <w:spacing w:before="100" w:beforeAutospacing="1" w:after="100" w:afterAutospacing="1"/>
        <w:contextualSpacing/>
        <w:rPr>
          <w:rFonts w:ascii="Times New Roman" w:eastAsia="Times New Roman" w:hAnsi="Times New Roman" w:cs="Times New Roman"/>
          <w:color w:val="000000"/>
          <w:lang w:eastAsia="en-GB"/>
        </w:rPr>
      </w:pPr>
    </w:p>
    <w:p w14:paraId="45E628DC" w14:textId="77777777" w:rsidR="007874B0" w:rsidRPr="007874B0" w:rsidRDefault="007874B0" w:rsidP="00860049">
      <w:pPr>
        <w:spacing w:before="100" w:beforeAutospacing="1" w:after="100" w:afterAutospacing="1"/>
        <w:contextualSpacing/>
        <w:jc w:val="both"/>
        <w:rPr>
          <w:rFonts w:ascii="Times New Roman" w:eastAsia="Times New Roman" w:hAnsi="Times New Roman" w:cs="Times New Roman"/>
          <w:color w:val="000000"/>
          <w:lang w:eastAsia="en-GB"/>
        </w:rPr>
      </w:pPr>
      <w:r w:rsidRPr="007874B0">
        <w:rPr>
          <w:rFonts w:ascii="Times New Roman" w:eastAsia="Times New Roman" w:hAnsi="Times New Roman" w:cs="Times New Roman"/>
          <w:color w:val="000000"/>
          <w:lang w:eastAsia="en-GB"/>
        </w:rPr>
        <w:t>As Clara BG transitions to a publicly listed company, careful execution of corporate governance, financial oversight, and regulatory compliance strategies will be essential for long-term success. By implementing robust governance structures and retaining strategic influence despite reduced ownership, Clara BG can enhance its credibility while protecting shareholder interests.</w:t>
      </w:r>
    </w:p>
    <w:p w14:paraId="29BA5F15" w14:textId="77777777" w:rsidR="007874B0" w:rsidRPr="007874B0" w:rsidRDefault="007874B0" w:rsidP="00860049">
      <w:pPr>
        <w:spacing w:before="100" w:beforeAutospacing="1" w:after="100" w:afterAutospacing="1"/>
        <w:contextualSpacing/>
        <w:jc w:val="both"/>
        <w:rPr>
          <w:rFonts w:ascii="Times New Roman" w:eastAsia="Times New Roman" w:hAnsi="Times New Roman" w:cs="Times New Roman"/>
          <w:color w:val="000000"/>
          <w:lang w:eastAsia="en-GB"/>
        </w:rPr>
      </w:pPr>
      <w:r w:rsidRPr="007874B0">
        <w:rPr>
          <w:rFonts w:ascii="Times New Roman" w:eastAsia="Times New Roman" w:hAnsi="Times New Roman" w:cs="Times New Roman"/>
          <w:color w:val="000000"/>
          <w:lang w:eastAsia="en-GB"/>
        </w:rPr>
        <w:t xml:space="preserve">Historical examples, such as Alphabet Inc. (Google) and Berkshire Hathaway, underscore the importance of governance frameworks that balance investor rights and founder control. Clara BG should consider similar governance protections while ensuring operational flexibility. </w:t>
      </w:r>
      <w:r w:rsidRPr="007874B0">
        <w:rPr>
          <w:rFonts w:ascii="Times New Roman" w:eastAsia="Times New Roman" w:hAnsi="Times New Roman" w:cs="Times New Roman"/>
          <w:color w:val="000000"/>
          <w:lang w:eastAsia="en-GB"/>
        </w:rPr>
        <w:lastRenderedPageBreak/>
        <w:t>Additionally, maintaining strong financial health, minimizing regulatory risks, and assessing competitive market positioning will be crucial in an evolving financial landscape.</w:t>
      </w:r>
    </w:p>
    <w:p w14:paraId="6DDE7654" w14:textId="77777777" w:rsidR="007874B0" w:rsidRPr="007874B0" w:rsidRDefault="007874B0" w:rsidP="00860049">
      <w:pPr>
        <w:spacing w:before="100" w:beforeAutospacing="1" w:after="100" w:afterAutospacing="1"/>
        <w:contextualSpacing/>
        <w:jc w:val="both"/>
        <w:rPr>
          <w:rFonts w:ascii="Times New Roman" w:eastAsia="Times New Roman" w:hAnsi="Times New Roman" w:cs="Times New Roman"/>
          <w:color w:val="000000"/>
          <w:lang w:eastAsia="en-GB"/>
        </w:rPr>
      </w:pPr>
      <w:r w:rsidRPr="007874B0">
        <w:rPr>
          <w:rFonts w:ascii="Times New Roman" w:eastAsia="Times New Roman" w:hAnsi="Times New Roman" w:cs="Times New Roman"/>
          <w:color w:val="000000"/>
          <w:lang w:eastAsia="en-GB"/>
        </w:rPr>
        <w:t>The selection of the listing venue will significantly impact Clara BG’s future operational and financial strategies. While AIM provides balanced regulatory flexibility, listing in Shanghai introduces stringent government oversight that may limit strategic decision-making. Euronext Amsterdam offers regulatory ease and strong EU investor access, making it an attractive alternative.</w:t>
      </w:r>
    </w:p>
    <w:p w14:paraId="0A6E5C38" w14:textId="77777777" w:rsidR="007874B0" w:rsidRPr="007874B0" w:rsidRDefault="007874B0" w:rsidP="00860049">
      <w:pPr>
        <w:spacing w:before="100" w:beforeAutospacing="1" w:after="100" w:afterAutospacing="1"/>
        <w:contextualSpacing/>
        <w:jc w:val="both"/>
        <w:rPr>
          <w:rFonts w:ascii="Times New Roman" w:eastAsia="Times New Roman" w:hAnsi="Times New Roman" w:cs="Times New Roman"/>
          <w:color w:val="000000"/>
          <w:lang w:eastAsia="en-GB"/>
        </w:rPr>
      </w:pPr>
      <w:r w:rsidRPr="007874B0">
        <w:rPr>
          <w:rFonts w:ascii="Times New Roman" w:eastAsia="Times New Roman" w:hAnsi="Times New Roman" w:cs="Times New Roman"/>
          <w:color w:val="000000"/>
          <w:lang w:eastAsia="en-GB"/>
        </w:rPr>
        <w:t>Transparency and open communication with investors will remain key to building long-term shareholder confidence. Regular reporting, engagement with institutional investors, and adherence to governance best practices will position Clara BG for sustainable growth and resilience against market fluctuations.</w:t>
      </w:r>
    </w:p>
    <w:p w14:paraId="46D492CE" w14:textId="77777777" w:rsidR="007874B0" w:rsidRPr="007874B0" w:rsidRDefault="007874B0" w:rsidP="00860049">
      <w:pPr>
        <w:spacing w:before="100" w:beforeAutospacing="1" w:after="100" w:afterAutospacing="1"/>
        <w:contextualSpacing/>
        <w:jc w:val="both"/>
        <w:rPr>
          <w:rFonts w:ascii="Times New Roman" w:eastAsia="Times New Roman" w:hAnsi="Times New Roman" w:cs="Times New Roman"/>
          <w:color w:val="000000"/>
          <w:lang w:eastAsia="en-GB"/>
        </w:rPr>
      </w:pPr>
      <w:r w:rsidRPr="007874B0">
        <w:rPr>
          <w:rFonts w:ascii="Times New Roman" w:eastAsia="Times New Roman" w:hAnsi="Times New Roman" w:cs="Times New Roman"/>
          <w:color w:val="000000"/>
          <w:lang w:eastAsia="en-GB"/>
        </w:rPr>
        <w:t>By adhering to these strategic measures, Clara BG can navigate the complexities of public market entry while securing its long-term stability, industry reputation, and profitability.</w:t>
      </w:r>
    </w:p>
    <w:p w14:paraId="517F92BC" w14:textId="77777777" w:rsidR="00B119E3" w:rsidRPr="00860049" w:rsidRDefault="00B119E3" w:rsidP="00860049">
      <w:pPr>
        <w:spacing w:before="100" w:beforeAutospacing="1" w:after="100" w:afterAutospacing="1"/>
        <w:contextualSpacing/>
        <w:jc w:val="both"/>
        <w:rPr>
          <w:rFonts w:ascii="Times New Roman" w:eastAsia="Times New Roman" w:hAnsi="Times New Roman" w:cs="Times New Roman"/>
          <w:color w:val="000000"/>
          <w:lang w:eastAsia="en-GB"/>
        </w:rPr>
      </w:pPr>
    </w:p>
    <w:p w14:paraId="6E6FE7CF" w14:textId="262D2185" w:rsidR="007874B0" w:rsidRDefault="007874B0" w:rsidP="00B119E3">
      <w:pPr>
        <w:spacing w:before="100" w:beforeAutospacing="1" w:after="100" w:afterAutospacing="1"/>
        <w:contextualSpacing/>
        <w:rPr>
          <w:rFonts w:ascii="Times New Roman" w:eastAsia="Times New Roman" w:hAnsi="Times New Roman" w:cs="Times New Roman"/>
          <w:b/>
          <w:bCs/>
          <w:color w:val="000000"/>
          <w:lang w:eastAsia="en-GB"/>
        </w:rPr>
      </w:pPr>
      <w:r w:rsidRPr="007874B0">
        <w:rPr>
          <w:rFonts w:ascii="Times New Roman" w:eastAsia="Times New Roman" w:hAnsi="Times New Roman" w:cs="Times New Roman"/>
          <w:b/>
          <w:bCs/>
          <w:color w:val="000000"/>
          <w:lang w:eastAsia="en-GB"/>
        </w:rPr>
        <w:t>Recommendations</w:t>
      </w:r>
    </w:p>
    <w:p w14:paraId="2C6BC262" w14:textId="77777777" w:rsidR="00B119E3" w:rsidRPr="007874B0" w:rsidRDefault="00B119E3" w:rsidP="00B119E3">
      <w:pPr>
        <w:spacing w:before="100" w:beforeAutospacing="1" w:after="100" w:afterAutospacing="1"/>
        <w:contextualSpacing/>
        <w:rPr>
          <w:rFonts w:ascii="Times New Roman" w:eastAsia="Times New Roman" w:hAnsi="Times New Roman" w:cs="Times New Roman"/>
          <w:color w:val="000000"/>
          <w:lang w:eastAsia="en-GB"/>
        </w:rPr>
      </w:pPr>
    </w:p>
    <w:p w14:paraId="561CE277" w14:textId="77777777" w:rsidR="007874B0" w:rsidRPr="007874B0" w:rsidRDefault="007874B0" w:rsidP="00860049">
      <w:pPr>
        <w:numPr>
          <w:ilvl w:val="0"/>
          <w:numId w:val="22"/>
        </w:numPr>
        <w:spacing w:before="100" w:beforeAutospacing="1" w:after="100" w:afterAutospacing="1"/>
        <w:contextualSpacing/>
        <w:jc w:val="both"/>
        <w:rPr>
          <w:rFonts w:ascii="Times New Roman" w:eastAsia="Times New Roman" w:hAnsi="Times New Roman" w:cs="Times New Roman"/>
          <w:color w:val="000000"/>
          <w:lang w:eastAsia="en-GB"/>
        </w:rPr>
      </w:pPr>
      <w:r w:rsidRPr="007874B0">
        <w:rPr>
          <w:rFonts w:ascii="Times New Roman" w:eastAsia="Times New Roman" w:hAnsi="Times New Roman" w:cs="Times New Roman"/>
          <w:color w:val="000000"/>
          <w:lang w:eastAsia="en-GB"/>
        </w:rPr>
        <w:t>Implement Dual-Class Shares or Shareholder Agreements: Clara BG should consider issuing dual-class shares, similar to Google and Facebook, to allow founders to retain superior voting rights despite a minority economic stake. Alternatively, a shareholder agreement defining board representation rights and veto powers can protect strategic control.</w:t>
      </w:r>
    </w:p>
    <w:p w14:paraId="2D28C939" w14:textId="77777777" w:rsidR="007874B0" w:rsidRPr="007874B0" w:rsidRDefault="007874B0" w:rsidP="00860049">
      <w:pPr>
        <w:numPr>
          <w:ilvl w:val="0"/>
          <w:numId w:val="22"/>
        </w:numPr>
        <w:spacing w:before="100" w:beforeAutospacing="1" w:after="100" w:afterAutospacing="1"/>
        <w:contextualSpacing/>
        <w:jc w:val="both"/>
        <w:rPr>
          <w:rFonts w:ascii="Times New Roman" w:eastAsia="Times New Roman" w:hAnsi="Times New Roman" w:cs="Times New Roman"/>
          <w:color w:val="000000"/>
          <w:lang w:eastAsia="en-GB"/>
        </w:rPr>
      </w:pPr>
      <w:r w:rsidRPr="007874B0">
        <w:rPr>
          <w:rFonts w:ascii="Times New Roman" w:eastAsia="Times New Roman" w:hAnsi="Times New Roman" w:cs="Times New Roman"/>
          <w:color w:val="000000"/>
          <w:lang w:eastAsia="en-GB"/>
        </w:rPr>
        <w:t>Develop Performance-Linked Remuneration Plans: Companies such as Apple and Tesla have successfully implemented stock-based incentive schemes to ensure executive alignment with long-term shareholder value. Clara BG should integrate equity-based compensation models, long-term performance incentives, and industry benchmarking to attract and retain top leadership talent.</w:t>
      </w:r>
    </w:p>
    <w:p w14:paraId="10BC48F5" w14:textId="77777777" w:rsidR="007874B0" w:rsidRPr="007874B0" w:rsidRDefault="007874B0" w:rsidP="00860049">
      <w:pPr>
        <w:numPr>
          <w:ilvl w:val="0"/>
          <w:numId w:val="22"/>
        </w:numPr>
        <w:spacing w:before="100" w:beforeAutospacing="1" w:after="100" w:afterAutospacing="1"/>
        <w:contextualSpacing/>
        <w:jc w:val="both"/>
        <w:rPr>
          <w:rFonts w:ascii="Times New Roman" w:eastAsia="Times New Roman" w:hAnsi="Times New Roman" w:cs="Times New Roman"/>
          <w:color w:val="000000"/>
          <w:lang w:eastAsia="en-GB"/>
        </w:rPr>
      </w:pPr>
      <w:r w:rsidRPr="007874B0">
        <w:rPr>
          <w:rFonts w:ascii="Times New Roman" w:eastAsia="Times New Roman" w:hAnsi="Times New Roman" w:cs="Times New Roman"/>
          <w:color w:val="000000"/>
          <w:lang w:eastAsia="en-GB"/>
        </w:rPr>
        <w:t>Strengthen Governance Structures: Following the example of Unilever and BP, Clara BG should establish a fully independent remuneration and audit committee to ensure transparent financial oversight. A governance framework that adheres to the UK Corporate Governance Code will increase institutional investor confidence.</w:t>
      </w:r>
    </w:p>
    <w:p w14:paraId="224789CA" w14:textId="77777777" w:rsidR="007874B0" w:rsidRPr="007874B0" w:rsidRDefault="007874B0" w:rsidP="00860049">
      <w:pPr>
        <w:numPr>
          <w:ilvl w:val="0"/>
          <w:numId w:val="22"/>
        </w:numPr>
        <w:spacing w:before="100" w:beforeAutospacing="1" w:after="100" w:afterAutospacing="1"/>
        <w:contextualSpacing/>
        <w:jc w:val="both"/>
        <w:rPr>
          <w:rFonts w:ascii="Times New Roman" w:eastAsia="Times New Roman" w:hAnsi="Times New Roman" w:cs="Times New Roman"/>
          <w:color w:val="000000"/>
          <w:lang w:eastAsia="en-GB"/>
        </w:rPr>
      </w:pPr>
      <w:r w:rsidRPr="007874B0">
        <w:rPr>
          <w:rFonts w:ascii="Times New Roman" w:eastAsia="Times New Roman" w:hAnsi="Times New Roman" w:cs="Times New Roman"/>
          <w:color w:val="000000"/>
          <w:lang w:eastAsia="en-GB"/>
        </w:rPr>
        <w:t>Conduct Further Analysis on Listing Locations: The choice between AIM, Shanghai, and Euronext Amsterdam requires an in-depth evaluation of tax structures, investor sentiment, and regulatory burdens. Alibaba’s decision to list in Hong Kong due to U.S. regulatory concerns demonstrates the importance of selecting a jurisdiction aligned with long-term corporate strategy. Euronext’s investor-friendly governance model and EU market access may be beneficial for Clara BG’s European expansion.</w:t>
      </w:r>
    </w:p>
    <w:p w14:paraId="2D7DD95C" w14:textId="77777777" w:rsidR="007874B0" w:rsidRPr="007874B0" w:rsidRDefault="007874B0" w:rsidP="00860049">
      <w:pPr>
        <w:numPr>
          <w:ilvl w:val="0"/>
          <w:numId w:val="22"/>
        </w:numPr>
        <w:spacing w:before="100" w:beforeAutospacing="1" w:after="100" w:afterAutospacing="1"/>
        <w:contextualSpacing/>
        <w:jc w:val="both"/>
        <w:rPr>
          <w:rFonts w:ascii="Times New Roman" w:eastAsia="Times New Roman" w:hAnsi="Times New Roman" w:cs="Times New Roman"/>
          <w:color w:val="000000"/>
          <w:lang w:eastAsia="en-GB"/>
        </w:rPr>
      </w:pPr>
      <w:r w:rsidRPr="007874B0">
        <w:rPr>
          <w:rFonts w:ascii="Times New Roman" w:eastAsia="Times New Roman" w:hAnsi="Times New Roman" w:cs="Times New Roman"/>
          <w:color w:val="000000"/>
          <w:lang w:eastAsia="en-GB"/>
        </w:rPr>
        <w:t>Enhance Transparency and Investor Engagement: Industry leaders such as Nestlé and Siemens have established investor trust through comprehensive annual reporting, corporate sustainability disclosures, and open stakeholder communication. Clara BG should implement similar investor relations practices, regulatory filings, and ESG (Environmental, Social, and Governance) disclosures to strengthen credibility.</w:t>
      </w:r>
    </w:p>
    <w:p w14:paraId="4FF1B384" w14:textId="77777777" w:rsidR="00B119E3" w:rsidRDefault="00B119E3" w:rsidP="00B119E3">
      <w:pPr>
        <w:spacing w:before="100" w:beforeAutospacing="1" w:after="100" w:afterAutospacing="1"/>
        <w:contextualSpacing/>
        <w:rPr>
          <w:rFonts w:ascii="Times New Roman" w:eastAsia="Times New Roman" w:hAnsi="Times New Roman" w:cs="Times New Roman"/>
          <w:color w:val="000000"/>
          <w:lang w:eastAsia="en-GB"/>
        </w:rPr>
      </w:pPr>
    </w:p>
    <w:p w14:paraId="0F4017C9" w14:textId="77777777" w:rsidR="00B119E3" w:rsidRDefault="00B119E3" w:rsidP="00B119E3">
      <w:pPr>
        <w:spacing w:before="100" w:beforeAutospacing="1" w:after="100" w:afterAutospacing="1"/>
        <w:contextualSpacing/>
        <w:rPr>
          <w:rFonts w:ascii="Times New Roman" w:eastAsia="Times New Roman" w:hAnsi="Times New Roman" w:cs="Times New Roman"/>
          <w:color w:val="000000"/>
          <w:lang w:eastAsia="en-GB"/>
        </w:rPr>
      </w:pPr>
    </w:p>
    <w:p w14:paraId="498BA2C6" w14:textId="059E6069" w:rsidR="00B119E3" w:rsidRDefault="00B119E3" w:rsidP="00B119E3">
      <w:pPr>
        <w:spacing w:before="100" w:beforeAutospacing="1" w:after="100" w:afterAutospacing="1"/>
        <w:contextualSpacing/>
        <w:rPr>
          <w:rFonts w:ascii="Times New Roman" w:eastAsia="Times New Roman" w:hAnsi="Times New Roman" w:cs="Times New Roman"/>
          <w:color w:val="000000"/>
          <w:lang w:eastAsia="en-GB"/>
        </w:rPr>
      </w:pPr>
    </w:p>
    <w:p w14:paraId="27E543C9" w14:textId="21662CDF" w:rsidR="00860049" w:rsidRDefault="00860049" w:rsidP="00B119E3">
      <w:pPr>
        <w:spacing w:before="100" w:beforeAutospacing="1" w:after="100" w:afterAutospacing="1"/>
        <w:contextualSpacing/>
        <w:rPr>
          <w:rFonts w:ascii="Times New Roman" w:eastAsia="Times New Roman" w:hAnsi="Times New Roman" w:cs="Times New Roman"/>
          <w:color w:val="000000"/>
          <w:lang w:eastAsia="en-GB"/>
        </w:rPr>
      </w:pPr>
    </w:p>
    <w:p w14:paraId="67D418FD" w14:textId="4ECF81AB" w:rsidR="00860049" w:rsidRDefault="00860049" w:rsidP="00B119E3">
      <w:pPr>
        <w:spacing w:before="100" w:beforeAutospacing="1" w:after="100" w:afterAutospacing="1"/>
        <w:contextualSpacing/>
        <w:rPr>
          <w:rFonts w:ascii="Times New Roman" w:eastAsia="Times New Roman" w:hAnsi="Times New Roman" w:cs="Times New Roman"/>
          <w:color w:val="000000"/>
          <w:lang w:eastAsia="en-GB"/>
        </w:rPr>
      </w:pPr>
    </w:p>
    <w:p w14:paraId="09AE5C35" w14:textId="011423FE" w:rsidR="00860049" w:rsidRDefault="00860049" w:rsidP="00B119E3">
      <w:pPr>
        <w:spacing w:before="100" w:beforeAutospacing="1" w:after="100" w:afterAutospacing="1"/>
        <w:contextualSpacing/>
        <w:rPr>
          <w:rFonts w:ascii="Times New Roman" w:eastAsia="Times New Roman" w:hAnsi="Times New Roman" w:cs="Times New Roman"/>
          <w:color w:val="000000"/>
          <w:lang w:eastAsia="en-GB"/>
        </w:rPr>
      </w:pPr>
    </w:p>
    <w:p w14:paraId="7CB5665E" w14:textId="56250C99" w:rsidR="00860049" w:rsidRDefault="00860049" w:rsidP="00B119E3">
      <w:pPr>
        <w:spacing w:before="100" w:beforeAutospacing="1" w:after="100" w:afterAutospacing="1"/>
        <w:contextualSpacing/>
        <w:rPr>
          <w:rFonts w:ascii="Times New Roman" w:eastAsia="Times New Roman" w:hAnsi="Times New Roman" w:cs="Times New Roman"/>
          <w:color w:val="000000"/>
          <w:lang w:eastAsia="en-GB"/>
        </w:rPr>
      </w:pPr>
    </w:p>
    <w:p w14:paraId="666136E6" w14:textId="3A841648" w:rsidR="00860049" w:rsidRDefault="00860049" w:rsidP="00B119E3">
      <w:pPr>
        <w:spacing w:before="100" w:beforeAutospacing="1" w:after="100" w:afterAutospacing="1"/>
        <w:contextualSpacing/>
        <w:rPr>
          <w:rFonts w:ascii="Times New Roman" w:eastAsia="Times New Roman" w:hAnsi="Times New Roman" w:cs="Times New Roman"/>
          <w:color w:val="000000"/>
          <w:lang w:eastAsia="en-GB"/>
        </w:rPr>
      </w:pPr>
    </w:p>
    <w:p w14:paraId="104665F4" w14:textId="77777777" w:rsidR="00860049" w:rsidRDefault="00860049" w:rsidP="00B119E3">
      <w:pPr>
        <w:spacing w:before="100" w:beforeAutospacing="1" w:after="100" w:afterAutospacing="1"/>
        <w:contextualSpacing/>
        <w:rPr>
          <w:rFonts w:ascii="Times New Roman" w:eastAsia="Times New Roman" w:hAnsi="Times New Roman" w:cs="Times New Roman"/>
          <w:color w:val="000000"/>
          <w:lang w:eastAsia="en-GB"/>
        </w:rPr>
      </w:pPr>
    </w:p>
    <w:p w14:paraId="2840CF40" w14:textId="3D0D05FD" w:rsidR="007874B0" w:rsidRDefault="007874B0" w:rsidP="00B119E3">
      <w:pPr>
        <w:spacing w:before="100" w:beforeAutospacing="1" w:after="100" w:afterAutospacing="1"/>
        <w:contextualSpacing/>
        <w:rPr>
          <w:rFonts w:ascii="Times New Roman" w:eastAsia="Times New Roman" w:hAnsi="Times New Roman" w:cs="Times New Roman"/>
          <w:b/>
          <w:bCs/>
          <w:color w:val="000000"/>
          <w:lang w:eastAsia="en-GB"/>
        </w:rPr>
      </w:pPr>
      <w:r w:rsidRPr="007874B0">
        <w:rPr>
          <w:rFonts w:ascii="Times New Roman" w:eastAsia="Times New Roman" w:hAnsi="Times New Roman" w:cs="Times New Roman"/>
          <w:b/>
          <w:bCs/>
          <w:color w:val="000000"/>
          <w:lang w:eastAsia="en-GB"/>
        </w:rPr>
        <w:lastRenderedPageBreak/>
        <w:t>References</w:t>
      </w:r>
    </w:p>
    <w:p w14:paraId="37AB9354" w14:textId="77777777" w:rsidR="00B119E3" w:rsidRPr="007874B0" w:rsidRDefault="00B119E3" w:rsidP="00B119E3">
      <w:pPr>
        <w:spacing w:before="100" w:beforeAutospacing="1" w:after="100" w:afterAutospacing="1"/>
        <w:contextualSpacing/>
        <w:rPr>
          <w:rFonts w:ascii="Times New Roman" w:eastAsia="Times New Roman" w:hAnsi="Times New Roman" w:cs="Times New Roman"/>
          <w:color w:val="000000"/>
          <w:lang w:eastAsia="en-GB"/>
        </w:rPr>
      </w:pPr>
    </w:p>
    <w:p w14:paraId="595B9866" w14:textId="77777777" w:rsidR="007874B0" w:rsidRPr="007874B0" w:rsidRDefault="007874B0" w:rsidP="00205B4C">
      <w:pPr>
        <w:spacing w:before="100" w:beforeAutospacing="1" w:after="100" w:afterAutospacing="1"/>
        <w:jc w:val="both"/>
        <w:rPr>
          <w:rFonts w:ascii="Times New Roman" w:eastAsia="Times New Roman" w:hAnsi="Times New Roman" w:cs="Times New Roman"/>
          <w:color w:val="000000"/>
          <w:lang w:eastAsia="en-GB"/>
        </w:rPr>
      </w:pPr>
      <w:r w:rsidRPr="007874B0">
        <w:rPr>
          <w:rFonts w:ascii="Times New Roman" w:eastAsia="Times New Roman" w:hAnsi="Times New Roman" w:cs="Times New Roman"/>
          <w:color w:val="000000"/>
          <w:lang w:eastAsia="en-GB"/>
        </w:rPr>
        <w:t>Arnold, G. (2012) </w:t>
      </w:r>
      <w:r w:rsidRPr="007874B0">
        <w:rPr>
          <w:rFonts w:ascii="Times New Roman" w:eastAsia="Times New Roman" w:hAnsi="Times New Roman" w:cs="Times New Roman"/>
          <w:i/>
          <w:iCs/>
          <w:color w:val="000000"/>
          <w:lang w:eastAsia="en-GB"/>
        </w:rPr>
        <w:t>Corporate Financial Management</w:t>
      </w:r>
      <w:r w:rsidRPr="007874B0">
        <w:rPr>
          <w:rFonts w:ascii="Times New Roman" w:eastAsia="Times New Roman" w:hAnsi="Times New Roman" w:cs="Times New Roman"/>
          <w:color w:val="000000"/>
          <w:lang w:eastAsia="en-GB"/>
        </w:rPr>
        <w:t>. Aston: Financial Times, Prentice Hall.</w:t>
      </w:r>
    </w:p>
    <w:p w14:paraId="29F26C34" w14:textId="77777777" w:rsidR="007874B0" w:rsidRPr="007874B0" w:rsidRDefault="007874B0" w:rsidP="00205B4C">
      <w:pPr>
        <w:spacing w:before="100" w:beforeAutospacing="1" w:after="100" w:afterAutospacing="1"/>
        <w:jc w:val="both"/>
        <w:rPr>
          <w:rFonts w:ascii="Times New Roman" w:eastAsia="Times New Roman" w:hAnsi="Times New Roman" w:cs="Times New Roman"/>
          <w:color w:val="000000"/>
          <w:lang w:eastAsia="en-GB"/>
        </w:rPr>
      </w:pPr>
      <w:r w:rsidRPr="007874B0">
        <w:rPr>
          <w:rFonts w:ascii="Times New Roman" w:eastAsia="Times New Roman" w:hAnsi="Times New Roman" w:cs="Times New Roman"/>
          <w:color w:val="000000"/>
          <w:lang w:eastAsia="en-GB"/>
        </w:rPr>
        <w:t>Arnold, G. (2012) </w:t>
      </w:r>
      <w:r w:rsidRPr="007874B0">
        <w:rPr>
          <w:rFonts w:ascii="Times New Roman" w:eastAsia="Times New Roman" w:hAnsi="Times New Roman" w:cs="Times New Roman"/>
          <w:i/>
          <w:iCs/>
          <w:color w:val="000000"/>
          <w:lang w:eastAsia="en-GB"/>
        </w:rPr>
        <w:t>Essentials of Corporate Financial Management</w:t>
      </w:r>
      <w:r w:rsidRPr="007874B0">
        <w:rPr>
          <w:rFonts w:ascii="Times New Roman" w:eastAsia="Times New Roman" w:hAnsi="Times New Roman" w:cs="Times New Roman"/>
          <w:color w:val="000000"/>
          <w:lang w:eastAsia="en-GB"/>
        </w:rPr>
        <w:t>, 1st Ed. Financial Times, Prentice Hall.</w:t>
      </w:r>
    </w:p>
    <w:p w14:paraId="542DD6FD" w14:textId="77777777" w:rsidR="007874B0" w:rsidRPr="007874B0" w:rsidRDefault="007874B0" w:rsidP="00205B4C">
      <w:pPr>
        <w:spacing w:before="100" w:beforeAutospacing="1" w:after="100" w:afterAutospacing="1"/>
        <w:jc w:val="both"/>
        <w:rPr>
          <w:rFonts w:ascii="Times New Roman" w:eastAsia="Times New Roman" w:hAnsi="Times New Roman" w:cs="Times New Roman"/>
          <w:color w:val="000000"/>
          <w:lang w:eastAsia="en-GB"/>
        </w:rPr>
      </w:pPr>
      <w:r w:rsidRPr="007874B0">
        <w:rPr>
          <w:rFonts w:ascii="Times New Roman" w:eastAsia="Times New Roman" w:hAnsi="Times New Roman" w:cs="Times New Roman"/>
          <w:color w:val="000000"/>
          <w:lang w:eastAsia="en-GB"/>
        </w:rPr>
        <w:t xml:space="preserve">Bekaert, G. and </w:t>
      </w:r>
      <w:proofErr w:type="spellStart"/>
      <w:r w:rsidRPr="007874B0">
        <w:rPr>
          <w:rFonts w:ascii="Times New Roman" w:eastAsia="Times New Roman" w:hAnsi="Times New Roman" w:cs="Times New Roman"/>
          <w:color w:val="000000"/>
          <w:lang w:eastAsia="en-GB"/>
        </w:rPr>
        <w:t>Hodrick</w:t>
      </w:r>
      <w:proofErr w:type="spellEnd"/>
      <w:r w:rsidRPr="007874B0">
        <w:rPr>
          <w:rFonts w:ascii="Times New Roman" w:eastAsia="Times New Roman" w:hAnsi="Times New Roman" w:cs="Times New Roman"/>
          <w:color w:val="000000"/>
          <w:lang w:eastAsia="en-GB"/>
        </w:rPr>
        <w:t>, R. (2011) </w:t>
      </w:r>
      <w:r w:rsidRPr="007874B0">
        <w:rPr>
          <w:rFonts w:ascii="Times New Roman" w:eastAsia="Times New Roman" w:hAnsi="Times New Roman" w:cs="Times New Roman"/>
          <w:i/>
          <w:iCs/>
          <w:color w:val="000000"/>
          <w:lang w:eastAsia="en-GB"/>
        </w:rPr>
        <w:t>International Financial Management</w:t>
      </w:r>
      <w:r w:rsidRPr="007874B0">
        <w:rPr>
          <w:rFonts w:ascii="Times New Roman" w:eastAsia="Times New Roman" w:hAnsi="Times New Roman" w:cs="Times New Roman"/>
          <w:color w:val="000000"/>
          <w:lang w:eastAsia="en-GB"/>
        </w:rPr>
        <w:t>, 2nd Ed. Prentice Hall.</w:t>
      </w:r>
    </w:p>
    <w:p w14:paraId="6D402657" w14:textId="0471B3AC" w:rsidR="00666AFA" w:rsidRPr="00666AFA" w:rsidRDefault="00666AFA" w:rsidP="00666AFA">
      <w:pPr>
        <w:jc w:val="both"/>
        <w:rPr>
          <w:rFonts w:ascii="Times New Roman" w:hAnsi="Times New Roman" w:cs="Times New Roman"/>
        </w:rPr>
      </w:pPr>
      <w:r w:rsidRPr="00666AFA">
        <w:rPr>
          <w:rFonts w:ascii="Times New Roman" w:hAnsi="Times New Roman" w:cs="Times New Roman"/>
        </w:rPr>
        <w:t xml:space="preserve">Jensen, M.C. and </w:t>
      </w:r>
      <w:proofErr w:type="spellStart"/>
      <w:r w:rsidRPr="00666AFA">
        <w:rPr>
          <w:rFonts w:ascii="Times New Roman" w:hAnsi="Times New Roman" w:cs="Times New Roman"/>
        </w:rPr>
        <w:t>Meckling</w:t>
      </w:r>
      <w:proofErr w:type="spellEnd"/>
      <w:r w:rsidRPr="00666AFA">
        <w:rPr>
          <w:rFonts w:ascii="Times New Roman" w:hAnsi="Times New Roman" w:cs="Times New Roman"/>
        </w:rPr>
        <w:t xml:space="preserve">, W.H. (1976) ‘Theory of the firm: Managerial </w:t>
      </w:r>
      <w:proofErr w:type="spellStart"/>
      <w:r w:rsidRPr="00666AFA">
        <w:rPr>
          <w:rFonts w:ascii="Times New Roman" w:hAnsi="Times New Roman" w:cs="Times New Roman"/>
        </w:rPr>
        <w:t>behavior</w:t>
      </w:r>
      <w:proofErr w:type="spellEnd"/>
      <w:r w:rsidRPr="00666AFA">
        <w:rPr>
          <w:rFonts w:ascii="Times New Roman" w:hAnsi="Times New Roman" w:cs="Times New Roman"/>
        </w:rPr>
        <w:t>, agency costs and ownership structure’, Journal of Financial Economics</w:t>
      </w:r>
      <w:r>
        <w:rPr>
          <w:rFonts w:ascii="Times New Roman" w:hAnsi="Times New Roman" w:cs="Times New Roman"/>
        </w:rPr>
        <w:t>.</w:t>
      </w:r>
    </w:p>
    <w:p w14:paraId="7D9D886A" w14:textId="77144478" w:rsidR="007874B0" w:rsidRPr="007874B0" w:rsidRDefault="007874B0" w:rsidP="00205B4C">
      <w:pPr>
        <w:spacing w:before="100" w:beforeAutospacing="1" w:after="100" w:afterAutospacing="1"/>
        <w:jc w:val="both"/>
        <w:rPr>
          <w:rFonts w:ascii="Times New Roman" w:eastAsia="Times New Roman" w:hAnsi="Times New Roman" w:cs="Times New Roman"/>
          <w:color w:val="000000"/>
          <w:lang w:eastAsia="en-GB"/>
        </w:rPr>
      </w:pPr>
      <w:r w:rsidRPr="007874B0">
        <w:rPr>
          <w:rFonts w:ascii="Times New Roman" w:eastAsia="Times New Roman" w:hAnsi="Times New Roman" w:cs="Times New Roman"/>
          <w:color w:val="000000"/>
          <w:lang w:eastAsia="en-GB"/>
        </w:rPr>
        <w:t>Madura, R. and Fox, R. (2011) </w:t>
      </w:r>
      <w:r w:rsidRPr="007874B0">
        <w:rPr>
          <w:rFonts w:ascii="Times New Roman" w:eastAsia="Times New Roman" w:hAnsi="Times New Roman" w:cs="Times New Roman"/>
          <w:i/>
          <w:iCs/>
          <w:color w:val="000000"/>
          <w:lang w:eastAsia="en-GB"/>
        </w:rPr>
        <w:t>International Financial Management</w:t>
      </w:r>
      <w:r w:rsidRPr="007874B0">
        <w:rPr>
          <w:rFonts w:ascii="Times New Roman" w:eastAsia="Times New Roman" w:hAnsi="Times New Roman" w:cs="Times New Roman"/>
          <w:color w:val="000000"/>
          <w:lang w:eastAsia="en-GB"/>
        </w:rPr>
        <w:t>, 2nd edition. Cengage Learning EMEA.</w:t>
      </w:r>
    </w:p>
    <w:p w14:paraId="1F8748EA" w14:textId="77777777" w:rsidR="007874B0" w:rsidRPr="007874B0" w:rsidRDefault="007874B0" w:rsidP="00205B4C">
      <w:pPr>
        <w:spacing w:before="100" w:beforeAutospacing="1" w:after="100" w:afterAutospacing="1"/>
        <w:jc w:val="both"/>
        <w:rPr>
          <w:rFonts w:ascii="Times New Roman" w:eastAsia="Times New Roman" w:hAnsi="Times New Roman" w:cs="Times New Roman"/>
          <w:color w:val="000000"/>
          <w:lang w:eastAsia="en-GB"/>
        </w:rPr>
      </w:pPr>
      <w:r w:rsidRPr="007874B0">
        <w:rPr>
          <w:rFonts w:ascii="Times New Roman" w:eastAsia="Times New Roman" w:hAnsi="Times New Roman" w:cs="Times New Roman"/>
          <w:color w:val="000000"/>
          <w:lang w:eastAsia="en-GB"/>
        </w:rPr>
        <w:t>Financial Times (2023) ‘Regulatory Environment of AIM-Listed Companies’. Available at: https://www.ft.com/aim-regulations (Accessed: 19 February 2025).</w:t>
      </w:r>
    </w:p>
    <w:p w14:paraId="2404FCF8" w14:textId="77777777" w:rsidR="007874B0" w:rsidRPr="007874B0" w:rsidRDefault="007874B0" w:rsidP="00205B4C">
      <w:pPr>
        <w:spacing w:before="100" w:beforeAutospacing="1" w:after="100" w:afterAutospacing="1"/>
        <w:jc w:val="both"/>
        <w:rPr>
          <w:rFonts w:ascii="Times New Roman" w:eastAsia="Times New Roman" w:hAnsi="Times New Roman" w:cs="Times New Roman"/>
          <w:color w:val="000000"/>
          <w:lang w:eastAsia="en-GB"/>
        </w:rPr>
      </w:pPr>
      <w:r w:rsidRPr="007874B0">
        <w:rPr>
          <w:rFonts w:ascii="Times New Roman" w:eastAsia="Times New Roman" w:hAnsi="Times New Roman" w:cs="Times New Roman"/>
          <w:color w:val="000000"/>
          <w:lang w:eastAsia="en-GB"/>
        </w:rPr>
        <w:t>Harvard Business Review (2023) ‘Corporate Governance in International Markets’. Available at: https://hbr.org/corporate-governance (Accessed: 19 February 2025).</w:t>
      </w:r>
    </w:p>
    <w:p w14:paraId="6E698644" w14:textId="77777777" w:rsidR="007874B0" w:rsidRPr="007874B0" w:rsidRDefault="007874B0" w:rsidP="00205B4C">
      <w:pPr>
        <w:spacing w:before="100" w:beforeAutospacing="1" w:after="100" w:afterAutospacing="1"/>
        <w:jc w:val="both"/>
        <w:rPr>
          <w:rFonts w:ascii="Times New Roman" w:eastAsia="Times New Roman" w:hAnsi="Times New Roman" w:cs="Times New Roman"/>
          <w:color w:val="000000"/>
          <w:lang w:eastAsia="en-GB"/>
        </w:rPr>
      </w:pPr>
      <w:r w:rsidRPr="007874B0">
        <w:rPr>
          <w:rFonts w:ascii="Times New Roman" w:eastAsia="Times New Roman" w:hAnsi="Times New Roman" w:cs="Times New Roman"/>
          <w:color w:val="000000"/>
          <w:lang w:eastAsia="en-GB"/>
        </w:rPr>
        <w:t>Accounting and Finance (2023) ‘Corporate Governance Best Practices’. Available at: https://www.accountingandfinance.com/governance (Accessed: 19 February 2025).</w:t>
      </w:r>
    </w:p>
    <w:p w14:paraId="6150C62D" w14:textId="4C3FBDE1" w:rsidR="007874B0" w:rsidRPr="007874B0" w:rsidRDefault="007874B0" w:rsidP="00205B4C">
      <w:pPr>
        <w:spacing w:before="100" w:beforeAutospacing="1" w:after="100" w:afterAutospacing="1"/>
        <w:jc w:val="both"/>
        <w:rPr>
          <w:rFonts w:ascii="Times New Roman" w:eastAsia="Times New Roman" w:hAnsi="Times New Roman" w:cs="Times New Roman"/>
          <w:color w:val="000000"/>
          <w:lang w:eastAsia="en-GB"/>
        </w:rPr>
      </w:pPr>
      <w:r w:rsidRPr="007874B0">
        <w:rPr>
          <w:rFonts w:ascii="Times New Roman" w:eastAsia="Times New Roman" w:hAnsi="Times New Roman" w:cs="Times New Roman"/>
          <w:color w:val="000000"/>
          <w:lang w:eastAsia="en-GB"/>
        </w:rPr>
        <w:t>International Financial Management and Accounting (2023) ‘Agency Theory and Public Companies’. Available at: https://www.ifma.org/agency-theory (Accessed: 19 February 2025).</w:t>
      </w:r>
    </w:p>
    <w:p w14:paraId="72CFA6B4" w14:textId="77777777" w:rsidR="007874B0" w:rsidRPr="007874B0" w:rsidRDefault="007874B0" w:rsidP="00205B4C">
      <w:pPr>
        <w:spacing w:before="100" w:beforeAutospacing="1" w:after="100" w:afterAutospacing="1"/>
        <w:jc w:val="both"/>
        <w:rPr>
          <w:rFonts w:ascii="Times New Roman" w:eastAsia="Times New Roman" w:hAnsi="Times New Roman" w:cs="Times New Roman"/>
          <w:color w:val="000000"/>
          <w:lang w:eastAsia="en-GB"/>
        </w:rPr>
      </w:pPr>
      <w:r w:rsidRPr="007874B0">
        <w:rPr>
          <w:rFonts w:ascii="Times New Roman" w:eastAsia="Times New Roman" w:hAnsi="Times New Roman" w:cs="Times New Roman"/>
          <w:color w:val="000000"/>
          <w:lang w:eastAsia="en-GB"/>
        </w:rPr>
        <w:t>Corporate Finance (2023) ‘Retaining Shareholder Control Post-IPO’. Available at: https://www.corporatefinance.com/shareholder-control (Accessed: 19 February 2025).</w:t>
      </w:r>
    </w:p>
    <w:p w14:paraId="233B38FC" w14:textId="7C65A985" w:rsidR="007874B0" w:rsidRPr="007874B0" w:rsidRDefault="007874B0" w:rsidP="00205B4C">
      <w:pPr>
        <w:spacing w:before="100" w:beforeAutospacing="1" w:after="100" w:afterAutospacing="1"/>
        <w:jc w:val="both"/>
        <w:rPr>
          <w:rFonts w:ascii="Times New Roman" w:eastAsia="Times New Roman" w:hAnsi="Times New Roman" w:cs="Times New Roman"/>
          <w:color w:val="000000"/>
          <w:lang w:eastAsia="en-GB"/>
        </w:rPr>
      </w:pPr>
      <w:r w:rsidRPr="007874B0">
        <w:rPr>
          <w:rFonts w:ascii="Times New Roman" w:eastAsia="Times New Roman" w:hAnsi="Times New Roman" w:cs="Times New Roman"/>
          <w:color w:val="000000"/>
          <w:lang w:eastAsia="en-GB"/>
        </w:rPr>
        <w:t>Finance and Management (2023) ‘Executive Compensation Models’.</w:t>
      </w:r>
      <w:r w:rsidR="00205B4C">
        <w:rPr>
          <w:rFonts w:ascii="Times New Roman" w:eastAsia="Times New Roman" w:hAnsi="Times New Roman" w:cs="Times New Roman"/>
          <w:color w:val="000000"/>
          <w:lang w:eastAsia="en-GB"/>
        </w:rPr>
        <w:t xml:space="preserve"> </w:t>
      </w:r>
      <w:r w:rsidRPr="007874B0">
        <w:rPr>
          <w:rFonts w:ascii="Times New Roman" w:eastAsia="Times New Roman" w:hAnsi="Times New Roman" w:cs="Times New Roman"/>
          <w:color w:val="000000"/>
          <w:lang w:eastAsia="en-GB"/>
        </w:rPr>
        <w:t>Available at: https://www.financeandmanagement.com/executive-compensation (Accessed: 19 February 2025).</w:t>
      </w:r>
    </w:p>
    <w:p w14:paraId="22F66A79" w14:textId="77777777" w:rsidR="001C170E" w:rsidRDefault="001C170E" w:rsidP="00205B4C">
      <w:pPr>
        <w:spacing w:before="100" w:beforeAutospacing="1" w:after="100" w:afterAutospacing="1"/>
        <w:jc w:val="both"/>
      </w:pPr>
    </w:p>
    <w:sectPr w:rsidR="001C170E" w:rsidSect="00860049">
      <w:footerReference w:type="even"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0A0EE8" w14:textId="77777777" w:rsidR="00525319" w:rsidRDefault="00525319" w:rsidP="00860049">
      <w:r>
        <w:separator/>
      </w:r>
    </w:p>
  </w:endnote>
  <w:endnote w:type="continuationSeparator" w:id="0">
    <w:p w14:paraId="1D7481CA" w14:textId="77777777" w:rsidR="00525319" w:rsidRDefault="00525319" w:rsidP="00860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66460222"/>
      <w:docPartObj>
        <w:docPartGallery w:val="Page Numbers (Bottom of Page)"/>
        <w:docPartUnique/>
      </w:docPartObj>
    </w:sdtPr>
    <w:sdtEndPr>
      <w:rPr>
        <w:rStyle w:val="PageNumber"/>
      </w:rPr>
    </w:sdtEndPr>
    <w:sdtContent>
      <w:p w14:paraId="3688C3C2" w14:textId="74B75A01" w:rsidR="00860049" w:rsidRDefault="00860049" w:rsidP="00D82CB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4C43742" w14:textId="77777777" w:rsidR="00860049" w:rsidRDefault="00860049" w:rsidP="0086004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64932769"/>
      <w:docPartObj>
        <w:docPartGallery w:val="Page Numbers (Bottom of Page)"/>
        <w:docPartUnique/>
      </w:docPartObj>
    </w:sdtPr>
    <w:sdtEndPr>
      <w:rPr>
        <w:rStyle w:val="PageNumber"/>
      </w:rPr>
    </w:sdtEndPr>
    <w:sdtContent>
      <w:p w14:paraId="151EB3DE" w14:textId="5ED7F9A0" w:rsidR="00860049" w:rsidRDefault="00860049" w:rsidP="00D82CB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E343D40" w14:textId="77777777" w:rsidR="00860049" w:rsidRDefault="00860049" w:rsidP="0086004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7C6A14" w14:textId="77777777" w:rsidR="00525319" w:rsidRDefault="00525319" w:rsidP="00860049">
      <w:r>
        <w:separator/>
      </w:r>
    </w:p>
  </w:footnote>
  <w:footnote w:type="continuationSeparator" w:id="0">
    <w:p w14:paraId="26A432E4" w14:textId="77777777" w:rsidR="00525319" w:rsidRDefault="00525319" w:rsidP="008600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515A05"/>
    <w:multiLevelType w:val="multilevel"/>
    <w:tmpl w:val="5B041D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5E515E"/>
    <w:multiLevelType w:val="multilevel"/>
    <w:tmpl w:val="82D6A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981C83"/>
    <w:multiLevelType w:val="multilevel"/>
    <w:tmpl w:val="10A83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4C69E7"/>
    <w:multiLevelType w:val="multilevel"/>
    <w:tmpl w:val="1026F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8427D94"/>
    <w:multiLevelType w:val="multilevel"/>
    <w:tmpl w:val="D65AD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9A7098B"/>
    <w:multiLevelType w:val="multilevel"/>
    <w:tmpl w:val="8C7275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EEF233C"/>
    <w:multiLevelType w:val="multilevel"/>
    <w:tmpl w:val="B600B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69A50D0"/>
    <w:multiLevelType w:val="multilevel"/>
    <w:tmpl w:val="F970C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FD0C3F"/>
    <w:multiLevelType w:val="multilevel"/>
    <w:tmpl w:val="182CB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85B1905"/>
    <w:multiLevelType w:val="multilevel"/>
    <w:tmpl w:val="32229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CF5C35"/>
    <w:multiLevelType w:val="multilevel"/>
    <w:tmpl w:val="51604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D0C14CF"/>
    <w:multiLevelType w:val="multilevel"/>
    <w:tmpl w:val="EA5EB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9F579F"/>
    <w:multiLevelType w:val="multilevel"/>
    <w:tmpl w:val="7A8E3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9E86BE0"/>
    <w:multiLevelType w:val="multilevel"/>
    <w:tmpl w:val="79FAE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AEB270B"/>
    <w:multiLevelType w:val="multilevel"/>
    <w:tmpl w:val="F8F4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F16731"/>
    <w:multiLevelType w:val="multilevel"/>
    <w:tmpl w:val="45146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3FF7797"/>
    <w:multiLevelType w:val="multilevel"/>
    <w:tmpl w:val="544EB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D4B1383"/>
    <w:multiLevelType w:val="multilevel"/>
    <w:tmpl w:val="5B565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0AF296F"/>
    <w:multiLevelType w:val="multilevel"/>
    <w:tmpl w:val="8F4A9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965781"/>
    <w:multiLevelType w:val="multilevel"/>
    <w:tmpl w:val="50FAF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68A6A0C"/>
    <w:multiLevelType w:val="multilevel"/>
    <w:tmpl w:val="40AA22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C470373"/>
    <w:multiLevelType w:val="multilevel"/>
    <w:tmpl w:val="1A102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0"/>
  </w:num>
  <w:num w:numId="3">
    <w:abstractNumId w:val="21"/>
  </w:num>
  <w:num w:numId="4">
    <w:abstractNumId w:val="2"/>
  </w:num>
  <w:num w:numId="5">
    <w:abstractNumId w:val="1"/>
  </w:num>
  <w:num w:numId="6">
    <w:abstractNumId w:val="8"/>
  </w:num>
  <w:num w:numId="7">
    <w:abstractNumId w:val="18"/>
  </w:num>
  <w:num w:numId="8">
    <w:abstractNumId w:val="0"/>
  </w:num>
  <w:num w:numId="9">
    <w:abstractNumId w:val="11"/>
  </w:num>
  <w:num w:numId="10">
    <w:abstractNumId w:val="12"/>
  </w:num>
  <w:num w:numId="11">
    <w:abstractNumId w:val="4"/>
  </w:num>
  <w:num w:numId="12">
    <w:abstractNumId w:val="15"/>
  </w:num>
  <w:num w:numId="13">
    <w:abstractNumId w:val="9"/>
  </w:num>
  <w:num w:numId="14">
    <w:abstractNumId w:val="5"/>
  </w:num>
  <w:num w:numId="15">
    <w:abstractNumId w:val="19"/>
  </w:num>
  <w:num w:numId="16">
    <w:abstractNumId w:val="3"/>
  </w:num>
  <w:num w:numId="17">
    <w:abstractNumId w:val="7"/>
  </w:num>
  <w:num w:numId="18">
    <w:abstractNumId w:val="13"/>
  </w:num>
  <w:num w:numId="19">
    <w:abstractNumId w:val="10"/>
  </w:num>
  <w:num w:numId="20">
    <w:abstractNumId w:val="16"/>
  </w:num>
  <w:num w:numId="21">
    <w:abstractNumId w:val="14"/>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70E"/>
    <w:rsid w:val="00073B53"/>
    <w:rsid w:val="001C170E"/>
    <w:rsid w:val="001C4219"/>
    <w:rsid w:val="00205B4C"/>
    <w:rsid w:val="00321F2F"/>
    <w:rsid w:val="00525319"/>
    <w:rsid w:val="00587503"/>
    <w:rsid w:val="00666AFA"/>
    <w:rsid w:val="007874B0"/>
    <w:rsid w:val="00860049"/>
    <w:rsid w:val="00A0319B"/>
    <w:rsid w:val="00B119E3"/>
    <w:rsid w:val="00CB7B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10DF5"/>
  <w15:chartTrackingRefBased/>
  <w15:docId w15:val="{CB155CDA-CD00-7042-A019-680841215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170E"/>
  </w:style>
  <w:style w:type="paragraph" w:styleId="Heading3">
    <w:name w:val="heading 3"/>
    <w:basedOn w:val="Normal"/>
    <w:link w:val="Heading3Char"/>
    <w:uiPriority w:val="9"/>
    <w:qFormat/>
    <w:rsid w:val="00A0319B"/>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0319B"/>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A0319B"/>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A0319B"/>
    <w:rPr>
      <w:b/>
      <w:bCs/>
    </w:rPr>
  </w:style>
  <w:style w:type="character" w:customStyle="1" w:styleId="apple-converted-space">
    <w:name w:val="apple-converted-space"/>
    <w:basedOn w:val="DefaultParagraphFont"/>
    <w:rsid w:val="00A0319B"/>
  </w:style>
  <w:style w:type="character" w:styleId="Emphasis">
    <w:name w:val="Emphasis"/>
    <w:basedOn w:val="DefaultParagraphFont"/>
    <w:uiPriority w:val="20"/>
    <w:qFormat/>
    <w:rsid w:val="00A0319B"/>
    <w:rPr>
      <w:i/>
      <w:iCs/>
    </w:rPr>
  </w:style>
  <w:style w:type="paragraph" w:styleId="ListParagraph">
    <w:name w:val="List Paragraph"/>
    <w:basedOn w:val="Normal"/>
    <w:uiPriority w:val="34"/>
    <w:qFormat/>
    <w:rsid w:val="00B119E3"/>
    <w:pPr>
      <w:ind w:left="720"/>
      <w:contextualSpacing/>
    </w:pPr>
  </w:style>
  <w:style w:type="paragraph" w:styleId="Footer">
    <w:name w:val="footer"/>
    <w:basedOn w:val="Normal"/>
    <w:link w:val="FooterChar"/>
    <w:uiPriority w:val="99"/>
    <w:unhideWhenUsed/>
    <w:rsid w:val="00860049"/>
    <w:pPr>
      <w:tabs>
        <w:tab w:val="center" w:pos="4513"/>
        <w:tab w:val="right" w:pos="9026"/>
      </w:tabs>
    </w:pPr>
  </w:style>
  <w:style w:type="character" w:customStyle="1" w:styleId="FooterChar">
    <w:name w:val="Footer Char"/>
    <w:basedOn w:val="DefaultParagraphFont"/>
    <w:link w:val="Footer"/>
    <w:uiPriority w:val="99"/>
    <w:rsid w:val="00860049"/>
  </w:style>
  <w:style w:type="character" w:styleId="PageNumber">
    <w:name w:val="page number"/>
    <w:basedOn w:val="DefaultParagraphFont"/>
    <w:uiPriority w:val="99"/>
    <w:semiHidden/>
    <w:unhideWhenUsed/>
    <w:rsid w:val="008600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2314181">
      <w:bodyDiv w:val="1"/>
      <w:marLeft w:val="0"/>
      <w:marRight w:val="0"/>
      <w:marTop w:val="0"/>
      <w:marBottom w:val="0"/>
      <w:divBdr>
        <w:top w:val="none" w:sz="0" w:space="0" w:color="auto"/>
        <w:left w:val="none" w:sz="0" w:space="0" w:color="auto"/>
        <w:bottom w:val="none" w:sz="0" w:space="0" w:color="auto"/>
        <w:right w:val="none" w:sz="0" w:space="0" w:color="auto"/>
      </w:divBdr>
    </w:div>
    <w:div w:id="475494793">
      <w:bodyDiv w:val="1"/>
      <w:marLeft w:val="0"/>
      <w:marRight w:val="0"/>
      <w:marTop w:val="0"/>
      <w:marBottom w:val="0"/>
      <w:divBdr>
        <w:top w:val="none" w:sz="0" w:space="0" w:color="auto"/>
        <w:left w:val="none" w:sz="0" w:space="0" w:color="auto"/>
        <w:bottom w:val="none" w:sz="0" w:space="0" w:color="auto"/>
        <w:right w:val="none" w:sz="0" w:space="0" w:color="auto"/>
      </w:divBdr>
    </w:div>
    <w:div w:id="544566614">
      <w:bodyDiv w:val="1"/>
      <w:marLeft w:val="0"/>
      <w:marRight w:val="0"/>
      <w:marTop w:val="0"/>
      <w:marBottom w:val="0"/>
      <w:divBdr>
        <w:top w:val="none" w:sz="0" w:space="0" w:color="auto"/>
        <w:left w:val="none" w:sz="0" w:space="0" w:color="auto"/>
        <w:bottom w:val="none" w:sz="0" w:space="0" w:color="auto"/>
        <w:right w:val="none" w:sz="0" w:space="0" w:color="auto"/>
      </w:divBdr>
      <w:divsChild>
        <w:div w:id="1699818392">
          <w:marLeft w:val="0"/>
          <w:marRight w:val="0"/>
          <w:marTop w:val="0"/>
          <w:marBottom w:val="0"/>
          <w:divBdr>
            <w:top w:val="none" w:sz="0" w:space="0" w:color="auto"/>
            <w:left w:val="none" w:sz="0" w:space="0" w:color="auto"/>
            <w:bottom w:val="none" w:sz="0" w:space="0" w:color="auto"/>
            <w:right w:val="none" w:sz="0" w:space="0" w:color="auto"/>
          </w:divBdr>
        </w:div>
        <w:div w:id="2021590423">
          <w:marLeft w:val="0"/>
          <w:marRight w:val="0"/>
          <w:marTop w:val="0"/>
          <w:marBottom w:val="0"/>
          <w:divBdr>
            <w:top w:val="none" w:sz="0" w:space="0" w:color="auto"/>
            <w:left w:val="none" w:sz="0" w:space="0" w:color="auto"/>
            <w:bottom w:val="none" w:sz="0" w:space="0" w:color="auto"/>
            <w:right w:val="none" w:sz="0" w:space="0" w:color="auto"/>
          </w:divBdr>
        </w:div>
        <w:div w:id="2026707685">
          <w:marLeft w:val="0"/>
          <w:marRight w:val="0"/>
          <w:marTop w:val="0"/>
          <w:marBottom w:val="0"/>
          <w:divBdr>
            <w:top w:val="none" w:sz="0" w:space="0" w:color="auto"/>
            <w:left w:val="none" w:sz="0" w:space="0" w:color="auto"/>
            <w:bottom w:val="none" w:sz="0" w:space="0" w:color="auto"/>
            <w:right w:val="none" w:sz="0" w:space="0" w:color="auto"/>
          </w:divBdr>
        </w:div>
        <w:div w:id="61370728">
          <w:marLeft w:val="0"/>
          <w:marRight w:val="0"/>
          <w:marTop w:val="0"/>
          <w:marBottom w:val="0"/>
          <w:divBdr>
            <w:top w:val="none" w:sz="0" w:space="0" w:color="auto"/>
            <w:left w:val="none" w:sz="0" w:space="0" w:color="auto"/>
            <w:bottom w:val="none" w:sz="0" w:space="0" w:color="auto"/>
            <w:right w:val="none" w:sz="0" w:space="0" w:color="auto"/>
          </w:divBdr>
        </w:div>
        <w:div w:id="1533958969">
          <w:marLeft w:val="0"/>
          <w:marRight w:val="0"/>
          <w:marTop w:val="0"/>
          <w:marBottom w:val="0"/>
          <w:divBdr>
            <w:top w:val="none" w:sz="0" w:space="0" w:color="auto"/>
            <w:left w:val="none" w:sz="0" w:space="0" w:color="auto"/>
            <w:bottom w:val="none" w:sz="0" w:space="0" w:color="auto"/>
            <w:right w:val="none" w:sz="0" w:space="0" w:color="auto"/>
          </w:divBdr>
        </w:div>
        <w:div w:id="1115519953">
          <w:marLeft w:val="0"/>
          <w:marRight w:val="0"/>
          <w:marTop w:val="0"/>
          <w:marBottom w:val="0"/>
          <w:divBdr>
            <w:top w:val="none" w:sz="0" w:space="0" w:color="auto"/>
            <w:left w:val="none" w:sz="0" w:space="0" w:color="auto"/>
            <w:bottom w:val="none" w:sz="0" w:space="0" w:color="auto"/>
            <w:right w:val="none" w:sz="0" w:space="0" w:color="auto"/>
          </w:divBdr>
        </w:div>
      </w:divsChild>
    </w:div>
    <w:div w:id="558398948">
      <w:bodyDiv w:val="1"/>
      <w:marLeft w:val="0"/>
      <w:marRight w:val="0"/>
      <w:marTop w:val="0"/>
      <w:marBottom w:val="0"/>
      <w:divBdr>
        <w:top w:val="none" w:sz="0" w:space="0" w:color="auto"/>
        <w:left w:val="none" w:sz="0" w:space="0" w:color="auto"/>
        <w:bottom w:val="none" w:sz="0" w:space="0" w:color="auto"/>
        <w:right w:val="none" w:sz="0" w:space="0" w:color="auto"/>
      </w:divBdr>
    </w:div>
    <w:div w:id="561717744">
      <w:bodyDiv w:val="1"/>
      <w:marLeft w:val="0"/>
      <w:marRight w:val="0"/>
      <w:marTop w:val="0"/>
      <w:marBottom w:val="0"/>
      <w:divBdr>
        <w:top w:val="none" w:sz="0" w:space="0" w:color="auto"/>
        <w:left w:val="none" w:sz="0" w:space="0" w:color="auto"/>
        <w:bottom w:val="none" w:sz="0" w:space="0" w:color="auto"/>
        <w:right w:val="none" w:sz="0" w:space="0" w:color="auto"/>
      </w:divBdr>
    </w:div>
    <w:div w:id="602492921">
      <w:bodyDiv w:val="1"/>
      <w:marLeft w:val="0"/>
      <w:marRight w:val="0"/>
      <w:marTop w:val="0"/>
      <w:marBottom w:val="0"/>
      <w:divBdr>
        <w:top w:val="none" w:sz="0" w:space="0" w:color="auto"/>
        <w:left w:val="none" w:sz="0" w:space="0" w:color="auto"/>
        <w:bottom w:val="none" w:sz="0" w:space="0" w:color="auto"/>
        <w:right w:val="none" w:sz="0" w:space="0" w:color="auto"/>
      </w:divBdr>
      <w:divsChild>
        <w:div w:id="1966695253">
          <w:marLeft w:val="0"/>
          <w:marRight w:val="0"/>
          <w:marTop w:val="0"/>
          <w:marBottom w:val="0"/>
          <w:divBdr>
            <w:top w:val="none" w:sz="0" w:space="0" w:color="auto"/>
            <w:left w:val="none" w:sz="0" w:space="0" w:color="auto"/>
            <w:bottom w:val="none" w:sz="0" w:space="0" w:color="auto"/>
            <w:right w:val="none" w:sz="0" w:space="0" w:color="auto"/>
          </w:divBdr>
        </w:div>
        <w:div w:id="1403260883">
          <w:marLeft w:val="0"/>
          <w:marRight w:val="0"/>
          <w:marTop w:val="0"/>
          <w:marBottom w:val="0"/>
          <w:divBdr>
            <w:top w:val="none" w:sz="0" w:space="0" w:color="auto"/>
            <w:left w:val="none" w:sz="0" w:space="0" w:color="auto"/>
            <w:bottom w:val="none" w:sz="0" w:space="0" w:color="auto"/>
            <w:right w:val="none" w:sz="0" w:space="0" w:color="auto"/>
          </w:divBdr>
        </w:div>
        <w:div w:id="392386621">
          <w:marLeft w:val="0"/>
          <w:marRight w:val="0"/>
          <w:marTop w:val="0"/>
          <w:marBottom w:val="0"/>
          <w:divBdr>
            <w:top w:val="none" w:sz="0" w:space="0" w:color="auto"/>
            <w:left w:val="none" w:sz="0" w:space="0" w:color="auto"/>
            <w:bottom w:val="none" w:sz="0" w:space="0" w:color="auto"/>
            <w:right w:val="none" w:sz="0" w:space="0" w:color="auto"/>
          </w:divBdr>
        </w:div>
        <w:div w:id="1744797285">
          <w:marLeft w:val="0"/>
          <w:marRight w:val="0"/>
          <w:marTop w:val="0"/>
          <w:marBottom w:val="0"/>
          <w:divBdr>
            <w:top w:val="none" w:sz="0" w:space="0" w:color="auto"/>
            <w:left w:val="none" w:sz="0" w:space="0" w:color="auto"/>
            <w:bottom w:val="none" w:sz="0" w:space="0" w:color="auto"/>
            <w:right w:val="none" w:sz="0" w:space="0" w:color="auto"/>
          </w:divBdr>
        </w:div>
        <w:div w:id="445776135">
          <w:marLeft w:val="0"/>
          <w:marRight w:val="0"/>
          <w:marTop w:val="0"/>
          <w:marBottom w:val="0"/>
          <w:divBdr>
            <w:top w:val="none" w:sz="0" w:space="0" w:color="auto"/>
            <w:left w:val="none" w:sz="0" w:space="0" w:color="auto"/>
            <w:bottom w:val="none" w:sz="0" w:space="0" w:color="auto"/>
            <w:right w:val="none" w:sz="0" w:space="0" w:color="auto"/>
          </w:divBdr>
        </w:div>
        <w:div w:id="1746343401">
          <w:marLeft w:val="0"/>
          <w:marRight w:val="0"/>
          <w:marTop w:val="0"/>
          <w:marBottom w:val="0"/>
          <w:divBdr>
            <w:top w:val="none" w:sz="0" w:space="0" w:color="auto"/>
            <w:left w:val="none" w:sz="0" w:space="0" w:color="auto"/>
            <w:bottom w:val="none" w:sz="0" w:space="0" w:color="auto"/>
            <w:right w:val="none" w:sz="0" w:space="0" w:color="auto"/>
          </w:divBdr>
        </w:div>
      </w:divsChild>
    </w:div>
    <w:div w:id="635988053">
      <w:bodyDiv w:val="1"/>
      <w:marLeft w:val="0"/>
      <w:marRight w:val="0"/>
      <w:marTop w:val="0"/>
      <w:marBottom w:val="0"/>
      <w:divBdr>
        <w:top w:val="none" w:sz="0" w:space="0" w:color="auto"/>
        <w:left w:val="none" w:sz="0" w:space="0" w:color="auto"/>
        <w:bottom w:val="none" w:sz="0" w:space="0" w:color="auto"/>
        <w:right w:val="none" w:sz="0" w:space="0" w:color="auto"/>
      </w:divBdr>
    </w:div>
    <w:div w:id="777799128">
      <w:bodyDiv w:val="1"/>
      <w:marLeft w:val="0"/>
      <w:marRight w:val="0"/>
      <w:marTop w:val="0"/>
      <w:marBottom w:val="0"/>
      <w:divBdr>
        <w:top w:val="none" w:sz="0" w:space="0" w:color="auto"/>
        <w:left w:val="none" w:sz="0" w:space="0" w:color="auto"/>
        <w:bottom w:val="none" w:sz="0" w:space="0" w:color="auto"/>
        <w:right w:val="none" w:sz="0" w:space="0" w:color="auto"/>
      </w:divBdr>
      <w:divsChild>
        <w:div w:id="1103458827">
          <w:marLeft w:val="0"/>
          <w:marRight w:val="0"/>
          <w:marTop w:val="0"/>
          <w:marBottom w:val="0"/>
          <w:divBdr>
            <w:top w:val="none" w:sz="0" w:space="0" w:color="auto"/>
            <w:left w:val="none" w:sz="0" w:space="0" w:color="auto"/>
            <w:bottom w:val="none" w:sz="0" w:space="0" w:color="auto"/>
            <w:right w:val="none" w:sz="0" w:space="0" w:color="auto"/>
          </w:divBdr>
        </w:div>
      </w:divsChild>
    </w:div>
    <w:div w:id="980813678">
      <w:bodyDiv w:val="1"/>
      <w:marLeft w:val="0"/>
      <w:marRight w:val="0"/>
      <w:marTop w:val="0"/>
      <w:marBottom w:val="0"/>
      <w:divBdr>
        <w:top w:val="none" w:sz="0" w:space="0" w:color="auto"/>
        <w:left w:val="none" w:sz="0" w:space="0" w:color="auto"/>
        <w:bottom w:val="none" w:sz="0" w:space="0" w:color="auto"/>
        <w:right w:val="none" w:sz="0" w:space="0" w:color="auto"/>
      </w:divBdr>
    </w:div>
    <w:div w:id="1013848822">
      <w:bodyDiv w:val="1"/>
      <w:marLeft w:val="0"/>
      <w:marRight w:val="0"/>
      <w:marTop w:val="0"/>
      <w:marBottom w:val="0"/>
      <w:divBdr>
        <w:top w:val="none" w:sz="0" w:space="0" w:color="auto"/>
        <w:left w:val="none" w:sz="0" w:space="0" w:color="auto"/>
        <w:bottom w:val="none" w:sz="0" w:space="0" w:color="auto"/>
        <w:right w:val="none" w:sz="0" w:space="0" w:color="auto"/>
      </w:divBdr>
    </w:div>
    <w:div w:id="1100103503">
      <w:bodyDiv w:val="1"/>
      <w:marLeft w:val="0"/>
      <w:marRight w:val="0"/>
      <w:marTop w:val="0"/>
      <w:marBottom w:val="0"/>
      <w:divBdr>
        <w:top w:val="none" w:sz="0" w:space="0" w:color="auto"/>
        <w:left w:val="none" w:sz="0" w:space="0" w:color="auto"/>
        <w:bottom w:val="none" w:sz="0" w:space="0" w:color="auto"/>
        <w:right w:val="none" w:sz="0" w:space="0" w:color="auto"/>
      </w:divBdr>
      <w:divsChild>
        <w:div w:id="1933977464">
          <w:marLeft w:val="0"/>
          <w:marRight w:val="0"/>
          <w:marTop w:val="0"/>
          <w:marBottom w:val="0"/>
          <w:divBdr>
            <w:top w:val="none" w:sz="0" w:space="0" w:color="auto"/>
            <w:left w:val="none" w:sz="0" w:space="0" w:color="auto"/>
            <w:bottom w:val="none" w:sz="0" w:space="0" w:color="auto"/>
            <w:right w:val="none" w:sz="0" w:space="0" w:color="auto"/>
          </w:divBdr>
        </w:div>
        <w:div w:id="1009523580">
          <w:marLeft w:val="0"/>
          <w:marRight w:val="0"/>
          <w:marTop w:val="0"/>
          <w:marBottom w:val="0"/>
          <w:divBdr>
            <w:top w:val="none" w:sz="0" w:space="0" w:color="auto"/>
            <w:left w:val="none" w:sz="0" w:space="0" w:color="auto"/>
            <w:bottom w:val="none" w:sz="0" w:space="0" w:color="auto"/>
            <w:right w:val="none" w:sz="0" w:space="0" w:color="auto"/>
          </w:divBdr>
        </w:div>
        <w:div w:id="115099958">
          <w:marLeft w:val="0"/>
          <w:marRight w:val="0"/>
          <w:marTop w:val="0"/>
          <w:marBottom w:val="0"/>
          <w:divBdr>
            <w:top w:val="none" w:sz="0" w:space="0" w:color="auto"/>
            <w:left w:val="none" w:sz="0" w:space="0" w:color="auto"/>
            <w:bottom w:val="none" w:sz="0" w:space="0" w:color="auto"/>
            <w:right w:val="none" w:sz="0" w:space="0" w:color="auto"/>
          </w:divBdr>
        </w:div>
        <w:div w:id="1871255620">
          <w:marLeft w:val="0"/>
          <w:marRight w:val="0"/>
          <w:marTop w:val="0"/>
          <w:marBottom w:val="0"/>
          <w:divBdr>
            <w:top w:val="none" w:sz="0" w:space="0" w:color="auto"/>
            <w:left w:val="none" w:sz="0" w:space="0" w:color="auto"/>
            <w:bottom w:val="none" w:sz="0" w:space="0" w:color="auto"/>
            <w:right w:val="none" w:sz="0" w:space="0" w:color="auto"/>
          </w:divBdr>
        </w:div>
        <w:div w:id="1790275126">
          <w:marLeft w:val="0"/>
          <w:marRight w:val="0"/>
          <w:marTop w:val="0"/>
          <w:marBottom w:val="0"/>
          <w:divBdr>
            <w:top w:val="none" w:sz="0" w:space="0" w:color="auto"/>
            <w:left w:val="none" w:sz="0" w:space="0" w:color="auto"/>
            <w:bottom w:val="none" w:sz="0" w:space="0" w:color="auto"/>
            <w:right w:val="none" w:sz="0" w:space="0" w:color="auto"/>
          </w:divBdr>
        </w:div>
        <w:div w:id="1079668202">
          <w:marLeft w:val="0"/>
          <w:marRight w:val="0"/>
          <w:marTop w:val="0"/>
          <w:marBottom w:val="0"/>
          <w:divBdr>
            <w:top w:val="none" w:sz="0" w:space="0" w:color="auto"/>
            <w:left w:val="none" w:sz="0" w:space="0" w:color="auto"/>
            <w:bottom w:val="none" w:sz="0" w:space="0" w:color="auto"/>
            <w:right w:val="none" w:sz="0" w:space="0" w:color="auto"/>
          </w:divBdr>
        </w:div>
      </w:divsChild>
    </w:div>
    <w:div w:id="1225874834">
      <w:bodyDiv w:val="1"/>
      <w:marLeft w:val="0"/>
      <w:marRight w:val="0"/>
      <w:marTop w:val="0"/>
      <w:marBottom w:val="0"/>
      <w:divBdr>
        <w:top w:val="none" w:sz="0" w:space="0" w:color="auto"/>
        <w:left w:val="none" w:sz="0" w:space="0" w:color="auto"/>
        <w:bottom w:val="none" w:sz="0" w:space="0" w:color="auto"/>
        <w:right w:val="none" w:sz="0" w:space="0" w:color="auto"/>
      </w:divBdr>
    </w:div>
    <w:div w:id="1274676045">
      <w:bodyDiv w:val="1"/>
      <w:marLeft w:val="0"/>
      <w:marRight w:val="0"/>
      <w:marTop w:val="0"/>
      <w:marBottom w:val="0"/>
      <w:divBdr>
        <w:top w:val="none" w:sz="0" w:space="0" w:color="auto"/>
        <w:left w:val="none" w:sz="0" w:space="0" w:color="auto"/>
        <w:bottom w:val="none" w:sz="0" w:space="0" w:color="auto"/>
        <w:right w:val="none" w:sz="0" w:space="0" w:color="auto"/>
      </w:divBdr>
    </w:div>
    <w:div w:id="1428430497">
      <w:bodyDiv w:val="1"/>
      <w:marLeft w:val="0"/>
      <w:marRight w:val="0"/>
      <w:marTop w:val="0"/>
      <w:marBottom w:val="0"/>
      <w:divBdr>
        <w:top w:val="none" w:sz="0" w:space="0" w:color="auto"/>
        <w:left w:val="none" w:sz="0" w:space="0" w:color="auto"/>
        <w:bottom w:val="none" w:sz="0" w:space="0" w:color="auto"/>
        <w:right w:val="none" w:sz="0" w:space="0" w:color="auto"/>
      </w:divBdr>
    </w:div>
    <w:div w:id="1647126110">
      <w:bodyDiv w:val="1"/>
      <w:marLeft w:val="0"/>
      <w:marRight w:val="0"/>
      <w:marTop w:val="0"/>
      <w:marBottom w:val="0"/>
      <w:divBdr>
        <w:top w:val="none" w:sz="0" w:space="0" w:color="auto"/>
        <w:left w:val="none" w:sz="0" w:space="0" w:color="auto"/>
        <w:bottom w:val="none" w:sz="0" w:space="0" w:color="auto"/>
        <w:right w:val="none" w:sz="0" w:space="0" w:color="auto"/>
      </w:divBdr>
    </w:div>
    <w:div w:id="1714184856">
      <w:bodyDiv w:val="1"/>
      <w:marLeft w:val="0"/>
      <w:marRight w:val="0"/>
      <w:marTop w:val="0"/>
      <w:marBottom w:val="0"/>
      <w:divBdr>
        <w:top w:val="none" w:sz="0" w:space="0" w:color="auto"/>
        <w:left w:val="none" w:sz="0" w:space="0" w:color="auto"/>
        <w:bottom w:val="none" w:sz="0" w:space="0" w:color="auto"/>
        <w:right w:val="none" w:sz="0" w:space="0" w:color="auto"/>
      </w:divBdr>
    </w:div>
    <w:div w:id="1793554173">
      <w:bodyDiv w:val="1"/>
      <w:marLeft w:val="0"/>
      <w:marRight w:val="0"/>
      <w:marTop w:val="0"/>
      <w:marBottom w:val="0"/>
      <w:divBdr>
        <w:top w:val="none" w:sz="0" w:space="0" w:color="auto"/>
        <w:left w:val="none" w:sz="0" w:space="0" w:color="auto"/>
        <w:bottom w:val="none" w:sz="0" w:space="0" w:color="auto"/>
        <w:right w:val="none" w:sz="0" w:space="0" w:color="auto"/>
      </w:divBdr>
      <w:divsChild>
        <w:div w:id="283461991">
          <w:marLeft w:val="0"/>
          <w:marRight w:val="0"/>
          <w:marTop w:val="0"/>
          <w:marBottom w:val="0"/>
          <w:divBdr>
            <w:top w:val="none" w:sz="0" w:space="0" w:color="auto"/>
            <w:left w:val="none" w:sz="0" w:space="0" w:color="auto"/>
            <w:bottom w:val="none" w:sz="0" w:space="0" w:color="auto"/>
            <w:right w:val="none" w:sz="0" w:space="0" w:color="auto"/>
          </w:divBdr>
        </w:div>
        <w:div w:id="576139011">
          <w:marLeft w:val="0"/>
          <w:marRight w:val="0"/>
          <w:marTop w:val="0"/>
          <w:marBottom w:val="0"/>
          <w:divBdr>
            <w:top w:val="none" w:sz="0" w:space="0" w:color="auto"/>
            <w:left w:val="none" w:sz="0" w:space="0" w:color="auto"/>
            <w:bottom w:val="none" w:sz="0" w:space="0" w:color="auto"/>
            <w:right w:val="none" w:sz="0" w:space="0" w:color="auto"/>
          </w:divBdr>
        </w:div>
        <w:div w:id="333336542">
          <w:marLeft w:val="0"/>
          <w:marRight w:val="0"/>
          <w:marTop w:val="0"/>
          <w:marBottom w:val="0"/>
          <w:divBdr>
            <w:top w:val="none" w:sz="0" w:space="0" w:color="auto"/>
            <w:left w:val="none" w:sz="0" w:space="0" w:color="auto"/>
            <w:bottom w:val="none" w:sz="0" w:space="0" w:color="auto"/>
            <w:right w:val="none" w:sz="0" w:space="0" w:color="auto"/>
          </w:divBdr>
        </w:div>
        <w:div w:id="1885217720">
          <w:marLeft w:val="0"/>
          <w:marRight w:val="0"/>
          <w:marTop w:val="0"/>
          <w:marBottom w:val="0"/>
          <w:divBdr>
            <w:top w:val="none" w:sz="0" w:space="0" w:color="auto"/>
            <w:left w:val="none" w:sz="0" w:space="0" w:color="auto"/>
            <w:bottom w:val="none" w:sz="0" w:space="0" w:color="auto"/>
            <w:right w:val="none" w:sz="0" w:space="0" w:color="auto"/>
          </w:divBdr>
        </w:div>
        <w:div w:id="1583100688">
          <w:marLeft w:val="0"/>
          <w:marRight w:val="0"/>
          <w:marTop w:val="0"/>
          <w:marBottom w:val="0"/>
          <w:divBdr>
            <w:top w:val="none" w:sz="0" w:space="0" w:color="auto"/>
            <w:left w:val="none" w:sz="0" w:space="0" w:color="auto"/>
            <w:bottom w:val="none" w:sz="0" w:space="0" w:color="auto"/>
            <w:right w:val="none" w:sz="0" w:space="0" w:color="auto"/>
          </w:divBdr>
        </w:div>
        <w:div w:id="1985506451">
          <w:marLeft w:val="0"/>
          <w:marRight w:val="0"/>
          <w:marTop w:val="0"/>
          <w:marBottom w:val="0"/>
          <w:divBdr>
            <w:top w:val="none" w:sz="0" w:space="0" w:color="auto"/>
            <w:left w:val="none" w:sz="0" w:space="0" w:color="auto"/>
            <w:bottom w:val="none" w:sz="0" w:space="0" w:color="auto"/>
            <w:right w:val="none" w:sz="0" w:space="0" w:color="auto"/>
          </w:divBdr>
        </w:div>
      </w:divsChild>
    </w:div>
    <w:div w:id="1928927427">
      <w:bodyDiv w:val="1"/>
      <w:marLeft w:val="0"/>
      <w:marRight w:val="0"/>
      <w:marTop w:val="0"/>
      <w:marBottom w:val="0"/>
      <w:divBdr>
        <w:top w:val="none" w:sz="0" w:space="0" w:color="auto"/>
        <w:left w:val="none" w:sz="0" w:space="0" w:color="auto"/>
        <w:bottom w:val="none" w:sz="0" w:space="0" w:color="auto"/>
        <w:right w:val="none" w:sz="0" w:space="0" w:color="auto"/>
      </w:divBdr>
    </w:div>
    <w:div w:id="2053844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6</Pages>
  <Words>2108</Words>
  <Characters>12017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 Costache</dc:creator>
  <cp:keywords/>
  <dc:description/>
  <cp:lastModifiedBy>Mihail Costache</cp:lastModifiedBy>
  <cp:revision>5</cp:revision>
  <dcterms:created xsi:type="dcterms:W3CDTF">2025-02-19T03:15:00Z</dcterms:created>
  <dcterms:modified xsi:type="dcterms:W3CDTF">2025-02-19T04:47:00Z</dcterms:modified>
</cp:coreProperties>
</file>