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05D87C" w14:textId="1080ED58" w:rsidR="0088400D" w:rsidRPr="0088400D" w:rsidRDefault="0088400D">
      <w:pPr>
        <w:rPr>
          <w:rFonts w:asciiTheme="majorHAnsi" w:hAnsiTheme="majorHAnsi" w:cstheme="majorHAnsi"/>
          <w:sz w:val="28"/>
          <w:szCs w:val="28"/>
        </w:rPr>
      </w:pPr>
      <w:r w:rsidRPr="0088400D">
        <w:rPr>
          <w:rFonts w:asciiTheme="majorHAnsi" w:hAnsiTheme="majorHAnsi" w:cstheme="majorHAnsi"/>
          <w:sz w:val="28"/>
          <w:szCs w:val="28"/>
        </w:rPr>
        <w:t>Student 2222952 Thoirs</w:t>
      </w:r>
      <w:r w:rsidR="000B5A49">
        <w:rPr>
          <w:rFonts w:asciiTheme="majorHAnsi" w:hAnsiTheme="majorHAnsi" w:cstheme="majorHAnsi"/>
          <w:sz w:val="28"/>
          <w:szCs w:val="28"/>
        </w:rPr>
        <w:t xml:space="preserve">  - </w:t>
      </w:r>
      <w:r w:rsidRPr="0088400D">
        <w:rPr>
          <w:rFonts w:asciiTheme="majorHAnsi" w:hAnsiTheme="majorHAnsi" w:cstheme="majorHAnsi"/>
          <w:sz w:val="28"/>
          <w:szCs w:val="28"/>
        </w:rPr>
        <w:t>Year 2, Academic Assignment 2</w:t>
      </w:r>
    </w:p>
    <w:p w14:paraId="2D337498" w14:textId="77777777" w:rsidR="0088400D" w:rsidRPr="0088400D" w:rsidRDefault="0088400D">
      <w:pPr>
        <w:rPr>
          <w:b/>
          <w:bCs/>
        </w:rPr>
      </w:pPr>
    </w:p>
    <w:p w14:paraId="1680DE23" w14:textId="77777777" w:rsidR="0088400D" w:rsidRPr="0088400D" w:rsidRDefault="0088400D" w:rsidP="0088400D">
      <w:pPr>
        <w:numPr>
          <w:ilvl w:val="0"/>
          <w:numId w:val="1"/>
        </w:numPr>
        <w:contextualSpacing/>
        <w:rPr>
          <w:rFonts w:cstheme="minorHAnsi"/>
          <w:b/>
          <w:bCs/>
          <w:sz w:val="24"/>
          <w:szCs w:val="24"/>
        </w:rPr>
      </w:pPr>
      <w:r w:rsidRPr="0088400D">
        <w:rPr>
          <w:rFonts w:cstheme="minorHAnsi"/>
          <w:b/>
          <w:bCs/>
          <w:sz w:val="24"/>
          <w:szCs w:val="24"/>
        </w:rPr>
        <w:t>How can community policing and community engagement help to prevent terrorism and support counter-terrorism policing? Your answer must be based on academic research, but you may make reference to relevant case studies or high-profile incidents.</w:t>
      </w:r>
    </w:p>
    <w:p w14:paraId="68D6A0BB" w14:textId="77777777" w:rsidR="0088400D" w:rsidRPr="0088400D" w:rsidRDefault="0088400D" w:rsidP="0088400D">
      <w:pPr>
        <w:rPr>
          <w:rFonts w:cstheme="minorHAnsi"/>
          <w:sz w:val="24"/>
          <w:szCs w:val="24"/>
        </w:rPr>
      </w:pPr>
    </w:p>
    <w:p w14:paraId="0CE112BC" w14:textId="77777777" w:rsidR="0088400D" w:rsidRPr="0088400D" w:rsidRDefault="0088400D" w:rsidP="0088400D">
      <w:pPr>
        <w:rPr>
          <w:rFonts w:cstheme="minorHAnsi"/>
          <w:sz w:val="24"/>
          <w:szCs w:val="24"/>
        </w:rPr>
      </w:pPr>
      <w:r w:rsidRPr="0088400D">
        <w:rPr>
          <w:rFonts w:cstheme="minorHAnsi"/>
          <w:sz w:val="24"/>
          <w:szCs w:val="24"/>
        </w:rPr>
        <w:t xml:space="preserve">This essay aims to explain how community policing and community engagement can help to prevent terrorism and support counterterrorism policing. Throughout my essay I will be making reference to some high-profile incidents. </w:t>
      </w:r>
    </w:p>
    <w:p w14:paraId="31985FE2" w14:textId="253C27F7" w:rsidR="0088400D" w:rsidRPr="0088400D" w:rsidRDefault="0088400D" w:rsidP="0088400D">
      <w:pPr>
        <w:rPr>
          <w:rFonts w:cstheme="minorHAnsi"/>
          <w:sz w:val="24"/>
          <w:szCs w:val="24"/>
        </w:rPr>
      </w:pPr>
      <w:r w:rsidRPr="0088400D">
        <w:rPr>
          <w:rFonts w:cstheme="minorHAnsi"/>
          <w:sz w:val="24"/>
          <w:szCs w:val="24"/>
        </w:rPr>
        <w:t xml:space="preserve">According to </w:t>
      </w:r>
      <w:sdt>
        <w:sdtPr>
          <w:rPr>
            <w:rFonts w:cstheme="minorHAnsi"/>
            <w:sz w:val="24"/>
            <w:szCs w:val="24"/>
          </w:rPr>
          <w:id w:val="486205207"/>
          <w:citation/>
        </w:sdtPr>
        <w:sdtContent>
          <w:r w:rsidRPr="0088400D">
            <w:rPr>
              <w:rFonts w:cstheme="minorHAnsi"/>
              <w:sz w:val="24"/>
              <w:szCs w:val="24"/>
            </w:rPr>
            <w:fldChar w:fldCharType="begin"/>
          </w:r>
          <w:r w:rsidRPr="0088400D">
            <w:rPr>
              <w:rFonts w:cstheme="minorHAnsi"/>
              <w:sz w:val="24"/>
              <w:szCs w:val="24"/>
            </w:rPr>
            <w:instrText xml:space="preserve"> CITATION Coa21 \l 2057 </w:instrText>
          </w:r>
          <w:r w:rsidRPr="0088400D">
            <w:rPr>
              <w:rFonts w:cstheme="minorHAnsi"/>
              <w:sz w:val="24"/>
              <w:szCs w:val="24"/>
            </w:rPr>
            <w:fldChar w:fldCharType="separate"/>
          </w:r>
          <w:r w:rsidRPr="0088400D">
            <w:rPr>
              <w:rFonts w:cstheme="minorHAnsi"/>
              <w:noProof/>
              <w:sz w:val="24"/>
              <w:szCs w:val="24"/>
            </w:rPr>
            <w:t>(Coady, 2021)</w:t>
          </w:r>
          <w:r w:rsidRPr="0088400D">
            <w:rPr>
              <w:rFonts w:cstheme="minorHAnsi"/>
              <w:sz w:val="24"/>
              <w:szCs w:val="24"/>
            </w:rPr>
            <w:fldChar w:fldCharType="end"/>
          </w:r>
        </w:sdtContent>
      </w:sdt>
      <w:r w:rsidRPr="0088400D">
        <w:rPr>
          <w:rFonts w:cstheme="minorHAnsi"/>
          <w:sz w:val="24"/>
          <w:szCs w:val="24"/>
        </w:rPr>
        <w:t xml:space="preserve">, Terrorism is “the use of violence for political ends and includes any use of violence for the purpose of putting the public or any section of the public in fear”. </w:t>
      </w:r>
    </w:p>
    <w:p w14:paraId="3DA333AC" w14:textId="702B9F31" w:rsidR="0088400D" w:rsidRPr="0088400D" w:rsidRDefault="0088400D" w:rsidP="0088400D">
      <w:pPr>
        <w:rPr>
          <w:rFonts w:cstheme="minorHAnsi"/>
          <w:sz w:val="24"/>
          <w:szCs w:val="24"/>
        </w:rPr>
      </w:pPr>
      <w:r w:rsidRPr="0088400D">
        <w:rPr>
          <w:rFonts w:cstheme="minorHAnsi"/>
          <w:sz w:val="24"/>
          <w:szCs w:val="24"/>
        </w:rPr>
        <w:t xml:space="preserve">Death caused by terrorism is a tragedy. However, the effect it has on its survivors, witnesses, and the family of those who lose their life, has life changing negative effects on their lives, this can come in the form of injury, psychological trauma, and financial difficulties </w:t>
      </w:r>
      <w:sdt>
        <w:sdtPr>
          <w:rPr>
            <w:rFonts w:cstheme="minorHAnsi"/>
            <w:sz w:val="24"/>
            <w:szCs w:val="24"/>
          </w:rPr>
          <w:id w:val="546496704"/>
          <w:citation/>
        </w:sdtPr>
        <w:sdtContent>
          <w:r w:rsidRPr="0088400D">
            <w:rPr>
              <w:rFonts w:cstheme="minorHAnsi"/>
              <w:sz w:val="24"/>
              <w:szCs w:val="24"/>
            </w:rPr>
            <w:fldChar w:fldCharType="begin"/>
          </w:r>
          <w:r w:rsidRPr="0088400D">
            <w:rPr>
              <w:rFonts w:cstheme="minorHAnsi"/>
              <w:sz w:val="24"/>
              <w:szCs w:val="24"/>
            </w:rPr>
            <w:instrText xml:space="preserve">CITATION Gar16 \l 2057 </w:instrText>
          </w:r>
          <w:r w:rsidRPr="0088400D">
            <w:rPr>
              <w:rFonts w:cstheme="minorHAnsi"/>
              <w:sz w:val="24"/>
              <w:szCs w:val="24"/>
            </w:rPr>
            <w:fldChar w:fldCharType="separate"/>
          </w:r>
          <w:r w:rsidRPr="0088400D">
            <w:rPr>
              <w:rFonts w:cstheme="minorHAnsi"/>
              <w:noProof/>
              <w:sz w:val="24"/>
              <w:szCs w:val="24"/>
            </w:rPr>
            <w:t>( García-Vera, et al., 2016)</w:t>
          </w:r>
          <w:r w:rsidRPr="0088400D">
            <w:rPr>
              <w:rFonts w:cstheme="minorHAnsi"/>
              <w:sz w:val="24"/>
              <w:szCs w:val="24"/>
            </w:rPr>
            <w:fldChar w:fldCharType="end"/>
          </w:r>
        </w:sdtContent>
      </w:sdt>
      <w:r w:rsidRPr="0088400D">
        <w:rPr>
          <w:rFonts w:cstheme="minorHAnsi"/>
          <w:sz w:val="24"/>
          <w:szCs w:val="24"/>
        </w:rPr>
        <w:t xml:space="preserve">.  Terrorist attacks also have a detrimental financial implication to the wider economy. Five terrorist attacks occurred in the UK in 2017 which were estimated to have cost roughly £172 million in direct costs, with additional indirect costs adding up to roughly £3.4 billion </w:t>
      </w:r>
      <w:sdt>
        <w:sdtPr>
          <w:rPr>
            <w:rFonts w:cstheme="minorHAnsi"/>
            <w:sz w:val="24"/>
            <w:szCs w:val="24"/>
          </w:rPr>
          <w:id w:val="1189566670"/>
          <w:citation/>
        </w:sdtPr>
        <w:sdtContent>
          <w:r w:rsidRPr="0088400D">
            <w:rPr>
              <w:rFonts w:cstheme="minorHAnsi"/>
              <w:sz w:val="24"/>
              <w:szCs w:val="24"/>
            </w:rPr>
            <w:fldChar w:fldCharType="begin"/>
          </w:r>
          <w:r w:rsidRPr="0088400D">
            <w:rPr>
              <w:rFonts w:cstheme="minorHAnsi"/>
              <w:sz w:val="24"/>
              <w:szCs w:val="24"/>
            </w:rPr>
            <w:instrText xml:space="preserve">CITATION Placeholder1 \l 2057 </w:instrText>
          </w:r>
          <w:r w:rsidRPr="0088400D">
            <w:rPr>
              <w:rFonts w:cstheme="minorHAnsi"/>
              <w:sz w:val="24"/>
              <w:szCs w:val="24"/>
            </w:rPr>
            <w:fldChar w:fldCharType="separate"/>
          </w:r>
          <w:r w:rsidRPr="0088400D">
            <w:rPr>
              <w:rFonts w:cstheme="minorHAnsi"/>
              <w:noProof/>
              <w:sz w:val="24"/>
              <w:szCs w:val="24"/>
            </w:rPr>
            <w:t>(European Parliamentary Research Service and RAND Europe, 2018)</w:t>
          </w:r>
          <w:r w:rsidRPr="0088400D">
            <w:rPr>
              <w:rFonts w:cstheme="minorHAnsi"/>
              <w:sz w:val="24"/>
              <w:szCs w:val="24"/>
            </w:rPr>
            <w:fldChar w:fldCharType="end"/>
          </w:r>
        </w:sdtContent>
      </w:sdt>
      <w:r w:rsidRPr="0088400D">
        <w:rPr>
          <w:rFonts w:cstheme="minorHAnsi"/>
          <w:sz w:val="24"/>
          <w:szCs w:val="24"/>
        </w:rPr>
        <w:t xml:space="preserve">. So, the importance of preventing terrorism is simple, successful prevention of terrorist attacks saves lives and property, it reduces the necessity to investigate terror related incidents and prosecute those responsible. It allows radicalised individuals to undergo rehabilitation before they go on to practice their extremist views. It also allows the limited police and NHS resources to focus on other ongoing issues. People can go about their lives with confidence and freedom. </w:t>
      </w:r>
    </w:p>
    <w:p w14:paraId="39022DC5" w14:textId="16617C9F" w:rsidR="0088400D" w:rsidRPr="0088400D" w:rsidRDefault="0088400D" w:rsidP="0088400D">
      <w:pPr>
        <w:rPr>
          <w:rFonts w:cstheme="minorHAnsi"/>
          <w:sz w:val="24"/>
          <w:szCs w:val="24"/>
        </w:rPr>
      </w:pPr>
      <w:r w:rsidRPr="0088400D">
        <w:rPr>
          <w:rFonts w:cstheme="minorHAnsi"/>
          <w:sz w:val="24"/>
          <w:szCs w:val="24"/>
        </w:rPr>
        <w:t xml:space="preserve">Throughout my essay, I will be focussing on Islamic terrorism in particular as it offers the most evidence and appears to be the main focus in relation to modern day terrorism. There is a concern of risk posed by the radicalisation of Muslims living in Western countries such as the United Kingdom, </w:t>
      </w:r>
      <w:proofErr w:type="gramStart"/>
      <w:r w:rsidRPr="0088400D">
        <w:rPr>
          <w:rFonts w:cstheme="minorHAnsi"/>
          <w:sz w:val="24"/>
          <w:szCs w:val="24"/>
        </w:rPr>
        <w:t>Canada</w:t>
      </w:r>
      <w:proofErr w:type="gramEnd"/>
      <w:r w:rsidRPr="0088400D">
        <w:rPr>
          <w:rFonts w:cstheme="minorHAnsi"/>
          <w:sz w:val="24"/>
          <w:szCs w:val="24"/>
        </w:rPr>
        <w:t xml:space="preserve"> or the United States </w:t>
      </w:r>
      <w:sdt>
        <w:sdtPr>
          <w:rPr>
            <w:rFonts w:cstheme="minorHAnsi"/>
            <w:sz w:val="24"/>
            <w:szCs w:val="24"/>
          </w:rPr>
          <w:id w:val="-1764453731"/>
          <w:citation/>
        </w:sdtPr>
        <w:sdtContent>
          <w:r w:rsidRPr="0088400D">
            <w:rPr>
              <w:rFonts w:cstheme="minorHAnsi"/>
              <w:sz w:val="24"/>
              <w:szCs w:val="24"/>
            </w:rPr>
            <w:fldChar w:fldCharType="begin"/>
          </w:r>
          <w:r w:rsidRPr="0088400D">
            <w:rPr>
              <w:rFonts w:cstheme="minorHAnsi"/>
              <w:sz w:val="24"/>
              <w:szCs w:val="24"/>
            </w:rPr>
            <w:instrText xml:space="preserve"> CITATION Sou11 \l 2057 </w:instrText>
          </w:r>
          <w:r w:rsidRPr="0088400D">
            <w:rPr>
              <w:rFonts w:cstheme="minorHAnsi"/>
              <w:sz w:val="24"/>
              <w:szCs w:val="24"/>
            </w:rPr>
            <w:fldChar w:fldCharType="separate"/>
          </w:r>
          <w:r w:rsidRPr="0088400D">
            <w:rPr>
              <w:rFonts w:cstheme="minorHAnsi"/>
              <w:noProof/>
              <w:sz w:val="24"/>
              <w:szCs w:val="24"/>
            </w:rPr>
            <w:t>(Soufan, 2011)</w:t>
          </w:r>
          <w:r w:rsidRPr="0088400D">
            <w:rPr>
              <w:rFonts w:cstheme="minorHAnsi"/>
              <w:sz w:val="24"/>
              <w:szCs w:val="24"/>
            </w:rPr>
            <w:fldChar w:fldCharType="end"/>
          </w:r>
        </w:sdtContent>
      </w:sdt>
      <w:r w:rsidRPr="0088400D">
        <w:rPr>
          <w:rFonts w:cstheme="minorHAnsi"/>
          <w:sz w:val="24"/>
          <w:szCs w:val="24"/>
        </w:rPr>
        <w:t xml:space="preserve">. Islamic terrorism is motivated by a complex series of factors. Put simply, the Islamic faith can be interpreted in many different ways, the vast majority of Muslims around the world practise a peaceful form of Islam. However,  the Islamic terrorist groups aim to polarise the Islamic community governed by their strict interpretation of their Sharia law. This includes practises that are often considered violent and extreme by Western society as well as by other Muslims. There are many Islamic terrorist organisations, the most famous being ISIS (Islamic State of Iraq and Syria), ISIL (Islamic State of Iraq and the Levant) and Al-Qaeda, which was founded by Osama Bin Laden, the man allegedly behind the 9/11 terrorist attacks </w:t>
      </w:r>
      <w:sdt>
        <w:sdtPr>
          <w:rPr>
            <w:rFonts w:cstheme="minorHAnsi"/>
            <w:sz w:val="24"/>
            <w:szCs w:val="24"/>
          </w:rPr>
          <w:id w:val="596990756"/>
          <w:citation/>
        </w:sdtPr>
        <w:sdtContent>
          <w:r w:rsidRPr="0088400D">
            <w:rPr>
              <w:rFonts w:cstheme="minorHAnsi"/>
              <w:sz w:val="24"/>
              <w:szCs w:val="24"/>
            </w:rPr>
            <w:fldChar w:fldCharType="begin"/>
          </w:r>
          <w:r w:rsidRPr="0088400D">
            <w:rPr>
              <w:rFonts w:cstheme="minorHAnsi"/>
              <w:sz w:val="24"/>
              <w:szCs w:val="24"/>
            </w:rPr>
            <w:instrText xml:space="preserve"> CITATION Coc20 \l 2057 </w:instrText>
          </w:r>
          <w:r w:rsidRPr="0088400D">
            <w:rPr>
              <w:rFonts w:cstheme="minorHAnsi"/>
              <w:sz w:val="24"/>
              <w:szCs w:val="24"/>
            </w:rPr>
            <w:fldChar w:fldCharType="separate"/>
          </w:r>
          <w:r w:rsidRPr="0088400D">
            <w:rPr>
              <w:rFonts w:cstheme="minorHAnsi"/>
              <w:noProof/>
              <w:sz w:val="24"/>
              <w:szCs w:val="24"/>
            </w:rPr>
            <w:t>(Cockburn, 2020)</w:t>
          </w:r>
          <w:r w:rsidRPr="0088400D">
            <w:rPr>
              <w:rFonts w:cstheme="minorHAnsi"/>
              <w:sz w:val="24"/>
              <w:szCs w:val="24"/>
            </w:rPr>
            <w:fldChar w:fldCharType="end"/>
          </w:r>
        </w:sdtContent>
      </w:sdt>
      <w:r w:rsidRPr="0088400D">
        <w:rPr>
          <w:rFonts w:cstheme="minorHAnsi"/>
          <w:sz w:val="24"/>
          <w:szCs w:val="24"/>
        </w:rPr>
        <w:t xml:space="preserve">. They intend to unite all Muslims in a worldwide Jihad. As discussed above, there are peaceful Muslims who believe in democracy and are willing to co-exist within western countries under their laws. These Muslims are branded as ‘apostates’ and as ‘infidels’ by the militants because they are not seen to be carrying out their obligations to defend Islam </w:t>
      </w:r>
      <w:r w:rsidRPr="0088400D">
        <w:rPr>
          <w:rFonts w:cstheme="minorHAnsi"/>
          <w:sz w:val="24"/>
          <w:szCs w:val="24"/>
        </w:rPr>
        <w:lastRenderedPageBreak/>
        <w:t xml:space="preserve">through the strict methods of the Quran </w:t>
      </w:r>
      <w:sdt>
        <w:sdtPr>
          <w:rPr>
            <w:rFonts w:cstheme="minorHAnsi"/>
            <w:sz w:val="24"/>
            <w:szCs w:val="24"/>
          </w:rPr>
          <w:id w:val="1818846008"/>
          <w:citation/>
        </w:sdtPr>
        <w:sdtContent>
          <w:r w:rsidRPr="0088400D">
            <w:rPr>
              <w:rFonts w:cstheme="minorHAnsi"/>
              <w:sz w:val="24"/>
              <w:szCs w:val="24"/>
            </w:rPr>
            <w:fldChar w:fldCharType="begin"/>
          </w:r>
          <w:r w:rsidRPr="0088400D">
            <w:rPr>
              <w:rFonts w:cstheme="minorHAnsi"/>
              <w:sz w:val="24"/>
              <w:szCs w:val="24"/>
            </w:rPr>
            <w:instrText xml:space="preserve"> CITATION Haf10 \l 2057 </w:instrText>
          </w:r>
          <w:r w:rsidRPr="0088400D">
            <w:rPr>
              <w:rFonts w:cstheme="minorHAnsi"/>
              <w:sz w:val="24"/>
              <w:szCs w:val="24"/>
            </w:rPr>
            <w:fldChar w:fldCharType="separate"/>
          </w:r>
          <w:r w:rsidRPr="0088400D">
            <w:rPr>
              <w:rFonts w:cstheme="minorHAnsi"/>
              <w:noProof/>
              <w:sz w:val="24"/>
              <w:szCs w:val="24"/>
            </w:rPr>
            <w:t>(Hafez, 2010)</w:t>
          </w:r>
          <w:r w:rsidRPr="0088400D">
            <w:rPr>
              <w:rFonts w:cstheme="minorHAnsi"/>
              <w:sz w:val="24"/>
              <w:szCs w:val="24"/>
            </w:rPr>
            <w:fldChar w:fldCharType="end"/>
          </w:r>
        </w:sdtContent>
      </w:sdt>
      <w:r w:rsidRPr="0088400D">
        <w:rPr>
          <w:rFonts w:cstheme="minorHAnsi"/>
          <w:sz w:val="24"/>
          <w:szCs w:val="24"/>
        </w:rPr>
        <w:t>. Counter terrorism police must recognise that these divisions within the Islamic faith can create opportunities to build connections with Muslims who feel that their religion is being hijacked by Islamic militants</w:t>
      </w:r>
      <w:r w:rsidR="00037E4E">
        <w:rPr>
          <w:rFonts w:cstheme="minorHAnsi"/>
          <w:sz w:val="24"/>
          <w:szCs w:val="24"/>
        </w:rPr>
        <w:t xml:space="preserve"> that </w:t>
      </w:r>
      <w:r w:rsidRPr="0088400D">
        <w:rPr>
          <w:rFonts w:cstheme="minorHAnsi"/>
          <w:sz w:val="24"/>
          <w:szCs w:val="24"/>
        </w:rPr>
        <w:t>hav</w:t>
      </w:r>
      <w:r w:rsidR="00037E4E">
        <w:rPr>
          <w:rFonts w:cstheme="minorHAnsi"/>
          <w:sz w:val="24"/>
          <w:szCs w:val="24"/>
        </w:rPr>
        <w:t xml:space="preserve">e </w:t>
      </w:r>
      <w:r w:rsidRPr="0088400D">
        <w:rPr>
          <w:rFonts w:cstheme="minorHAnsi"/>
          <w:sz w:val="24"/>
          <w:szCs w:val="24"/>
        </w:rPr>
        <w:t xml:space="preserve">potential negative effects on their community and their youth. This can aid in the gathering of intelligence but also countering violent extremist support. According to </w:t>
      </w:r>
      <w:sdt>
        <w:sdtPr>
          <w:rPr>
            <w:rFonts w:cstheme="minorHAnsi"/>
            <w:sz w:val="24"/>
            <w:szCs w:val="24"/>
          </w:rPr>
          <w:id w:val="-1429730373"/>
          <w:citation/>
        </w:sdtPr>
        <w:sdtContent>
          <w:r w:rsidRPr="0088400D">
            <w:rPr>
              <w:rFonts w:cstheme="minorHAnsi"/>
              <w:sz w:val="24"/>
              <w:szCs w:val="24"/>
            </w:rPr>
            <w:fldChar w:fldCharType="begin"/>
          </w:r>
          <w:r w:rsidRPr="0088400D">
            <w:rPr>
              <w:rFonts w:cstheme="minorHAnsi"/>
              <w:sz w:val="24"/>
              <w:szCs w:val="24"/>
            </w:rPr>
            <w:instrText xml:space="preserve"> CITATION Bjo13 \l 2057 </w:instrText>
          </w:r>
          <w:r w:rsidRPr="0088400D">
            <w:rPr>
              <w:rFonts w:cstheme="minorHAnsi"/>
              <w:sz w:val="24"/>
              <w:szCs w:val="24"/>
            </w:rPr>
            <w:fldChar w:fldCharType="separate"/>
          </w:r>
          <w:r w:rsidRPr="0088400D">
            <w:rPr>
              <w:rFonts w:cstheme="minorHAnsi"/>
              <w:noProof/>
              <w:sz w:val="24"/>
              <w:szCs w:val="24"/>
            </w:rPr>
            <w:t>(Bjorgo, 2013)</w:t>
          </w:r>
          <w:r w:rsidRPr="0088400D">
            <w:rPr>
              <w:rFonts w:cstheme="minorHAnsi"/>
              <w:sz w:val="24"/>
              <w:szCs w:val="24"/>
            </w:rPr>
            <w:fldChar w:fldCharType="end"/>
          </w:r>
        </w:sdtContent>
      </w:sdt>
      <w:r w:rsidRPr="0088400D">
        <w:rPr>
          <w:rFonts w:cstheme="minorHAnsi"/>
          <w:sz w:val="24"/>
          <w:szCs w:val="24"/>
        </w:rPr>
        <w:t>, militants require popular support among the Muslim community as it provides them with the financial capability, the number of</w:t>
      </w:r>
      <w:r w:rsidR="002C6BB9">
        <w:rPr>
          <w:rFonts w:cstheme="minorHAnsi"/>
          <w:sz w:val="24"/>
          <w:szCs w:val="24"/>
        </w:rPr>
        <w:t xml:space="preserve"> </w:t>
      </w:r>
      <w:r w:rsidRPr="0088400D">
        <w:rPr>
          <w:rFonts w:cstheme="minorHAnsi"/>
          <w:sz w:val="24"/>
          <w:szCs w:val="24"/>
        </w:rPr>
        <w:t>human resources and the moral legitimacy to threaten governments with violent extremism to further force their beliefs onto others. Bjorgo goes on to mention that without the support backing Al-Qaeda, Osama Bin Laden would not have been able to carry out the 9/11 attacks. The Islamic militant threat is frequently adapting and evolving. Western society now faces domestic terrorist threats from within their own country borders. Modern technology used by Islamic extremists cause terrorist acts to become more difficult to detect and investigate. These reasons are why community policing and community engagement is more important now than ever</w:t>
      </w:r>
      <w:r w:rsidR="002C6BB9">
        <w:rPr>
          <w:rFonts w:cstheme="minorHAnsi"/>
          <w:sz w:val="24"/>
          <w:szCs w:val="24"/>
        </w:rPr>
        <w:t xml:space="preserve">, </w:t>
      </w:r>
      <w:r w:rsidRPr="0088400D">
        <w:rPr>
          <w:rFonts w:cstheme="minorHAnsi"/>
          <w:sz w:val="24"/>
          <w:szCs w:val="24"/>
        </w:rPr>
        <w:t>to safeguard communities and to prevent violent extremism from spreading worldwide chaos.</w:t>
      </w:r>
    </w:p>
    <w:p w14:paraId="23A2A1B4" w14:textId="6BA19413" w:rsidR="0088400D" w:rsidRPr="0088400D" w:rsidRDefault="0088400D" w:rsidP="0088400D">
      <w:pPr>
        <w:rPr>
          <w:rFonts w:cstheme="minorHAnsi"/>
          <w:sz w:val="24"/>
          <w:szCs w:val="24"/>
        </w:rPr>
      </w:pPr>
      <w:r w:rsidRPr="0088400D">
        <w:rPr>
          <w:rFonts w:cstheme="minorHAnsi"/>
          <w:sz w:val="24"/>
          <w:szCs w:val="24"/>
        </w:rPr>
        <w:t xml:space="preserve">According to </w:t>
      </w:r>
      <w:sdt>
        <w:sdtPr>
          <w:rPr>
            <w:rFonts w:cstheme="minorHAnsi"/>
            <w:sz w:val="24"/>
            <w:szCs w:val="24"/>
          </w:rPr>
          <w:id w:val="223807316"/>
          <w:citation/>
        </w:sdtPr>
        <w:sdtContent>
          <w:r w:rsidRPr="0088400D">
            <w:rPr>
              <w:rFonts w:cstheme="minorHAnsi"/>
              <w:sz w:val="24"/>
              <w:szCs w:val="24"/>
            </w:rPr>
            <w:fldChar w:fldCharType="begin"/>
          </w:r>
          <w:r w:rsidRPr="0088400D">
            <w:rPr>
              <w:rFonts w:cstheme="minorHAnsi"/>
              <w:sz w:val="24"/>
              <w:szCs w:val="24"/>
            </w:rPr>
            <w:instrText xml:space="preserve"> CITATION Tho16 \l 2057 </w:instrText>
          </w:r>
          <w:r w:rsidRPr="0088400D">
            <w:rPr>
              <w:rFonts w:cstheme="minorHAnsi"/>
              <w:sz w:val="24"/>
              <w:szCs w:val="24"/>
            </w:rPr>
            <w:fldChar w:fldCharType="separate"/>
          </w:r>
          <w:r w:rsidRPr="0088400D">
            <w:rPr>
              <w:rFonts w:cstheme="minorHAnsi"/>
              <w:noProof/>
              <w:sz w:val="24"/>
              <w:szCs w:val="24"/>
            </w:rPr>
            <w:t>(Thomas, 2016)</w:t>
          </w:r>
          <w:r w:rsidRPr="0088400D">
            <w:rPr>
              <w:rFonts w:cstheme="minorHAnsi"/>
              <w:sz w:val="24"/>
              <w:szCs w:val="24"/>
            </w:rPr>
            <w:fldChar w:fldCharType="end"/>
          </w:r>
        </w:sdtContent>
      </w:sdt>
      <w:r w:rsidRPr="0088400D">
        <w:rPr>
          <w:rFonts w:cstheme="minorHAnsi"/>
          <w:sz w:val="24"/>
          <w:szCs w:val="24"/>
        </w:rPr>
        <w:t xml:space="preserve">, community engagement is defined as the enabling of community and citizen participation within police investigations at the level they choose. Allowing them to provide information to police where they feel necessary and giving them the freedom to identify and develop solutions to issues within their community. </w:t>
      </w:r>
    </w:p>
    <w:p w14:paraId="312246A4" w14:textId="1C5EE0C2" w:rsidR="0088400D" w:rsidRPr="0088400D" w:rsidRDefault="0088400D" w:rsidP="0088400D">
      <w:pPr>
        <w:rPr>
          <w:rFonts w:cstheme="minorHAnsi"/>
          <w:sz w:val="24"/>
          <w:szCs w:val="24"/>
        </w:rPr>
      </w:pPr>
      <w:r w:rsidRPr="0088400D">
        <w:rPr>
          <w:rFonts w:cstheme="minorHAnsi"/>
          <w:sz w:val="24"/>
          <w:szCs w:val="24"/>
        </w:rPr>
        <w:t xml:space="preserve">Community engagement with the Police service enables individuals within a community to share their feelings regarding things they may fear, what they need from police within the community and their expectations of police. According to </w:t>
      </w:r>
      <w:sdt>
        <w:sdtPr>
          <w:rPr>
            <w:rFonts w:cstheme="minorHAnsi"/>
            <w:sz w:val="24"/>
            <w:szCs w:val="24"/>
          </w:rPr>
          <w:id w:val="-824964538"/>
          <w:citation/>
        </w:sdtPr>
        <w:sdtContent>
          <w:r w:rsidRPr="0088400D">
            <w:rPr>
              <w:rFonts w:cstheme="minorHAnsi"/>
              <w:sz w:val="24"/>
              <w:szCs w:val="24"/>
            </w:rPr>
            <w:fldChar w:fldCharType="begin"/>
          </w:r>
          <w:r w:rsidRPr="0088400D">
            <w:rPr>
              <w:rFonts w:cstheme="minorHAnsi"/>
              <w:sz w:val="24"/>
              <w:szCs w:val="24"/>
            </w:rPr>
            <w:instrText xml:space="preserve"> CITATION Low12 \l 2057 </w:instrText>
          </w:r>
          <w:r w:rsidRPr="0088400D">
            <w:rPr>
              <w:rFonts w:cstheme="minorHAnsi"/>
              <w:sz w:val="24"/>
              <w:szCs w:val="24"/>
            </w:rPr>
            <w:fldChar w:fldCharType="separate"/>
          </w:r>
          <w:r w:rsidRPr="0088400D">
            <w:rPr>
              <w:rFonts w:cstheme="minorHAnsi"/>
              <w:noProof/>
              <w:sz w:val="24"/>
              <w:szCs w:val="24"/>
            </w:rPr>
            <w:t>(Lowe &amp; Innes, 2012)</w:t>
          </w:r>
          <w:r w:rsidRPr="0088400D">
            <w:rPr>
              <w:rFonts w:cstheme="minorHAnsi"/>
              <w:sz w:val="24"/>
              <w:szCs w:val="24"/>
            </w:rPr>
            <w:fldChar w:fldCharType="end"/>
          </w:r>
        </w:sdtContent>
      </w:sdt>
      <w:r w:rsidRPr="0088400D">
        <w:rPr>
          <w:rFonts w:cstheme="minorHAnsi"/>
          <w:sz w:val="24"/>
          <w:szCs w:val="24"/>
        </w:rPr>
        <w:t>, police demonstrating that they are listening to a community by providing a service that the community has wished for, instead of providing a service that police believe the community needs</w:t>
      </w:r>
      <w:r w:rsidR="00F64943">
        <w:rPr>
          <w:rFonts w:cstheme="minorHAnsi"/>
          <w:sz w:val="24"/>
          <w:szCs w:val="24"/>
        </w:rPr>
        <w:t xml:space="preserve">, </w:t>
      </w:r>
      <w:r w:rsidRPr="0088400D">
        <w:rPr>
          <w:rFonts w:cstheme="minorHAnsi"/>
          <w:sz w:val="24"/>
          <w:szCs w:val="24"/>
        </w:rPr>
        <w:t xml:space="preserve">allows police to receive community information and intelligence on various aspects of crime from anti-social behaviour to terrorism more fluidly. </w:t>
      </w:r>
    </w:p>
    <w:p w14:paraId="0AFCC9AA" w14:textId="4226A62C" w:rsidR="0088400D" w:rsidRPr="0088400D" w:rsidRDefault="0088400D" w:rsidP="0088400D">
      <w:pPr>
        <w:shd w:val="clear" w:color="auto" w:fill="FFFFFF"/>
        <w:rPr>
          <w:rFonts w:cstheme="minorHAnsi"/>
          <w:sz w:val="24"/>
          <w:szCs w:val="24"/>
        </w:rPr>
      </w:pPr>
      <w:r w:rsidRPr="0088400D">
        <w:rPr>
          <w:rFonts w:cstheme="minorHAnsi"/>
          <w:sz w:val="24"/>
          <w:szCs w:val="24"/>
        </w:rPr>
        <w:t xml:space="preserve">After the 9/11 terrorist attack, the UK government introduced a long-term counter terrorism strategy called ‘CONTEST’. This strategy is comprised into four individual </w:t>
      </w:r>
      <w:r w:rsidR="00DF0D13">
        <w:rPr>
          <w:rFonts w:cstheme="minorHAnsi"/>
          <w:sz w:val="24"/>
          <w:szCs w:val="24"/>
        </w:rPr>
        <w:t>sub</w:t>
      </w:r>
      <w:r w:rsidRPr="0088400D">
        <w:rPr>
          <w:rFonts w:cstheme="minorHAnsi"/>
          <w:sz w:val="24"/>
          <w:szCs w:val="24"/>
        </w:rPr>
        <w:t>sections, namely: ‘Prevent’, ‘Pursue’, ‘Protect’ and ‘Prepare’. It aims to decrease the risk from terrorism so that members of society can live their lives without fear. Communities have an essential part to play in the successful operation of ‘CONTEST</w:t>
      </w:r>
      <w:r w:rsidR="00ED220B">
        <w:rPr>
          <w:rFonts w:cstheme="minorHAnsi"/>
          <w:sz w:val="24"/>
          <w:szCs w:val="24"/>
        </w:rPr>
        <w:t xml:space="preserve">, </w:t>
      </w:r>
      <w:r w:rsidRPr="0088400D">
        <w:rPr>
          <w:rFonts w:cstheme="minorHAnsi"/>
          <w:sz w:val="24"/>
          <w:szCs w:val="24"/>
        </w:rPr>
        <w:t xml:space="preserve"> to prevent attacks and reduce the loss of life as a result of terrorist attacks. They can participate in keeping themselves and others safe by seeking to prevent individuals from becoming terrorists. By reporting any concerns or signs of people becoming radicalised, they identify early detection of radicalisation. They do this by supporting counter terrorism police to track terrorist activity by calling the anti-terrorist hotline and by flagging suspicious behaviour or objects.  In 2022-2023,  the UK public generated over 13,000 reports in connection with counter terrorism poli</w:t>
      </w:r>
      <w:r w:rsidR="00ED220B">
        <w:rPr>
          <w:rFonts w:cstheme="minorHAnsi"/>
          <w:sz w:val="24"/>
          <w:szCs w:val="24"/>
        </w:rPr>
        <w:t>ci</w:t>
      </w:r>
      <w:r w:rsidRPr="0088400D">
        <w:rPr>
          <w:rFonts w:cstheme="minorHAnsi"/>
          <w:sz w:val="24"/>
          <w:szCs w:val="24"/>
        </w:rPr>
        <w:t xml:space="preserve">ng, 2000 of these reports provided beneficial intelligence that could be used to intercept and disrupt terrorist activity. The public also provides roughly 120,000 reports to the ‘See it, </w:t>
      </w:r>
      <w:proofErr w:type="gramStart"/>
      <w:r w:rsidRPr="0088400D">
        <w:rPr>
          <w:rFonts w:cstheme="minorHAnsi"/>
          <w:sz w:val="24"/>
          <w:szCs w:val="24"/>
        </w:rPr>
        <w:t>Say</w:t>
      </w:r>
      <w:proofErr w:type="gramEnd"/>
      <w:r w:rsidRPr="0088400D">
        <w:rPr>
          <w:rFonts w:cstheme="minorHAnsi"/>
          <w:sz w:val="24"/>
          <w:szCs w:val="24"/>
        </w:rPr>
        <w:t xml:space="preserve"> it, Sorted’ campaign on British railways a year, giving communities the freedom to voice their concerns about the security of their community to the police </w:t>
      </w:r>
      <w:sdt>
        <w:sdtPr>
          <w:rPr>
            <w:rFonts w:cstheme="minorHAnsi"/>
            <w:sz w:val="24"/>
            <w:szCs w:val="24"/>
          </w:rPr>
          <w:id w:val="712315073"/>
          <w:citation/>
        </w:sdtPr>
        <w:sdtContent>
          <w:r w:rsidRPr="0088400D">
            <w:rPr>
              <w:rFonts w:cstheme="minorHAnsi"/>
              <w:sz w:val="24"/>
              <w:szCs w:val="24"/>
            </w:rPr>
            <w:fldChar w:fldCharType="begin"/>
          </w:r>
          <w:r w:rsidRPr="0088400D">
            <w:rPr>
              <w:rFonts w:cstheme="minorHAnsi"/>
              <w:sz w:val="24"/>
              <w:szCs w:val="24"/>
              <w:u w:val="single"/>
            </w:rPr>
            <w:instrText xml:space="preserve"> CITATION HMG23 \l 2057 </w:instrText>
          </w:r>
          <w:r w:rsidRPr="0088400D">
            <w:rPr>
              <w:rFonts w:cstheme="minorHAnsi"/>
              <w:sz w:val="24"/>
              <w:szCs w:val="24"/>
            </w:rPr>
            <w:fldChar w:fldCharType="separate"/>
          </w:r>
          <w:r w:rsidRPr="0088400D">
            <w:rPr>
              <w:rFonts w:cstheme="minorHAnsi"/>
              <w:noProof/>
              <w:sz w:val="24"/>
              <w:szCs w:val="24"/>
            </w:rPr>
            <w:t>(HM Government, 2023)</w:t>
          </w:r>
          <w:r w:rsidRPr="0088400D">
            <w:rPr>
              <w:rFonts w:cstheme="minorHAnsi"/>
              <w:sz w:val="24"/>
              <w:szCs w:val="24"/>
            </w:rPr>
            <w:fldChar w:fldCharType="end"/>
          </w:r>
        </w:sdtContent>
      </w:sdt>
      <w:r w:rsidRPr="0088400D">
        <w:rPr>
          <w:rFonts w:cstheme="minorHAnsi"/>
          <w:sz w:val="24"/>
          <w:szCs w:val="24"/>
        </w:rPr>
        <w:t xml:space="preserve">. </w:t>
      </w:r>
    </w:p>
    <w:p w14:paraId="1ED12832" w14:textId="2FA2EF63" w:rsidR="0088400D" w:rsidRPr="0088400D" w:rsidRDefault="0088400D" w:rsidP="0088400D">
      <w:pPr>
        <w:rPr>
          <w:rFonts w:cstheme="minorHAnsi"/>
          <w:sz w:val="24"/>
          <w:szCs w:val="24"/>
        </w:rPr>
      </w:pPr>
      <w:r w:rsidRPr="0088400D">
        <w:rPr>
          <w:rFonts w:cstheme="minorHAnsi"/>
          <w:sz w:val="24"/>
          <w:szCs w:val="24"/>
        </w:rPr>
        <w:lastRenderedPageBreak/>
        <w:t xml:space="preserve">‘Prevent’ concerns itself with tackling the radicalisation of people, it aims to stop individuals becoming terrorists or supporting terrorist ideologies. They target the motivations of terrorism by remaining informed of terrorist ideologies. Individuals that have been identified of being susceptible to radicalisation will be intervened by professional staff to provide them support. Those who have already fallen victim to radicalisation can also be intervened and provided with rehabilitation to allow them to disengage with the ideologies of terrorism. Individuals susceptible to radicalisation are identified by ‘Prevent’ via referrals made to them. Anybody can make a Prevent referral. However, they are most commonly done through professional institutions such as education establishments, local authorities or by prison staff. Since ‘Prevent’ was introduced in 2015, over 3800 referrals have allowed individuals to receive support and rehabilitation to steer them away from radicalising ideologies </w:t>
      </w:r>
      <w:sdt>
        <w:sdtPr>
          <w:rPr>
            <w:rFonts w:cstheme="minorHAnsi"/>
            <w:sz w:val="24"/>
            <w:szCs w:val="24"/>
          </w:rPr>
          <w:id w:val="-125706272"/>
          <w:citation/>
        </w:sdtPr>
        <w:sdtContent>
          <w:r w:rsidRPr="0088400D">
            <w:rPr>
              <w:rFonts w:cstheme="minorHAnsi"/>
              <w:sz w:val="24"/>
              <w:szCs w:val="24"/>
            </w:rPr>
            <w:fldChar w:fldCharType="begin"/>
          </w:r>
          <w:r w:rsidRPr="0088400D">
            <w:rPr>
              <w:rFonts w:cstheme="minorHAnsi"/>
              <w:sz w:val="24"/>
              <w:szCs w:val="24"/>
            </w:rPr>
            <w:instrText xml:space="preserve"> CITATION Gre11 \l 2057 </w:instrText>
          </w:r>
          <w:r w:rsidRPr="0088400D">
            <w:rPr>
              <w:rFonts w:cstheme="minorHAnsi"/>
              <w:sz w:val="24"/>
              <w:szCs w:val="24"/>
            </w:rPr>
            <w:fldChar w:fldCharType="separate"/>
          </w:r>
          <w:r w:rsidRPr="0088400D">
            <w:rPr>
              <w:rFonts w:cstheme="minorHAnsi"/>
              <w:noProof/>
              <w:sz w:val="24"/>
              <w:szCs w:val="24"/>
            </w:rPr>
            <w:t>(Great Britain: Home Office , 2011)</w:t>
          </w:r>
          <w:r w:rsidRPr="0088400D">
            <w:rPr>
              <w:rFonts w:cstheme="minorHAnsi"/>
              <w:sz w:val="24"/>
              <w:szCs w:val="24"/>
            </w:rPr>
            <w:fldChar w:fldCharType="end"/>
          </w:r>
        </w:sdtContent>
      </w:sdt>
      <w:r w:rsidRPr="0088400D">
        <w:rPr>
          <w:rFonts w:cstheme="minorHAnsi"/>
          <w:sz w:val="24"/>
          <w:szCs w:val="24"/>
        </w:rPr>
        <w:t xml:space="preserve">. </w:t>
      </w:r>
    </w:p>
    <w:p w14:paraId="58FFCACC" w14:textId="78EFD610" w:rsidR="0088400D" w:rsidRPr="0088400D" w:rsidRDefault="0088400D" w:rsidP="0088400D">
      <w:pPr>
        <w:rPr>
          <w:rFonts w:cstheme="minorHAnsi"/>
          <w:sz w:val="24"/>
          <w:szCs w:val="24"/>
        </w:rPr>
      </w:pPr>
      <w:r w:rsidRPr="0088400D">
        <w:rPr>
          <w:rFonts w:cstheme="minorHAnsi"/>
          <w:sz w:val="24"/>
          <w:szCs w:val="24"/>
        </w:rPr>
        <w:t>‘Pursue’ concerns itself with the detection and disruption of terrorist activity. This is beyond the stage of early intervention of radicalisation, this is where terrorism is being actively investigated by counter terrorism police alongside the range of capabilities of intelligence agencies like MI5 or GCHQ</w:t>
      </w:r>
      <w:r w:rsidR="00F43E18">
        <w:rPr>
          <w:rFonts w:cstheme="minorHAnsi"/>
          <w:sz w:val="24"/>
          <w:szCs w:val="24"/>
        </w:rPr>
        <w:t>. U</w:t>
      </w:r>
      <w:r w:rsidRPr="0088400D">
        <w:rPr>
          <w:rFonts w:cstheme="minorHAnsi"/>
          <w:sz w:val="24"/>
          <w:szCs w:val="24"/>
        </w:rPr>
        <w:t xml:space="preserve">sing wider community intelligence all working together with one common goal. Counter terrorism policing have roughly 800 active investigations at any one time </w:t>
      </w:r>
      <w:sdt>
        <w:sdtPr>
          <w:rPr>
            <w:rFonts w:cstheme="minorHAnsi"/>
            <w:sz w:val="24"/>
            <w:szCs w:val="24"/>
          </w:rPr>
          <w:id w:val="-343943119"/>
          <w:citation/>
        </w:sdtPr>
        <w:sdtContent>
          <w:r w:rsidRPr="0088400D">
            <w:rPr>
              <w:rFonts w:cstheme="minorHAnsi"/>
              <w:sz w:val="24"/>
              <w:szCs w:val="24"/>
            </w:rPr>
            <w:fldChar w:fldCharType="begin"/>
          </w:r>
          <w:r w:rsidRPr="0088400D">
            <w:rPr>
              <w:rFonts w:cstheme="minorHAnsi"/>
              <w:sz w:val="24"/>
              <w:szCs w:val="24"/>
            </w:rPr>
            <w:instrText xml:space="preserve"> CITATION Gre21 \l 2057 </w:instrText>
          </w:r>
          <w:r w:rsidRPr="0088400D">
            <w:rPr>
              <w:rFonts w:cstheme="minorHAnsi"/>
              <w:sz w:val="24"/>
              <w:szCs w:val="24"/>
            </w:rPr>
            <w:fldChar w:fldCharType="separate"/>
          </w:r>
          <w:r w:rsidRPr="0088400D">
            <w:rPr>
              <w:rFonts w:cstheme="minorHAnsi"/>
              <w:noProof/>
              <w:sz w:val="24"/>
              <w:szCs w:val="24"/>
            </w:rPr>
            <w:t>(Greer, 2021)</w:t>
          </w:r>
          <w:r w:rsidRPr="0088400D">
            <w:rPr>
              <w:rFonts w:cstheme="minorHAnsi"/>
              <w:sz w:val="24"/>
              <w:szCs w:val="24"/>
            </w:rPr>
            <w:fldChar w:fldCharType="end"/>
          </w:r>
        </w:sdtContent>
      </w:sdt>
      <w:r w:rsidRPr="0088400D">
        <w:rPr>
          <w:rFonts w:cstheme="minorHAnsi"/>
          <w:sz w:val="24"/>
          <w:szCs w:val="24"/>
        </w:rPr>
        <w:t xml:space="preserve">. </w:t>
      </w:r>
    </w:p>
    <w:p w14:paraId="6813DCA2" w14:textId="13832B4E" w:rsidR="0088400D" w:rsidRPr="0088400D" w:rsidRDefault="0088400D" w:rsidP="0088400D">
      <w:pPr>
        <w:rPr>
          <w:rFonts w:cstheme="minorHAnsi"/>
          <w:sz w:val="24"/>
          <w:szCs w:val="24"/>
        </w:rPr>
      </w:pPr>
      <w:r w:rsidRPr="0088400D">
        <w:rPr>
          <w:rFonts w:cstheme="minorHAnsi"/>
          <w:sz w:val="24"/>
          <w:szCs w:val="24"/>
        </w:rPr>
        <w:t xml:space="preserve">‘Protect’ concerns itself with limiting the UK vulnerability and strengthening the defence against terrorist attacks. It adapts the infrastructure and layout of public venues and transport hubs, reducing the capability of terrorists moving hazardous materials or technology without causing concern </w:t>
      </w:r>
      <w:sdt>
        <w:sdtPr>
          <w:rPr>
            <w:rFonts w:cstheme="minorHAnsi"/>
            <w:sz w:val="24"/>
            <w:szCs w:val="24"/>
          </w:rPr>
          <w:id w:val="-183133690"/>
          <w:citation/>
        </w:sdtPr>
        <w:sdtContent>
          <w:r w:rsidRPr="0088400D">
            <w:rPr>
              <w:rFonts w:cstheme="minorHAnsi"/>
              <w:sz w:val="24"/>
              <w:szCs w:val="24"/>
            </w:rPr>
            <w:fldChar w:fldCharType="begin"/>
          </w:r>
          <w:r w:rsidRPr="0088400D">
            <w:rPr>
              <w:rFonts w:cstheme="minorHAnsi"/>
              <w:sz w:val="24"/>
              <w:szCs w:val="24"/>
            </w:rPr>
            <w:instrText xml:space="preserve"> CITATION Spe23 \l 2057 </w:instrText>
          </w:r>
          <w:r w:rsidRPr="0088400D">
            <w:rPr>
              <w:rFonts w:cstheme="minorHAnsi"/>
              <w:sz w:val="24"/>
              <w:szCs w:val="24"/>
            </w:rPr>
            <w:fldChar w:fldCharType="separate"/>
          </w:r>
          <w:r w:rsidRPr="0088400D">
            <w:rPr>
              <w:rFonts w:cstheme="minorHAnsi"/>
              <w:noProof/>
              <w:sz w:val="24"/>
              <w:szCs w:val="24"/>
            </w:rPr>
            <w:t>(Spelthorne Borough Council, 2023)</w:t>
          </w:r>
          <w:r w:rsidRPr="0088400D">
            <w:rPr>
              <w:rFonts w:cstheme="minorHAnsi"/>
              <w:sz w:val="24"/>
              <w:szCs w:val="24"/>
            </w:rPr>
            <w:fldChar w:fldCharType="end"/>
          </w:r>
        </w:sdtContent>
      </w:sdt>
      <w:r w:rsidRPr="0088400D">
        <w:rPr>
          <w:rFonts w:cstheme="minorHAnsi"/>
          <w:sz w:val="24"/>
          <w:szCs w:val="24"/>
        </w:rPr>
        <w:t xml:space="preserve">. </w:t>
      </w:r>
    </w:p>
    <w:p w14:paraId="5D041B9A" w14:textId="647AC939" w:rsidR="0088400D" w:rsidRPr="0088400D" w:rsidRDefault="0088400D" w:rsidP="0088400D">
      <w:pPr>
        <w:rPr>
          <w:rFonts w:cstheme="minorHAnsi"/>
          <w:sz w:val="24"/>
          <w:szCs w:val="24"/>
        </w:rPr>
      </w:pPr>
      <w:r w:rsidRPr="0088400D">
        <w:rPr>
          <w:rFonts w:cstheme="minorHAnsi"/>
          <w:sz w:val="24"/>
          <w:szCs w:val="24"/>
        </w:rPr>
        <w:t xml:space="preserve">Finally, ‘Prepare’ concerns itself with ensuring that the UK is ready for the consequences of a terrorist attack. During any event where there is a likely to be a mass gathering of people, such as concerts or political marches, there will be added security in the likely event that terrorist activity may occur. ‘Prepare’ will ensure readiness against a range of attack forms. They will deploy an effective and co-ordinated multiagency approach ensuing that lives are saved, and further harm is limited. They will also provide the care and support that  victims and survivors need after facing the trauma of terrorist activity. They are responsible for learning from past attacks through inquests and inquiries and improving the response through training </w:t>
      </w:r>
      <w:sdt>
        <w:sdtPr>
          <w:rPr>
            <w:rFonts w:cstheme="minorHAnsi"/>
            <w:sz w:val="24"/>
            <w:szCs w:val="24"/>
          </w:rPr>
          <w:id w:val="167442493"/>
          <w:citation/>
        </w:sdtPr>
        <w:sdtContent>
          <w:r w:rsidRPr="0088400D">
            <w:rPr>
              <w:rFonts w:cstheme="minorHAnsi"/>
              <w:sz w:val="24"/>
              <w:szCs w:val="24"/>
            </w:rPr>
            <w:fldChar w:fldCharType="begin"/>
          </w:r>
          <w:r w:rsidRPr="0088400D">
            <w:rPr>
              <w:rFonts w:cstheme="minorHAnsi"/>
              <w:sz w:val="24"/>
              <w:szCs w:val="24"/>
            </w:rPr>
            <w:instrText xml:space="preserve"> CITATION Cou23 \l 2057 </w:instrText>
          </w:r>
          <w:r w:rsidRPr="0088400D">
            <w:rPr>
              <w:rFonts w:cstheme="minorHAnsi"/>
              <w:sz w:val="24"/>
              <w:szCs w:val="24"/>
            </w:rPr>
            <w:fldChar w:fldCharType="separate"/>
          </w:r>
          <w:r w:rsidRPr="0088400D">
            <w:rPr>
              <w:rFonts w:cstheme="minorHAnsi"/>
              <w:noProof/>
              <w:sz w:val="24"/>
              <w:szCs w:val="24"/>
            </w:rPr>
            <w:t>(Counter Terrorism Policing, 2023)</w:t>
          </w:r>
          <w:r w:rsidRPr="0088400D">
            <w:rPr>
              <w:rFonts w:cstheme="minorHAnsi"/>
              <w:sz w:val="24"/>
              <w:szCs w:val="24"/>
            </w:rPr>
            <w:fldChar w:fldCharType="end"/>
          </w:r>
        </w:sdtContent>
      </w:sdt>
      <w:r w:rsidRPr="0088400D">
        <w:rPr>
          <w:rFonts w:cstheme="minorHAnsi"/>
          <w:sz w:val="24"/>
          <w:szCs w:val="24"/>
        </w:rPr>
        <w:t>.</w:t>
      </w:r>
    </w:p>
    <w:p w14:paraId="01A3BA3E" w14:textId="44968F91" w:rsidR="0088400D" w:rsidRPr="0088400D" w:rsidRDefault="0088400D" w:rsidP="0088400D">
      <w:pPr>
        <w:rPr>
          <w:rFonts w:cstheme="minorHAnsi"/>
          <w:sz w:val="24"/>
          <w:szCs w:val="24"/>
        </w:rPr>
      </w:pPr>
      <w:r w:rsidRPr="0088400D">
        <w:rPr>
          <w:rFonts w:cstheme="minorHAnsi"/>
          <w:sz w:val="24"/>
          <w:szCs w:val="24"/>
        </w:rPr>
        <w:t xml:space="preserve">In order for long term counter terrorism measures to work, there needs to be continued and improved reporting of terrorist related activity. As counterterrorism is a sensitive topic, often there is a lack of trust between law enforcement and Muslim communities. For this reason, community initiatives often nominate individuals from within a community who acts as a point of contact for the whole community, these individuals are more commonly known as ‘connectors’ </w:t>
      </w:r>
      <w:sdt>
        <w:sdtPr>
          <w:rPr>
            <w:rFonts w:cstheme="minorHAnsi"/>
            <w:sz w:val="24"/>
            <w:szCs w:val="24"/>
          </w:rPr>
          <w:id w:val="-211267285"/>
          <w:citation/>
        </w:sdtPr>
        <w:sdtContent>
          <w:r w:rsidRPr="0088400D">
            <w:rPr>
              <w:rFonts w:cstheme="minorHAnsi"/>
              <w:sz w:val="24"/>
              <w:szCs w:val="24"/>
            </w:rPr>
            <w:fldChar w:fldCharType="begin"/>
          </w:r>
          <w:r w:rsidRPr="0088400D">
            <w:rPr>
              <w:rFonts w:cstheme="minorHAnsi"/>
              <w:sz w:val="24"/>
              <w:szCs w:val="24"/>
            </w:rPr>
            <w:instrText xml:space="preserve"> CITATION Spa10 \l 2057 </w:instrText>
          </w:r>
          <w:r w:rsidRPr="0088400D">
            <w:rPr>
              <w:rFonts w:cstheme="minorHAnsi"/>
              <w:sz w:val="24"/>
              <w:szCs w:val="24"/>
            </w:rPr>
            <w:fldChar w:fldCharType="separate"/>
          </w:r>
          <w:r w:rsidRPr="0088400D">
            <w:rPr>
              <w:rFonts w:cstheme="minorHAnsi"/>
              <w:noProof/>
              <w:sz w:val="24"/>
              <w:szCs w:val="24"/>
            </w:rPr>
            <w:t>(Spalek, 2010)</w:t>
          </w:r>
          <w:r w:rsidRPr="0088400D">
            <w:rPr>
              <w:rFonts w:cstheme="minorHAnsi"/>
              <w:sz w:val="24"/>
              <w:szCs w:val="24"/>
            </w:rPr>
            <w:fldChar w:fldCharType="end"/>
          </w:r>
        </w:sdtContent>
      </w:sdt>
      <w:r w:rsidRPr="0088400D">
        <w:rPr>
          <w:rFonts w:cstheme="minorHAnsi"/>
          <w:sz w:val="24"/>
          <w:szCs w:val="24"/>
        </w:rPr>
        <w:t xml:space="preserve">. Connectors have an important role in counterterrorism initiatives as they are able to become the bridge between young Muslims at risk of radicalisation through youth workers and teachers and can pass this information to the police </w:t>
      </w:r>
      <w:sdt>
        <w:sdtPr>
          <w:rPr>
            <w:rFonts w:cstheme="minorHAnsi"/>
            <w:sz w:val="24"/>
            <w:szCs w:val="24"/>
          </w:rPr>
          <w:id w:val="-1460951567"/>
          <w:citation/>
        </w:sdtPr>
        <w:sdtContent>
          <w:r w:rsidRPr="0088400D">
            <w:rPr>
              <w:rFonts w:cstheme="minorHAnsi"/>
              <w:sz w:val="24"/>
              <w:szCs w:val="24"/>
            </w:rPr>
            <w:fldChar w:fldCharType="begin"/>
          </w:r>
          <w:r w:rsidRPr="0088400D">
            <w:rPr>
              <w:rFonts w:cstheme="minorHAnsi"/>
              <w:sz w:val="24"/>
              <w:szCs w:val="24"/>
            </w:rPr>
            <w:instrText xml:space="preserve"> CITATION Hew12 \l 2057 </w:instrText>
          </w:r>
          <w:r w:rsidRPr="0088400D">
            <w:rPr>
              <w:rFonts w:cstheme="minorHAnsi"/>
              <w:sz w:val="24"/>
              <w:szCs w:val="24"/>
            </w:rPr>
            <w:fldChar w:fldCharType="separate"/>
          </w:r>
          <w:r w:rsidRPr="0088400D">
            <w:rPr>
              <w:rFonts w:cstheme="minorHAnsi"/>
              <w:noProof/>
              <w:sz w:val="24"/>
              <w:szCs w:val="24"/>
            </w:rPr>
            <w:t>(Hewitt, et al., 2012)</w:t>
          </w:r>
          <w:r w:rsidRPr="0088400D">
            <w:rPr>
              <w:rFonts w:cstheme="minorHAnsi"/>
              <w:sz w:val="24"/>
              <w:szCs w:val="24"/>
            </w:rPr>
            <w:fldChar w:fldCharType="end"/>
          </w:r>
        </w:sdtContent>
      </w:sdt>
      <w:r w:rsidRPr="0088400D">
        <w:rPr>
          <w:rFonts w:cstheme="minorHAnsi"/>
          <w:sz w:val="24"/>
          <w:szCs w:val="24"/>
        </w:rPr>
        <w:t xml:space="preserve">. However, there are also limitations that must be overcome. Connectors have to carry the burden of potentially being considered as an informant to the police. By challenging or reporting behaviour they consider suspicious within their </w:t>
      </w:r>
      <w:r w:rsidRPr="0088400D">
        <w:rPr>
          <w:rFonts w:cstheme="minorHAnsi"/>
          <w:sz w:val="24"/>
          <w:szCs w:val="24"/>
        </w:rPr>
        <w:lastRenderedPageBreak/>
        <w:t xml:space="preserve">community they may be viewed as a troublemaker by those in wider communities or those in a position of authority within a community of many radicalised Muslims, this may potentially make them a target and put them in unnecessary danger </w:t>
      </w:r>
      <w:sdt>
        <w:sdtPr>
          <w:rPr>
            <w:rFonts w:cstheme="minorHAnsi"/>
            <w:sz w:val="24"/>
            <w:szCs w:val="24"/>
          </w:rPr>
          <w:id w:val="1262884815"/>
          <w:citation/>
        </w:sdtPr>
        <w:sdtContent>
          <w:r w:rsidRPr="0088400D">
            <w:rPr>
              <w:rFonts w:cstheme="minorHAnsi"/>
              <w:sz w:val="24"/>
              <w:szCs w:val="24"/>
            </w:rPr>
            <w:fldChar w:fldCharType="begin"/>
          </w:r>
          <w:r w:rsidRPr="0088400D">
            <w:rPr>
              <w:rFonts w:cstheme="minorHAnsi"/>
              <w:sz w:val="24"/>
              <w:szCs w:val="24"/>
            </w:rPr>
            <w:instrText xml:space="preserve"> CITATION Spa11 \l 2057 </w:instrText>
          </w:r>
          <w:r w:rsidRPr="0088400D">
            <w:rPr>
              <w:rFonts w:cstheme="minorHAnsi"/>
              <w:sz w:val="24"/>
              <w:szCs w:val="24"/>
            </w:rPr>
            <w:fldChar w:fldCharType="separate"/>
          </w:r>
          <w:r w:rsidRPr="0088400D">
            <w:rPr>
              <w:rFonts w:cstheme="minorHAnsi"/>
              <w:noProof/>
              <w:sz w:val="24"/>
              <w:szCs w:val="24"/>
            </w:rPr>
            <w:t>(Spalek, et al., 2011)</w:t>
          </w:r>
          <w:r w:rsidRPr="0088400D">
            <w:rPr>
              <w:rFonts w:cstheme="minorHAnsi"/>
              <w:sz w:val="24"/>
              <w:szCs w:val="24"/>
            </w:rPr>
            <w:fldChar w:fldCharType="end"/>
          </w:r>
        </w:sdtContent>
      </w:sdt>
      <w:r w:rsidRPr="0088400D">
        <w:rPr>
          <w:rFonts w:cstheme="minorHAnsi"/>
          <w:sz w:val="24"/>
          <w:szCs w:val="24"/>
        </w:rPr>
        <w:t>.</w:t>
      </w:r>
    </w:p>
    <w:p w14:paraId="012C8118" w14:textId="63991359" w:rsidR="0088400D" w:rsidRPr="0088400D" w:rsidRDefault="0088400D" w:rsidP="0088400D">
      <w:pPr>
        <w:rPr>
          <w:rFonts w:cstheme="minorHAnsi"/>
          <w:sz w:val="24"/>
          <w:szCs w:val="24"/>
        </w:rPr>
      </w:pPr>
      <w:r w:rsidRPr="0088400D">
        <w:rPr>
          <w:rFonts w:cstheme="minorHAnsi"/>
          <w:sz w:val="24"/>
          <w:szCs w:val="24"/>
        </w:rPr>
        <w:t xml:space="preserve">For this reason, according to </w:t>
      </w:r>
      <w:sdt>
        <w:sdtPr>
          <w:rPr>
            <w:rFonts w:cstheme="minorHAnsi"/>
            <w:sz w:val="24"/>
            <w:szCs w:val="24"/>
          </w:rPr>
          <w:id w:val="1750547840"/>
          <w:citation/>
        </w:sdtPr>
        <w:sdtContent>
          <w:r w:rsidRPr="0088400D">
            <w:rPr>
              <w:rFonts w:cstheme="minorHAnsi"/>
              <w:sz w:val="24"/>
              <w:szCs w:val="24"/>
            </w:rPr>
            <w:fldChar w:fldCharType="begin"/>
          </w:r>
          <w:r w:rsidRPr="0088400D">
            <w:rPr>
              <w:rFonts w:cstheme="minorHAnsi"/>
              <w:sz w:val="24"/>
              <w:szCs w:val="24"/>
            </w:rPr>
            <w:instrText xml:space="preserve"> CITATION Bak12 \l 2057 </w:instrText>
          </w:r>
          <w:r w:rsidRPr="0088400D">
            <w:rPr>
              <w:rFonts w:cstheme="minorHAnsi"/>
              <w:sz w:val="24"/>
              <w:szCs w:val="24"/>
            </w:rPr>
            <w:fldChar w:fldCharType="separate"/>
          </w:r>
          <w:r w:rsidRPr="0088400D">
            <w:rPr>
              <w:rFonts w:cstheme="minorHAnsi"/>
              <w:noProof/>
              <w:sz w:val="24"/>
              <w:szCs w:val="24"/>
            </w:rPr>
            <w:t>(Baker, 2012)</w:t>
          </w:r>
          <w:r w:rsidRPr="0088400D">
            <w:rPr>
              <w:rFonts w:cstheme="minorHAnsi"/>
              <w:sz w:val="24"/>
              <w:szCs w:val="24"/>
            </w:rPr>
            <w:fldChar w:fldCharType="end"/>
          </w:r>
        </w:sdtContent>
      </w:sdt>
      <w:r w:rsidRPr="0088400D">
        <w:rPr>
          <w:rFonts w:cstheme="minorHAnsi"/>
          <w:sz w:val="24"/>
          <w:szCs w:val="24"/>
        </w:rPr>
        <w:t xml:space="preserve">, there needs to be a foundation of trust before effective community engagement can take place. Law enforcement need to be </w:t>
      </w:r>
      <w:r w:rsidR="00C35B9F" w:rsidRPr="0088400D">
        <w:rPr>
          <w:rFonts w:cstheme="minorHAnsi"/>
          <w:sz w:val="24"/>
          <w:szCs w:val="24"/>
        </w:rPr>
        <w:t>seen</w:t>
      </w:r>
      <w:r w:rsidRPr="0088400D">
        <w:rPr>
          <w:rFonts w:cstheme="minorHAnsi"/>
          <w:sz w:val="24"/>
          <w:szCs w:val="24"/>
        </w:rPr>
        <w:t xml:space="preserve"> to have the interests of the Muslim community at the forefront of their mind, in contrast to an information gathering exercise. The Muslim Contact Unit was the first counter terrorism</w:t>
      </w:r>
      <w:r w:rsidR="0006492C">
        <w:rPr>
          <w:rFonts w:cstheme="minorHAnsi"/>
          <w:sz w:val="24"/>
          <w:szCs w:val="24"/>
        </w:rPr>
        <w:t xml:space="preserve"> unit </w:t>
      </w:r>
      <w:r w:rsidRPr="0088400D">
        <w:rPr>
          <w:rFonts w:cstheme="minorHAnsi"/>
          <w:sz w:val="24"/>
          <w:szCs w:val="24"/>
        </w:rPr>
        <w:t xml:space="preserve"> to consider utilising community policing. According to </w:t>
      </w:r>
      <w:sdt>
        <w:sdtPr>
          <w:rPr>
            <w:rFonts w:cstheme="minorHAnsi"/>
            <w:sz w:val="24"/>
            <w:szCs w:val="24"/>
          </w:rPr>
          <w:id w:val="512893085"/>
          <w:citation/>
        </w:sdtPr>
        <w:sdtContent>
          <w:r w:rsidRPr="0088400D">
            <w:rPr>
              <w:rFonts w:cstheme="minorHAnsi"/>
              <w:sz w:val="24"/>
              <w:szCs w:val="24"/>
            </w:rPr>
            <w:fldChar w:fldCharType="begin"/>
          </w:r>
          <w:r w:rsidRPr="0088400D">
            <w:rPr>
              <w:rFonts w:cstheme="minorHAnsi"/>
              <w:sz w:val="24"/>
              <w:szCs w:val="24"/>
            </w:rPr>
            <w:instrText xml:space="preserve"> CITATION Spa14 \l 2057 </w:instrText>
          </w:r>
          <w:r w:rsidRPr="0088400D">
            <w:rPr>
              <w:rFonts w:cstheme="minorHAnsi"/>
              <w:sz w:val="24"/>
              <w:szCs w:val="24"/>
            </w:rPr>
            <w:fldChar w:fldCharType="separate"/>
          </w:r>
          <w:r w:rsidRPr="0088400D">
            <w:rPr>
              <w:rFonts w:cstheme="minorHAnsi"/>
              <w:noProof/>
              <w:sz w:val="24"/>
              <w:szCs w:val="24"/>
            </w:rPr>
            <w:t>(Spalek, 2014)</w:t>
          </w:r>
          <w:r w:rsidRPr="0088400D">
            <w:rPr>
              <w:rFonts w:cstheme="minorHAnsi"/>
              <w:sz w:val="24"/>
              <w:szCs w:val="24"/>
            </w:rPr>
            <w:fldChar w:fldCharType="end"/>
          </w:r>
        </w:sdtContent>
      </w:sdt>
      <w:r w:rsidRPr="0088400D">
        <w:rPr>
          <w:rFonts w:cstheme="minorHAnsi"/>
          <w:sz w:val="24"/>
          <w:szCs w:val="24"/>
        </w:rPr>
        <w:t xml:space="preserve"> treating Muslim community members with respect as a partnership as opposed to suspects or informants is effective when attempting to gain their trust. Members of the community are more likely to cooperate with law enforcement as a partner</w:t>
      </w:r>
      <w:r w:rsidR="0006492C">
        <w:rPr>
          <w:rFonts w:cstheme="minorHAnsi"/>
          <w:sz w:val="24"/>
          <w:szCs w:val="24"/>
        </w:rPr>
        <w:t>, a</w:t>
      </w:r>
      <w:r w:rsidRPr="0088400D">
        <w:rPr>
          <w:rFonts w:cstheme="minorHAnsi"/>
          <w:sz w:val="24"/>
          <w:szCs w:val="24"/>
        </w:rPr>
        <w:t xml:space="preserve">s being an informant to law enforcement comes with the heavy risk of community leaders losing their credibility and legitimacy. Community members are also seen to be more open with sharing information when law enforcement are seen to have a presence and cater to the issues within their community. Issues mostly surrounding anti-social behaviour, hate crime or discrimination towards them or their people. </w:t>
      </w:r>
    </w:p>
    <w:p w14:paraId="23611B69" w14:textId="77777777" w:rsidR="0088400D" w:rsidRPr="0088400D" w:rsidRDefault="0088400D" w:rsidP="0088400D">
      <w:pPr>
        <w:rPr>
          <w:rFonts w:cstheme="minorHAnsi"/>
          <w:sz w:val="24"/>
          <w:szCs w:val="24"/>
        </w:rPr>
      </w:pPr>
      <w:r w:rsidRPr="0088400D">
        <w:rPr>
          <w:rFonts w:cstheme="minorHAnsi"/>
          <w:sz w:val="24"/>
          <w:szCs w:val="24"/>
        </w:rPr>
        <w:t xml:space="preserve">In conclusion, it is evident that Islamic violent extremism poses a very high risk to western society. There are various existing methods of tackling terrorist activity. However, recent studies have indicated that using community engagement as a tool for gathering intelligence has been successful. This intelligence is then analysed and acted upon to intercept all terrorist activity no matter what stage in the process they </w:t>
      </w:r>
      <w:proofErr w:type="gramStart"/>
      <w:r w:rsidRPr="0088400D">
        <w:rPr>
          <w:rFonts w:cstheme="minorHAnsi"/>
          <w:sz w:val="24"/>
          <w:szCs w:val="24"/>
        </w:rPr>
        <w:t>may be in.</w:t>
      </w:r>
      <w:proofErr w:type="gramEnd"/>
      <w:r w:rsidRPr="0088400D">
        <w:rPr>
          <w:rFonts w:cstheme="minorHAnsi"/>
          <w:sz w:val="24"/>
          <w:szCs w:val="24"/>
        </w:rPr>
        <w:t xml:space="preserve"> The UK law enforcement and intelligence services are extremely well equipped in managing violent extremism. This can be partly credited to the work that local neighbourhood police officers are putting in to gain trust with the Muslim communities that they deal with. </w:t>
      </w:r>
    </w:p>
    <w:p w14:paraId="44500062" w14:textId="77777777" w:rsidR="0088400D" w:rsidRPr="0088400D" w:rsidRDefault="0088400D">
      <w:pPr>
        <w:rPr>
          <w:rFonts w:cstheme="minorHAnsi"/>
          <w:sz w:val="24"/>
          <w:szCs w:val="24"/>
        </w:rPr>
      </w:pPr>
    </w:p>
    <w:p w14:paraId="6132D7AE" w14:textId="7C802BB8" w:rsidR="0088400D" w:rsidRDefault="0088400D">
      <w:pPr>
        <w:rPr>
          <w:rFonts w:cstheme="minorHAnsi"/>
          <w:sz w:val="24"/>
          <w:szCs w:val="24"/>
        </w:rPr>
      </w:pPr>
      <w:r w:rsidRPr="0088400D">
        <w:rPr>
          <w:rFonts w:cstheme="minorHAnsi"/>
          <w:sz w:val="24"/>
          <w:szCs w:val="24"/>
        </w:rPr>
        <w:t>Word Count – 187</w:t>
      </w:r>
      <w:r w:rsidR="008D65FB">
        <w:rPr>
          <w:rFonts w:cstheme="minorHAnsi"/>
          <w:sz w:val="24"/>
          <w:szCs w:val="24"/>
        </w:rPr>
        <w:t>4</w:t>
      </w:r>
    </w:p>
    <w:p w14:paraId="70D9EC51" w14:textId="77777777" w:rsidR="008D65FB" w:rsidRPr="0088400D" w:rsidRDefault="008D65FB">
      <w:pPr>
        <w:rPr>
          <w:rFonts w:cstheme="minorHAnsi"/>
          <w:sz w:val="24"/>
          <w:szCs w:val="24"/>
        </w:rPr>
      </w:pPr>
    </w:p>
    <w:p w14:paraId="03AD3963" w14:textId="77777777" w:rsidR="0088400D" w:rsidRPr="0088400D" w:rsidRDefault="0088400D">
      <w:pPr>
        <w:rPr>
          <w:rFonts w:cstheme="minorHAnsi"/>
          <w:sz w:val="24"/>
          <w:szCs w:val="24"/>
        </w:rPr>
      </w:pPr>
    </w:p>
    <w:p w14:paraId="28EC6FD9" w14:textId="77777777" w:rsidR="0088400D" w:rsidRPr="0088400D" w:rsidRDefault="0088400D">
      <w:pPr>
        <w:rPr>
          <w:rFonts w:cstheme="minorHAnsi"/>
          <w:sz w:val="24"/>
          <w:szCs w:val="24"/>
        </w:rPr>
      </w:pPr>
    </w:p>
    <w:p w14:paraId="3343922A" w14:textId="77777777" w:rsidR="0088400D" w:rsidRPr="0088400D" w:rsidRDefault="0088400D">
      <w:pPr>
        <w:rPr>
          <w:rFonts w:cstheme="minorHAnsi"/>
          <w:sz w:val="24"/>
          <w:szCs w:val="24"/>
        </w:rPr>
      </w:pPr>
    </w:p>
    <w:p w14:paraId="55BD0D65" w14:textId="77777777" w:rsidR="0088400D" w:rsidRPr="0088400D" w:rsidRDefault="0088400D">
      <w:pPr>
        <w:rPr>
          <w:rFonts w:cstheme="minorHAnsi"/>
          <w:sz w:val="24"/>
          <w:szCs w:val="24"/>
        </w:rPr>
      </w:pPr>
    </w:p>
    <w:p w14:paraId="360ECDCC" w14:textId="77777777" w:rsidR="0088400D" w:rsidRPr="0088400D" w:rsidRDefault="0088400D">
      <w:pPr>
        <w:rPr>
          <w:rFonts w:cstheme="minorHAnsi"/>
          <w:sz w:val="24"/>
          <w:szCs w:val="24"/>
        </w:rPr>
      </w:pPr>
    </w:p>
    <w:p w14:paraId="3EEAC347" w14:textId="77777777" w:rsidR="0088400D" w:rsidRPr="0088400D" w:rsidRDefault="0088400D">
      <w:pPr>
        <w:rPr>
          <w:rFonts w:cstheme="minorHAnsi"/>
          <w:sz w:val="24"/>
          <w:szCs w:val="24"/>
        </w:rPr>
      </w:pPr>
    </w:p>
    <w:p w14:paraId="216C4038" w14:textId="77777777" w:rsidR="0088400D" w:rsidRPr="0088400D" w:rsidRDefault="0088400D">
      <w:pPr>
        <w:rPr>
          <w:rFonts w:cstheme="minorHAnsi"/>
          <w:sz w:val="24"/>
          <w:szCs w:val="24"/>
        </w:rPr>
      </w:pPr>
    </w:p>
    <w:p w14:paraId="0026FACE" w14:textId="77777777" w:rsidR="0088400D" w:rsidRPr="0088400D" w:rsidRDefault="0088400D">
      <w:pPr>
        <w:rPr>
          <w:rFonts w:cstheme="minorHAnsi"/>
          <w:sz w:val="24"/>
          <w:szCs w:val="24"/>
        </w:rPr>
      </w:pPr>
    </w:p>
    <w:p w14:paraId="5C9724CE" w14:textId="77777777" w:rsidR="0088400D" w:rsidRPr="0088400D" w:rsidRDefault="0088400D">
      <w:pPr>
        <w:rPr>
          <w:rFonts w:cstheme="minorHAnsi"/>
          <w:sz w:val="24"/>
          <w:szCs w:val="24"/>
        </w:rPr>
      </w:pPr>
    </w:p>
    <w:p w14:paraId="60F27910" w14:textId="63975145" w:rsidR="0088400D" w:rsidRPr="0088400D" w:rsidRDefault="0088400D" w:rsidP="0088400D">
      <w:pPr>
        <w:pStyle w:val="ListParagraph"/>
        <w:numPr>
          <w:ilvl w:val="0"/>
          <w:numId w:val="1"/>
        </w:numPr>
        <w:rPr>
          <w:rFonts w:cstheme="minorHAnsi"/>
          <w:b/>
          <w:bCs/>
          <w:sz w:val="24"/>
          <w:szCs w:val="24"/>
        </w:rPr>
      </w:pPr>
      <w:r w:rsidRPr="0088400D">
        <w:rPr>
          <w:rFonts w:cstheme="minorHAnsi"/>
          <w:b/>
          <w:bCs/>
          <w:sz w:val="24"/>
          <w:szCs w:val="24"/>
        </w:rPr>
        <w:lastRenderedPageBreak/>
        <w:t>Evaluate the role of police within joint emergency services operations and examine the potential impact that critical and major incidents can have on officers’ mental wellbeing. Your answer must be based on academic research, but you may make reference to relevant high-profile incidents.</w:t>
      </w:r>
    </w:p>
    <w:p w14:paraId="511B4F1A" w14:textId="77777777" w:rsidR="0088400D" w:rsidRPr="0088400D" w:rsidRDefault="0088400D" w:rsidP="0088400D">
      <w:pPr>
        <w:rPr>
          <w:rFonts w:cstheme="minorHAnsi"/>
          <w:sz w:val="24"/>
          <w:szCs w:val="24"/>
        </w:rPr>
      </w:pPr>
    </w:p>
    <w:p w14:paraId="1FB67A27" w14:textId="77777777" w:rsidR="0088400D" w:rsidRPr="0088400D" w:rsidRDefault="0088400D" w:rsidP="0088400D">
      <w:pPr>
        <w:rPr>
          <w:rFonts w:cstheme="minorHAnsi"/>
          <w:sz w:val="24"/>
          <w:szCs w:val="24"/>
        </w:rPr>
      </w:pPr>
      <w:r w:rsidRPr="0088400D">
        <w:rPr>
          <w:rFonts w:cstheme="minorHAnsi"/>
          <w:sz w:val="24"/>
          <w:szCs w:val="24"/>
        </w:rPr>
        <w:t xml:space="preserve">This essay aims to evaluate the role of police officers within joint emergency services operations. It also aims to examine the potential impact that critical and major incidents can have on police officer’s mental wellbeing.  </w:t>
      </w:r>
    </w:p>
    <w:p w14:paraId="3678FE9D" w14:textId="1D3ECDCA" w:rsidR="0088400D" w:rsidRPr="0088400D" w:rsidRDefault="0088400D" w:rsidP="0088400D">
      <w:pPr>
        <w:rPr>
          <w:rFonts w:cstheme="minorHAnsi"/>
          <w:sz w:val="24"/>
          <w:szCs w:val="24"/>
        </w:rPr>
      </w:pPr>
      <w:r w:rsidRPr="0088400D">
        <w:rPr>
          <w:rFonts w:cstheme="minorHAnsi"/>
          <w:sz w:val="24"/>
          <w:szCs w:val="24"/>
        </w:rPr>
        <w:t xml:space="preserve">Each of the emergency services have their own specific goals within the community. However, there are situations where two or more of the emergency services must attend. When these situations are more severe in nature, they are more commonly referred to as a major incident. According to the Joint Emergency Service Interoperability Programme </w:t>
      </w:r>
      <w:sdt>
        <w:sdtPr>
          <w:rPr>
            <w:rFonts w:cstheme="minorHAnsi"/>
            <w:sz w:val="24"/>
            <w:szCs w:val="24"/>
          </w:rPr>
          <w:id w:val="267894457"/>
          <w:citation/>
        </w:sdtPr>
        <w:sdtContent>
          <w:r w:rsidRPr="0088400D">
            <w:rPr>
              <w:rFonts w:cstheme="minorHAnsi"/>
              <w:sz w:val="24"/>
              <w:szCs w:val="24"/>
            </w:rPr>
            <w:fldChar w:fldCharType="begin"/>
          </w:r>
          <w:r w:rsidRPr="0088400D">
            <w:rPr>
              <w:rFonts w:cstheme="minorHAnsi"/>
              <w:sz w:val="24"/>
              <w:szCs w:val="24"/>
            </w:rPr>
            <w:instrText xml:space="preserve"> CITATION JES24 \l 2057 </w:instrText>
          </w:r>
          <w:r w:rsidRPr="0088400D">
            <w:rPr>
              <w:rFonts w:cstheme="minorHAnsi"/>
              <w:sz w:val="24"/>
              <w:szCs w:val="24"/>
            </w:rPr>
            <w:fldChar w:fldCharType="separate"/>
          </w:r>
          <w:r w:rsidRPr="0088400D">
            <w:rPr>
              <w:rFonts w:cstheme="minorHAnsi"/>
              <w:noProof/>
              <w:sz w:val="24"/>
              <w:szCs w:val="24"/>
            </w:rPr>
            <w:t>(JESIP, 2024)</w:t>
          </w:r>
          <w:r w:rsidRPr="0088400D">
            <w:rPr>
              <w:rFonts w:cstheme="minorHAnsi"/>
              <w:sz w:val="24"/>
              <w:szCs w:val="24"/>
            </w:rPr>
            <w:fldChar w:fldCharType="end"/>
          </w:r>
        </w:sdtContent>
      </w:sdt>
      <w:r w:rsidRPr="0088400D">
        <w:rPr>
          <w:rFonts w:cstheme="minorHAnsi"/>
          <w:sz w:val="24"/>
          <w:szCs w:val="24"/>
        </w:rPr>
        <w:t xml:space="preserve">, a major incident is defined as ‘An event or situation with a range of serious consequences which requires special arrangements to be implemented by one or more emergency responder agency’. During a major incident, all emergency services come together as one to form an efficient and effective team. They use their individual expertise and training in pursuit of their collective goal, which is to ultimately save lives </w:t>
      </w:r>
      <w:sdt>
        <w:sdtPr>
          <w:rPr>
            <w:rFonts w:cstheme="minorHAnsi"/>
            <w:sz w:val="24"/>
            <w:szCs w:val="24"/>
          </w:rPr>
          <w:id w:val="-810402980"/>
          <w:citation/>
        </w:sdtPr>
        <w:sdtContent>
          <w:r w:rsidRPr="0088400D">
            <w:rPr>
              <w:rFonts w:cstheme="minorHAnsi"/>
              <w:sz w:val="24"/>
              <w:szCs w:val="24"/>
            </w:rPr>
            <w:fldChar w:fldCharType="begin"/>
          </w:r>
          <w:r w:rsidRPr="0088400D">
            <w:rPr>
              <w:rFonts w:cstheme="minorHAnsi"/>
              <w:sz w:val="24"/>
              <w:szCs w:val="24"/>
            </w:rPr>
            <w:instrText xml:space="preserve">CITATION Cen23 \l 2057 </w:instrText>
          </w:r>
          <w:r w:rsidRPr="0088400D">
            <w:rPr>
              <w:rFonts w:cstheme="minorHAnsi"/>
              <w:sz w:val="24"/>
              <w:szCs w:val="24"/>
            </w:rPr>
            <w:fldChar w:fldCharType="separate"/>
          </w:r>
          <w:r w:rsidRPr="0088400D">
            <w:rPr>
              <w:rFonts w:cstheme="minorHAnsi"/>
              <w:noProof/>
              <w:sz w:val="24"/>
              <w:szCs w:val="24"/>
            </w:rPr>
            <w:t>(Power, et al., 2023)</w:t>
          </w:r>
          <w:r w:rsidRPr="0088400D">
            <w:rPr>
              <w:rFonts w:cstheme="minorHAnsi"/>
              <w:sz w:val="24"/>
              <w:szCs w:val="24"/>
            </w:rPr>
            <w:fldChar w:fldCharType="end"/>
          </w:r>
        </w:sdtContent>
      </w:sdt>
      <w:r w:rsidRPr="0088400D">
        <w:rPr>
          <w:rFonts w:cstheme="minorHAnsi"/>
          <w:sz w:val="24"/>
          <w:szCs w:val="24"/>
        </w:rPr>
        <w:t xml:space="preserve">.  The Joint Emergency Service Interoperability Programme was created to initiate changes at an operational level to enhance emergency services’ cooperation with one another to best respond to major incidents </w:t>
      </w:r>
      <w:sdt>
        <w:sdtPr>
          <w:rPr>
            <w:rFonts w:cstheme="minorHAnsi"/>
            <w:sz w:val="24"/>
            <w:szCs w:val="24"/>
          </w:rPr>
          <w:id w:val="2058272135"/>
          <w:citation/>
        </w:sdtPr>
        <w:sdtContent>
          <w:r w:rsidRPr="0088400D">
            <w:rPr>
              <w:rFonts w:cstheme="minorHAnsi"/>
              <w:sz w:val="24"/>
              <w:szCs w:val="24"/>
            </w:rPr>
            <w:fldChar w:fldCharType="begin"/>
          </w:r>
          <w:r w:rsidRPr="0088400D">
            <w:rPr>
              <w:rFonts w:cstheme="minorHAnsi"/>
              <w:sz w:val="24"/>
              <w:szCs w:val="24"/>
            </w:rPr>
            <w:instrText xml:space="preserve">CITATION His23 \l 2057 </w:instrText>
          </w:r>
          <w:r w:rsidRPr="0088400D">
            <w:rPr>
              <w:rFonts w:cstheme="minorHAnsi"/>
              <w:sz w:val="24"/>
              <w:szCs w:val="24"/>
            </w:rPr>
            <w:fldChar w:fldCharType="separate"/>
          </w:r>
          <w:r w:rsidRPr="0088400D">
            <w:rPr>
              <w:rFonts w:cstheme="minorHAnsi"/>
              <w:noProof/>
              <w:sz w:val="24"/>
              <w:szCs w:val="24"/>
            </w:rPr>
            <w:t>(HMICFRS, 2023)</w:t>
          </w:r>
          <w:r w:rsidRPr="0088400D">
            <w:rPr>
              <w:rFonts w:cstheme="minorHAnsi"/>
              <w:sz w:val="24"/>
              <w:szCs w:val="24"/>
            </w:rPr>
            <w:fldChar w:fldCharType="end"/>
          </w:r>
        </w:sdtContent>
      </w:sdt>
      <w:r w:rsidRPr="0088400D">
        <w:rPr>
          <w:rFonts w:cstheme="minorHAnsi"/>
          <w:sz w:val="24"/>
          <w:szCs w:val="24"/>
        </w:rPr>
        <w:t xml:space="preserve">. </w:t>
      </w:r>
    </w:p>
    <w:p w14:paraId="5ACC9BB5" w14:textId="6E80F475" w:rsidR="0088400D" w:rsidRPr="0088400D" w:rsidRDefault="0088400D" w:rsidP="0088400D">
      <w:pPr>
        <w:rPr>
          <w:rFonts w:cstheme="minorHAnsi"/>
          <w:sz w:val="24"/>
          <w:szCs w:val="24"/>
        </w:rPr>
      </w:pPr>
      <w:r w:rsidRPr="0088400D">
        <w:rPr>
          <w:rFonts w:cstheme="minorHAnsi"/>
          <w:sz w:val="24"/>
          <w:szCs w:val="24"/>
        </w:rPr>
        <w:t xml:space="preserve">The joint Emergency Service Interoperability Programme illustrates five principles when dealing with a major incident, namely co-locate, communicate, co-ordinate,  jointly understand risk and shared situational awareness </w:t>
      </w:r>
      <w:sdt>
        <w:sdtPr>
          <w:rPr>
            <w:rFonts w:cstheme="minorHAnsi"/>
            <w:sz w:val="24"/>
            <w:szCs w:val="24"/>
          </w:rPr>
          <w:id w:val="-822044309"/>
          <w:citation/>
        </w:sdtPr>
        <w:sdtContent>
          <w:r w:rsidRPr="0088400D">
            <w:rPr>
              <w:rFonts w:cstheme="minorHAnsi"/>
              <w:sz w:val="24"/>
              <w:szCs w:val="24"/>
            </w:rPr>
            <w:fldChar w:fldCharType="begin"/>
          </w:r>
          <w:r w:rsidRPr="0088400D">
            <w:rPr>
              <w:rFonts w:cstheme="minorHAnsi"/>
              <w:sz w:val="24"/>
              <w:szCs w:val="24"/>
            </w:rPr>
            <w:instrText xml:space="preserve">CITATION Joi161 \l 2057 </w:instrText>
          </w:r>
          <w:r w:rsidRPr="0088400D">
            <w:rPr>
              <w:rFonts w:cstheme="minorHAnsi"/>
              <w:sz w:val="24"/>
              <w:szCs w:val="24"/>
            </w:rPr>
            <w:fldChar w:fldCharType="separate"/>
          </w:r>
          <w:r w:rsidRPr="0088400D">
            <w:rPr>
              <w:rFonts w:cstheme="minorHAnsi"/>
              <w:noProof/>
              <w:sz w:val="24"/>
              <w:szCs w:val="24"/>
            </w:rPr>
            <w:t>(JESIP, 2016)</w:t>
          </w:r>
          <w:r w:rsidRPr="0088400D">
            <w:rPr>
              <w:rFonts w:cstheme="minorHAnsi"/>
              <w:sz w:val="24"/>
              <w:szCs w:val="24"/>
            </w:rPr>
            <w:fldChar w:fldCharType="end"/>
          </w:r>
        </w:sdtContent>
      </w:sdt>
      <w:r w:rsidRPr="0088400D">
        <w:rPr>
          <w:rFonts w:cstheme="minorHAnsi"/>
          <w:sz w:val="24"/>
          <w:szCs w:val="24"/>
        </w:rPr>
        <w:t xml:space="preserve">. Co-location suggests that emergency services’ officer in command must select an agreed rendezvous point to which they can discuss an action plan face-to-face, this can result in the most effective incident management. Communication suggests that information shared between services must be through a uniform terminology that all services can understand, failure to do this could lead to miscommunication leading to a potentially dangerous incident. An example of these principles not being used would be during 9/11, police staff operating a police helicopter reported over radio communication that they could see exposed beams that were glowing red in the North Tower. They advised an immediate evacuation of the tower. The police and the fire service had separate command posts in different location, both using their own radio channels. The observation passed by police was not passed to the fire service, therefore resulting in the death of many frontline firefighters </w:t>
      </w:r>
      <w:sdt>
        <w:sdtPr>
          <w:rPr>
            <w:rFonts w:cstheme="minorHAnsi"/>
            <w:sz w:val="24"/>
            <w:szCs w:val="24"/>
          </w:rPr>
          <w:id w:val="-985621318"/>
          <w:citation/>
        </w:sdtPr>
        <w:sdtContent>
          <w:r w:rsidRPr="0088400D">
            <w:rPr>
              <w:rFonts w:cstheme="minorHAnsi"/>
              <w:sz w:val="24"/>
              <w:szCs w:val="24"/>
            </w:rPr>
            <w:fldChar w:fldCharType="begin"/>
          </w:r>
          <w:r w:rsidRPr="0088400D">
            <w:rPr>
              <w:rFonts w:cstheme="minorHAnsi"/>
              <w:sz w:val="24"/>
              <w:szCs w:val="24"/>
            </w:rPr>
            <w:instrText xml:space="preserve"> CITATION Fag12 \l 2057 </w:instrText>
          </w:r>
          <w:r w:rsidRPr="0088400D">
            <w:rPr>
              <w:rFonts w:cstheme="minorHAnsi"/>
              <w:sz w:val="24"/>
              <w:szCs w:val="24"/>
            </w:rPr>
            <w:fldChar w:fldCharType="separate"/>
          </w:r>
          <w:r w:rsidRPr="0088400D">
            <w:rPr>
              <w:rFonts w:cstheme="minorHAnsi"/>
              <w:noProof/>
              <w:sz w:val="24"/>
              <w:szCs w:val="24"/>
            </w:rPr>
            <w:t>(Faggiano, et al., 2012)</w:t>
          </w:r>
          <w:r w:rsidRPr="0088400D">
            <w:rPr>
              <w:rFonts w:cstheme="minorHAnsi"/>
              <w:sz w:val="24"/>
              <w:szCs w:val="24"/>
            </w:rPr>
            <w:fldChar w:fldCharType="end"/>
          </w:r>
        </w:sdtContent>
      </w:sdt>
      <w:r w:rsidRPr="0088400D">
        <w:rPr>
          <w:rFonts w:cstheme="minorHAnsi"/>
          <w:sz w:val="24"/>
          <w:szCs w:val="24"/>
        </w:rPr>
        <w:t>. Co-ordination suggests that one of the emergency service commanding officers should take overall leadership responsibility depending on the nature of the major incident, using their specific expertise and operational capabilities. Major incidents can be very diverse, they can be natural or manmade occurrences. Natural major incidents are usually as a result of natural disasters such as wildfires or a tsunami. Manmade major incidents can come in many different formats. However, as an example it involves a densely populated area</w:t>
      </w:r>
      <w:r w:rsidR="00BF4A13">
        <w:rPr>
          <w:rFonts w:cstheme="minorHAnsi"/>
          <w:sz w:val="24"/>
          <w:szCs w:val="24"/>
        </w:rPr>
        <w:t>s</w:t>
      </w:r>
      <w:r w:rsidRPr="0088400D">
        <w:rPr>
          <w:rFonts w:cstheme="minorHAnsi"/>
          <w:sz w:val="24"/>
          <w:szCs w:val="24"/>
        </w:rPr>
        <w:t xml:space="preserve"> that is being targeted by deliberate terrorist activity </w:t>
      </w:r>
      <w:sdt>
        <w:sdtPr>
          <w:rPr>
            <w:rFonts w:cstheme="minorHAnsi"/>
            <w:sz w:val="24"/>
            <w:szCs w:val="24"/>
          </w:rPr>
          <w:id w:val="-2142021233"/>
          <w:citation/>
        </w:sdtPr>
        <w:sdtContent>
          <w:r w:rsidRPr="0088400D">
            <w:rPr>
              <w:rFonts w:cstheme="minorHAnsi"/>
              <w:sz w:val="24"/>
              <w:szCs w:val="24"/>
            </w:rPr>
            <w:fldChar w:fldCharType="begin"/>
          </w:r>
          <w:r w:rsidRPr="0088400D">
            <w:rPr>
              <w:rFonts w:cstheme="minorHAnsi"/>
              <w:sz w:val="24"/>
              <w:szCs w:val="24"/>
            </w:rPr>
            <w:instrText xml:space="preserve"> CITATION MIM16 \l 2057 </w:instrText>
          </w:r>
          <w:r w:rsidRPr="0088400D">
            <w:rPr>
              <w:rFonts w:cstheme="minorHAnsi"/>
              <w:sz w:val="24"/>
              <w:szCs w:val="24"/>
            </w:rPr>
            <w:fldChar w:fldCharType="separate"/>
          </w:r>
          <w:r w:rsidRPr="0088400D">
            <w:rPr>
              <w:rFonts w:cstheme="minorHAnsi"/>
              <w:noProof/>
              <w:sz w:val="24"/>
              <w:szCs w:val="24"/>
            </w:rPr>
            <w:t>(MIMMS, 2016)</w:t>
          </w:r>
          <w:r w:rsidRPr="0088400D">
            <w:rPr>
              <w:rFonts w:cstheme="minorHAnsi"/>
              <w:sz w:val="24"/>
              <w:szCs w:val="24"/>
            </w:rPr>
            <w:fldChar w:fldCharType="end"/>
          </w:r>
        </w:sdtContent>
      </w:sdt>
      <w:r w:rsidRPr="0088400D">
        <w:rPr>
          <w:rFonts w:cstheme="minorHAnsi"/>
          <w:sz w:val="24"/>
          <w:szCs w:val="24"/>
        </w:rPr>
        <w:t xml:space="preserve">. During deliberate terrorist activity, it is likely that police would assume operational command as their operational capabilities and </w:t>
      </w:r>
      <w:r w:rsidRPr="0088400D">
        <w:rPr>
          <w:rFonts w:cstheme="minorHAnsi"/>
          <w:sz w:val="24"/>
          <w:szCs w:val="24"/>
        </w:rPr>
        <w:lastRenderedPageBreak/>
        <w:t xml:space="preserve">their role within a major incident best fits the incident. Police roles during a major incident include most importantly protecting life and property, but also protecting and preserving any potential scenes that require investigation </w:t>
      </w:r>
      <w:sdt>
        <w:sdtPr>
          <w:rPr>
            <w:rFonts w:cstheme="minorHAnsi"/>
            <w:sz w:val="24"/>
            <w:szCs w:val="24"/>
          </w:rPr>
          <w:id w:val="1189865260"/>
          <w:citation/>
        </w:sdtPr>
        <w:sdtContent>
          <w:r w:rsidRPr="0088400D">
            <w:rPr>
              <w:rFonts w:cstheme="minorHAnsi"/>
              <w:sz w:val="24"/>
              <w:szCs w:val="24"/>
            </w:rPr>
            <w:fldChar w:fldCharType="begin"/>
          </w:r>
          <w:r w:rsidRPr="0088400D">
            <w:rPr>
              <w:rFonts w:cstheme="minorHAnsi"/>
              <w:sz w:val="24"/>
              <w:szCs w:val="24"/>
            </w:rPr>
            <w:instrText xml:space="preserve"> CITATION JES22 \l 2057 </w:instrText>
          </w:r>
          <w:r w:rsidRPr="0088400D">
            <w:rPr>
              <w:rFonts w:cstheme="minorHAnsi"/>
              <w:sz w:val="24"/>
              <w:szCs w:val="24"/>
            </w:rPr>
            <w:fldChar w:fldCharType="separate"/>
          </w:r>
          <w:r w:rsidRPr="0088400D">
            <w:rPr>
              <w:rFonts w:cstheme="minorHAnsi"/>
              <w:noProof/>
              <w:sz w:val="24"/>
              <w:szCs w:val="24"/>
            </w:rPr>
            <w:t>(JESIP, 2022)</w:t>
          </w:r>
          <w:r w:rsidRPr="0088400D">
            <w:rPr>
              <w:rFonts w:cstheme="minorHAnsi"/>
              <w:sz w:val="24"/>
              <w:szCs w:val="24"/>
            </w:rPr>
            <w:fldChar w:fldCharType="end"/>
          </w:r>
        </w:sdtContent>
      </w:sdt>
      <w:r w:rsidRPr="0088400D">
        <w:rPr>
          <w:rFonts w:cstheme="minorHAnsi"/>
          <w:sz w:val="24"/>
          <w:szCs w:val="24"/>
        </w:rPr>
        <w:t xml:space="preserve">. Ensuring a clear definition of roles within a major incident prevents confusion and duplication of efforts </w:t>
      </w:r>
      <w:sdt>
        <w:sdtPr>
          <w:rPr>
            <w:rFonts w:cstheme="minorHAnsi"/>
            <w:sz w:val="24"/>
            <w:szCs w:val="24"/>
          </w:rPr>
          <w:id w:val="333498860"/>
          <w:citation/>
        </w:sdtPr>
        <w:sdtContent>
          <w:r w:rsidRPr="0088400D">
            <w:rPr>
              <w:rFonts w:cstheme="minorHAnsi"/>
              <w:sz w:val="24"/>
              <w:szCs w:val="24"/>
            </w:rPr>
            <w:fldChar w:fldCharType="begin"/>
          </w:r>
          <w:r w:rsidRPr="0088400D">
            <w:rPr>
              <w:rFonts w:cstheme="minorHAnsi"/>
              <w:sz w:val="24"/>
              <w:szCs w:val="24"/>
            </w:rPr>
            <w:instrText xml:space="preserve"> CITATION Pea24 \l 2057 </w:instrText>
          </w:r>
          <w:r w:rsidRPr="0088400D">
            <w:rPr>
              <w:rFonts w:cstheme="minorHAnsi"/>
              <w:sz w:val="24"/>
              <w:szCs w:val="24"/>
            </w:rPr>
            <w:fldChar w:fldCharType="separate"/>
          </w:r>
          <w:r w:rsidRPr="0088400D">
            <w:rPr>
              <w:rFonts w:cstheme="minorHAnsi"/>
              <w:noProof/>
              <w:sz w:val="24"/>
              <w:szCs w:val="24"/>
            </w:rPr>
            <w:t>(Peate &amp; Willis, 2024)</w:t>
          </w:r>
          <w:r w:rsidRPr="0088400D">
            <w:rPr>
              <w:rFonts w:cstheme="minorHAnsi"/>
              <w:sz w:val="24"/>
              <w:szCs w:val="24"/>
            </w:rPr>
            <w:fldChar w:fldCharType="end"/>
          </w:r>
        </w:sdtContent>
      </w:sdt>
      <w:r w:rsidRPr="0088400D">
        <w:rPr>
          <w:rFonts w:cstheme="minorHAnsi"/>
          <w:sz w:val="24"/>
          <w:szCs w:val="24"/>
        </w:rPr>
        <w:t>. Jointly understanding risk suggests that each emergency service evaluates risk differently, that each individual must make their own assessment of the risk and share it</w:t>
      </w:r>
      <w:r w:rsidR="00A127B7">
        <w:rPr>
          <w:rFonts w:cstheme="minorHAnsi"/>
          <w:sz w:val="24"/>
          <w:szCs w:val="24"/>
        </w:rPr>
        <w:t xml:space="preserve">, </w:t>
      </w:r>
      <w:r w:rsidRPr="0088400D">
        <w:rPr>
          <w:rFonts w:cstheme="minorHAnsi"/>
          <w:sz w:val="24"/>
          <w:szCs w:val="24"/>
        </w:rPr>
        <w:t xml:space="preserve">so that a joint plan of action can be created. Finally, shared situational awareness suggests that all emergency service personal must have a joint understanding of the major incident. This is achieved by using the ‘METHANE’ model  </w:t>
      </w:r>
      <w:sdt>
        <w:sdtPr>
          <w:rPr>
            <w:rFonts w:cstheme="minorHAnsi"/>
            <w:sz w:val="24"/>
            <w:szCs w:val="24"/>
          </w:rPr>
          <w:id w:val="485130148"/>
          <w:citation/>
        </w:sdtPr>
        <w:sdtContent>
          <w:r w:rsidRPr="0088400D">
            <w:rPr>
              <w:rFonts w:cstheme="minorHAnsi"/>
              <w:sz w:val="24"/>
              <w:szCs w:val="24"/>
            </w:rPr>
            <w:fldChar w:fldCharType="begin"/>
          </w:r>
          <w:r w:rsidRPr="0088400D">
            <w:rPr>
              <w:rFonts w:cstheme="minorHAnsi"/>
              <w:sz w:val="24"/>
              <w:szCs w:val="24"/>
            </w:rPr>
            <w:instrText xml:space="preserve"> CITATION Mac121 \l 2057 </w:instrText>
          </w:r>
          <w:r w:rsidRPr="0088400D">
            <w:rPr>
              <w:rFonts w:cstheme="minorHAnsi"/>
              <w:sz w:val="24"/>
              <w:szCs w:val="24"/>
            </w:rPr>
            <w:fldChar w:fldCharType="separate"/>
          </w:r>
          <w:r w:rsidRPr="0088400D">
            <w:rPr>
              <w:rFonts w:cstheme="minorHAnsi"/>
              <w:noProof/>
              <w:sz w:val="24"/>
              <w:szCs w:val="24"/>
            </w:rPr>
            <w:t>(Mackway-Jones , 2012)</w:t>
          </w:r>
          <w:r w:rsidRPr="0088400D">
            <w:rPr>
              <w:rFonts w:cstheme="minorHAnsi"/>
              <w:sz w:val="24"/>
              <w:szCs w:val="24"/>
            </w:rPr>
            <w:fldChar w:fldCharType="end"/>
          </w:r>
        </w:sdtContent>
      </w:sdt>
      <w:r w:rsidRPr="0088400D">
        <w:rPr>
          <w:rFonts w:cstheme="minorHAnsi"/>
          <w:sz w:val="24"/>
          <w:szCs w:val="24"/>
        </w:rPr>
        <w:t xml:space="preserve">. </w:t>
      </w:r>
    </w:p>
    <w:p w14:paraId="69DB510A" w14:textId="06C07F33" w:rsidR="0088400D" w:rsidRPr="0088400D" w:rsidRDefault="0088400D" w:rsidP="0088400D">
      <w:pPr>
        <w:rPr>
          <w:rFonts w:cstheme="minorHAnsi"/>
          <w:sz w:val="24"/>
          <w:szCs w:val="24"/>
        </w:rPr>
      </w:pPr>
      <w:r w:rsidRPr="0088400D">
        <w:rPr>
          <w:rFonts w:cstheme="minorHAnsi"/>
          <w:sz w:val="24"/>
          <w:szCs w:val="24"/>
        </w:rPr>
        <w:t>The METHANE model is used by all of the emergency services as a method to pass all major incident information, it allows all personnel to have complete situational awareness. The first part of the model is ‘Major Incident’, this is where emergency service personnel will declare that a major incident has occurred, as well as the time of declaration. The next part is ‘Exact location’, this is where personnel will pass over radio transmission the exact location that the major incident has occurred so other units can attend. The next part is ‘Type of incident’, as discussed above, major incidents can be very diverse. This is where personnel will communicate what exactly has happened. The next part is ‘Hazards’, this is where personnel will consider and share the potential hazards that are likely to affect emergency service intervention. The next part is ‘Access’, this is where personnel will identify the best routes for emergency services to access and escape the scene, whilst also sharing a safe rendezvous point. The next part is ‘Number of casualties’, this is where personnel will share how many casualties there are, but also what condition the casualties are in using the agreed classification of ‘P1’, ‘P2’, ‘P3’ and ‘deceased’</w:t>
      </w:r>
      <w:sdt>
        <w:sdtPr>
          <w:rPr>
            <w:rFonts w:cstheme="minorHAnsi"/>
            <w:sz w:val="24"/>
            <w:szCs w:val="24"/>
          </w:rPr>
          <w:id w:val="-1173184860"/>
          <w:citation/>
        </w:sdtPr>
        <w:sdtContent>
          <w:r w:rsidRPr="0088400D">
            <w:rPr>
              <w:rFonts w:cstheme="minorHAnsi"/>
              <w:sz w:val="24"/>
              <w:szCs w:val="24"/>
            </w:rPr>
            <w:fldChar w:fldCharType="begin"/>
          </w:r>
          <w:r w:rsidRPr="0088400D">
            <w:rPr>
              <w:rFonts w:cstheme="minorHAnsi"/>
              <w:sz w:val="24"/>
              <w:szCs w:val="24"/>
            </w:rPr>
            <w:instrText xml:space="preserve"> CITATION Joi161 \l 2057 </w:instrText>
          </w:r>
          <w:r w:rsidRPr="0088400D">
            <w:rPr>
              <w:rFonts w:cstheme="minorHAnsi"/>
              <w:sz w:val="24"/>
              <w:szCs w:val="24"/>
            </w:rPr>
            <w:fldChar w:fldCharType="separate"/>
          </w:r>
          <w:r w:rsidRPr="0088400D">
            <w:rPr>
              <w:rFonts w:cstheme="minorHAnsi"/>
              <w:noProof/>
              <w:sz w:val="24"/>
              <w:szCs w:val="24"/>
            </w:rPr>
            <w:t xml:space="preserve"> (JESIP, 2016)</w:t>
          </w:r>
          <w:r w:rsidRPr="0088400D">
            <w:rPr>
              <w:rFonts w:cstheme="minorHAnsi"/>
              <w:sz w:val="24"/>
              <w:szCs w:val="24"/>
            </w:rPr>
            <w:fldChar w:fldCharType="end"/>
          </w:r>
        </w:sdtContent>
      </w:sdt>
      <w:r w:rsidRPr="0088400D">
        <w:rPr>
          <w:rFonts w:cstheme="minorHAnsi"/>
          <w:sz w:val="24"/>
          <w:szCs w:val="24"/>
        </w:rPr>
        <w:t xml:space="preserve">. The final part of the ‘METHANE’ model is ‘Emergency services’, this is where personnel at the scene will request the emergency service assets that are needed and how many. </w:t>
      </w:r>
    </w:p>
    <w:p w14:paraId="1DC0CFC4" w14:textId="72D9CD7B" w:rsidR="0088400D" w:rsidRPr="0088400D" w:rsidRDefault="0088400D" w:rsidP="0088400D">
      <w:pPr>
        <w:rPr>
          <w:rFonts w:cstheme="minorHAnsi"/>
          <w:sz w:val="24"/>
          <w:szCs w:val="24"/>
        </w:rPr>
      </w:pPr>
      <w:r w:rsidRPr="0088400D">
        <w:rPr>
          <w:rFonts w:cstheme="minorHAnsi"/>
          <w:sz w:val="24"/>
          <w:szCs w:val="24"/>
        </w:rPr>
        <w:t xml:space="preserve">Police officers are routinely exposed to traumatic and life-threatening incidents </w:t>
      </w:r>
      <w:sdt>
        <w:sdtPr>
          <w:rPr>
            <w:rFonts w:cstheme="minorHAnsi"/>
            <w:sz w:val="24"/>
            <w:szCs w:val="24"/>
          </w:rPr>
          <w:id w:val="1289009178"/>
          <w:citation/>
        </w:sdtPr>
        <w:sdtContent>
          <w:r w:rsidRPr="0088400D">
            <w:rPr>
              <w:rFonts w:cstheme="minorHAnsi"/>
              <w:sz w:val="24"/>
              <w:szCs w:val="24"/>
            </w:rPr>
            <w:fldChar w:fldCharType="begin"/>
          </w:r>
          <w:r w:rsidRPr="0088400D">
            <w:rPr>
              <w:rFonts w:cstheme="minorHAnsi"/>
              <w:sz w:val="24"/>
              <w:szCs w:val="24"/>
            </w:rPr>
            <w:instrText xml:space="preserve"> CITATION Hes18 \l 2057 </w:instrText>
          </w:r>
          <w:r w:rsidRPr="0088400D">
            <w:rPr>
              <w:rFonts w:cstheme="minorHAnsi"/>
              <w:sz w:val="24"/>
              <w:szCs w:val="24"/>
            </w:rPr>
            <w:fldChar w:fldCharType="separate"/>
          </w:r>
          <w:r w:rsidRPr="0088400D">
            <w:rPr>
              <w:rFonts w:cstheme="minorHAnsi"/>
              <w:noProof/>
              <w:sz w:val="24"/>
              <w:szCs w:val="24"/>
            </w:rPr>
            <w:t>(Hesketh &amp; Tehrani, 2018)</w:t>
          </w:r>
          <w:r w:rsidRPr="0088400D">
            <w:rPr>
              <w:rFonts w:cstheme="minorHAnsi"/>
              <w:sz w:val="24"/>
              <w:szCs w:val="24"/>
            </w:rPr>
            <w:fldChar w:fldCharType="end"/>
          </w:r>
        </w:sdtContent>
      </w:sdt>
      <w:r w:rsidRPr="0088400D">
        <w:rPr>
          <w:rFonts w:cstheme="minorHAnsi"/>
          <w:sz w:val="24"/>
          <w:szCs w:val="24"/>
        </w:rPr>
        <w:t xml:space="preserve">. These incidents can cause officers distress and in time, result in significant mental health issues </w:t>
      </w:r>
      <w:sdt>
        <w:sdtPr>
          <w:rPr>
            <w:rFonts w:cstheme="minorHAnsi"/>
            <w:sz w:val="24"/>
            <w:szCs w:val="24"/>
          </w:rPr>
          <w:id w:val="-1108575407"/>
          <w:citation/>
        </w:sdtPr>
        <w:sdtContent>
          <w:r w:rsidRPr="0088400D">
            <w:rPr>
              <w:rFonts w:cstheme="minorHAnsi"/>
              <w:sz w:val="24"/>
              <w:szCs w:val="24"/>
            </w:rPr>
            <w:fldChar w:fldCharType="begin"/>
          </w:r>
          <w:r w:rsidRPr="0088400D">
            <w:rPr>
              <w:rFonts w:cstheme="minorHAnsi"/>
              <w:sz w:val="24"/>
              <w:szCs w:val="24"/>
            </w:rPr>
            <w:instrText xml:space="preserve"> CITATION Teh18 \l 2057 </w:instrText>
          </w:r>
          <w:r w:rsidRPr="0088400D">
            <w:rPr>
              <w:rFonts w:cstheme="minorHAnsi"/>
              <w:sz w:val="24"/>
              <w:szCs w:val="24"/>
            </w:rPr>
            <w:fldChar w:fldCharType="separate"/>
          </w:r>
          <w:r w:rsidRPr="0088400D">
            <w:rPr>
              <w:rFonts w:cstheme="minorHAnsi"/>
              <w:noProof/>
              <w:sz w:val="24"/>
              <w:szCs w:val="24"/>
            </w:rPr>
            <w:t>(Tehrani, et al., 2018)</w:t>
          </w:r>
          <w:r w:rsidRPr="0088400D">
            <w:rPr>
              <w:rFonts w:cstheme="minorHAnsi"/>
              <w:sz w:val="24"/>
              <w:szCs w:val="24"/>
            </w:rPr>
            <w:fldChar w:fldCharType="end"/>
          </w:r>
        </w:sdtContent>
      </w:sdt>
      <w:r w:rsidRPr="0088400D">
        <w:rPr>
          <w:rFonts w:cstheme="minorHAnsi"/>
          <w:sz w:val="24"/>
          <w:szCs w:val="24"/>
        </w:rPr>
        <w:t xml:space="preserve">. These significant health issues can include post-traumatic stress disorder (PTSD), acute stress, depressive disorders, and major anxiety </w:t>
      </w:r>
      <w:sdt>
        <w:sdtPr>
          <w:rPr>
            <w:rFonts w:cstheme="minorHAnsi"/>
            <w:sz w:val="24"/>
            <w:szCs w:val="24"/>
          </w:rPr>
          <w:id w:val="554278865"/>
          <w:citation/>
        </w:sdtPr>
        <w:sdtContent>
          <w:r w:rsidRPr="0088400D">
            <w:rPr>
              <w:rFonts w:cstheme="minorHAnsi"/>
              <w:sz w:val="24"/>
              <w:szCs w:val="24"/>
            </w:rPr>
            <w:fldChar w:fldCharType="begin"/>
          </w:r>
          <w:r w:rsidRPr="0088400D">
            <w:rPr>
              <w:rFonts w:cstheme="minorHAnsi"/>
              <w:sz w:val="24"/>
              <w:szCs w:val="24"/>
            </w:rPr>
            <w:instrText xml:space="preserve"> CITATION Law20 \l 2057 </w:instrText>
          </w:r>
          <w:r w:rsidRPr="0088400D">
            <w:rPr>
              <w:rFonts w:cstheme="minorHAnsi"/>
              <w:sz w:val="24"/>
              <w:szCs w:val="24"/>
            </w:rPr>
            <w:fldChar w:fldCharType="separate"/>
          </w:r>
          <w:r w:rsidRPr="0088400D">
            <w:rPr>
              <w:rFonts w:cstheme="minorHAnsi"/>
              <w:noProof/>
              <w:sz w:val="24"/>
              <w:szCs w:val="24"/>
            </w:rPr>
            <w:t>(Lawn, et al., 2020)</w:t>
          </w:r>
          <w:r w:rsidRPr="0088400D">
            <w:rPr>
              <w:rFonts w:cstheme="minorHAnsi"/>
              <w:sz w:val="24"/>
              <w:szCs w:val="24"/>
            </w:rPr>
            <w:fldChar w:fldCharType="end"/>
          </w:r>
        </w:sdtContent>
      </w:sdt>
      <w:sdt>
        <w:sdtPr>
          <w:rPr>
            <w:rFonts w:cstheme="minorHAnsi"/>
            <w:sz w:val="24"/>
            <w:szCs w:val="24"/>
          </w:rPr>
          <w:id w:val="-1672021044"/>
          <w:citation/>
        </w:sdtPr>
        <w:sdtContent>
          <w:r w:rsidRPr="0088400D">
            <w:rPr>
              <w:rFonts w:cstheme="minorHAnsi"/>
              <w:sz w:val="24"/>
              <w:szCs w:val="24"/>
            </w:rPr>
            <w:fldChar w:fldCharType="begin"/>
          </w:r>
          <w:r w:rsidRPr="0088400D">
            <w:rPr>
              <w:rFonts w:cstheme="minorHAnsi"/>
              <w:sz w:val="24"/>
              <w:szCs w:val="24"/>
            </w:rPr>
            <w:instrText xml:space="preserve"> CITATION Teh181 \l 2057 </w:instrText>
          </w:r>
          <w:r w:rsidRPr="0088400D">
            <w:rPr>
              <w:rFonts w:cstheme="minorHAnsi"/>
              <w:sz w:val="24"/>
              <w:szCs w:val="24"/>
            </w:rPr>
            <w:fldChar w:fldCharType="separate"/>
          </w:r>
          <w:r w:rsidRPr="0088400D">
            <w:rPr>
              <w:rFonts w:cstheme="minorHAnsi"/>
              <w:noProof/>
              <w:sz w:val="24"/>
              <w:szCs w:val="24"/>
            </w:rPr>
            <w:t xml:space="preserve"> (Tehrani &amp; Hesketh, 2018)</w:t>
          </w:r>
          <w:r w:rsidRPr="0088400D">
            <w:rPr>
              <w:rFonts w:cstheme="minorHAnsi"/>
              <w:sz w:val="24"/>
              <w:szCs w:val="24"/>
            </w:rPr>
            <w:fldChar w:fldCharType="end"/>
          </w:r>
        </w:sdtContent>
      </w:sdt>
      <w:r w:rsidRPr="0088400D">
        <w:rPr>
          <w:rFonts w:cstheme="minorHAnsi"/>
          <w:sz w:val="24"/>
          <w:szCs w:val="24"/>
        </w:rPr>
        <w:t xml:space="preserve">. </w:t>
      </w:r>
    </w:p>
    <w:p w14:paraId="601A0151" w14:textId="62059904" w:rsidR="0088400D" w:rsidRPr="0088400D" w:rsidRDefault="0088400D" w:rsidP="0088400D">
      <w:pPr>
        <w:rPr>
          <w:rFonts w:cstheme="minorHAnsi"/>
          <w:sz w:val="24"/>
          <w:szCs w:val="24"/>
        </w:rPr>
      </w:pPr>
      <w:r w:rsidRPr="0088400D">
        <w:rPr>
          <w:rFonts w:cstheme="minorHAnsi"/>
          <w:sz w:val="24"/>
          <w:szCs w:val="24"/>
        </w:rPr>
        <w:t xml:space="preserve">Mental wellbeing is an individuals’ ability to cope with the stresses of life, it is the overall state of our emotional status. It is an imperative component as it enables our individual and collective capabilities to make decisions and form relationships. It exists to be more than just the absence of mental disorders </w:t>
      </w:r>
      <w:sdt>
        <w:sdtPr>
          <w:rPr>
            <w:rFonts w:cstheme="minorHAnsi"/>
            <w:sz w:val="24"/>
            <w:szCs w:val="24"/>
          </w:rPr>
          <w:id w:val="409210110"/>
          <w:citation/>
        </w:sdtPr>
        <w:sdtContent>
          <w:r w:rsidRPr="0088400D">
            <w:rPr>
              <w:rFonts w:cstheme="minorHAnsi"/>
              <w:sz w:val="24"/>
              <w:szCs w:val="24"/>
            </w:rPr>
            <w:fldChar w:fldCharType="begin"/>
          </w:r>
          <w:r w:rsidRPr="0088400D">
            <w:rPr>
              <w:rFonts w:cstheme="minorHAnsi"/>
              <w:sz w:val="24"/>
              <w:szCs w:val="24"/>
            </w:rPr>
            <w:instrText xml:space="preserve"> CITATION Wor22 \l 2057 </w:instrText>
          </w:r>
          <w:r w:rsidRPr="0088400D">
            <w:rPr>
              <w:rFonts w:cstheme="minorHAnsi"/>
              <w:sz w:val="24"/>
              <w:szCs w:val="24"/>
            </w:rPr>
            <w:fldChar w:fldCharType="separate"/>
          </w:r>
          <w:r w:rsidRPr="0088400D">
            <w:rPr>
              <w:rFonts w:cstheme="minorHAnsi"/>
              <w:noProof/>
              <w:sz w:val="24"/>
              <w:szCs w:val="24"/>
            </w:rPr>
            <w:t>(World Health Organization, 2022)</w:t>
          </w:r>
          <w:r w:rsidRPr="0088400D">
            <w:rPr>
              <w:rFonts w:cstheme="minorHAnsi"/>
              <w:sz w:val="24"/>
              <w:szCs w:val="24"/>
            </w:rPr>
            <w:fldChar w:fldCharType="end"/>
          </w:r>
        </w:sdtContent>
      </w:sdt>
      <w:r w:rsidRPr="0088400D">
        <w:rPr>
          <w:rFonts w:cstheme="minorHAnsi"/>
          <w:sz w:val="24"/>
          <w:szCs w:val="24"/>
        </w:rPr>
        <w:t xml:space="preserve">. </w:t>
      </w:r>
    </w:p>
    <w:p w14:paraId="60B17D1B" w14:textId="242B8094" w:rsidR="0088400D" w:rsidRPr="0088400D" w:rsidRDefault="0088400D" w:rsidP="0088400D">
      <w:pPr>
        <w:rPr>
          <w:rFonts w:cstheme="minorHAnsi"/>
          <w:sz w:val="24"/>
          <w:szCs w:val="24"/>
        </w:rPr>
      </w:pPr>
      <w:r w:rsidRPr="0088400D">
        <w:rPr>
          <w:rFonts w:cstheme="minorHAnsi"/>
          <w:sz w:val="24"/>
          <w:szCs w:val="24"/>
        </w:rPr>
        <w:t xml:space="preserve">According to </w:t>
      </w:r>
      <w:sdt>
        <w:sdtPr>
          <w:rPr>
            <w:rFonts w:cstheme="minorHAnsi"/>
            <w:sz w:val="24"/>
            <w:szCs w:val="24"/>
          </w:rPr>
          <w:id w:val="1016186509"/>
          <w:citation/>
        </w:sdtPr>
        <w:sdtContent>
          <w:r w:rsidRPr="0088400D">
            <w:rPr>
              <w:rFonts w:cstheme="minorHAnsi"/>
              <w:sz w:val="24"/>
              <w:szCs w:val="24"/>
            </w:rPr>
            <w:fldChar w:fldCharType="begin"/>
          </w:r>
          <w:r w:rsidRPr="0088400D">
            <w:rPr>
              <w:rFonts w:cstheme="minorHAnsi"/>
              <w:sz w:val="24"/>
              <w:szCs w:val="24"/>
            </w:rPr>
            <w:instrText xml:space="preserve"> CITATION Mil19 \l 2057 </w:instrText>
          </w:r>
          <w:r w:rsidRPr="0088400D">
            <w:rPr>
              <w:rFonts w:cstheme="minorHAnsi"/>
              <w:sz w:val="24"/>
              <w:szCs w:val="24"/>
            </w:rPr>
            <w:fldChar w:fldCharType="separate"/>
          </w:r>
          <w:r w:rsidRPr="0088400D">
            <w:rPr>
              <w:rFonts w:cstheme="minorHAnsi"/>
              <w:noProof/>
              <w:sz w:val="24"/>
              <w:szCs w:val="24"/>
            </w:rPr>
            <w:t>(Miller, 2019)</w:t>
          </w:r>
          <w:r w:rsidRPr="0088400D">
            <w:rPr>
              <w:rFonts w:cstheme="minorHAnsi"/>
              <w:sz w:val="24"/>
              <w:szCs w:val="24"/>
            </w:rPr>
            <w:fldChar w:fldCharType="end"/>
          </w:r>
        </w:sdtContent>
      </w:sdt>
      <w:r w:rsidRPr="0088400D">
        <w:rPr>
          <w:rFonts w:cstheme="minorHAnsi"/>
          <w:sz w:val="24"/>
          <w:szCs w:val="24"/>
        </w:rPr>
        <w:t xml:space="preserve"> surveys into the mental wellbeing of police officers have recorded that 20% of UK police officers have been diagnosed with complex PTSD or PTSD. Post Traumatic Stress disorder is generally developed through excessive or extreme exposure to traumatic events. It is commonly associated with armed forces veterans that have seen the effects of war on numerous occasions. However, as mentioned above, it has been associated with front line police officers as a result of them routinely dealing with traumatic incidents, perhaps from major incidents. PTSD is an injury to the brain which has its corresponding physical as well as mental symptoms which have a various intrusive and life changing affects </w:t>
      </w:r>
      <w:r w:rsidRPr="0088400D">
        <w:rPr>
          <w:rFonts w:cstheme="minorHAnsi"/>
          <w:sz w:val="24"/>
          <w:szCs w:val="24"/>
        </w:rPr>
        <w:lastRenderedPageBreak/>
        <w:t xml:space="preserve">to everyday life. These symptoms can include negative changes in mood, persistent avoidance of objects or thoughts relating to the particular traumatic event. Other symptoms may include risky and self-destructive behaviour, hypervigilance, irritability, anger outbreaks, difficulty concentrating and also disturbances in sleep </w:t>
      </w:r>
      <w:sdt>
        <w:sdtPr>
          <w:rPr>
            <w:rFonts w:cstheme="minorHAnsi"/>
            <w:sz w:val="24"/>
            <w:szCs w:val="24"/>
          </w:rPr>
          <w:id w:val="2045016170"/>
          <w:citation/>
        </w:sdtPr>
        <w:sdtContent>
          <w:r w:rsidRPr="0088400D">
            <w:rPr>
              <w:rFonts w:cstheme="minorHAnsi"/>
              <w:sz w:val="24"/>
              <w:szCs w:val="24"/>
            </w:rPr>
            <w:fldChar w:fldCharType="begin"/>
          </w:r>
          <w:r w:rsidRPr="0088400D">
            <w:rPr>
              <w:rFonts w:cstheme="minorHAnsi"/>
              <w:sz w:val="24"/>
              <w:szCs w:val="24"/>
            </w:rPr>
            <w:instrText xml:space="preserve"> CITATION APA13 \l 2057 </w:instrText>
          </w:r>
          <w:r w:rsidRPr="0088400D">
            <w:rPr>
              <w:rFonts w:cstheme="minorHAnsi"/>
              <w:sz w:val="24"/>
              <w:szCs w:val="24"/>
            </w:rPr>
            <w:fldChar w:fldCharType="separate"/>
          </w:r>
          <w:r w:rsidRPr="0088400D">
            <w:rPr>
              <w:rFonts w:cstheme="minorHAnsi"/>
              <w:noProof/>
              <w:sz w:val="24"/>
              <w:szCs w:val="24"/>
            </w:rPr>
            <w:t>(APA, 2013)</w:t>
          </w:r>
          <w:r w:rsidRPr="0088400D">
            <w:rPr>
              <w:rFonts w:cstheme="minorHAnsi"/>
              <w:sz w:val="24"/>
              <w:szCs w:val="24"/>
            </w:rPr>
            <w:fldChar w:fldCharType="end"/>
          </w:r>
        </w:sdtContent>
      </w:sdt>
      <w:r w:rsidRPr="0088400D">
        <w:rPr>
          <w:rFonts w:cstheme="minorHAnsi"/>
          <w:sz w:val="24"/>
          <w:szCs w:val="24"/>
        </w:rPr>
        <w:t xml:space="preserve">. These symptoms cause disruption both in a professional and social setting, developing potential issues in relationships and with the job. </w:t>
      </w:r>
    </w:p>
    <w:p w14:paraId="1419583E" w14:textId="41E089D9" w:rsidR="0088400D" w:rsidRPr="0088400D" w:rsidRDefault="0088400D" w:rsidP="0088400D">
      <w:pPr>
        <w:rPr>
          <w:rFonts w:cstheme="minorHAnsi"/>
          <w:sz w:val="24"/>
          <w:szCs w:val="24"/>
        </w:rPr>
      </w:pPr>
      <w:r w:rsidRPr="0088400D">
        <w:rPr>
          <w:rFonts w:cstheme="minorHAnsi"/>
          <w:sz w:val="24"/>
          <w:szCs w:val="24"/>
        </w:rPr>
        <w:t xml:space="preserve">Evidence shows that aspects of major incident response by police officers results in them being at an increased threat to developing issues with their psychological health and their wellbeing </w:t>
      </w:r>
      <w:sdt>
        <w:sdtPr>
          <w:rPr>
            <w:rFonts w:cstheme="minorHAnsi"/>
            <w:sz w:val="24"/>
            <w:szCs w:val="24"/>
          </w:rPr>
          <w:id w:val="-413554788"/>
          <w:citation/>
        </w:sdtPr>
        <w:sdtContent>
          <w:r w:rsidRPr="0088400D">
            <w:rPr>
              <w:rFonts w:cstheme="minorHAnsi"/>
              <w:sz w:val="24"/>
              <w:szCs w:val="24"/>
            </w:rPr>
            <w:fldChar w:fldCharType="begin"/>
          </w:r>
          <w:r w:rsidRPr="0088400D">
            <w:rPr>
              <w:rFonts w:cstheme="minorHAnsi"/>
              <w:sz w:val="24"/>
              <w:szCs w:val="24"/>
            </w:rPr>
            <w:instrText xml:space="preserve"> CITATION Ske17 \l 2057 </w:instrText>
          </w:r>
          <w:r w:rsidRPr="0088400D">
            <w:rPr>
              <w:rFonts w:cstheme="minorHAnsi"/>
              <w:sz w:val="24"/>
              <w:szCs w:val="24"/>
            </w:rPr>
            <w:fldChar w:fldCharType="separate"/>
          </w:r>
          <w:r w:rsidRPr="0088400D">
            <w:rPr>
              <w:rFonts w:cstheme="minorHAnsi"/>
              <w:noProof/>
              <w:sz w:val="24"/>
              <w:szCs w:val="24"/>
            </w:rPr>
            <w:t>(Skeffington, et al., 2017)</w:t>
          </w:r>
          <w:r w:rsidRPr="0088400D">
            <w:rPr>
              <w:rFonts w:cstheme="minorHAnsi"/>
              <w:sz w:val="24"/>
              <w:szCs w:val="24"/>
            </w:rPr>
            <w:fldChar w:fldCharType="end"/>
          </w:r>
        </w:sdtContent>
      </w:sdt>
      <w:sdt>
        <w:sdtPr>
          <w:rPr>
            <w:rFonts w:cstheme="minorHAnsi"/>
            <w:sz w:val="24"/>
            <w:szCs w:val="24"/>
          </w:rPr>
          <w:id w:val="-1571964850"/>
          <w:citation/>
        </w:sdtPr>
        <w:sdtContent>
          <w:r w:rsidRPr="0088400D">
            <w:rPr>
              <w:rFonts w:cstheme="minorHAnsi"/>
              <w:sz w:val="24"/>
              <w:szCs w:val="24"/>
            </w:rPr>
            <w:fldChar w:fldCharType="begin"/>
          </w:r>
          <w:r w:rsidRPr="0088400D">
            <w:rPr>
              <w:rFonts w:cstheme="minorHAnsi"/>
              <w:sz w:val="24"/>
              <w:szCs w:val="24"/>
            </w:rPr>
            <w:instrText xml:space="preserve"> CITATION Sko13 \l 2057 </w:instrText>
          </w:r>
          <w:r w:rsidRPr="0088400D">
            <w:rPr>
              <w:rFonts w:cstheme="minorHAnsi"/>
              <w:sz w:val="24"/>
              <w:szCs w:val="24"/>
            </w:rPr>
            <w:fldChar w:fldCharType="separate"/>
          </w:r>
          <w:r w:rsidRPr="0088400D">
            <w:rPr>
              <w:rFonts w:cstheme="minorHAnsi"/>
              <w:noProof/>
              <w:sz w:val="24"/>
              <w:szCs w:val="24"/>
            </w:rPr>
            <w:t xml:space="preserve"> (Skogstad, et al., 2013)</w:t>
          </w:r>
          <w:r w:rsidRPr="0088400D">
            <w:rPr>
              <w:rFonts w:cstheme="minorHAnsi"/>
              <w:sz w:val="24"/>
              <w:szCs w:val="24"/>
            </w:rPr>
            <w:fldChar w:fldCharType="end"/>
          </w:r>
        </w:sdtContent>
      </w:sdt>
      <w:r w:rsidRPr="0088400D">
        <w:rPr>
          <w:rFonts w:cstheme="minorHAnsi"/>
          <w:sz w:val="24"/>
          <w:szCs w:val="24"/>
        </w:rPr>
        <w:t xml:space="preserve">. The three aspect groups noted were, the nature of the major incident, personal factors and the style of leadership and support. </w:t>
      </w:r>
    </w:p>
    <w:p w14:paraId="2B5AF76D" w14:textId="3D2A1723" w:rsidR="0088400D" w:rsidRPr="0088400D" w:rsidRDefault="0088400D" w:rsidP="0088400D">
      <w:pPr>
        <w:rPr>
          <w:rStyle w:val="Hyperlink"/>
          <w:rFonts w:cstheme="minorHAnsi"/>
          <w:color w:val="auto"/>
          <w:sz w:val="24"/>
          <w:szCs w:val="24"/>
          <w:u w:val="none"/>
        </w:rPr>
      </w:pPr>
      <w:r w:rsidRPr="0088400D">
        <w:rPr>
          <w:rStyle w:val="Hyperlink"/>
          <w:rFonts w:cstheme="minorHAnsi"/>
          <w:color w:val="auto"/>
          <w:sz w:val="24"/>
          <w:szCs w:val="24"/>
          <w:u w:val="none"/>
        </w:rPr>
        <w:t xml:space="preserve">In relation to the nature of major incident, there is a substantially greater risk of developing trauma symptoms where police officers are involved in an incident that causes them to fear for their own safety or lives, this could occur when dealing with major incidents involving terrorist activity where the terrorist has remained at the scene. They are also at greater risk when they are performing </w:t>
      </w:r>
      <w:r w:rsidR="00F07479" w:rsidRPr="0088400D">
        <w:rPr>
          <w:rStyle w:val="Hyperlink"/>
          <w:rFonts w:cstheme="minorHAnsi"/>
          <w:color w:val="auto"/>
          <w:sz w:val="24"/>
          <w:szCs w:val="24"/>
          <w:u w:val="none"/>
        </w:rPr>
        <w:t>lifesaving</w:t>
      </w:r>
      <w:r w:rsidRPr="0088400D">
        <w:rPr>
          <w:rStyle w:val="Hyperlink"/>
          <w:rFonts w:cstheme="minorHAnsi"/>
          <w:color w:val="auto"/>
          <w:sz w:val="24"/>
          <w:szCs w:val="24"/>
          <w:u w:val="none"/>
        </w:rPr>
        <w:t xml:space="preserve"> treatment to those who are severely injured or dying, this is always a real risk at any given major incident that are declared. There is also a greater risk when officers are deployed at the major incident scene for more than 12 hours and are supporting the bereaved families and friends </w:t>
      </w:r>
      <w:sdt>
        <w:sdtPr>
          <w:rPr>
            <w:rStyle w:val="Hyperlink"/>
            <w:rFonts w:cstheme="minorHAnsi"/>
            <w:color w:val="auto"/>
            <w:sz w:val="24"/>
            <w:szCs w:val="24"/>
            <w:u w:val="none"/>
          </w:rPr>
          <w:id w:val="-1132390887"/>
          <w:citation/>
        </w:sdtPr>
        <w:sdtContent>
          <w:r w:rsidRPr="0088400D">
            <w:rPr>
              <w:rStyle w:val="Hyperlink"/>
              <w:rFonts w:cstheme="minorHAnsi"/>
              <w:color w:val="auto"/>
              <w:sz w:val="24"/>
              <w:szCs w:val="24"/>
              <w:u w:val="none"/>
            </w:rPr>
            <w:fldChar w:fldCharType="begin"/>
          </w:r>
          <w:r w:rsidRPr="0088400D">
            <w:rPr>
              <w:rStyle w:val="Hyperlink"/>
              <w:rFonts w:cstheme="minorHAnsi"/>
              <w:color w:val="auto"/>
              <w:sz w:val="24"/>
              <w:szCs w:val="24"/>
              <w:u w:val="none"/>
            </w:rPr>
            <w:instrText xml:space="preserve"> CITATION Teh11 \l 2057 </w:instrText>
          </w:r>
          <w:r w:rsidRPr="0088400D">
            <w:rPr>
              <w:rStyle w:val="Hyperlink"/>
              <w:rFonts w:cstheme="minorHAnsi"/>
              <w:color w:val="auto"/>
              <w:sz w:val="24"/>
              <w:szCs w:val="24"/>
              <w:u w:val="none"/>
            </w:rPr>
            <w:fldChar w:fldCharType="separate"/>
          </w:r>
          <w:r w:rsidRPr="0088400D">
            <w:rPr>
              <w:rFonts w:cstheme="minorHAnsi"/>
              <w:noProof/>
              <w:sz w:val="24"/>
              <w:szCs w:val="24"/>
            </w:rPr>
            <w:t>(Tehrani, et al., 2011)</w:t>
          </w:r>
          <w:r w:rsidRPr="0088400D">
            <w:rPr>
              <w:rStyle w:val="Hyperlink"/>
              <w:rFonts w:cstheme="minorHAnsi"/>
              <w:color w:val="auto"/>
              <w:sz w:val="24"/>
              <w:szCs w:val="24"/>
              <w:u w:val="none"/>
            </w:rPr>
            <w:fldChar w:fldCharType="end"/>
          </w:r>
        </w:sdtContent>
      </w:sdt>
      <w:r w:rsidRPr="0088400D">
        <w:rPr>
          <w:rStyle w:val="Hyperlink"/>
          <w:rFonts w:cstheme="minorHAnsi"/>
          <w:color w:val="auto"/>
          <w:sz w:val="24"/>
          <w:szCs w:val="24"/>
          <w:u w:val="none"/>
        </w:rPr>
        <w:t xml:space="preserve">. Finally, police officers who respond and deal with the death of vulnerable people, more specifically children, are at a higher risk of developing traumatic stress symptoms </w:t>
      </w:r>
      <w:sdt>
        <w:sdtPr>
          <w:rPr>
            <w:rStyle w:val="Hyperlink"/>
            <w:rFonts w:cstheme="minorHAnsi"/>
            <w:color w:val="auto"/>
            <w:sz w:val="24"/>
            <w:szCs w:val="24"/>
            <w:u w:val="none"/>
          </w:rPr>
          <w:id w:val="601539545"/>
          <w:citation/>
        </w:sdtPr>
        <w:sdtContent>
          <w:r w:rsidRPr="0088400D">
            <w:rPr>
              <w:rStyle w:val="Hyperlink"/>
              <w:rFonts w:cstheme="minorHAnsi"/>
              <w:color w:val="auto"/>
              <w:sz w:val="24"/>
              <w:szCs w:val="24"/>
              <w:u w:val="none"/>
            </w:rPr>
            <w:fldChar w:fldCharType="begin"/>
          </w:r>
          <w:r w:rsidRPr="0088400D">
            <w:rPr>
              <w:rStyle w:val="Hyperlink"/>
              <w:rFonts w:cstheme="minorHAnsi"/>
              <w:color w:val="auto"/>
              <w:sz w:val="24"/>
              <w:szCs w:val="24"/>
              <w:u w:val="none"/>
            </w:rPr>
            <w:instrText xml:space="preserve"> CITATION Clo99 \l 2057 </w:instrText>
          </w:r>
          <w:r w:rsidRPr="0088400D">
            <w:rPr>
              <w:rStyle w:val="Hyperlink"/>
              <w:rFonts w:cstheme="minorHAnsi"/>
              <w:color w:val="auto"/>
              <w:sz w:val="24"/>
              <w:szCs w:val="24"/>
              <w:u w:val="none"/>
            </w:rPr>
            <w:fldChar w:fldCharType="separate"/>
          </w:r>
          <w:r w:rsidRPr="0088400D">
            <w:rPr>
              <w:rFonts w:cstheme="minorHAnsi"/>
              <w:noProof/>
              <w:sz w:val="24"/>
              <w:szCs w:val="24"/>
            </w:rPr>
            <w:t>(Clohessy &amp; Ehlers, 1999)</w:t>
          </w:r>
          <w:r w:rsidRPr="0088400D">
            <w:rPr>
              <w:rStyle w:val="Hyperlink"/>
              <w:rFonts w:cstheme="minorHAnsi"/>
              <w:color w:val="auto"/>
              <w:sz w:val="24"/>
              <w:szCs w:val="24"/>
              <w:u w:val="none"/>
            </w:rPr>
            <w:fldChar w:fldCharType="end"/>
          </w:r>
        </w:sdtContent>
      </w:sdt>
      <w:r w:rsidRPr="0088400D">
        <w:rPr>
          <w:rStyle w:val="Hyperlink"/>
          <w:rFonts w:cstheme="minorHAnsi"/>
          <w:color w:val="auto"/>
          <w:sz w:val="24"/>
          <w:szCs w:val="24"/>
          <w:u w:val="none"/>
        </w:rPr>
        <w:t>.</w:t>
      </w:r>
    </w:p>
    <w:p w14:paraId="5BD2CD37" w14:textId="083981D6" w:rsidR="0088400D" w:rsidRPr="0088400D" w:rsidRDefault="0088400D" w:rsidP="0088400D">
      <w:pPr>
        <w:rPr>
          <w:rStyle w:val="Hyperlink"/>
          <w:rFonts w:cstheme="minorHAnsi"/>
          <w:color w:val="auto"/>
          <w:sz w:val="24"/>
          <w:szCs w:val="24"/>
          <w:u w:val="none"/>
        </w:rPr>
      </w:pPr>
      <w:r w:rsidRPr="0088400D">
        <w:rPr>
          <w:rStyle w:val="Hyperlink"/>
          <w:rFonts w:cstheme="minorHAnsi"/>
          <w:color w:val="auto"/>
          <w:sz w:val="24"/>
          <w:szCs w:val="24"/>
          <w:u w:val="none"/>
        </w:rPr>
        <w:t xml:space="preserve">In relation to personal factors, there are several characteristics that can expose a police officer to a greater risk of developing trauma symptoms. Namely, an officer who has higher levels of self-doubt or anxiety, having previous exposure to trauma or officers that have experience mental health issues in the past, as mentioned above, police officers routinely deal with traumatic incidents and therefore have a substantially greater risk of psychological issues due to this trauma </w:t>
      </w:r>
      <w:sdt>
        <w:sdtPr>
          <w:rPr>
            <w:rStyle w:val="Hyperlink"/>
            <w:rFonts w:cstheme="minorHAnsi"/>
            <w:color w:val="auto"/>
            <w:sz w:val="24"/>
            <w:szCs w:val="24"/>
            <w:u w:val="none"/>
          </w:rPr>
          <w:id w:val="143787602"/>
          <w:citation/>
        </w:sdtPr>
        <w:sdtContent>
          <w:r w:rsidRPr="0088400D">
            <w:rPr>
              <w:rStyle w:val="Hyperlink"/>
              <w:rFonts w:cstheme="minorHAnsi"/>
              <w:color w:val="auto"/>
              <w:sz w:val="24"/>
              <w:szCs w:val="24"/>
              <w:u w:val="none"/>
            </w:rPr>
            <w:fldChar w:fldCharType="begin"/>
          </w:r>
          <w:r w:rsidRPr="0088400D">
            <w:rPr>
              <w:rStyle w:val="Hyperlink"/>
              <w:rFonts w:cstheme="minorHAnsi"/>
              <w:color w:val="auto"/>
              <w:sz w:val="24"/>
              <w:szCs w:val="24"/>
              <w:u w:val="none"/>
            </w:rPr>
            <w:instrText xml:space="preserve"> CITATION Hes24 \l 2057 </w:instrText>
          </w:r>
          <w:r w:rsidRPr="0088400D">
            <w:rPr>
              <w:rStyle w:val="Hyperlink"/>
              <w:rFonts w:cstheme="minorHAnsi"/>
              <w:color w:val="auto"/>
              <w:sz w:val="24"/>
              <w:szCs w:val="24"/>
              <w:u w:val="none"/>
            </w:rPr>
            <w:fldChar w:fldCharType="separate"/>
          </w:r>
          <w:r w:rsidRPr="0088400D">
            <w:rPr>
              <w:rFonts w:cstheme="minorHAnsi"/>
              <w:noProof/>
              <w:sz w:val="24"/>
              <w:szCs w:val="24"/>
            </w:rPr>
            <w:t>(Hesketh &amp; Tehrani, 2024)</w:t>
          </w:r>
          <w:r w:rsidRPr="0088400D">
            <w:rPr>
              <w:rStyle w:val="Hyperlink"/>
              <w:rFonts w:cstheme="minorHAnsi"/>
              <w:color w:val="auto"/>
              <w:sz w:val="24"/>
              <w:szCs w:val="24"/>
              <w:u w:val="none"/>
            </w:rPr>
            <w:fldChar w:fldCharType="end"/>
          </w:r>
        </w:sdtContent>
      </w:sdt>
      <w:r w:rsidRPr="0088400D">
        <w:rPr>
          <w:rStyle w:val="Hyperlink"/>
          <w:rFonts w:cstheme="minorHAnsi"/>
          <w:color w:val="auto"/>
          <w:sz w:val="24"/>
          <w:szCs w:val="24"/>
          <w:u w:val="none"/>
        </w:rPr>
        <w:t xml:space="preserve">. Police officers create their own coping mechanism to cope with the endless trauma they are subjected to, those that use a more relaxed approach as a form of coping such as using emotional venting, self-blame or denial have an increased likelihood to develop trauma symptoms in relation to those who use active coping mechanisms </w:t>
      </w:r>
      <w:sdt>
        <w:sdtPr>
          <w:rPr>
            <w:rStyle w:val="Hyperlink"/>
            <w:rFonts w:cstheme="minorHAnsi"/>
            <w:color w:val="auto"/>
            <w:sz w:val="24"/>
            <w:szCs w:val="24"/>
            <w:u w:val="none"/>
          </w:rPr>
          <w:id w:val="1374046085"/>
          <w:citation/>
        </w:sdtPr>
        <w:sdtContent>
          <w:r w:rsidRPr="0088400D">
            <w:rPr>
              <w:rStyle w:val="Hyperlink"/>
              <w:rFonts w:cstheme="minorHAnsi"/>
              <w:color w:val="auto"/>
              <w:sz w:val="24"/>
              <w:szCs w:val="24"/>
              <w:u w:val="none"/>
            </w:rPr>
            <w:fldChar w:fldCharType="begin"/>
          </w:r>
          <w:r w:rsidRPr="0088400D">
            <w:rPr>
              <w:rStyle w:val="Hyperlink"/>
              <w:rFonts w:cstheme="minorHAnsi"/>
              <w:color w:val="auto"/>
              <w:sz w:val="24"/>
              <w:szCs w:val="24"/>
              <w:u w:val="none"/>
            </w:rPr>
            <w:instrText xml:space="preserve"> CITATION Ske171 \l 2057 </w:instrText>
          </w:r>
          <w:r w:rsidRPr="0088400D">
            <w:rPr>
              <w:rStyle w:val="Hyperlink"/>
              <w:rFonts w:cstheme="minorHAnsi"/>
              <w:color w:val="auto"/>
              <w:sz w:val="24"/>
              <w:szCs w:val="24"/>
              <w:u w:val="none"/>
            </w:rPr>
            <w:fldChar w:fldCharType="separate"/>
          </w:r>
          <w:r w:rsidRPr="0088400D">
            <w:rPr>
              <w:rFonts w:cstheme="minorHAnsi"/>
              <w:noProof/>
              <w:sz w:val="24"/>
              <w:szCs w:val="24"/>
            </w:rPr>
            <w:t>(Skeffington, et al., 2017)</w:t>
          </w:r>
          <w:r w:rsidRPr="0088400D">
            <w:rPr>
              <w:rStyle w:val="Hyperlink"/>
              <w:rFonts w:cstheme="minorHAnsi"/>
              <w:color w:val="auto"/>
              <w:sz w:val="24"/>
              <w:szCs w:val="24"/>
              <w:u w:val="none"/>
            </w:rPr>
            <w:fldChar w:fldCharType="end"/>
          </w:r>
        </w:sdtContent>
      </w:sdt>
      <w:r w:rsidRPr="0088400D">
        <w:rPr>
          <w:rStyle w:val="Hyperlink"/>
          <w:rFonts w:cstheme="minorHAnsi"/>
          <w:color w:val="auto"/>
          <w:sz w:val="24"/>
          <w:szCs w:val="24"/>
          <w:u w:val="none"/>
        </w:rPr>
        <w:t xml:space="preserve">. Another passive coping mechanism that police officers commonly use to deal with trauma is substance abuse, some officers will turn to alcohol as a method to numb their senses and feelings so that their stress from the day appears to be non-existent. Of course, this method of coping with the trauma from a major incident is only for a short-term release, when the effect of alcohol wears off the stress that temporarily disappeared comes back with a vengeance. The compound of frequent drinking and an officer who is dealing with high levels of stress creates a dependency for alcohol. Alcohol dependency in police officers can therefore indirectly increase the risk of developing psychological issues </w:t>
      </w:r>
      <w:sdt>
        <w:sdtPr>
          <w:rPr>
            <w:rStyle w:val="Hyperlink"/>
            <w:rFonts w:cstheme="minorHAnsi"/>
            <w:color w:val="auto"/>
            <w:sz w:val="24"/>
            <w:szCs w:val="24"/>
            <w:u w:val="none"/>
          </w:rPr>
          <w:id w:val="469099171"/>
          <w:citation/>
        </w:sdtPr>
        <w:sdtContent>
          <w:r w:rsidRPr="0088400D">
            <w:rPr>
              <w:rStyle w:val="Hyperlink"/>
              <w:rFonts w:cstheme="minorHAnsi"/>
              <w:color w:val="auto"/>
              <w:sz w:val="24"/>
              <w:szCs w:val="24"/>
              <w:u w:val="none"/>
            </w:rPr>
            <w:fldChar w:fldCharType="begin"/>
          </w:r>
          <w:r w:rsidRPr="0088400D">
            <w:rPr>
              <w:rStyle w:val="Hyperlink"/>
              <w:rFonts w:cstheme="minorHAnsi"/>
              <w:color w:val="auto"/>
              <w:sz w:val="24"/>
              <w:szCs w:val="24"/>
              <w:u w:val="none"/>
            </w:rPr>
            <w:instrText xml:space="preserve"> CITATION Alp14 \l 2057 </w:instrText>
          </w:r>
          <w:r w:rsidRPr="0088400D">
            <w:rPr>
              <w:rStyle w:val="Hyperlink"/>
              <w:rFonts w:cstheme="minorHAnsi"/>
              <w:color w:val="auto"/>
              <w:sz w:val="24"/>
              <w:szCs w:val="24"/>
              <w:u w:val="none"/>
            </w:rPr>
            <w:fldChar w:fldCharType="separate"/>
          </w:r>
          <w:r w:rsidRPr="0088400D">
            <w:rPr>
              <w:rFonts w:cstheme="minorHAnsi"/>
              <w:noProof/>
              <w:sz w:val="24"/>
              <w:szCs w:val="24"/>
            </w:rPr>
            <w:t>(Alpert, et al., 2014)</w:t>
          </w:r>
          <w:r w:rsidRPr="0088400D">
            <w:rPr>
              <w:rStyle w:val="Hyperlink"/>
              <w:rFonts w:cstheme="minorHAnsi"/>
              <w:color w:val="auto"/>
              <w:sz w:val="24"/>
              <w:szCs w:val="24"/>
              <w:u w:val="none"/>
            </w:rPr>
            <w:fldChar w:fldCharType="end"/>
          </w:r>
        </w:sdtContent>
      </w:sdt>
      <w:r w:rsidRPr="0088400D">
        <w:rPr>
          <w:rStyle w:val="Hyperlink"/>
          <w:rFonts w:cstheme="minorHAnsi"/>
          <w:color w:val="auto"/>
          <w:sz w:val="24"/>
          <w:szCs w:val="24"/>
          <w:u w:val="none"/>
        </w:rPr>
        <w:t xml:space="preserve">. Evidence suggests that police officers that do not have the capability to self-sooth, or suffer from feelings of shame or guilt in relation to their own personal actions after a major incident have greater </w:t>
      </w:r>
      <w:r w:rsidRPr="0088400D">
        <w:rPr>
          <w:rStyle w:val="Hyperlink"/>
          <w:rFonts w:cstheme="minorHAnsi"/>
          <w:color w:val="auto"/>
          <w:sz w:val="24"/>
          <w:szCs w:val="24"/>
          <w:u w:val="none"/>
        </w:rPr>
        <w:lastRenderedPageBreak/>
        <w:t>trauma symptoms than coll</w:t>
      </w:r>
      <w:r w:rsidR="00D209C9">
        <w:rPr>
          <w:rStyle w:val="Hyperlink"/>
          <w:rFonts w:cstheme="minorHAnsi"/>
          <w:color w:val="auto"/>
          <w:sz w:val="24"/>
          <w:szCs w:val="24"/>
          <w:u w:val="none"/>
        </w:rPr>
        <w:t>ea</w:t>
      </w:r>
      <w:r w:rsidRPr="0088400D">
        <w:rPr>
          <w:rStyle w:val="Hyperlink"/>
          <w:rFonts w:cstheme="minorHAnsi"/>
          <w:color w:val="auto"/>
          <w:sz w:val="24"/>
          <w:szCs w:val="24"/>
          <w:u w:val="none"/>
        </w:rPr>
        <w:t>g</w:t>
      </w:r>
      <w:r w:rsidR="00D209C9">
        <w:rPr>
          <w:rStyle w:val="Hyperlink"/>
          <w:rFonts w:cstheme="minorHAnsi"/>
          <w:color w:val="auto"/>
          <w:sz w:val="24"/>
          <w:szCs w:val="24"/>
          <w:u w:val="none"/>
        </w:rPr>
        <w:t>u</w:t>
      </w:r>
      <w:r w:rsidRPr="0088400D">
        <w:rPr>
          <w:rStyle w:val="Hyperlink"/>
          <w:rFonts w:cstheme="minorHAnsi"/>
          <w:color w:val="auto"/>
          <w:sz w:val="24"/>
          <w:szCs w:val="24"/>
          <w:u w:val="none"/>
        </w:rPr>
        <w:t xml:space="preserve">es who do not possess these traits </w:t>
      </w:r>
      <w:sdt>
        <w:sdtPr>
          <w:rPr>
            <w:rStyle w:val="Hyperlink"/>
            <w:rFonts w:cstheme="minorHAnsi"/>
            <w:color w:val="auto"/>
            <w:sz w:val="24"/>
            <w:szCs w:val="24"/>
            <w:u w:val="none"/>
          </w:rPr>
          <w:id w:val="80885442"/>
          <w:citation/>
        </w:sdtPr>
        <w:sdtContent>
          <w:r w:rsidRPr="0088400D">
            <w:rPr>
              <w:rStyle w:val="Hyperlink"/>
              <w:rFonts w:cstheme="minorHAnsi"/>
              <w:color w:val="auto"/>
              <w:sz w:val="24"/>
              <w:szCs w:val="24"/>
              <w:u w:val="none"/>
            </w:rPr>
            <w:fldChar w:fldCharType="begin"/>
          </w:r>
          <w:r w:rsidRPr="0088400D">
            <w:rPr>
              <w:rStyle w:val="Hyperlink"/>
              <w:rFonts w:cstheme="minorHAnsi"/>
              <w:color w:val="auto"/>
              <w:sz w:val="24"/>
              <w:szCs w:val="24"/>
              <w:u w:val="none"/>
            </w:rPr>
            <w:instrText xml:space="preserve"> CITATION McN11 \l 2057 </w:instrText>
          </w:r>
          <w:r w:rsidRPr="0088400D">
            <w:rPr>
              <w:rStyle w:val="Hyperlink"/>
              <w:rFonts w:cstheme="minorHAnsi"/>
              <w:color w:val="auto"/>
              <w:sz w:val="24"/>
              <w:szCs w:val="24"/>
              <w:u w:val="none"/>
            </w:rPr>
            <w:fldChar w:fldCharType="separate"/>
          </w:r>
          <w:r w:rsidRPr="0088400D">
            <w:rPr>
              <w:rFonts w:cstheme="minorHAnsi"/>
              <w:noProof/>
              <w:sz w:val="24"/>
              <w:szCs w:val="24"/>
            </w:rPr>
            <w:t>(McNally, et al., 2011)</w:t>
          </w:r>
          <w:r w:rsidRPr="0088400D">
            <w:rPr>
              <w:rStyle w:val="Hyperlink"/>
              <w:rFonts w:cstheme="minorHAnsi"/>
              <w:color w:val="auto"/>
              <w:sz w:val="24"/>
              <w:szCs w:val="24"/>
              <w:u w:val="none"/>
            </w:rPr>
            <w:fldChar w:fldCharType="end"/>
          </w:r>
        </w:sdtContent>
      </w:sdt>
      <w:sdt>
        <w:sdtPr>
          <w:rPr>
            <w:rStyle w:val="Hyperlink"/>
            <w:rFonts w:cstheme="minorHAnsi"/>
            <w:color w:val="auto"/>
            <w:sz w:val="24"/>
            <w:szCs w:val="24"/>
            <w:u w:val="none"/>
          </w:rPr>
          <w:id w:val="902723920"/>
          <w:citation/>
        </w:sdtPr>
        <w:sdtContent>
          <w:r w:rsidRPr="0088400D">
            <w:rPr>
              <w:rStyle w:val="Hyperlink"/>
              <w:rFonts w:cstheme="minorHAnsi"/>
              <w:color w:val="auto"/>
              <w:sz w:val="24"/>
              <w:szCs w:val="24"/>
              <w:u w:val="none"/>
            </w:rPr>
            <w:fldChar w:fldCharType="begin"/>
          </w:r>
          <w:r w:rsidRPr="0088400D">
            <w:rPr>
              <w:rStyle w:val="Hyperlink"/>
              <w:rFonts w:cstheme="minorHAnsi"/>
              <w:color w:val="auto"/>
              <w:sz w:val="24"/>
              <w:szCs w:val="24"/>
              <w:u w:val="none"/>
            </w:rPr>
            <w:instrText xml:space="preserve"> CITATION Lee01 \l 2057 </w:instrText>
          </w:r>
          <w:r w:rsidRPr="0088400D">
            <w:rPr>
              <w:rStyle w:val="Hyperlink"/>
              <w:rFonts w:cstheme="minorHAnsi"/>
              <w:color w:val="auto"/>
              <w:sz w:val="24"/>
              <w:szCs w:val="24"/>
              <w:u w:val="none"/>
            </w:rPr>
            <w:fldChar w:fldCharType="separate"/>
          </w:r>
          <w:r w:rsidRPr="0088400D">
            <w:rPr>
              <w:rStyle w:val="Hyperlink"/>
              <w:rFonts w:cstheme="minorHAnsi"/>
              <w:noProof/>
              <w:color w:val="auto"/>
              <w:sz w:val="24"/>
              <w:szCs w:val="24"/>
              <w:u w:val="none"/>
            </w:rPr>
            <w:t xml:space="preserve"> </w:t>
          </w:r>
          <w:r w:rsidRPr="0088400D">
            <w:rPr>
              <w:rFonts w:cstheme="minorHAnsi"/>
              <w:noProof/>
              <w:sz w:val="24"/>
              <w:szCs w:val="24"/>
            </w:rPr>
            <w:t>(Lee, et al., 2001)</w:t>
          </w:r>
          <w:r w:rsidRPr="0088400D">
            <w:rPr>
              <w:rStyle w:val="Hyperlink"/>
              <w:rFonts w:cstheme="minorHAnsi"/>
              <w:color w:val="auto"/>
              <w:sz w:val="24"/>
              <w:szCs w:val="24"/>
              <w:u w:val="none"/>
            </w:rPr>
            <w:fldChar w:fldCharType="end"/>
          </w:r>
        </w:sdtContent>
      </w:sdt>
      <w:r w:rsidRPr="0088400D">
        <w:rPr>
          <w:rStyle w:val="Hyperlink"/>
          <w:rFonts w:cstheme="minorHAnsi"/>
          <w:color w:val="auto"/>
          <w:sz w:val="24"/>
          <w:szCs w:val="24"/>
          <w:u w:val="none"/>
        </w:rPr>
        <w:t xml:space="preserve">. </w:t>
      </w:r>
    </w:p>
    <w:p w14:paraId="3FCDFD74" w14:textId="5C9F593E" w:rsidR="0088400D" w:rsidRPr="0088400D" w:rsidRDefault="0088400D" w:rsidP="0088400D">
      <w:pPr>
        <w:rPr>
          <w:rStyle w:val="Hyperlink"/>
          <w:rFonts w:cstheme="minorHAnsi"/>
          <w:color w:val="auto"/>
          <w:sz w:val="24"/>
          <w:szCs w:val="24"/>
          <w:u w:val="none"/>
        </w:rPr>
      </w:pPr>
      <w:r w:rsidRPr="0088400D">
        <w:rPr>
          <w:rStyle w:val="Hyperlink"/>
          <w:rFonts w:cstheme="minorHAnsi"/>
          <w:color w:val="auto"/>
          <w:sz w:val="24"/>
          <w:szCs w:val="24"/>
          <w:u w:val="none"/>
        </w:rPr>
        <w:t xml:space="preserve">Police officers stereotypically associate individuals who utilise mental health services with weakness, referring to them as ‘softies’ or ‘bleeding hearts’. As this stigma exists, other police officers who are genuinely struggling with their mental well-being after a traumatic major incident are fearful to ask for help as other members of their shift would humiliate them. This is common amongst police officers as officers who speak up about their mental health difficulties are seen to display cowardice and show the lack of ability to cope with the consistent pressures of being a police officer </w:t>
      </w:r>
      <w:sdt>
        <w:sdtPr>
          <w:rPr>
            <w:rStyle w:val="Hyperlink"/>
            <w:rFonts w:cstheme="minorHAnsi"/>
            <w:color w:val="auto"/>
            <w:sz w:val="24"/>
            <w:szCs w:val="24"/>
            <w:u w:val="none"/>
          </w:rPr>
          <w:id w:val="1349608124"/>
          <w:citation/>
        </w:sdtPr>
        <w:sdtContent>
          <w:r w:rsidRPr="0088400D">
            <w:rPr>
              <w:rStyle w:val="Hyperlink"/>
              <w:rFonts w:cstheme="minorHAnsi"/>
              <w:color w:val="auto"/>
              <w:sz w:val="24"/>
              <w:szCs w:val="24"/>
              <w:u w:val="none"/>
            </w:rPr>
            <w:fldChar w:fldCharType="begin"/>
          </w:r>
          <w:r w:rsidRPr="0088400D">
            <w:rPr>
              <w:rStyle w:val="Hyperlink"/>
              <w:rFonts w:cstheme="minorHAnsi"/>
              <w:color w:val="auto"/>
              <w:sz w:val="24"/>
              <w:szCs w:val="24"/>
              <w:u w:val="none"/>
            </w:rPr>
            <w:instrText xml:space="preserve"> CITATION Bou23 \l 2057 </w:instrText>
          </w:r>
          <w:r w:rsidRPr="0088400D">
            <w:rPr>
              <w:rStyle w:val="Hyperlink"/>
              <w:rFonts w:cstheme="minorHAnsi"/>
              <w:color w:val="auto"/>
              <w:sz w:val="24"/>
              <w:szCs w:val="24"/>
              <w:u w:val="none"/>
            </w:rPr>
            <w:fldChar w:fldCharType="separate"/>
          </w:r>
          <w:r w:rsidRPr="0088400D">
            <w:rPr>
              <w:rFonts w:cstheme="minorHAnsi"/>
              <w:noProof/>
              <w:sz w:val="24"/>
              <w:szCs w:val="24"/>
            </w:rPr>
            <w:t>(Bourke, et al., 2023)</w:t>
          </w:r>
          <w:r w:rsidRPr="0088400D">
            <w:rPr>
              <w:rStyle w:val="Hyperlink"/>
              <w:rFonts w:cstheme="minorHAnsi"/>
              <w:color w:val="auto"/>
              <w:sz w:val="24"/>
              <w:szCs w:val="24"/>
              <w:u w:val="none"/>
            </w:rPr>
            <w:fldChar w:fldCharType="end"/>
          </w:r>
        </w:sdtContent>
      </w:sdt>
      <w:r w:rsidRPr="0088400D">
        <w:rPr>
          <w:rStyle w:val="Hyperlink"/>
          <w:rFonts w:cstheme="minorHAnsi"/>
          <w:color w:val="auto"/>
          <w:sz w:val="24"/>
          <w:szCs w:val="24"/>
          <w:u w:val="none"/>
        </w:rPr>
        <w:t xml:space="preserve">. This is a potentially dangerous mindset as it pressures police officers to endure the routine traumatic incidents whilst dealing with unresolved psychological impacts from previous events. This will impact officer’s ability to carry out their duty to the required standard, failing to meet the standards of professional behaviour due to the constant pressure. </w:t>
      </w:r>
    </w:p>
    <w:p w14:paraId="5C8120B5" w14:textId="77777777" w:rsidR="0088400D" w:rsidRPr="0088400D" w:rsidRDefault="0088400D" w:rsidP="0088400D">
      <w:pPr>
        <w:rPr>
          <w:rStyle w:val="Hyperlink"/>
          <w:rFonts w:cstheme="minorHAnsi"/>
          <w:color w:val="auto"/>
          <w:sz w:val="24"/>
          <w:szCs w:val="24"/>
          <w:u w:val="none"/>
        </w:rPr>
      </w:pPr>
      <w:r w:rsidRPr="0088400D">
        <w:rPr>
          <w:rStyle w:val="Hyperlink"/>
          <w:rFonts w:cstheme="minorHAnsi"/>
          <w:color w:val="auto"/>
          <w:sz w:val="24"/>
          <w:szCs w:val="24"/>
          <w:u w:val="none"/>
        </w:rPr>
        <w:t xml:space="preserve">In conclusion, police officers play a vital role in the management of major incidents.  Major incidents can be very diverse in nature but often have a lasting psychological effect on police officers through the consistent exposure to traumatic events. Many of these psychological effects are built up and go unnoticed due to the stereotype of becoming weak if vulnerability is shared, resulting in officers taking sick leave or leaving the police service indefinitely. </w:t>
      </w:r>
    </w:p>
    <w:p w14:paraId="60D0AA3A" w14:textId="77777777" w:rsidR="0088400D" w:rsidRPr="0088400D" w:rsidRDefault="0088400D" w:rsidP="0088400D">
      <w:pPr>
        <w:rPr>
          <w:rStyle w:val="Hyperlink"/>
          <w:rFonts w:cstheme="minorHAnsi"/>
          <w:color w:val="auto"/>
          <w:sz w:val="24"/>
          <w:szCs w:val="24"/>
          <w:u w:val="none"/>
        </w:rPr>
      </w:pPr>
    </w:p>
    <w:p w14:paraId="401F512E" w14:textId="05070025" w:rsidR="0088400D" w:rsidRPr="0088400D" w:rsidRDefault="0088400D" w:rsidP="0088400D">
      <w:pPr>
        <w:rPr>
          <w:rFonts w:cstheme="minorHAnsi"/>
          <w:sz w:val="24"/>
          <w:szCs w:val="24"/>
        </w:rPr>
      </w:pPr>
      <w:r w:rsidRPr="0088400D">
        <w:rPr>
          <w:rStyle w:val="Hyperlink"/>
          <w:rFonts w:cstheme="minorHAnsi"/>
          <w:color w:val="auto"/>
          <w:sz w:val="24"/>
          <w:szCs w:val="24"/>
          <w:u w:val="none"/>
        </w:rPr>
        <w:t>Word Count - 186</w:t>
      </w:r>
      <w:r w:rsidR="00375516">
        <w:rPr>
          <w:rStyle w:val="Hyperlink"/>
          <w:rFonts w:cstheme="minorHAnsi"/>
          <w:color w:val="auto"/>
          <w:sz w:val="24"/>
          <w:szCs w:val="24"/>
          <w:u w:val="none"/>
        </w:rPr>
        <w:t>7</w:t>
      </w:r>
    </w:p>
    <w:p w14:paraId="1C109517" w14:textId="77777777" w:rsidR="0088400D" w:rsidRPr="0088400D" w:rsidRDefault="0088400D">
      <w:pPr>
        <w:rPr>
          <w:rFonts w:cstheme="minorHAnsi"/>
          <w:sz w:val="24"/>
          <w:szCs w:val="24"/>
        </w:rPr>
      </w:pPr>
    </w:p>
    <w:p w14:paraId="298AC21D" w14:textId="77777777" w:rsidR="0088400D" w:rsidRPr="0088400D" w:rsidRDefault="0088400D">
      <w:pPr>
        <w:rPr>
          <w:rFonts w:cstheme="minorHAnsi"/>
          <w:sz w:val="24"/>
          <w:szCs w:val="24"/>
        </w:rPr>
      </w:pPr>
    </w:p>
    <w:p w14:paraId="49D33D7B" w14:textId="77777777" w:rsidR="0088400D" w:rsidRPr="0088400D" w:rsidRDefault="0088400D">
      <w:pPr>
        <w:rPr>
          <w:rFonts w:cstheme="minorHAnsi"/>
          <w:sz w:val="24"/>
          <w:szCs w:val="24"/>
        </w:rPr>
      </w:pPr>
    </w:p>
    <w:p w14:paraId="06854534" w14:textId="77777777" w:rsidR="0088400D" w:rsidRPr="0088400D" w:rsidRDefault="0088400D">
      <w:pPr>
        <w:rPr>
          <w:rFonts w:cstheme="minorHAnsi"/>
          <w:sz w:val="24"/>
          <w:szCs w:val="24"/>
        </w:rPr>
      </w:pPr>
    </w:p>
    <w:p w14:paraId="78C0E73B" w14:textId="77777777" w:rsidR="0088400D" w:rsidRPr="0088400D" w:rsidRDefault="0088400D">
      <w:pPr>
        <w:rPr>
          <w:rFonts w:cstheme="minorHAnsi"/>
          <w:sz w:val="24"/>
          <w:szCs w:val="24"/>
        </w:rPr>
      </w:pPr>
    </w:p>
    <w:p w14:paraId="44B9650C" w14:textId="77777777" w:rsidR="0088400D" w:rsidRDefault="0088400D">
      <w:pPr>
        <w:rPr>
          <w:rFonts w:cstheme="minorHAnsi"/>
        </w:rPr>
      </w:pPr>
    </w:p>
    <w:p w14:paraId="4A0709E6" w14:textId="77777777" w:rsidR="0088400D" w:rsidRDefault="0088400D">
      <w:pPr>
        <w:rPr>
          <w:rFonts w:cstheme="minorHAnsi"/>
        </w:rPr>
      </w:pPr>
    </w:p>
    <w:p w14:paraId="0C65F0DF" w14:textId="77777777" w:rsidR="0088400D" w:rsidRDefault="0088400D">
      <w:pPr>
        <w:rPr>
          <w:rFonts w:cstheme="minorHAnsi"/>
        </w:rPr>
      </w:pPr>
    </w:p>
    <w:p w14:paraId="62823816" w14:textId="77777777" w:rsidR="0088400D" w:rsidRDefault="0088400D">
      <w:pPr>
        <w:rPr>
          <w:rFonts w:cstheme="minorHAnsi"/>
        </w:rPr>
      </w:pPr>
    </w:p>
    <w:p w14:paraId="42C5D794" w14:textId="77777777" w:rsidR="00375516" w:rsidRDefault="00375516">
      <w:pPr>
        <w:rPr>
          <w:rFonts w:cstheme="minorHAnsi"/>
        </w:rPr>
      </w:pPr>
    </w:p>
    <w:p w14:paraId="106B60D0" w14:textId="77777777" w:rsidR="00375516" w:rsidRDefault="00375516">
      <w:pPr>
        <w:rPr>
          <w:rFonts w:cstheme="minorHAnsi"/>
        </w:rPr>
      </w:pPr>
    </w:p>
    <w:p w14:paraId="28DAE263" w14:textId="614FDF7E" w:rsidR="0088400D" w:rsidRDefault="0088400D">
      <w:pPr>
        <w:rPr>
          <w:rFonts w:cstheme="minorHAnsi"/>
          <w:sz w:val="24"/>
          <w:szCs w:val="24"/>
        </w:rPr>
      </w:pPr>
    </w:p>
    <w:sdt>
      <w:sdtPr>
        <w:id w:val="1331257146"/>
        <w:docPartObj>
          <w:docPartGallery w:val="Bibliographies"/>
          <w:docPartUnique/>
        </w:docPartObj>
      </w:sdtPr>
      <w:sdtEndPr>
        <w:rPr>
          <w:rFonts w:asciiTheme="minorHAnsi" w:eastAsiaTheme="minorHAnsi" w:hAnsiTheme="minorHAnsi" w:cstheme="minorBidi"/>
          <w:color w:val="auto"/>
          <w:sz w:val="22"/>
          <w:szCs w:val="22"/>
        </w:rPr>
      </w:sdtEndPr>
      <w:sdtContent>
        <w:p w14:paraId="22FF17EE" w14:textId="4F9F2721" w:rsidR="0088400D" w:rsidRDefault="0088400D">
          <w:pPr>
            <w:pStyle w:val="Heading1"/>
          </w:pPr>
          <w:r>
            <w:t>Bibliography</w:t>
          </w:r>
        </w:p>
        <w:sdt>
          <w:sdtPr>
            <w:id w:val="111145805"/>
            <w:bibliography/>
          </w:sdtPr>
          <w:sdtContent>
            <w:p w14:paraId="59671251" w14:textId="77777777" w:rsidR="0088400D" w:rsidRDefault="0088400D" w:rsidP="0088400D">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García-Vera, M. P., Sanz, J. &amp; Gutiérrez, S., 2016. A systematic review of the literature on posttraumatic stress disorder in victims of terrorist attacks.. </w:t>
              </w:r>
              <w:r>
                <w:rPr>
                  <w:i/>
                  <w:iCs/>
                  <w:noProof/>
                </w:rPr>
                <w:t xml:space="preserve">Psychological Reports, </w:t>
              </w:r>
              <w:r>
                <w:rPr>
                  <w:noProof/>
                </w:rPr>
                <w:t>119(1), pp. 328-359.</w:t>
              </w:r>
            </w:p>
            <w:p w14:paraId="6236A0BD" w14:textId="77777777" w:rsidR="0088400D" w:rsidRDefault="0088400D" w:rsidP="0088400D">
              <w:pPr>
                <w:pStyle w:val="Bibliography"/>
                <w:rPr>
                  <w:noProof/>
                </w:rPr>
              </w:pPr>
              <w:r>
                <w:rPr>
                  <w:noProof/>
                </w:rPr>
                <w:t xml:space="preserve">Alpert, G. P., Dunham, R. G. &amp; Stroshine, M. S., 2014. </w:t>
              </w:r>
              <w:r>
                <w:rPr>
                  <w:i/>
                  <w:iCs/>
                  <w:noProof/>
                </w:rPr>
                <w:t xml:space="preserve">Policing: Continuity and Change. </w:t>
              </w:r>
              <w:r>
                <w:rPr>
                  <w:noProof/>
                </w:rPr>
                <w:t>2nd ed. Ebook: Waveland Press.</w:t>
              </w:r>
            </w:p>
            <w:p w14:paraId="64C16167" w14:textId="77777777" w:rsidR="0088400D" w:rsidRDefault="0088400D" w:rsidP="0088400D">
              <w:pPr>
                <w:pStyle w:val="Bibliography"/>
                <w:rPr>
                  <w:noProof/>
                </w:rPr>
              </w:pPr>
              <w:r>
                <w:rPr>
                  <w:noProof/>
                </w:rPr>
                <w:t xml:space="preserve">APA, 2013. </w:t>
              </w:r>
              <w:r>
                <w:rPr>
                  <w:i/>
                  <w:iCs/>
                  <w:noProof/>
                </w:rPr>
                <w:t xml:space="preserve">Diagnostic and statistical manual of mental disorders., </w:t>
              </w:r>
              <w:r>
                <w:rPr>
                  <w:noProof/>
                </w:rPr>
                <w:t>s.l.: American Psychiatric Association..</w:t>
              </w:r>
            </w:p>
            <w:p w14:paraId="69C29816" w14:textId="77777777" w:rsidR="0088400D" w:rsidRDefault="0088400D" w:rsidP="0088400D">
              <w:pPr>
                <w:pStyle w:val="Bibliography"/>
                <w:rPr>
                  <w:noProof/>
                </w:rPr>
              </w:pPr>
              <w:r>
                <w:rPr>
                  <w:noProof/>
                </w:rPr>
                <w:t xml:space="preserve">Baker, A. H., 2012. </w:t>
              </w:r>
              <w:r>
                <w:rPr>
                  <w:i/>
                  <w:iCs/>
                  <w:noProof/>
                </w:rPr>
                <w:t xml:space="preserve">Engagement and partnership in community-based approaches to counter-terrorism., </w:t>
              </w:r>
              <w:r>
                <w:rPr>
                  <w:noProof/>
                </w:rPr>
                <w:t>Basingstoke: Palgrave Macmillan.</w:t>
              </w:r>
            </w:p>
            <w:p w14:paraId="695184DE" w14:textId="77777777" w:rsidR="0088400D" w:rsidRDefault="0088400D" w:rsidP="0088400D">
              <w:pPr>
                <w:pStyle w:val="Bibliography"/>
                <w:rPr>
                  <w:noProof/>
                </w:rPr>
              </w:pPr>
              <w:r>
                <w:rPr>
                  <w:noProof/>
                </w:rPr>
                <w:t xml:space="preserve">Bjorgo, T., 2013. </w:t>
              </w:r>
              <w:r>
                <w:rPr>
                  <w:i/>
                  <w:iCs/>
                  <w:noProof/>
                </w:rPr>
                <w:t xml:space="preserve">Strategies for Preventing Terrorism, </w:t>
              </w:r>
              <w:r>
                <w:rPr>
                  <w:noProof/>
                </w:rPr>
                <w:t>Basingstoke: Palgrave Macmillan.</w:t>
              </w:r>
            </w:p>
            <w:p w14:paraId="776322AB" w14:textId="77777777" w:rsidR="0088400D" w:rsidRDefault="0088400D" w:rsidP="0088400D">
              <w:pPr>
                <w:pStyle w:val="Bibliography"/>
                <w:rPr>
                  <w:noProof/>
                </w:rPr>
              </w:pPr>
              <w:r>
                <w:rPr>
                  <w:noProof/>
                </w:rPr>
                <w:t xml:space="preserve">Bourke, M. L., Buser, S. J. &amp; Van Ha, V. B., 2023. </w:t>
              </w:r>
              <w:r>
                <w:rPr>
                  <w:i/>
                  <w:iCs/>
                  <w:noProof/>
                </w:rPr>
                <w:t xml:space="preserve">First Responder Mental Health: A Clinician's Guide. </w:t>
              </w:r>
              <w:r>
                <w:rPr>
                  <w:noProof/>
                </w:rPr>
                <w:t>Ebook: Springer International Publishing.</w:t>
              </w:r>
            </w:p>
            <w:p w14:paraId="3135FB26" w14:textId="77777777" w:rsidR="0088400D" w:rsidRDefault="0088400D" w:rsidP="0088400D">
              <w:pPr>
                <w:pStyle w:val="Bibliography"/>
                <w:rPr>
                  <w:noProof/>
                </w:rPr>
              </w:pPr>
              <w:r>
                <w:rPr>
                  <w:noProof/>
                </w:rPr>
                <w:t xml:space="preserve">Centre for Research and Evidence on Security Threats, 2023. The Psychology Of Interoperability: Improving Emergency Services’ Teamwork. </w:t>
              </w:r>
              <w:r>
                <w:rPr>
                  <w:i/>
                  <w:iCs/>
                  <w:noProof/>
                </w:rPr>
                <w:t xml:space="preserve">Crest Security Review, </w:t>
              </w:r>
              <w:r>
                <w:rPr>
                  <w:noProof/>
                </w:rPr>
                <w:t>pp. 34-35.</w:t>
              </w:r>
            </w:p>
            <w:p w14:paraId="7EF0B28C" w14:textId="77777777" w:rsidR="0088400D" w:rsidRDefault="0088400D" w:rsidP="0088400D">
              <w:pPr>
                <w:pStyle w:val="Bibliography"/>
                <w:rPr>
                  <w:noProof/>
                </w:rPr>
              </w:pPr>
              <w:r>
                <w:rPr>
                  <w:noProof/>
                </w:rPr>
                <w:t xml:space="preserve">Clohessy, S. &amp; Ehlers, A., 1999. PTSD symptoms, response to intrusive memories and coping in ambulance service workers. </w:t>
              </w:r>
              <w:r>
                <w:rPr>
                  <w:i/>
                  <w:iCs/>
                  <w:noProof/>
                </w:rPr>
                <w:t xml:space="preserve">British Journal of Clinical Psychology, </w:t>
              </w:r>
              <w:r>
                <w:rPr>
                  <w:noProof/>
                </w:rPr>
                <w:t>38(3), pp. 251-265.</w:t>
              </w:r>
            </w:p>
            <w:p w14:paraId="72FEAB94" w14:textId="77777777" w:rsidR="0088400D" w:rsidRDefault="0088400D" w:rsidP="0088400D">
              <w:pPr>
                <w:pStyle w:val="Bibliography"/>
                <w:rPr>
                  <w:noProof/>
                </w:rPr>
              </w:pPr>
              <w:r>
                <w:rPr>
                  <w:noProof/>
                </w:rPr>
                <w:t xml:space="preserve">Coady, C. A. J., 2021. </w:t>
              </w:r>
              <w:r>
                <w:rPr>
                  <w:i/>
                  <w:iCs/>
                  <w:noProof/>
                </w:rPr>
                <w:t xml:space="preserve">The Meaning of Terrorism. </w:t>
              </w:r>
              <w:r>
                <w:rPr>
                  <w:noProof/>
                </w:rPr>
                <w:t>Oxford: Oxford University Press.</w:t>
              </w:r>
            </w:p>
            <w:p w14:paraId="2F093D62" w14:textId="77777777" w:rsidR="0088400D" w:rsidRDefault="0088400D" w:rsidP="0088400D">
              <w:pPr>
                <w:pStyle w:val="Bibliography"/>
                <w:rPr>
                  <w:noProof/>
                </w:rPr>
              </w:pPr>
              <w:r>
                <w:rPr>
                  <w:noProof/>
                </w:rPr>
                <w:t xml:space="preserve">Cockburn, P., 2020. </w:t>
              </w:r>
              <w:r>
                <w:rPr>
                  <w:i/>
                  <w:iCs/>
                  <w:noProof/>
                </w:rPr>
                <w:t xml:space="preserve">The Rise of Islamic State: ISIS and the New Sunni Revolution. </w:t>
              </w:r>
              <w:r>
                <w:rPr>
                  <w:noProof/>
                </w:rPr>
                <w:t>s.l.:LeftWord Books.</w:t>
              </w:r>
            </w:p>
            <w:p w14:paraId="1084B2BE" w14:textId="77777777" w:rsidR="0088400D" w:rsidRDefault="0088400D" w:rsidP="0088400D">
              <w:pPr>
                <w:pStyle w:val="Bibliography"/>
                <w:rPr>
                  <w:noProof/>
                </w:rPr>
              </w:pPr>
              <w:r>
                <w:rPr>
                  <w:noProof/>
                </w:rPr>
                <w:t xml:space="preserve">Counter Terrorism Policing, 2023. </w:t>
              </w:r>
              <w:r>
                <w:rPr>
                  <w:i/>
                  <w:iCs/>
                  <w:noProof/>
                </w:rPr>
                <w:t xml:space="preserve">Counter Terrorism Policing. </w:t>
              </w:r>
              <w:r>
                <w:rPr>
                  <w:noProof/>
                </w:rPr>
                <w:t xml:space="preserve">[Online] </w:t>
              </w:r>
              <w:r>
                <w:rPr>
                  <w:noProof/>
                </w:rPr>
                <w:br/>
                <w:t xml:space="preserve">Available at: </w:t>
              </w:r>
              <w:r>
                <w:rPr>
                  <w:noProof/>
                  <w:u w:val="single"/>
                </w:rPr>
                <w:t>https://www.counterterrorism.police.uk/what-we-do/prepare/</w:t>
              </w:r>
              <w:r>
                <w:rPr>
                  <w:noProof/>
                </w:rPr>
                <w:br/>
                <w:t>[Accessed 27 May 2024].</w:t>
              </w:r>
            </w:p>
            <w:p w14:paraId="4DC9EA34" w14:textId="77777777" w:rsidR="0088400D" w:rsidRDefault="0088400D" w:rsidP="0088400D">
              <w:pPr>
                <w:pStyle w:val="Bibliography"/>
                <w:rPr>
                  <w:noProof/>
                </w:rPr>
              </w:pPr>
              <w:r>
                <w:rPr>
                  <w:noProof/>
                </w:rPr>
                <w:t xml:space="preserve">European Parliamentary Research Service and RAND Europe, 2018. </w:t>
              </w:r>
              <w:r>
                <w:rPr>
                  <w:i/>
                  <w:iCs/>
                  <w:noProof/>
                </w:rPr>
                <w:t xml:space="preserve">European ParliamThe fight against terrorism: Cost of Non-Europe Report. Home Office, </w:t>
              </w:r>
              <w:r>
                <w:rPr>
                  <w:noProof/>
                </w:rPr>
                <w:t>s.l.: EAV assessment.</w:t>
              </w:r>
            </w:p>
            <w:p w14:paraId="562ABC28" w14:textId="77777777" w:rsidR="0088400D" w:rsidRDefault="0088400D" w:rsidP="0088400D">
              <w:pPr>
                <w:pStyle w:val="Bibliography"/>
                <w:rPr>
                  <w:noProof/>
                </w:rPr>
              </w:pPr>
              <w:r>
                <w:rPr>
                  <w:noProof/>
                </w:rPr>
                <w:t xml:space="preserve">Faggiano, V., McNall, J. &amp; Gillespie, T. T., 2012. </w:t>
              </w:r>
              <w:r>
                <w:rPr>
                  <w:i/>
                  <w:iCs/>
                  <w:noProof/>
                </w:rPr>
                <w:t xml:space="preserve">Critical Incident Management: A Complete Response Guide. </w:t>
              </w:r>
              <w:r>
                <w:rPr>
                  <w:noProof/>
                </w:rPr>
                <w:t>Ebook: CRC Press.</w:t>
              </w:r>
            </w:p>
            <w:p w14:paraId="4081409E" w14:textId="77777777" w:rsidR="0088400D" w:rsidRDefault="0088400D" w:rsidP="0088400D">
              <w:pPr>
                <w:pStyle w:val="Bibliography"/>
                <w:rPr>
                  <w:noProof/>
                </w:rPr>
              </w:pPr>
              <w:r>
                <w:rPr>
                  <w:noProof/>
                </w:rPr>
                <w:t xml:space="preserve">Great Britain: Home Office , 2011. </w:t>
              </w:r>
              <w:r>
                <w:rPr>
                  <w:i/>
                  <w:iCs/>
                  <w:noProof/>
                </w:rPr>
                <w:t xml:space="preserve">Prevent Strategy. </w:t>
              </w:r>
              <w:r>
                <w:rPr>
                  <w:noProof/>
                </w:rPr>
                <w:t>London : Stationery Office.</w:t>
              </w:r>
            </w:p>
            <w:p w14:paraId="3998D16E" w14:textId="77777777" w:rsidR="0088400D" w:rsidRDefault="0088400D" w:rsidP="0088400D">
              <w:pPr>
                <w:pStyle w:val="Bibliography"/>
                <w:rPr>
                  <w:noProof/>
                </w:rPr>
              </w:pPr>
              <w:r>
                <w:rPr>
                  <w:noProof/>
                </w:rPr>
                <w:t xml:space="preserve">Greer, S., 2021. </w:t>
              </w:r>
              <w:r>
                <w:rPr>
                  <w:i/>
                  <w:iCs/>
                  <w:noProof/>
                </w:rPr>
                <w:t xml:space="preserve">Tackling Terrorism in Britain: Threats, Responses, and Challenges Twenty Years After 9/11. </w:t>
              </w:r>
              <w:r>
                <w:rPr>
                  <w:noProof/>
                </w:rPr>
                <w:t>London : Taylor &amp; Francis.</w:t>
              </w:r>
            </w:p>
            <w:p w14:paraId="36A72F3F" w14:textId="77777777" w:rsidR="0088400D" w:rsidRDefault="0088400D" w:rsidP="0088400D">
              <w:pPr>
                <w:pStyle w:val="Bibliography"/>
                <w:rPr>
                  <w:noProof/>
                </w:rPr>
              </w:pPr>
              <w:r>
                <w:rPr>
                  <w:noProof/>
                </w:rPr>
                <w:t xml:space="preserve">Hafez, M. M., 2010. The alchemy of martyrdom: Jihadi salafism and debates over suicide bombings in the Muslim world.. </w:t>
              </w:r>
              <w:r>
                <w:rPr>
                  <w:i/>
                  <w:iCs/>
                  <w:noProof/>
                </w:rPr>
                <w:t xml:space="preserve">Asian journal of social science, </w:t>
              </w:r>
              <w:r>
                <w:rPr>
                  <w:noProof/>
                </w:rPr>
                <w:t>38(3), pp. 364-378.</w:t>
              </w:r>
            </w:p>
            <w:p w14:paraId="46CC45E6" w14:textId="77777777" w:rsidR="0088400D" w:rsidRDefault="0088400D" w:rsidP="0088400D">
              <w:pPr>
                <w:pStyle w:val="Bibliography"/>
                <w:rPr>
                  <w:noProof/>
                </w:rPr>
              </w:pPr>
              <w:r>
                <w:rPr>
                  <w:noProof/>
                </w:rPr>
                <w:t xml:space="preserve">Hesketh, I. &amp; Tehrani, N., 2018. Psychological trauma risk management in the UK police service.. </w:t>
              </w:r>
              <w:r>
                <w:rPr>
                  <w:i/>
                  <w:iCs/>
                  <w:noProof/>
                </w:rPr>
                <w:t xml:space="preserve">Policing: A Journal of Policy and Practice, </w:t>
              </w:r>
              <w:r>
                <w:rPr>
                  <w:noProof/>
                </w:rPr>
                <w:t>13(4), pp. 531-535.</w:t>
              </w:r>
            </w:p>
            <w:p w14:paraId="25A2635F" w14:textId="77777777" w:rsidR="0088400D" w:rsidRDefault="0088400D" w:rsidP="0088400D">
              <w:pPr>
                <w:pStyle w:val="Bibliography"/>
                <w:rPr>
                  <w:noProof/>
                </w:rPr>
              </w:pPr>
              <w:r>
                <w:rPr>
                  <w:noProof/>
                </w:rPr>
                <w:t xml:space="preserve">Hesketh, I. &amp; Tehrani, N., 2024. ‘Developing resilience interventions for emergency service responders—a view from the field’. </w:t>
              </w:r>
              <w:r>
                <w:rPr>
                  <w:i/>
                  <w:iCs/>
                  <w:noProof/>
                </w:rPr>
                <w:t xml:space="preserve">Public Money &amp; Management, </w:t>
              </w:r>
              <w:r>
                <w:rPr>
                  <w:noProof/>
                </w:rPr>
                <w:t>44(2), pp. 117-123.</w:t>
              </w:r>
            </w:p>
            <w:p w14:paraId="61CAECAE" w14:textId="77777777" w:rsidR="0088400D" w:rsidRDefault="0088400D" w:rsidP="0088400D">
              <w:pPr>
                <w:pStyle w:val="Bibliography"/>
                <w:rPr>
                  <w:noProof/>
                </w:rPr>
              </w:pPr>
              <w:r>
                <w:rPr>
                  <w:noProof/>
                </w:rPr>
                <w:lastRenderedPageBreak/>
                <w:t xml:space="preserve">Hewitt, S., McDonald, L. Z. &amp; Spalek, B., 2012. </w:t>
              </w:r>
              <w:r>
                <w:rPr>
                  <w:i/>
                  <w:iCs/>
                  <w:noProof/>
                </w:rPr>
                <w:t xml:space="preserve">“Communities as Defeating and/or Endorsing Extreme Violence How Do Communities Support and/or Defeat Extreme Violence over Time?’, </w:t>
              </w:r>
              <w:r>
                <w:rPr>
                  <w:noProof/>
                </w:rPr>
                <w:t>London: Connected Communities Programme Report.</w:t>
              </w:r>
            </w:p>
            <w:p w14:paraId="40E6BFC1" w14:textId="77777777" w:rsidR="0088400D" w:rsidRDefault="0088400D" w:rsidP="0088400D">
              <w:pPr>
                <w:pStyle w:val="Bibliography"/>
                <w:rPr>
                  <w:noProof/>
                </w:rPr>
              </w:pPr>
              <w:r>
                <w:rPr>
                  <w:noProof/>
                </w:rPr>
                <w:t xml:space="preserve">HM Government, 2023. </w:t>
              </w:r>
              <w:r>
                <w:rPr>
                  <w:i/>
                  <w:iCs/>
                  <w:noProof/>
                </w:rPr>
                <w:t xml:space="preserve">CONTEST: The United Kingdom’s Strategy for Countering Terrorism 2023, </w:t>
              </w:r>
              <w:r>
                <w:rPr>
                  <w:noProof/>
                </w:rPr>
                <w:t>London: HM Government.</w:t>
              </w:r>
            </w:p>
            <w:p w14:paraId="6F572235" w14:textId="77777777" w:rsidR="0088400D" w:rsidRDefault="0088400D" w:rsidP="0088400D">
              <w:pPr>
                <w:pStyle w:val="Bibliography"/>
                <w:rPr>
                  <w:noProof/>
                </w:rPr>
              </w:pPr>
              <w:r>
                <w:rPr>
                  <w:noProof/>
                </w:rPr>
                <w:t xml:space="preserve">HMICFRS, 2023. </w:t>
              </w:r>
              <w:r>
                <w:rPr>
                  <w:i/>
                  <w:iCs/>
                  <w:noProof/>
                </w:rPr>
                <w:t xml:space="preserve">Joint Emergency Services Interoperability Principles (JESIP). </w:t>
              </w:r>
              <w:r>
                <w:rPr>
                  <w:noProof/>
                </w:rPr>
                <w:t xml:space="preserve">[Online] </w:t>
              </w:r>
              <w:r>
                <w:rPr>
                  <w:noProof/>
                </w:rPr>
                <w:br/>
                <w:t xml:space="preserve">Available at: </w:t>
              </w:r>
              <w:r>
                <w:rPr>
                  <w:noProof/>
                  <w:u w:val="single"/>
                </w:rPr>
                <w:t>https://hmicfrs.justiceinspectorates.gov.uk/glossary/joint-emergency-services-interoperability-principles-jesip/</w:t>
              </w:r>
              <w:r>
                <w:rPr>
                  <w:noProof/>
                </w:rPr>
                <w:br/>
                <w:t>[Accessed 15 May 2024].</w:t>
              </w:r>
            </w:p>
            <w:p w14:paraId="7CC835F3" w14:textId="77777777" w:rsidR="0088400D" w:rsidRDefault="0088400D" w:rsidP="0088400D">
              <w:pPr>
                <w:pStyle w:val="Bibliography"/>
                <w:rPr>
                  <w:noProof/>
                </w:rPr>
              </w:pPr>
              <w:r>
                <w:rPr>
                  <w:noProof/>
                </w:rPr>
                <w:t xml:space="preserve">JESIP, 2016. </w:t>
              </w:r>
              <w:r>
                <w:rPr>
                  <w:i/>
                  <w:iCs/>
                  <w:noProof/>
                </w:rPr>
                <w:t xml:space="preserve">Joint Doctrine: The Interoperability Framework, </w:t>
              </w:r>
              <w:r>
                <w:rPr>
                  <w:noProof/>
                </w:rPr>
                <w:t>London: Joint Emergency Services Interoperability Programme.</w:t>
              </w:r>
            </w:p>
            <w:p w14:paraId="27CA9E4B" w14:textId="77777777" w:rsidR="0088400D" w:rsidRDefault="0088400D" w:rsidP="0088400D">
              <w:pPr>
                <w:pStyle w:val="Bibliography"/>
                <w:rPr>
                  <w:noProof/>
                </w:rPr>
              </w:pPr>
              <w:r>
                <w:rPr>
                  <w:noProof/>
                </w:rPr>
                <w:t xml:space="preserve">JESIP, 2022. </w:t>
              </w:r>
              <w:r>
                <w:rPr>
                  <w:i/>
                  <w:iCs/>
                  <w:noProof/>
                </w:rPr>
                <w:t xml:space="preserve">Emergency Responder Organisations - Roles, Responsibilities and Capabilities.. </w:t>
              </w:r>
              <w:r>
                <w:rPr>
                  <w:noProof/>
                </w:rPr>
                <w:t xml:space="preserve">[Online] </w:t>
              </w:r>
              <w:r>
                <w:rPr>
                  <w:noProof/>
                </w:rPr>
                <w:br/>
                <w:t xml:space="preserve">Available at: </w:t>
              </w:r>
              <w:r>
                <w:rPr>
                  <w:noProof/>
                  <w:u w:val="single"/>
                </w:rPr>
                <w:t>https://www.jesip.org.uk/wp-content/uploads/2022/08/Emergency-Responder-Organisations-Roles-and-Responsibilities-v1.1-Aug-2022-1.pdf</w:t>
              </w:r>
              <w:r>
                <w:rPr>
                  <w:noProof/>
                </w:rPr>
                <w:br/>
                <w:t>[Accessed 15 May 2024].</w:t>
              </w:r>
            </w:p>
            <w:p w14:paraId="23277632" w14:textId="77777777" w:rsidR="0088400D" w:rsidRDefault="0088400D" w:rsidP="0088400D">
              <w:pPr>
                <w:pStyle w:val="Bibliography"/>
                <w:rPr>
                  <w:noProof/>
                </w:rPr>
              </w:pPr>
              <w:r>
                <w:rPr>
                  <w:noProof/>
                </w:rPr>
                <w:t xml:space="preserve">JESIP, 2024. </w:t>
              </w:r>
              <w:r>
                <w:rPr>
                  <w:i/>
                  <w:iCs/>
                  <w:noProof/>
                </w:rPr>
                <w:t xml:space="preserve">JESIP - Major Incident. </w:t>
              </w:r>
              <w:r>
                <w:rPr>
                  <w:noProof/>
                </w:rPr>
                <w:t xml:space="preserve">[Online] </w:t>
              </w:r>
              <w:r>
                <w:rPr>
                  <w:noProof/>
                </w:rPr>
                <w:br/>
                <w:t xml:space="preserve">Available at: </w:t>
              </w:r>
              <w:r>
                <w:rPr>
                  <w:noProof/>
                  <w:u w:val="single"/>
                </w:rPr>
                <w:t>https://www.jesip.org.uk/webapp/major.html.</w:t>
              </w:r>
              <w:r>
                <w:rPr>
                  <w:noProof/>
                </w:rPr>
                <w:br/>
                <w:t>[Accessed 15 May 2024].</w:t>
              </w:r>
            </w:p>
            <w:p w14:paraId="3BEE1290" w14:textId="77777777" w:rsidR="0088400D" w:rsidRDefault="0088400D" w:rsidP="0088400D">
              <w:pPr>
                <w:pStyle w:val="Bibliography"/>
                <w:rPr>
                  <w:noProof/>
                </w:rPr>
              </w:pPr>
              <w:r>
                <w:rPr>
                  <w:noProof/>
                </w:rPr>
                <w:t xml:space="preserve">Lawn, S. et al., 2020. The effects of emergency medical service work on the psychological, physical, and social well-being of ambulance personnel: A systematic review of qualitative research.. </w:t>
              </w:r>
              <w:r>
                <w:rPr>
                  <w:i/>
                  <w:iCs/>
                  <w:noProof/>
                </w:rPr>
                <w:t xml:space="preserve">BMC Psychiatry, </w:t>
              </w:r>
              <w:r>
                <w:rPr>
                  <w:noProof/>
                </w:rPr>
                <w:t>20(1), p. 348.</w:t>
              </w:r>
            </w:p>
            <w:p w14:paraId="374AF335" w14:textId="77777777" w:rsidR="0088400D" w:rsidRDefault="0088400D" w:rsidP="0088400D">
              <w:pPr>
                <w:pStyle w:val="Bibliography"/>
                <w:rPr>
                  <w:noProof/>
                </w:rPr>
              </w:pPr>
              <w:r>
                <w:rPr>
                  <w:noProof/>
                </w:rPr>
                <w:t xml:space="preserve">Lee, D. A., Scragg, P. &amp; Turner, S., 2001. The role of shame and guilt in traumatic events: A clinical model of shame based and guilt-based PTSD. </w:t>
              </w:r>
              <w:r>
                <w:rPr>
                  <w:i/>
                  <w:iCs/>
                  <w:noProof/>
                </w:rPr>
                <w:t xml:space="preserve">British Journal of Medical Psychology, </w:t>
              </w:r>
              <w:r>
                <w:rPr>
                  <w:noProof/>
                </w:rPr>
                <w:t>74(4), pp. 451-466.</w:t>
              </w:r>
            </w:p>
            <w:p w14:paraId="51610A60" w14:textId="77777777" w:rsidR="0088400D" w:rsidRDefault="0088400D" w:rsidP="0088400D">
              <w:pPr>
                <w:pStyle w:val="Bibliography"/>
                <w:rPr>
                  <w:noProof/>
                </w:rPr>
              </w:pPr>
              <w:r>
                <w:rPr>
                  <w:noProof/>
                </w:rPr>
                <w:t xml:space="preserve">Lowe, T. &amp; Innes, M., 2012. Can we speak in confidence? Community intelligence and Neighbourhood Policing v2.0.. </w:t>
              </w:r>
              <w:r>
                <w:rPr>
                  <w:i/>
                  <w:iCs/>
                  <w:noProof/>
                </w:rPr>
                <w:t xml:space="preserve">Policing and Society: An International Journal of Research and Policy , </w:t>
              </w:r>
              <w:r>
                <w:rPr>
                  <w:noProof/>
                </w:rPr>
                <w:t>22(3), pp. 295-316.</w:t>
              </w:r>
            </w:p>
            <w:p w14:paraId="12D7E1B7" w14:textId="77777777" w:rsidR="0088400D" w:rsidRDefault="0088400D" w:rsidP="0088400D">
              <w:pPr>
                <w:pStyle w:val="Bibliography"/>
                <w:rPr>
                  <w:noProof/>
                </w:rPr>
              </w:pPr>
              <w:r>
                <w:rPr>
                  <w:noProof/>
                </w:rPr>
                <w:t xml:space="preserve">Mackway-Jones , K., 2012. Major Incident Medical Management and Support: The Practical Approach at the Scene. </w:t>
              </w:r>
              <w:r>
                <w:rPr>
                  <w:i/>
                  <w:iCs/>
                  <w:noProof/>
                </w:rPr>
                <w:t xml:space="preserve">Wiley-Blackwell, </w:t>
              </w:r>
              <w:r>
                <w:rPr>
                  <w:noProof/>
                </w:rPr>
                <w:t>Volume 3e, pp. 84-89.</w:t>
              </w:r>
            </w:p>
            <w:p w14:paraId="7EFADEFA" w14:textId="77777777" w:rsidR="0088400D" w:rsidRDefault="0088400D" w:rsidP="0088400D">
              <w:pPr>
                <w:pStyle w:val="Bibliography"/>
                <w:rPr>
                  <w:noProof/>
                </w:rPr>
              </w:pPr>
              <w:r>
                <w:rPr>
                  <w:noProof/>
                </w:rPr>
                <w:t xml:space="preserve">McNally, R. J., Hatch, J. P. &amp; Cedillos, E. M., 2011. Does the repressor coping style predict lower post-traumatic stress symptoms?. </w:t>
              </w:r>
              <w:r>
                <w:rPr>
                  <w:i/>
                  <w:iCs/>
                  <w:noProof/>
                </w:rPr>
                <w:t xml:space="preserve">Military Medicine, </w:t>
              </w:r>
              <w:r>
                <w:rPr>
                  <w:noProof/>
                </w:rPr>
                <w:t>176(7), pp. 752-775.</w:t>
              </w:r>
            </w:p>
            <w:p w14:paraId="7949112E" w14:textId="77777777" w:rsidR="0088400D" w:rsidRDefault="0088400D" w:rsidP="0088400D">
              <w:pPr>
                <w:pStyle w:val="Bibliography"/>
                <w:rPr>
                  <w:noProof/>
                </w:rPr>
              </w:pPr>
              <w:r>
                <w:rPr>
                  <w:noProof/>
                </w:rPr>
                <w:t xml:space="preserve">Miller, J., 2019. </w:t>
              </w:r>
              <w:r>
                <w:rPr>
                  <w:i/>
                  <w:iCs/>
                  <w:noProof/>
                </w:rPr>
                <w:t xml:space="preserve">Police workforce: almost one in five suffer with a form of PTSD., </w:t>
              </w:r>
              <w:r>
                <w:rPr>
                  <w:noProof/>
                </w:rPr>
                <w:t>Cambridge: University of Cambridge &amp; Police Care UK.</w:t>
              </w:r>
            </w:p>
            <w:p w14:paraId="0325155D" w14:textId="77777777" w:rsidR="0088400D" w:rsidRDefault="0088400D" w:rsidP="0088400D">
              <w:pPr>
                <w:pStyle w:val="Bibliography"/>
                <w:rPr>
                  <w:noProof/>
                </w:rPr>
              </w:pPr>
              <w:r>
                <w:rPr>
                  <w:noProof/>
                </w:rPr>
                <w:t xml:space="preserve">MIMMS, 2016. </w:t>
              </w:r>
              <w:r>
                <w:rPr>
                  <w:i/>
                  <w:iCs/>
                  <w:noProof/>
                </w:rPr>
                <w:t xml:space="preserve">- Major Incidents. Mimms.org.au.. </w:t>
              </w:r>
              <w:r>
                <w:rPr>
                  <w:noProof/>
                </w:rPr>
                <w:t xml:space="preserve">[Online] </w:t>
              </w:r>
              <w:r>
                <w:rPr>
                  <w:noProof/>
                </w:rPr>
                <w:br/>
                <w:t xml:space="preserve">Available at: </w:t>
              </w:r>
              <w:r>
                <w:rPr>
                  <w:noProof/>
                  <w:u w:val="single"/>
                </w:rPr>
                <w:t>https://www.mimms.org.au/major-incidents.</w:t>
              </w:r>
              <w:r>
                <w:rPr>
                  <w:noProof/>
                </w:rPr>
                <w:br/>
                <w:t>[Accessed 17 May 2024 ].</w:t>
              </w:r>
            </w:p>
            <w:p w14:paraId="40B149CE" w14:textId="77777777" w:rsidR="0088400D" w:rsidRDefault="0088400D" w:rsidP="0088400D">
              <w:pPr>
                <w:pStyle w:val="Bibliography"/>
                <w:rPr>
                  <w:noProof/>
                </w:rPr>
              </w:pPr>
              <w:r>
                <w:rPr>
                  <w:noProof/>
                </w:rPr>
                <w:t xml:space="preserve">Peate, I. &amp; Willis, S., 2024. </w:t>
              </w:r>
              <w:r>
                <w:rPr>
                  <w:i/>
                  <w:iCs/>
                  <w:noProof/>
                </w:rPr>
                <w:t xml:space="preserve">Fundamentals of Paramedic Practice: A Systems Approach. </w:t>
              </w:r>
              <w:r>
                <w:rPr>
                  <w:noProof/>
                </w:rPr>
                <w:t>3rd ed. Ebook: WIley.</w:t>
              </w:r>
            </w:p>
            <w:p w14:paraId="6C694671" w14:textId="77777777" w:rsidR="0088400D" w:rsidRDefault="0088400D" w:rsidP="0088400D">
              <w:pPr>
                <w:pStyle w:val="Bibliography"/>
                <w:rPr>
                  <w:noProof/>
                </w:rPr>
              </w:pPr>
              <w:r>
                <w:rPr>
                  <w:noProof/>
                </w:rPr>
                <w:lastRenderedPageBreak/>
                <w:t xml:space="preserve">Skeffington, M. P., Rees, S. C. &amp; Mazzucchelli, T., 2017. Trauma exposure and post-traumatic stress disorder within fire and emergency services in Western Australia.. </w:t>
              </w:r>
              <w:r>
                <w:rPr>
                  <w:i/>
                  <w:iCs/>
                  <w:noProof/>
                </w:rPr>
                <w:t xml:space="preserve">Australian Journal of Psychology, </w:t>
              </w:r>
              <w:r>
                <w:rPr>
                  <w:noProof/>
                </w:rPr>
                <w:t>Volume 69, pp. 20-28.</w:t>
              </w:r>
            </w:p>
            <w:p w14:paraId="1DC04F65" w14:textId="77777777" w:rsidR="0088400D" w:rsidRDefault="0088400D" w:rsidP="0088400D">
              <w:pPr>
                <w:pStyle w:val="Bibliography"/>
                <w:rPr>
                  <w:noProof/>
                </w:rPr>
              </w:pPr>
              <w:r>
                <w:rPr>
                  <w:noProof/>
                </w:rPr>
                <w:t xml:space="preserve">Skeffington, P. M., Rees, C. S. &amp; Mazzucchelli, T., 2017. Trauma exposure and post-traumatic stress disorder within fire and emergency services in Western Australia.. </w:t>
              </w:r>
              <w:r>
                <w:rPr>
                  <w:i/>
                  <w:iCs/>
                  <w:noProof/>
                </w:rPr>
                <w:t xml:space="preserve">Australian Journal of Psychology, </w:t>
              </w:r>
              <w:r>
                <w:rPr>
                  <w:noProof/>
                </w:rPr>
                <w:t>Volume 69, pp. 20-28.</w:t>
              </w:r>
            </w:p>
            <w:p w14:paraId="75B2905B" w14:textId="77777777" w:rsidR="0088400D" w:rsidRDefault="0088400D" w:rsidP="0088400D">
              <w:pPr>
                <w:pStyle w:val="Bibliography"/>
                <w:rPr>
                  <w:noProof/>
                </w:rPr>
              </w:pPr>
              <w:r>
                <w:rPr>
                  <w:noProof/>
                </w:rPr>
                <w:t xml:space="preserve">Skogstad, M., Skorstad, M., Lie, A. &amp; Conradi, S. H., 2013. Work-related post-traumatic stress disorder. </w:t>
              </w:r>
              <w:r>
                <w:rPr>
                  <w:i/>
                  <w:iCs/>
                  <w:noProof/>
                </w:rPr>
                <w:t xml:space="preserve">Occupational Medicine, </w:t>
              </w:r>
              <w:r>
                <w:rPr>
                  <w:noProof/>
                </w:rPr>
                <w:t>63(3), pp. 175-182.</w:t>
              </w:r>
            </w:p>
            <w:p w14:paraId="5E58FBE0" w14:textId="77777777" w:rsidR="0088400D" w:rsidRDefault="0088400D" w:rsidP="0088400D">
              <w:pPr>
                <w:pStyle w:val="Bibliography"/>
                <w:rPr>
                  <w:noProof/>
                </w:rPr>
              </w:pPr>
              <w:r>
                <w:rPr>
                  <w:noProof/>
                </w:rPr>
                <w:t xml:space="preserve">Soufan, A. H., 2011. </w:t>
              </w:r>
              <w:r>
                <w:rPr>
                  <w:i/>
                  <w:iCs/>
                  <w:noProof/>
                </w:rPr>
                <w:t xml:space="preserve">The black banners: the inside story of 9/11 and the war against al-Qaeda., </w:t>
              </w:r>
              <w:r>
                <w:rPr>
                  <w:noProof/>
                </w:rPr>
                <w:t>New York: New York: WW Norton and Company.</w:t>
              </w:r>
            </w:p>
            <w:p w14:paraId="16C3B44B" w14:textId="77777777" w:rsidR="0088400D" w:rsidRDefault="0088400D" w:rsidP="0088400D">
              <w:pPr>
                <w:pStyle w:val="Bibliography"/>
                <w:rPr>
                  <w:noProof/>
                </w:rPr>
              </w:pPr>
              <w:r>
                <w:rPr>
                  <w:noProof/>
                </w:rPr>
                <w:t xml:space="preserve">Spalek, B., 2010. “Community Policing, Trust and Muslim Communities in Relation to ‘New Terrorism'". </w:t>
              </w:r>
              <w:r>
                <w:rPr>
                  <w:i/>
                  <w:iCs/>
                  <w:noProof/>
                </w:rPr>
                <w:t xml:space="preserve">Politics &amp; Policy, </w:t>
              </w:r>
              <w:r>
                <w:rPr>
                  <w:noProof/>
                </w:rPr>
                <w:t>38(4), pp. 789-815.</w:t>
              </w:r>
            </w:p>
            <w:p w14:paraId="6CE854A5" w14:textId="77777777" w:rsidR="0088400D" w:rsidRDefault="0088400D" w:rsidP="0088400D">
              <w:pPr>
                <w:pStyle w:val="Bibliography"/>
                <w:rPr>
                  <w:noProof/>
                </w:rPr>
              </w:pPr>
              <w:r>
                <w:rPr>
                  <w:noProof/>
                </w:rPr>
                <w:t xml:space="preserve">Spalek, B., 2014. </w:t>
              </w:r>
              <w:r>
                <w:rPr>
                  <w:i/>
                  <w:iCs/>
                  <w:noProof/>
                </w:rPr>
                <w:t xml:space="preserve">‘Community Engagement for Counterterrorism in Britain: An Exploration of the Role of “Connectors” in Countering Takfiri Jihadist Terrorism’.. </w:t>
              </w:r>
              <w:r>
                <w:rPr>
                  <w:noProof/>
                </w:rPr>
                <w:t>Ebook: Studies in Conflict &amp; Terrorism.</w:t>
              </w:r>
            </w:p>
            <w:p w14:paraId="28042F03" w14:textId="77777777" w:rsidR="0088400D" w:rsidRDefault="0088400D" w:rsidP="0088400D">
              <w:pPr>
                <w:pStyle w:val="Bibliography"/>
                <w:rPr>
                  <w:noProof/>
                </w:rPr>
              </w:pPr>
              <w:r>
                <w:rPr>
                  <w:noProof/>
                </w:rPr>
                <w:t xml:space="preserve">Spalek, B., McDonald, L. Z. &amp; El-Awa, S., 2011. </w:t>
              </w:r>
              <w:r>
                <w:rPr>
                  <w:i/>
                  <w:iCs/>
                  <w:noProof/>
                </w:rPr>
                <w:t xml:space="preserve">Preventing Religio-Political Extremism Amongst Muslim Youth: A Study Exploring Police-Community Partnership.. </w:t>
              </w:r>
              <w:r>
                <w:rPr>
                  <w:noProof/>
                </w:rPr>
                <w:t>Birmingham: University of Birmingham.</w:t>
              </w:r>
            </w:p>
            <w:p w14:paraId="438C3D50" w14:textId="77777777" w:rsidR="0088400D" w:rsidRDefault="0088400D" w:rsidP="0088400D">
              <w:pPr>
                <w:pStyle w:val="Bibliography"/>
                <w:rPr>
                  <w:noProof/>
                </w:rPr>
              </w:pPr>
              <w:r>
                <w:rPr>
                  <w:noProof/>
                </w:rPr>
                <w:t xml:space="preserve">Spelthorne Borough Council, 2023. </w:t>
              </w:r>
              <w:r>
                <w:rPr>
                  <w:i/>
                  <w:iCs/>
                  <w:noProof/>
                </w:rPr>
                <w:t xml:space="preserve">Spelthorne Borough Council. </w:t>
              </w:r>
              <w:r>
                <w:rPr>
                  <w:noProof/>
                </w:rPr>
                <w:t xml:space="preserve">[Online] </w:t>
              </w:r>
              <w:r>
                <w:rPr>
                  <w:noProof/>
                </w:rPr>
                <w:br/>
                <w:t xml:space="preserve">Available at: </w:t>
              </w:r>
              <w:r>
                <w:rPr>
                  <w:noProof/>
                  <w:u w:val="single"/>
                </w:rPr>
                <w:t>https://www.spelthorne.gov.uk/article/16985/CONTEST-anti-terrorism</w:t>
              </w:r>
              <w:r>
                <w:rPr>
                  <w:noProof/>
                </w:rPr>
                <w:br/>
                <w:t>[Accessed 27 May 2024].</w:t>
              </w:r>
            </w:p>
            <w:p w14:paraId="7618FAE1" w14:textId="77777777" w:rsidR="0088400D" w:rsidRDefault="0088400D" w:rsidP="0088400D">
              <w:pPr>
                <w:pStyle w:val="Bibliography"/>
                <w:rPr>
                  <w:noProof/>
                </w:rPr>
              </w:pPr>
              <w:r>
                <w:rPr>
                  <w:noProof/>
                </w:rPr>
                <w:t xml:space="preserve">Tehrani, N. &amp; Hesketh, I., 2018. The role of psychological screening for emergency service responders. </w:t>
              </w:r>
              <w:r>
                <w:rPr>
                  <w:i/>
                  <w:iCs/>
                  <w:noProof/>
                </w:rPr>
                <w:t xml:space="preserve">International Journal of Emergency Services, </w:t>
              </w:r>
              <w:r>
                <w:rPr>
                  <w:noProof/>
                </w:rPr>
                <w:t>8(1), pp. 4-19.</w:t>
              </w:r>
            </w:p>
            <w:p w14:paraId="375D7B41" w14:textId="77777777" w:rsidR="0088400D" w:rsidRDefault="0088400D" w:rsidP="0088400D">
              <w:pPr>
                <w:pStyle w:val="Bibliography"/>
                <w:rPr>
                  <w:noProof/>
                </w:rPr>
              </w:pPr>
              <w:r>
                <w:rPr>
                  <w:noProof/>
                </w:rPr>
                <w:t xml:space="preserve">Tehrani, N. et al., 2018. </w:t>
              </w:r>
              <w:r>
                <w:rPr>
                  <w:i/>
                  <w:iCs/>
                  <w:noProof/>
                </w:rPr>
                <w:t xml:space="preserve">‘Post-Traumatic Stress Disorder (PTSD) and Policing – Short Guidance Document.’ College of Policing Ltd.. </w:t>
              </w:r>
              <w:r>
                <w:rPr>
                  <w:noProof/>
                </w:rPr>
                <w:t xml:space="preserve">[Online] </w:t>
              </w:r>
              <w:r>
                <w:rPr>
                  <w:noProof/>
                </w:rPr>
                <w:br/>
                <w:t xml:space="preserve">Available at: </w:t>
              </w:r>
              <w:r>
                <w:rPr>
                  <w:noProof/>
                  <w:u w:val="single"/>
                </w:rPr>
                <w:t>https://oscarkilo.org.uk/3886-2/.</w:t>
              </w:r>
              <w:r>
                <w:rPr>
                  <w:noProof/>
                </w:rPr>
                <w:br/>
                <w:t>[Accessed 17 May 2024].</w:t>
              </w:r>
            </w:p>
            <w:p w14:paraId="184E4DA6" w14:textId="77777777" w:rsidR="0088400D" w:rsidRDefault="0088400D" w:rsidP="0088400D">
              <w:pPr>
                <w:pStyle w:val="Bibliography"/>
                <w:rPr>
                  <w:noProof/>
                </w:rPr>
              </w:pPr>
              <w:r>
                <w:rPr>
                  <w:noProof/>
                </w:rPr>
                <w:t xml:space="preserve">Tehrani, N., Rainbird, C. &amp; Dunn, B., 2011. </w:t>
              </w:r>
              <w:r>
                <w:rPr>
                  <w:i/>
                  <w:iCs/>
                  <w:noProof/>
                </w:rPr>
                <w:t xml:space="preserve">Tehrani, N., Rainbird, C., &amp; Dunn, B. (2011). Supporting police following the 7/7 London terrorist bomb—an organizational approach, </w:t>
              </w:r>
              <w:r>
                <w:rPr>
                  <w:noProof/>
                </w:rPr>
                <w:t>London: Routledge.</w:t>
              </w:r>
            </w:p>
            <w:p w14:paraId="0F059567" w14:textId="77777777" w:rsidR="0088400D" w:rsidRDefault="0088400D" w:rsidP="0088400D">
              <w:pPr>
                <w:pStyle w:val="Bibliography"/>
                <w:rPr>
                  <w:noProof/>
                </w:rPr>
              </w:pPr>
              <w:r>
                <w:rPr>
                  <w:noProof/>
                </w:rPr>
                <w:t xml:space="preserve">Thomas, G., 2016. A case for local neighbourhood policing and community intelligence in counter terrorism.. </w:t>
              </w:r>
              <w:r>
                <w:rPr>
                  <w:i/>
                  <w:iCs/>
                  <w:noProof/>
                </w:rPr>
                <w:t xml:space="preserve">The Police Journal, </w:t>
              </w:r>
              <w:r>
                <w:rPr>
                  <w:noProof/>
                </w:rPr>
                <w:t>89(1), pp. 31-54.</w:t>
              </w:r>
            </w:p>
            <w:p w14:paraId="64413774" w14:textId="77777777" w:rsidR="0088400D" w:rsidRDefault="0088400D" w:rsidP="0088400D">
              <w:pPr>
                <w:pStyle w:val="Bibliography"/>
                <w:rPr>
                  <w:noProof/>
                </w:rPr>
              </w:pPr>
              <w:r>
                <w:rPr>
                  <w:noProof/>
                </w:rPr>
                <w:t xml:space="preserve">World Health Organization, 2022. </w:t>
              </w:r>
              <w:r>
                <w:rPr>
                  <w:i/>
                  <w:iCs/>
                  <w:noProof/>
                </w:rPr>
                <w:t xml:space="preserve">Mental health. </w:t>
              </w:r>
              <w:r>
                <w:rPr>
                  <w:noProof/>
                </w:rPr>
                <w:t xml:space="preserve">[Online] </w:t>
              </w:r>
              <w:r>
                <w:rPr>
                  <w:noProof/>
                </w:rPr>
                <w:br/>
                <w:t xml:space="preserve">Available at: </w:t>
              </w:r>
              <w:r>
                <w:rPr>
                  <w:noProof/>
                  <w:u w:val="single"/>
                </w:rPr>
                <w:t>https://www.who.int/news-room/fact-sheets/detail/mental-health-strengthening-our-response</w:t>
              </w:r>
              <w:r>
                <w:rPr>
                  <w:noProof/>
                </w:rPr>
                <w:br/>
                <w:t>[Accessed 17 May 2024].</w:t>
              </w:r>
            </w:p>
            <w:p w14:paraId="2F45D363" w14:textId="27C870E1" w:rsidR="0088400D" w:rsidRDefault="0088400D" w:rsidP="0088400D">
              <w:r>
                <w:rPr>
                  <w:b/>
                  <w:bCs/>
                  <w:noProof/>
                </w:rPr>
                <w:fldChar w:fldCharType="end"/>
              </w:r>
            </w:p>
          </w:sdtContent>
        </w:sdt>
      </w:sdtContent>
    </w:sdt>
    <w:p w14:paraId="7FE9388B" w14:textId="77777777" w:rsidR="0088400D" w:rsidRPr="0088400D" w:rsidRDefault="0088400D">
      <w:pPr>
        <w:rPr>
          <w:rFonts w:cstheme="minorHAnsi"/>
          <w:sz w:val="24"/>
          <w:szCs w:val="24"/>
        </w:rPr>
      </w:pPr>
    </w:p>
    <w:p w14:paraId="79625FED" w14:textId="77777777" w:rsidR="0088400D" w:rsidRPr="0088400D" w:rsidRDefault="0088400D">
      <w:pPr>
        <w:rPr>
          <w:rFonts w:cstheme="minorHAnsi"/>
        </w:rPr>
      </w:pPr>
    </w:p>
    <w:sectPr w:rsidR="0088400D" w:rsidRPr="008840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F53D31" w14:textId="77777777" w:rsidR="0088400D" w:rsidRDefault="0088400D" w:rsidP="0088400D">
      <w:pPr>
        <w:spacing w:after="0" w:line="240" w:lineRule="auto"/>
      </w:pPr>
      <w:r>
        <w:separator/>
      </w:r>
    </w:p>
  </w:endnote>
  <w:endnote w:type="continuationSeparator" w:id="0">
    <w:p w14:paraId="42978FB7" w14:textId="77777777" w:rsidR="0088400D" w:rsidRDefault="0088400D" w:rsidP="008840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234A95" w14:textId="77777777" w:rsidR="0088400D" w:rsidRDefault="0088400D" w:rsidP="0088400D">
      <w:pPr>
        <w:spacing w:after="0" w:line="240" w:lineRule="auto"/>
      </w:pPr>
      <w:r>
        <w:separator/>
      </w:r>
    </w:p>
  </w:footnote>
  <w:footnote w:type="continuationSeparator" w:id="0">
    <w:p w14:paraId="448A81AA" w14:textId="77777777" w:rsidR="0088400D" w:rsidRDefault="0088400D" w:rsidP="008840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96711F"/>
    <w:multiLevelType w:val="hybridMultilevel"/>
    <w:tmpl w:val="D6086A30"/>
    <w:lvl w:ilvl="0" w:tplc="8CCCFB5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2540B8"/>
    <w:multiLevelType w:val="hybridMultilevel"/>
    <w:tmpl w:val="78DCEA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1B700F"/>
    <w:multiLevelType w:val="hybridMultilevel"/>
    <w:tmpl w:val="837213EE"/>
    <w:lvl w:ilvl="0" w:tplc="CBE6CE80">
      <w:start w:val="1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061E63"/>
    <w:multiLevelType w:val="hybridMultilevel"/>
    <w:tmpl w:val="02C80F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5B4752"/>
    <w:multiLevelType w:val="hybridMultilevel"/>
    <w:tmpl w:val="90C8CFFA"/>
    <w:lvl w:ilvl="0" w:tplc="CBE6CE80">
      <w:start w:val="1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0409074">
    <w:abstractNumId w:val="1"/>
  </w:num>
  <w:num w:numId="2" w16cid:durableId="2019770798">
    <w:abstractNumId w:val="0"/>
  </w:num>
  <w:num w:numId="3" w16cid:durableId="1859391140">
    <w:abstractNumId w:val="4"/>
  </w:num>
  <w:num w:numId="4" w16cid:durableId="1235160481">
    <w:abstractNumId w:val="2"/>
  </w:num>
  <w:num w:numId="5" w16cid:durableId="2126674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00D"/>
    <w:rsid w:val="00037E4E"/>
    <w:rsid w:val="0006492C"/>
    <w:rsid w:val="000B5A49"/>
    <w:rsid w:val="002C6BB9"/>
    <w:rsid w:val="00375516"/>
    <w:rsid w:val="00632BC4"/>
    <w:rsid w:val="0088400D"/>
    <w:rsid w:val="008D65FB"/>
    <w:rsid w:val="00A127B7"/>
    <w:rsid w:val="00BF4A13"/>
    <w:rsid w:val="00C35B9F"/>
    <w:rsid w:val="00D209C9"/>
    <w:rsid w:val="00DF0D13"/>
    <w:rsid w:val="00ED220B"/>
    <w:rsid w:val="00F07479"/>
    <w:rsid w:val="00F43E18"/>
    <w:rsid w:val="00F64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456CE"/>
  <w15:chartTrackingRefBased/>
  <w15:docId w15:val="{61F2F28D-EFE2-4F87-8C03-F7D97742C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40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8400D"/>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next w:val="Normal"/>
    <w:link w:val="Heading3Char"/>
    <w:uiPriority w:val="9"/>
    <w:unhideWhenUsed/>
    <w:qFormat/>
    <w:rsid w:val="0088400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400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8400D"/>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88400D"/>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88400D"/>
    <w:pPr>
      <w:ind w:left="720"/>
      <w:contextualSpacing/>
    </w:pPr>
  </w:style>
  <w:style w:type="paragraph" w:styleId="NormalWeb">
    <w:name w:val="Normal (Web)"/>
    <w:basedOn w:val="Normal"/>
    <w:uiPriority w:val="99"/>
    <w:unhideWhenUsed/>
    <w:rsid w:val="0088400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88400D"/>
    <w:rPr>
      <w:color w:val="0000FF"/>
      <w:u w:val="single"/>
    </w:rPr>
  </w:style>
  <w:style w:type="character" w:customStyle="1" w:styleId="ref-lnk">
    <w:name w:val="ref-lnk"/>
    <w:basedOn w:val="DefaultParagraphFont"/>
    <w:rsid w:val="0088400D"/>
  </w:style>
  <w:style w:type="character" w:customStyle="1" w:styleId="off-screen">
    <w:name w:val="off-screen"/>
    <w:basedOn w:val="DefaultParagraphFont"/>
    <w:rsid w:val="0088400D"/>
  </w:style>
  <w:style w:type="character" w:styleId="UnresolvedMention">
    <w:name w:val="Unresolved Mention"/>
    <w:basedOn w:val="DefaultParagraphFont"/>
    <w:uiPriority w:val="99"/>
    <w:semiHidden/>
    <w:unhideWhenUsed/>
    <w:rsid w:val="0088400D"/>
    <w:rPr>
      <w:color w:val="605E5C"/>
      <w:shd w:val="clear" w:color="auto" w:fill="E1DFDD"/>
    </w:rPr>
  </w:style>
  <w:style w:type="character" w:styleId="Emphasis">
    <w:name w:val="Emphasis"/>
    <w:basedOn w:val="DefaultParagraphFont"/>
    <w:uiPriority w:val="20"/>
    <w:qFormat/>
    <w:rsid w:val="0088400D"/>
    <w:rPr>
      <w:i/>
      <w:iCs/>
    </w:rPr>
  </w:style>
  <w:style w:type="character" w:styleId="FollowedHyperlink">
    <w:name w:val="FollowedHyperlink"/>
    <w:basedOn w:val="DefaultParagraphFont"/>
    <w:uiPriority w:val="99"/>
    <w:semiHidden/>
    <w:unhideWhenUsed/>
    <w:rsid w:val="0088400D"/>
    <w:rPr>
      <w:color w:val="954F72" w:themeColor="followedHyperlink"/>
      <w:u w:val="single"/>
    </w:rPr>
  </w:style>
  <w:style w:type="character" w:customStyle="1" w:styleId="citationsource-book">
    <w:name w:val="citation_source-book"/>
    <w:basedOn w:val="DefaultParagraphFont"/>
    <w:rsid w:val="0088400D"/>
  </w:style>
  <w:style w:type="character" w:customStyle="1" w:styleId="citationsource-journal">
    <w:name w:val="citation_source-journal"/>
    <w:basedOn w:val="DefaultParagraphFont"/>
    <w:rsid w:val="0088400D"/>
  </w:style>
  <w:style w:type="character" w:customStyle="1" w:styleId="singlehighlightclass">
    <w:name w:val="single_highlight_class"/>
    <w:basedOn w:val="DefaultParagraphFont"/>
    <w:rsid w:val="0088400D"/>
  </w:style>
  <w:style w:type="paragraph" w:customStyle="1" w:styleId="first">
    <w:name w:val="first"/>
    <w:basedOn w:val="Normal"/>
    <w:rsid w:val="0088400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8840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400D"/>
  </w:style>
  <w:style w:type="paragraph" w:styleId="Footer">
    <w:name w:val="footer"/>
    <w:basedOn w:val="Normal"/>
    <w:link w:val="FooterChar"/>
    <w:uiPriority w:val="99"/>
    <w:unhideWhenUsed/>
    <w:rsid w:val="008840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400D"/>
  </w:style>
  <w:style w:type="paragraph" w:styleId="Bibliography">
    <w:name w:val="Bibliography"/>
    <w:basedOn w:val="Normal"/>
    <w:next w:val="Normal"/>
    <w:uiPriority w:val="37"/>
    <w:unhideWhenUsed/>
    <w:rsid w:val="008840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60771">
      <w:bodyDiv w:val="1"/>
      <w:marLeft w:val="0"/>
      <w:marRight w:val="0"/>
      <w:marTop w:val="0"/>
      <w:marBottom w:val="0"/>
      <w:divBdr>
        <w:top w:val="none" w:sz="0" w:space="0" w:color="auto"/>
        <w:left w:val="none" w:sz="0" w:space="0" w:color="auto"/>
        <w:bottom w:val="none" w:sz="0" w:space="0" w:color="auto"/>
        <w:right w:val="none" w:sz="0" w:space="0" w:color="auto"/>
      </w:divBdr>
    </w:div>
    <w:div w:id="175579538">
      <w:bodyDiv w:val="1"/>
      <w:marLeft w:val="0"/>
      <w:marRight w:val="0"/>
      <w:marTop w:val="0"/>
      <w:marBottom w:val="0"/>
      <w:divBdr>
        <w:top w:val="none" w:sz="0" w:space="0" w:color="auto"/>
        <w:left w:val="none" w:sz="0" w:space="0" w:color="auto"/>
        <w:bottom w:val="none" w:sz="0" w:space="0" w:color="auto"/>
        <w:right w:val="none" w:sz="0" w:space="0" w:color="auto"/>
      </w:divBdr>
    </w:div>
    <w:div w:id="184759635">
      <w:bodyDiv w:val="1"/>
      <w:marLeft w:val="0"/>
      <w:marRight w:val="0"/>
      <w:marTop w:val="0"/>
      <w:marBottom w:val="0"/>
      <w:divBdr>
        <w:top w:val="none" w:sz="0" w:space="0" w:color="auto"/>
        <w:left w:val="none" w:sz="0" w:space="0" w:color="auto"/>
        <w:bottom w:val="none" w:sz="0" w:space="0" w:color="auto"/>
        <w:right w:val="none" w:sz="0" w:space="0" w:color="auto"/>
      </w:divBdr>
    </w:div>
    <w:div w:id="200631078">
      <w:bodyDiv w:val="1"/>
      <w:marLeft w:val="0"/>
      <w:marRight w:val="0"/>
      <w:marTop w:val="0"/>
      <w:marBottom w:val="0"/>
      <w:divBdr>
        <w:top w:val="none" w:sz="0" w:space="0" w:color="auto"/>
        <w:left w:val="none" w:sz="0" w:space="0" w:color="auto"/>
        <w:bottom w:val="none" w:sz="0" w:space="0" w:color="auto"/>
        <w:right w:val="none" w:sz="0" w:space="0" w:color="auto"/>
      </w:divBdr>
    </w:div>
    <w:div w:id="211886553">
      <w:bodyDiv w:val="1"/>
      <w:marLeft w:val="0"/>
      <w:marRight w:val="0"/>
      <w:marTop w:val="0"/>
      <w:marBottom w:val="0"/>
      <w:divBdr>
        <w:top w:val="none" w:sz="0" w:space="0" w:color="auto"/>
        <w:left w:val="none" w:sz="0" w:space="0" w:color="auto"/>
        <w:bottom w:val="none" w:sz="0" w:space="0" w:color="auto"/>
        <w:right w:val="none" w:sz="0" w:space="0" w:color="auto"/>
      </w:divBdr>
    </w:div>
    <w:div w:id="264657214">
      <w:bodyDiv w:val="1"/>
      <w:marLeft w:val="0"/>
      <w:marRight w:val="0"/>
      <w:marTop w:val="0"/>
      <w:marBottom w:val="0"/>
      <w:divBdr>
        <w:top w:val="none" w:sz="0" w:space="0" w:color="auto"/>
        <w:left w:val="none" w:sz="0" w:space="0" w:color="auto"/>
        <w:bottom w:val="none" w:sz="0" w:space="0" w:color="auto"/>
        <w:right w:val="none" w:sz="0" w:space="0" w:color="auto"/>
      </w:divBdr>
    </w:div>
    <w:div w:id="296224867">
      <w:bodyDiv w:val="1"/>
      <w:marLeft w:val="0"/>
      <w:marRight w:val="0"/>
      <w:marTop w:val="0"/>
      <w:marBottom w:val="0"/>
      <w:divBdr>
        <w:top w:val="none" w:sz="0" w:space="0" w:color="auto"/>
        <w:left w:val="none" w:sz="0" w:space="0" w:color="auto"/>
        <w:bottom w:val="none" w:sz="0" w:space="0" w:color="auto"/>
        <w:right w:val="none" w:sz="0" w:space="0" w:color="auto"/>
      </w:divBdr>
    </w:div>
    <w:div w:id="316690417">
      <w:bodyDiv w:val="1"/>
      <w:marLeft w:val="0"/>
      <w:marRight w:val="0"/>
      <w:marTop w:val="0"/>
      <w:marBottom w:val="0"/>
      <w:divBdr>
        <w:top w:val="none" w:sz="0" w:space="0" w:color="auto"/>
        <w:left w:val="none" w:sz="0" w:space="0" w:color="auto"/>
        <w:bottom w:val="none" w:sz="0" w:space="0" w:color="auto"/>
        <w:right w:val="none" w:sz="0" w:space="0" w:color="auto"/>
      </w:divBdr>
    </w:div>
    <w:div w:id="347173390">
      <w:bodyDiv w:val="1"/>
      <w:marLeft w:val="0"/>
      <w:marRight w:val="0"/>
      <w:marTop w:val="0"/>
      <w:marBottom w:val="0"/>
      <w:divBdr>
        <w:top w:val="none" w:sz="0" w:space="0" w:color="auto"/>
        <w:left w:val="none" w:sz="0" w:space="0" w:color="auto"/>
        <w:bottom w:val="none" w:sz="0" w:space="0" w:color="auto"/>
        <w:right w:val="none" w:sz="0" w:space="0" w:color="auto"/>
      </w:divBdr>
    </w:div>
    <w:div w:id="360666325">
      <w:bodyDiv w:val="1"/>
      <w:marLeft w:val="0"/>
      <w:marRight w:val="0"/>
      <w:marTop w:val="0"/>
      <w:marBottom w:val="0"/>
      <w:divBdr>
        <w:top w:val="none" w:sz="0" w:space="0" w:color="auto"/>
        <w:left w:val="none" w:sz="0" w:space="0" w:color="auto"/>
        <w:bottom w:val="none" w:sz="0" w:space="0" w:color="auto"/>
        <w:right w:val="none" w:sz="0" w:space="0" w:color="auto"/>
      </w:divBdr>
    </w:div>
    <w:div w:id="365061030">
      <w:bodyDiv w:val="1"/>
      <w:marLeft w:val="0"/>
      <w:marRight w:val="0"/>
      <w:marTop w:val="0"/>
      <w:marBottom w:val="0"/>
      <w:divBdr>
        <w:top w:val="none" w:sz="0" w:space="0" w:color="auto"/>
        <w:left w:val="none" w:sz="0" w:space="0" w:color="auto"/>
        <w:bottom w:val="none" w:sz="0" w:space="0" w:color="auto"/>
        <w:right w:val="none" w:sz="0" w:space="0" w:color="auto"/>
      </w:divBdr>
    </w:div>
    <w:div w:id="381752106">
      <w:bodyDiv w:val="1"/>
      <w:marLeft w:val="0"/>
      <w:marRight w:val="0"/>
      <w:marTop w:val="0"/>
      <w:marBottom w:val="0"/>
      <w:divBdr>
        <w:top w:val="none" w:sz="0" w:space="0" w:color="auto"/>
        <w:left w:val="none" w:sz="0" w:space="0" w:color="auto"/>
        <w:bottom w:val="none" w:sz="0" w:space="0" w:color="auto"/>
        <w:right w:val="none" w:sz="0" w:space="0" w:color="auto"/>
      </w:divBdr>
    </w:div>
    <w:div w:id="472061777">
      <w:bodyDiv w:val="1"/>
      <w:marLeft w:val="0"/>
      <w:marRight w:val="0"/>
      <w:marTop w:val="0"/>
      <w:marBottom w:val="0"/>
      <w:divBdr>
        <w:top w:val="none" w:sz="0" w:space="0" w:color="auto"/>
        <w:left w:val="none" w:sz="0" w:space="0" w:color="auto"/>
        <w:bottom w:val="none" w:sz="0" w:space="0" w:color="auto"/>
        <w:right w:val="none" w:sz="0" w:space="0" w:color="auto"/>
      </w:divBdr>
    </w:div>
    <w:div w:id="514729497">
      <w:bodyDiv w:val="1"/>
      <w:marLeft w:val="0"/>
      <w:marRight w:val="0"/>
      <w:marTop w:val="0"/>
      <w:marBottom w:val="0"/>
      <w:divBdr>
        <w:top w:val="none" w:sz="0" w:space="0" w:color="auto"/>
        <w:left w:val="none" w:sz="0" w:space="0" w:color="auto"/>
        <w:bottom w:val="none" w:sz="0" w:space="0" w:color="auto"/>
        <w:right w:val="none" w:sz="0" w:space="0" w:color="auto"/>
      </w:divBdr>
    </w:div>
    <w:div w:id="520778214">
      <w:bodyDiv w:val="1"/>
      <w:marLeft w:val="0"/>
      <w:marRight w:val="0"/>
      <w:marTop w:val="0"/>
      <w:marBottom w:val="0"/>
      <w:divBdr>
        <w:top w:val="none" w:sz="0" w:space="0" w:color="auto"/>
        <w:left w:val="none" w:sz="0" w:space="0" w:color="auto"/>
        <w:bottom w:val="none" w:sz="0" w:space="0" w:color="auto"/>
        <w:right w:val="none" w:sz="0" w:space="0" w:color="auto"/>
      </w:divBdr>
    </w:div>
    <w:div w:id="546382298">
      <w:bodyDiv w:val="1"/>
      <w:marLeft w:val="0"/>
      <w:marRight w:val="0"/>
      <w:marTop w:val="0"/>
      <w:marBottom w:val="0"/>
      <w:divBdr>
        <w:top w:val="none" w:sz="0" w:space="0" w:color="auto"/>
        <w:left w:val="none" w:sz="0" w:space="0" w:color="auto"/>
        <w:bottom w:val="none" w:sz="0" w:space="0" w:color="auto"/>
        <w:right w:val="none" w:sz="0" w:space="0" w:color="auto"/>
      </w:divBdr>
    </w:div>
    <w:div w:id="560212084">
      <w:bodyDiv w:val="1"/>
      <w:marLeft w:val="0"/>
      <w:marRight w:val="0"/>
      <w:marTop w:val="0"/>
      <w:marBottom w:val="0"/>
      <w:divBdr>
        <w:top w:val="none" w:sz="0" w:space="0" w:color="auto"/>
        <w:left w:val="none" w:sz="0" w:space="0" w:color="auto"/>
        <w:bottom w:val="none" w:sz="0" w:space="0" w:color="auto"/>
        <w:right w:val="none" w:sz="0" w:space="0" w:color="auto"/>
      </w:divBdr>
    </w:div>
    <w:div w:id="597253049">
      <w:bodyDiv w:val="1"/>
      <w:marLeft w:val="0"/>
      <w:marRight w:val="0"/>
      <w:marTop w:val="0"/>
      <w:marBottom w:val="0"/>
      <w:divBdr>
        <w:top w:val="none" w:sz="0" w:space="0" w:color="auto"/>
        <w:left w:val="none" w:sz="0" w:space="0" w:color="auto"/>
        <w:bottom w:val="none" w:sz="0" w:space="0" w:color="auto"/>
        <w:right w:val="none" w:sz="0" w:space="0" w:color="auto"/>
      </w:divBdr>
    </w:div>
    <w:div w:id="633215520">
      <w:bodyDiv w:val="1"/>
      <w:marLeft w:val="0"/>
      <w:marRight w:val="0"/>
      <w:marTop w:val="0"/>
      <w:marBottom w:val="0"/>
      <w:divBdr>
        <w:top w:val="none" w:sz="0" w:space="0" w:color="auto"/>
        <w:left w:val="none" w:sz="0" w:space="0" w:color="auto"/>
        <w:bottom w:val="none" w:sz="0" w:space="0" w:color="auto"/>
        <w:right w:val="none" w:sz="0" w:space="0" w:color="auto"/>
      </w:divBdr>
    </w:div>
    <w:div w:id="644815282">
      <w:bodyDiv w:val="1"/>
      <w:marLeft w:val="0"/>
      <w:marRight w:val="0"/>
      <w:marTop w:val="0"/>
      <w:marBottom w:val="0"/>
      <w:divBdr>
        <w:top w:val="none" w:sz="0" w:space="0" w:color="auto"/>
        <w:left w:val="none" w:sz="0" w:space="0" w:color="auto"/>
        <w:bottom w:val="none" w:sz="0" w:space="0" w:color="auto"/>
        <w:right w:val="none" w:sz="0" w:space="0" w:color="auto"/>
      </w:divBdr>
    </w:div>
    <w:div w:id="836385271">
      <w:bodyDiv w:val="1"/>
      <w:marLeft w:val="0"/>
      <w:marRight w:val="0"/>
      <w:marTop w:val="0"/>
      <w:marBottom w:val="0"/>
      <w:divBdr>
        <w:top w:val="none" w:sz="0" w:space="0" w:color="auto"/>
        <w:left w:val="none" w:sz="0" w:space="0" w:color="auto"/>
        <w:bottom w:val="none" w:sz="0" w:space="0" w:color="auto"/>
        <w:right w:val="none" w:sz="0" w:space="0" w:color="auto"/>
      </w:divBdr>
    </w:div>
    <w:div w:id="861894491">
      <w:bodyDiv w:val="1"/>
      <w:marLeft w:val="0"/>
      <w:marRight w:val="0"/>
      <w:marTop w:val="0"/>
      <w:marBottom w:val="0"/>
      <w:divBdr>
        <w:top w:val="none" w:sz="0" w:space="0" w:color="auto"/>
        <w:left w:val="none" w:sz="0" w:space="0" w:color="auto"/>
        <w:bottom w:val="none" w:sz="0" w:space="0" w:color="auto"/>
        <w:right w:val="none" w:sz="0" w:space="0" w:color="auto"/>
      </w:divBdr>
    </w:div>
    <w:div w:id="958218474">
      <w:bodyDiv w:val="1"/>
      <w:marLeft w:val="0"/>
      <w:marRight w:val="0"/>
      <w:marTop w:val="0"/>
      <w:marBottom w:val="0"/>
      <w:divBdr>
        <w:top w:val="none" w:sz="0" w:space="0" w:color="auto"/>
        <w:left w:val="none" w:sz="0" w:space="0" w:color="auto"/>
        <w:bottom w:val="none" w:sz="0" w:space="0" w:color="auto"/>
        <w:right w:val="none" w:sz="0" w:space="0" w:color="auto"/>
      </w:divBdr>
    </w:div>
    <w:div w:id="958997531">
      <w:bodyDiv w:val="1"/>
      <w:marLeft w:val="0"/>
      <w:marRight w:val="0"/>
      <w:marTop w:val="0"/>
      <w:marBottom w:val="0"/>
      <w:divBdr>
        <w:top w:val="none" w:sz="0" w:space="0" w:color="auto"/>
        <w:left w:val="none" w:sz="0" w:space="0" w:color="auto"/>
        <w:bottom w:val="none" w:sz="0" w:space="0" w:color="auto"/>
        <w:right w:val="none" w:sz="0" w:space="0" w:color="auto"/>
      </w:divBdr>
    </w:div>
    <w:div w:id="980381241">
      <w:bodyDiv w:val="1"/>
      <w:marLeft w:val="0"/>
      <w:marRight w:val="0"/>
      <w:marTop w:val="0"/>
      <w:marBottom w:val="0"/>
      <w:divBdr>
        <w:top w:val="none" w:sz="0" w:space="0" w:color="auto"/>
        <w:left w:val="none" w:sz="0" w:space="0" w:color="auto"/>
        <w:bottom w:val="none" w:sz="0" w:space="0" w:color="auto"/>
        <w:right w:val="none" w:sz="0" w:space="0" w:color="auto"/>
      </w:divBdr>
    </w:div>
    <w:div w:id="1096901509">
      <w:bodyDiv w:val="1"/>
      <w:marLeft w:val="0"/>
      <w:marRight w:val="0"/>
      <w:marTop w:val="0"/>
      <w:marBottom w:val="0"/>
      <w:divBdr>
        <w:top w:val="none" w:sz="0" w:space="0" w:color="auto"/>
        <w:left w:val="none" w:sz="0" w:space="0" w:color="auto"/>
        <w:bottom w:val="none" w:sz="0" w:space="0" w:color="auto"/>
        <w:right w:val="none" w:sz="0" w:space="0" w:color="auto"/>
      </w:divBdr>
    </w:div>
    <w:div w:id="1212305894">
      <w:bodyDiv w:val="1"/>
      <w:marLeft w:val="0"/>
      <w:marRight w:val="0"/>
      <w:marTop w:val="0"/>
      <w:marBottom w:val="0"/>
      <w:divBdr>
        <w:top w:val="none" w:sz="0" w:space="0" w:color="auto"/>
        <w:left w:val="none" w:sz="0" w:space="0" w:color="auto"/>
        <w:bottom w:val="none" w:sz="0" w:space="0" w:color="auto"/>
        <w:right w:val="none" w:sz="0" w:space="0" w:color="auto"/>
      </w:divBdr>
    </w:div>
    <w:div w:id="1220168618">
      <w:bodyDiv w:val="1"/>
      <w:marLeft w:val="0"/>
      <w:marRight w:val="0"/>
      <w:marTop w:val="0"/>
      <w:marBottom w:val="0"/>
      <w:divBdr>
        <w:top w:val="none" w:sz="0" w:space="0" w:color="auto"/>
        <w:left w:val="none" w:sz="0" w:space="0" w:color="auto"/>
        <w:bottom w:val="none" w:sz="0" w:space="0" w:color="auto"/>
        <w:right w:val="none" w:sz="0" w:space="0" w:color="auto"/>
      </w:divBdr>
    </w:div>
    <w:div w:id="1297106618">
      <w:bodyDiv w:val="1"/>
      <w:marLeft w:val="0"/>
      <w:marRight w:val="0"/>
      <w:marTop w:val="0"/>
      <w:marBottom w:val="0"/>
      <w:divBdr>
        <w:top w:val="none" w:sz="0" w:space="0" w:color="auto"/>
        <w:left w:val="none" w:sz="0" w:space="0" w:color="auto"/>
        <w:bottom w:val="none" w:sz="0" w:space="0" w:color="auto"/>
        <w:right w:val="none" w:sz="0" w:space="0" w:color="auto"/>
      </w:divBdr>
    </w:div>
    <w:div w:id="1316640618">
      <w:bodyDiv w:val="1"/>
      <w:marLeft w:val="0"/>
      <w:marRight w:val="0"/>
      <w:marTop w:val="0"/>
      <w:marBottom w:val="0"/>
      <w:divBdr>
        <w:top w:val="none" w:sz="0" w:space="0" w:color="auto"/>
        <w:left w:val="none" w:sz="0" w:space="0" w:color="auto"/>
        <w:bottom w:val="none" w:sz="0" w:space="0" w:color="auto"/>
        <w:right w:val="none" w:sz="0" w:space="0" w:color="auto"/>
      </w:divBdr>
    </w:div>
    <w:div w:id="1336960935">
      <w:bodyDiv w:val="1"/>
      <w:marLeft w:val="0"/>
      <w:marRight w:val="0"/>
      <w:marTop w:val="0"/>
      <w:marBottom w:val="0"/>
      <w:divBdr>
        <w:top w:val="none" w:sz="0" w:space="0" w:color="auto"/>
        <w:left w:val="none" w:sz="0" w:space="0" w:color="auto"/>
        <w:bottom w:val="none" w:sz="0" w:space="0" w:color="auto"/>
        <w:right w:val="none" w:sz="0" w:space="0" w:color="auto"/>
      </w:divBdr>
    </w:div>
    <w:div w:id="1341466889">
      <w:bodyDiv w:val="1"/>
      <w:marLeft w:val="0"/>
      <w:marRight w:val="0"/>
      <w:marTop w:val="0"/>
      <w:marBottom w:val="0"/>
      <w:divBdr>
        <w:top w:val="none" w:sz="0" w:space="0" w:color="auto"/>
        <w:left w:val="none" w:sz="0" w:space="0" w:color="auto"/>
        <w:bottom w:val="none" w:sz="0" w:space="0" w:color="auto"/>
        <w:right w:val="none" w:sz="0" w:space="0" w:color="auto"/>
      </w:divBdr>
    </w:div>
    <w:div w:id="1346202851">
      <w:bodyDiv w:val="1"/>
      <w:marLeft w:val="0"/>
      <w:marRight w:val="0"/>
      <w:marTop w:val="0"/>
      <w:marBottom w:val="0"/>
      <w:divBdr>
        <w:top w:val="none" w:sz="0" w:space="0" w:color="auto"/>
        <w:left w:val="none" w:sz="0" w:space="0" w:color="auto"/>
        <w:bottom w:val="none" w:sz="0" w:space="0" w:color="auto"/>
        <w:right w:val="none" w:sz="0" w:space="0" w:color="auto"/>
      </w:divBdr>
    </w:div>
    <w:div w:id="1379865166">
      <w:bodyDiv w:val="1"/>
      <w:marLeft w:val="0"/>
      <w:marRight w:val="0"/>
      <w:marTop w:val="0"/>
      <w:marBottom w:val="0"/>
      <w:divBdr>
        <w:top w:val="none" w:sz="0" w:space="0" w:color="auto"/>
        <w:left w:val="none" w:sz="0" w:space="0" w:color="auto"/>
        <w:bottom w:val="none" w:sz="0" w:space="0" w:color="auto"/>
        <w:right w:val="none" w:sz="0" w:space="0" w:color="auto"/>
      </w:divBdr>
    </w:div>
    <w:div w:id="1578591114">
      <w:bodyDiv w:val="1"/>
      <w:marLeft w:val="0"/>
      <w:marRight w:val="0"/>
      <w:marTop w:val="0"/>
      <w:marBottom w:val="0"/>
      <w:divBdr>
        <w:top w:val="none" w:sz="0" w:space="0" w:color="auto"/>
        <w:left w:val="none" w:sz="0" w:space="0" w:color="auto"/>
        <w:bottom w:val="none" w:sz="0" w:space="0" w:color="auto"/>
        <w:right w:val="none" w:sz="0" w:space="0" w:color="auto"/>
      </w:divBdr>
    </w:div>
    <w:div w:id="1664384824">
      <w:bodyDiv w:val="1"/>
      <w:marLeft w:val="0"/>
      <w:marRight w:val="0"/>
      <w:marTop w:val="0"/>
      <w:marBottom w:val="0"/>
      <w:divBdr>
        <w:top w:val="none" w:sz="0" w:space="0" w:color="auto"/>
        <w:left w:val="none" w:sz="0" w:space="0" w:color="auto"/>
        <w:bottom w:val="none" w:sz="0" w:space="0" w:color="auto"/>
        <w:right w:val="none" w:sz="0" w:space="0" w:color="auto"/>
      </w:divBdr>
    </w:div>
    <w:div w:id="1764184222">
      <w:bodyDiv w:val="1"/>
      <w:marLeft w:val="0"/>
      <w:marRight w:val="0"/>
      <w:marTop w:val="0"/>
      <w:marBottom w:val="0"/>
      <w:divBdr>
        <w:top w:val="none" w:sz="0" w:space="0" w:color="auto"/>
        <w:left w:val="none" w:sz="0" w:space="0" w:color="auto"/>
        <w:bottom w:val="none" w:sz="0" w:space="0" w:color="auto"/>
        <w:right w:val="none" w:sz="0" w:space="0" w:color="auto"/>
      </w:divBdr>
    </w:div>
    <w:div w:id="1813404360">
      <w:bodyDiv w:val="1"/>
      <w:marLeft w:val="0"/>
      <w:marRight w:val="0"/>
      <w:marTop w:val="0"/>
      <w:marBottom w:val="0"/>
      <w:divBdr>
        <w:top w:val="none" w:sz="0" w:space="0" w:color="auto"/>
        <w:left w:val="none" w:sz="0" w:space="0" w:color="auto"/>
        <w:bottom w:val="none" w:sz="0" w:space="0" w:color="auto"/>
        <w:right w:val="none" w:sz="0" w:space="0" w:color="auto"/>
      </w:divBdr>
    </w:div>
    <w:div w:id="1822504132">
      <w:bodyDiv w:val="1"/>
      <w:marLeft w:val="0"/>
      <w:marRight w:val="0"/>
      <w:marTop w:val="0"/>
      <w:marBottom w:val="0"/>
      <w:divBdr>
        <w:top w:val="none" w:sz="0" w:space="0" w:color="auto"/>
        <w:left w:val="none" w:sz="0" w:space="0" w:color="auto"/>
        <w:bottom w:val="none" w:sz="0" w:space="0" w:color="auto"/>
        <w:right w:val="none" w:sz="0" w:space="0" w:color="auto"/>
      </w:divBdr>
    </w:div>
    <w:div w:id="1863127851">
      <w:bodyDiv w:val="1"/>
      <w:marLeft w:val="0"/>
      <w:marRight w:val="0"/>
      <w:marTop w:val="0"/>
      <w:marBottom w:val="0"/>
      <w:divBdr>
        <w:top w:val="none" w:sz="0" w:space="0" w:color="auto"/>
        <w:left w:val="none" w:sz="0" w:space="0" w:color="auto"/>
        <w:bottom w:val="none" w:sz="0" w:space="0" w:color="auto"/>
        <w:right w:val="none" w:sz="0" w:space="0" w:color="auto"/>
      </w:divBdr>
    </w:div>
    <w:div w:id="1863130199">
      <w:bodyDiv w:val="1"/>
      <w:marLeft w:val="0"/>
      <w:marRight w:val="0"/>
      <w:marTop w:val="0"/>
      <w:marBottom w:val="0"/>
      <w:divBdr>
        <w:top w:val="none" w:sz="0" w:space="0" w:color="auto"/>
        <w:left w:val="none" w:sz="0" w:space="0" w:color="auto"/>
        <w:bottom w:val="none" w:sz="0" w:space="0" w:color="auto"/>
        <w:right w:val="none" w:sz="0" w:space="0" w:color="auto"/>
      </w:divBdr>
    </w:div>
    <w:div w:id="1885407393">
      <w:bodyDiv w:val="1"/>
      <w:marLeft w:val="0"/>
      <w:marRight w:val="0"/>
      <w:marTop w:val="0"/>
      <w:marBottom w:val="0"/>
      <w:divBdr>
        <w:top w:val="none" w:sz="0" w:space="0" w:color="auto"/>
        <w:left w:val="none" w:sz="0" w:space="0" w:color="auto"/>
        <w:bottom w:val="none" w:sz="0" w:space="0" w:color="auto"/>
        <w:right w:val="none" w:sz="0" w:space="0" w:color="auto"/>
      </w:divBdr>
    </w:div>
    <w:div w:id="1924365228">
      <w:bodyDiv w:val="1"/>
      <w:marLeft w:val="0"/>
      <w:marRight w:val="0"/>
      <w:marTop w:val="0"/>
      <w:marBottom w:val="0"/>
      <w:divBdr>
        <w:top w:val="none" w:sz="0" w:space="0" w:color="auto"/>
        <w:left w:val="none" w:sz="0" w:space="0" w:color="auto"/>
        <w:bottom w:val="none" w:sz="0" w:space="0" w:color="auto"/>
        <w:right w:val="none" w:sz="0" w:space="0" w:color="auto"/>
      </w:divBdr>
    </w:div>
    <w:div w:id="1926724737">
      <w:bodyDiv w:val="1"/>
      <w:marLeft w:val="0"/>
      <w:marRight w:val="0"/>
      <w:marTop w:val="0"/>
      <w:marBottom w:val="0"/>
      <w:divBdr>
        <w:top w:val="none" w:sz="0" w:space="0" w:color="auto"/>
        <w:left w:val="none" w:sz="0" w:space="0" w:color="auto"/>
        <w:bottom w:val="none" w:sz="0" w:space="0" w:color="auto"/>
        <w:right w:val="none" w:sz="0" w:space="0" w:color="auto"/>
      </w:divBdr>
    </w:div>
    <w:div w:id="1947075593">
      <w:bodyDiv w:val="1"/>
      <w:marLeft w:val="0"/>
      <w:marRight w:val="0"/>
      <w:marTop w:val="0"/>
      <w:marBottom w:val="0"/>
      <w:divBdr>
        <w:top w:val="none" w:sz="0" w:space="0" w:color="auto"/>
        <w:left w:val="none" w:sz="0" w:space="0" w:color="auto"/>
        <w:bottom w:val="none" w:sz="0" w:space="0" w:color="auto"/>
        <w:right w:val="none" w:sz="0" w:space="0" w:color="auto"/>
      </w:divBdr>
    </w:div>
    <w:div w:id="1997564378">
      <w:bodyDiv w:val="1"/>
      <w:marLeft w:val="0"/>
      <w:marRight w:val="0"/>
      <w:marTop w:val="0"/>
      <w:marBottom w:val="0"/>
      <w:divBdr>
        <w:top w:val="none" w:sz="0" w:space="0" w:color="auto"/>
        <w:left w:val="none" w:sz="0" w:space="0" w:color="auto"/>
        <w:bottom w:val="none" w:sz="0" w:space="0" w:color="auto"/>
        <w:right w:val="none" w:sz="0" w:space="0" w:color="auto"/>
      </w:divBdr>
    </w:div>
    <w:div w:id="2025744952">
      <w:bodyDiv w:val="1"/>
      <w:marLeft w:val="0"/>
      <w:marRight w:val="0"/>
      <w:marTop w:val="0"/>
      <w:marBottom w:val="0"/>
      <w:divBdr>
        <w:top w:val="none" w:sz="0" w:space="0" w:color="auto"/>
        <w:left w:val="none" w:sz="0" w:space="0" w:color="auto"/>
        <w:bottom w:val="none" w:sz="0" w:space="0" w:color="auto"/>
        <w:right w:val="none" w:sz="0" w:space="0" w:color="auto"/>
      </w:divBdr>
    </w:div>
    <w:div w:id="2028293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Coa21</b:Tag>
    <b:SourceType>Book</b:SourceType>
    <b:Guid>{7CEE356D-914F-4103-BC72-C0E709838EC8}</b:Guid>
    <b:Title>The Meaning of Terrorism</b:Title>
    <b:Year>2021</b:Year>
    <b:City>Oxford</b:City>
    <b:Publisher>Oxford University Press</b:Publisher>
    <b:Author>
      <b:Author>
        <b:NameList>
          <b:Person>
            <b:Last>Coady</b:Last>
            <b:Middle>A, J</b:Middle>
            <b:First>C</b:First>
          </b:Person>
        </b:NameList>
      </b:Author>
    </b:Author>
    <b:RefOrder>1</b:RefOrder>
  </b:Source>
  <b:Source>
    <b:Tag>Gar16</b:Tag>
    <b:SourceType>JournalArticle</b:SourceType>
    <b:Guid>{D4D39279-9236-4DDB-A6EE-F3439A2A971E}</b:Guid>
    <b:Year>2016</b:Year>
    <b:Author>
      <b:Author>
        <b:NameList>
          <b:Person>
            <b:Last> García-Vera</b:Last>
            <b:Middle>P</b:Middle>
            <b:First>M</b:First>
          </b:Person>
          <b:Person>
            <b:Last>Sanz</b:Last>
            <b:First>J</b:First>
          </b:Person>
          <b:Person>
            <b:Last>Gutiérrez</b:Last>
            <b:First>S</b:First>
          </b:Person>
        </b:NameList>
      </b:Author>
    </b:Author>
    <b:Title>A systematic review of the literature on posttraumatic stress disorder in victims of terrorist attacks.</b:Title>
    <b:JournalName>Psychological Reports</b:JournalName>
    <b:Pages>328-359</b:Pages>
    <b:Volume>119</b:Volume>
    <b:Issue>1</b:Issue>
    <b:RefOrder>2</b:RefOrder>
  </b:Source>
  <b:Source>
    <b:Tag>Placeholder1</b:Tag>
    <b:SourceType>Report</b:SourceType>
    <b:Guid>{F0ED4B34-62DB-44A7-A7E6-B57DD75807FA}</b:Guid>
    <b:Author>
      <b:Author>
        <b:Corporate>European Parliamentary Research Service and RAND Europe</b:Corporate>
      </b:Author>
    </b:Author>
    <b:Title>European ParliamThe fight against terrorism: Cost of Non-Europe Report. Home Office</b:Title>
    <b:Year>2018</b:Year>
    <b:Publisher>EAV assessment</b:Publisher>
    <b:RefOrder>3</b:RefOrder>
  </b:Source>
  <b:Source>
    <b:Tag>Sou11</b:Tag>
    <b:SourceType>Report</b:SourceType>
    <b:Guid>{47916250-C123-4AA0-8C53-CA0300FD796C}</b:Guid>
    <b:Title>The black banners: the inside story of 9/11 and the war against al-Qaeda.</b:Title>
    <b:Year>2011</b:Year>
    <b:Publisher>New York: WW Norton and Company</b:Publisher>
    <b:City>New York</b:City>
    <b:Author>
      <b:Author>
        <b:NameList>
          <b:Person>
            <b:Last>Soufan</b:Last>
            <b:Middle>H</b:Middle>
            <b:First>A</b:First>
          </b:Person>
        </b:NameList>
      </b:Author>
    </b:Author>
    <b:RefOrder>4</b:RefOrder>
  </b:Source>
  <b:Source>
    <b:Tag>Coc20</b:Tag>
    <b:SourceType>Book</b:SourceType>
    <b:Guid>{CE3117DC-A0B0-4F62-8FE2-3E44207890A0}</b:Guid>
    <b:Title>The Rise of Islamic State: ISIS and the New Sunni Revolution</b:Title>
    <b:Year>2020</b:Year>
    <b:Publisher>LeftWord Books</b:Publisher>
    <b:Author>
      <b:Author>
        <b:NameList>
          <b:Person>
            <b:Last>Cockburn</b:Last>
            <b:First>Patrick</b:First>
          </b:Person>
        </b:NameList>
      </b:Author>
    </b:Author>
    <b:RefOrder>5</b:RefOrder>
  </b:Source>
  <b:Source>
    <b:Tag>Haf10</b:Tag>
    <b:SourceType>JournalArticle</b:SourceType>
    <b:Guid>{3A311503-6376-4252-94F8-B20667F0290B}</b:Guid>
    <b:Title>The alchemy of martyrdom: Jihadi salafism and debates over suicide bombings in the Muslim world.</b:Title>
    <b:Year>2010</b:Year>
    <b:Author>
      <b:Author>
        <b:NameList>
          <b:Person>
            <b:Last>Hafez</b:Last>
            <b:Middle>M</b:Middle>
            <b:First>M</b:First>
          </b:Person>
        </b:NameList>
      </b:Author>
    </b:Author>
    <b:JournalName>Asian journal of social science</b:JournalName>
    <b:Pages>364-378</b:Pages>
    <b:Volume>38</b:Volume>
    <b:Issue>3</b:Issue>
    <b:RefOrder>6</b:RefOrder>
  </b:Source>
  <b:Source>
    <b:Tag>Bjo13</b:Tag>
    <b:SourceType>Report</b:SourceType>
    <b:Guid>{F85B577C-E1DB-47D5-A6D4-FE6BF1BE05CF}</b:Guid>
    <b:Title>Strategies for Preventing Terrorism</b:Title>
    <b:Year>2013</b:Year>
    <b:Publisher>Palgrave Macmillan</b:Publisher>
    <b:City>Basingstoke</b:City>
    <b:Author>
      <b:Author>
        <b:NameList>
          <b:Person>
            <b:Last>Bjorgo</b:Last>
            <b:First>Tore</b:First>
          </b:Person>
        </b:NameList>
      </b:Author>
    </b:Author>
    <b:RefOrder>7</b:RefOrder>
  </b:Source>
  <b:Source>
    <b:Tag>Tho16</b:Tag>
    <b:SourceType>JournalArticle</b:SourceType>
    <b:Guid>{1B48CDA2-1684-400A-979D-162AEDE3FD44}</b:Guid>
    <b:Title>A case for local neighbourhood policing and community intelligence in counter terrorism.</b:Title>
    <b:Year>2016</b:Year>
    <b:JournalName>The Police Journal</b:JournalName>
    <b:Pages>31-54</b:Pages>
    <b:Volume>89</b:Volume>
    <b:Issue>1</b:Issue>
    <b:Author>
      <b:Author>
        <b:NameList>
          <b:Person>
            <b:Last>Thomas</b:Last>
            <b:First>G</b:First>
          </b:Person>
        </b:NameList>
      </b:Author>
    </b:Author>
    <b:RefOrder>8</b:RefOrder>
  </b:Source>
  <b:Source>
    <b:Tag>Low12</b:Tag>
    <b:SourceType>JournalArticle</b:SourceType>
    <b:Guid>{A42D9EA2-96B4-4F82-8699-BE6B2DE13392}</b:Guid>
    <b:Title>Can we speak in confidence? Community intelligence and Neighbourhood Policing v2.0.</b:Title>
    <b:JournalName>Policing and Society: An International Journal of Research and Policy </b:JournalName>
    <b:Year>2012</b:Year>
    <b:Pages>295-316</b:Pages>
    <b:Volume>22</b:Volume>
    <b:Issue>3</b:Issue>
    <b:Author>
      <b:Author>
        <b:NameList>
          <b:Person>
            <b:Last>Lowe</b:Last>
            <b:First>T</b:First>
          </b:Person>
          <b:Person>
            <b:Last>Innes</b:Last>
            <b:First>M</b:First>
          </b:Person>
        </b:NameList>
      </b:Author>
    </b:Author>
    <b:RefOrder>9</b:RefOrder>
  </b:Source>
  <b:Source>
    <b:Tag>HMG23</b:Tag>
    <b:SourceType>Report</b:SourceType>
    <b:Guid>{0C0245D8-35D5-409B-A2A6-8643E961E625}</b:Guid>
    <b:Author>
      <b:Author>
        <b:Corporate>HM Government</b:Corporate>
      </b:Author>
    </b:Author>
    <b:Title>CONTEST: The United Kingdom’s Strategy for Countering Terrorism 2023</b:Title>
    <b:Year>2023</b:Year>
    <b:Publisher>HM Government</b:Publisher>
    <b:City>London</b:City>
    <b:RefOrder>10</b:RefOrder>
  </b:Source>
  <b:Source>
    <b:Tag>Gre11</b:Tag>
    <b:SourceType>Book</b:SourceType>
    <b:Guid>{973B6501-AAFA-459A-9573-C3DC39FC9089}</b:Guid>
    <b:Title>Prevent Strategy</b:Title>
    <b:Year>2011</b:Year>
    <b:Publisher>Stationery Office</b:Publisher>
    <b:City>London </b:City>
    <b:Author>
      <b:Author>
        <b:Corporate>Great Britain: Home Office </b:Corporate>
      </b:Author>
    </b:Author>
    <b:RefOrder>11</b:RefOrder>
  </b:Source>
  <b:Source>
    <b:Tag>Gre21</b:Tag>
    <b:SourceType>Book</b:SourceType>
    <b:Guid>{754A9C7C-6D25-480E-A9E2-D684D4DAFFBE}</b:Guid>
    <b:Title>Tackling Terrorism in Britain: Threats, Responses, and Challenges Twenty Years After 9/11</b:Title>
    <b:Year>2021</b:Year>
    <b:City>London </b:City>
    <b:Publisher>Taylor &amp; Francis</b:Publisher>
    <b:Author>
      <b:Author>
        <b:NameList>
          <b:Person>
            <b:Last>Greer</b:Last>
            <b:First>Steven </b:First>
          </b:Person>
        </b:NameList>
      </b:Author>
    </b:Author>
    <b:RefOrder>12</b:RefOrder>
  </b:Source>
  <b:Source>
    <b:Tag>Spe23</b:Tag>
    <b:SourceType>InternetSite</b:SourceType>
    <b:Guid>{C3FC91F7-6418-4E5B-8256-60E472FEBFCF}</b:Guid>
    <b:Title>Spelthorne Borough Council</b:Title>
    <b:Year>2023</b:Year>
    <b:Author>
      <b:Author>
        <b:Corporate>Spelthorne Borough Council</b:Corporate>
      </b:Author>
    </b:Author>
    <b:YearAccessed>2024</b:YearAccessed>
    <b:MonthAccessed>May</b:MonthAccessed>
    <b:DayAccessed>27</b:DayAccessed>
    <b:URL>https://www.spelthorne.gov.uk/article/16985/CONTEST-anti-terrorism</b:URL>
    <b:RefOrder>13</b:RefOrder>
  </b:Source>
  <b:Source>
    <b:Tag>Cou23</b:Tag>
    <b:SourceType>InternetSite</b:SourceType>
    <b:Guid>{4B58D823-EEE6-435D-B52D-8AB2193A1CFF}</b:Guid>
    <b:Author>
      <b:Author>
        <b:Corporate>Counter Terrorism Policing</b:Corporate>
      </b:Author>
    </b:Author>
    <b:Title>Counter Terrorism Policing</b:Title>
    <b:Year>2023</b:Year>
    <b:YearAccessed>2024</b:YearAccessed>
    <b:MonthAccessed>May</b:MonthAccessed>
    <b:DayAccessed>27</b:DayAccessed>
    <b:URL>https://www.counterterrorism.police.uk/what-we-do/prepare/</b:URL>
    <b:RefOrder>14</b:RefOrder>
  </b:Source>
  <b:Source>
    <b:Tag>Spa10</b:Tag>
    <b:SourceType>JournalArticle</b:SourceType>
    <b:Guid>{95C743A0-5F31-4555-8C1E-E275F3EA6881}</b:Guid>
    <b:Title>“Community Policing, Trust and Muslim Communities in Relation to ‘New Terrorism'"</b:Title>
    <b:Year>2010</b:Year>
    <b:Author>
      <b:Author>
        <b:NameList>
          <b:Person>
            <b:Last>Spalek</b:Last>
            <b:First>Basia</b:First>
          </b:Person>
        </b:NameList>
      </b:Author>
    </b:Author>
    <b:Pages>789-815</b:Pages>
    <b:JournalName>Politics &amp; Policy</b:JournalName>
    <b:Volume>38</b:Volume>
    <b:Issue>4</b:Issue>
    <b:RefOrder>15</b:RefOrder>
  </b:Source>
  <b:Source>
    <b:Tag>Hew12</b:Tag>
    <b:SourceType>Report</b:SourceType>
    <b:Guid>{4F5997B6-C0B5-41AC-B43C-B689FA1ADB3F}</b:Guid>
    <b:Title>“Communities as Defeating and/or Endorsing Extreme Violence How Do Communities Support and/or Defeat Extreme Violence over Time?’</b:Title>
    <b:Year>2012</b:Year>
    <b:City>London</b:City>
    <b:Publisher>Connected Communities Programme Report</b:Publisher>
    <b:Author>
      <b:Author>
        <b:NameList>
          <b:Person>
            <b:Last>Hewitt</b:Last>
            <b:First>Steve</b:First>
          </b:Person>
          <b:Person>
            <b:Last>McDonald</b:Last>
            <b:Middle>Zahra</b:Middle>
            <b:First>Laura</b:First>
          </b:Person>
          <b:Person>
            <b:Last>Spalek</b:Last>
            <b:First>Basia</b:First>
          </b:Person>
        </b:NameList>
      </b:Author>
    </b:Author>
    <b:RefOrder>16</b:RefOrder>
  </b:Source>
  <b:Source>
    <b:Tag>Spa11</b:Tag>
    <b:SourceType>Book</b:SourceType>
    <b:Guid>{7D8BDC36-5A13-4835-96B6-98BEE8C099BF}</b:Guid>
    <b:Title>Preventing Religio-Political Extremism Amongst Muslim Youth: A Study Exploring Police-Community Partnership.</b:Title>
    <b:Year>2011</b:Year>
    <b:City>Birmingham</b:City>
    <b:Publisher>University of Birmingham</b:Publisher>
    <b:Author>
      <b:Author>
        <b:NameList>
          <b:Person>
            <b:Last>Spalek</b:Last>
            <b:First>Basia</b:First>
          </b:Person>
          <b:Person>
            <b:Last>McDonald</b:Last>
            <b:First>Laura</b:First>
            <b:Middle>Zahra</b:Middle>
          </b:Person>
          <b:Person>
            <b:Last>El-Awa</b:Last>
            <b:First>Salwa</b:First>
          </b:Person>
        </b:NameList>
      </b:Author>
    </b:Author>
    <b:RefOrder>17</b:RefOrder>
  </b:Source>
  <b:Source>
    <b:Tag>Bak12</b:Tag>
    <b:SourceType>Report</b:SourceType>
    <b:Guid>{72A9714E-7DE4-4DAC-8DB2-EB40E350F709}</b:Guid>
    <b:Title>Engagement and partnership in community-based approaches to counter-terrorism.</b:Title>
    <b:Year>2012</b:Year>
    <b:Publisher>Palgrave Macmillan</b:Publisher>
    <b:City>Basingstoke</b:City>
    <b:Author>
      <b:Author>
        <b:NameList>
          <b:Person>
            <b:Last>Baker</b:Last>
            <b:Middle>H</b:Middle>
            <b:First>A</b:First>
          </b:Person>
        </b:NameList>
      </b:Author>
    </b:Author>
    <b:RefOrder>18</b:RefOrder>
  </b:Source>
  <b:Source>
    <b:Tag>Spa14</b:Tag>
    <b:SourceType>Book</b:SourceType>
    <b:Guid>{291FD624-F2B9-45FC-9504-0A267DC0DE95}</b:Guid>
    <b:Title>‘Community Engagement for Counterterrorism in Britain: An Exploration of the Role of “Connectors” in Countering Takfiri Jihadist Terrorism’.</b:Title>
    <b:Year>2014</b:Year>
    <b:City>Ebook</b:City>
    <b:Publisher>Studies in Conflict &amp; Terrorism</b:Publisher>
    <b:Author>
      <b:Author>
        <b:NameList>
          <b:Person>
            <b:Last>Spalek</b:Last>
            <b:First>B</b:First>
          </b:Person>
        </b:NameList>
      </b:Author>
    </b:Author>
    <b:RefOrder>19</b:RefOrder>
  </b:Source>
  <b:Source>
    <b:Tag>JES24</b:Tag>
    <b:SourceType>InternetSite</b:SourceType>
    <b:Guid>{92C1F5D9-B029-43DB-B3D3-20BD607957B3}</b:Guid>
    <b:Author>
      <b:Author>
        <b:Corporate>JESIP</b:Corporate>
      </b:Author>
    </b:Author>
    <b:Title>JESIP - Major Incident</b:Title>
    <b:Year>2024</b:Year>
    <b:YearAccessed>2024</b:YearAccessed>
    <b:MonthAccessed>May</b:MonthAccessed>
    <b:DayAccessed>15</b:DayAccessed>
    <b:URL>https://www.jesip.org.uk/webapp/major.html.</b:URL>
    <b:RefOrder>20</b:RefOrder>
  </b:Source>
  <b:Source>
    <b:Tag>Cen23</b:Tag>
    <b:SourceType>JournalArticle</b:SourceType>
    <b:Guid>{92067A4C-9733-415B-A0FB-73F99A59926E}</b:Guid>
    <b:Title>The Psychology Of Interoperability: Improving Emergency Services’ Teamwork</b:Title>
    <b:Year>2023</b:Year>
    <b:Author>
      <b:Author>
        <b:Corporate>Centre for Research and Evidence on Security Threats</b:Corporate>
        <b:NameList>
          <b:Person>
            <b:Last>Power</b:Last>
            <b:First>Nikki</b:First>
          </b:Person>
          <b:Person>
            <b:Last> Philpot</b:Last>
            <b:First>Richard</b:First>
          </b:Person>
          <b:Person>
            <b:Last>Levine </b:Last>
            <b:First>Mark</b:First>
          </b:Person>
        </b:NameList>
      </b:Author>
    </b:Author>
    <b:YearAccessed>2024</b:YearAccessed>
    <b:MonthAccessed>May</b:MonthAccessed>
    <b:DayAccessed>15</b:DayAccessed>
    <b:URL>https://crestresearch.ac.uk/comment/the-psychology-of-interoperability-improving-emergency-services-teamwork/#:~:text=The%20emergency%20services%20must%20operate,goals%3B%20namely%2C%20saving%20lives.</b:URL>
    <b:JournalName>Crest Security Review</b:JournalName>
    <b:Pages>34-35</b:Pages>
    <b:RefOrder>21</b:RefOrder>
  </b:Source>
  <b:Source>
    <b:Tag>His23</b:Tag>
    <b:SourceType>InternetSite</b:SourceType>
    <b:Guid>{8597EFD5-1AFD-4942-8AC7-D76050A0CB67}</b:Guid>
    <b:Author>
      <b:Author>
        <b:Corporate>HMICFRS</b:Corporate>
      </b:Author>
    </b:Author>
    <b:Title>Joint Emergency Services Interoperability Principles (JESIP)</b:Title>
    <b:Year>2023</b:Year>
    <b:YearAccessed>2024</b:YearAccessed>
    <b:MonthAccessed>May</b:MonthAccessed>
    <b:DayAccessed>15</b:DayAccessed>
    <b:URL>https://hmicfrs.justiceinspectorates.gov.uk/glossary/joint-emergency-services-interoperability-principles-jesip/</b:URL>
    <b:RefOrder>22</b:RefOrder>
  </b:Source>
  <b:Source>
    <b:Tag>Joi161</b:Tag>
    <b:SourceType>Report</b:SourceType>
    <b:Guid>{EF0AB726-61FD-45D0-96E8-3D7E2D2EBCAD}</b:Guid>
    <b:Title>Joint Doctrine: The Interoperability Framework</b:Title>
    <b:Year>2016</b:Year>
    <b:Author>
      <b:Author>
        <b:Corporate>JESIP</b:Corporate>
      </b:Author>
    </b:Author>
    <b:Publisher>Joint Emergency Services Interoperability Programme</b:Publisher>
    <b:City>London</b:City>
    <b:RefOrder>23</b:RefOrder>
  </b:Source>
  <b:Source>
    <b:Tag>Fag12</b:Tag>
    <b:SourceType>Book</b:SourceType>
    <b:Guid>{10B494C5-2905-495F-865E-09A4D880C760}</b:Guid>
    <b:Title>Critical Incident Management: A Complete Response Guide</b:Title>
    <b:Year>2012</b:Year>
    <b:City>Ebook</b:City>
    <b:Publisher>CRC Press</b:Publisher>
    <b:Author>
      <b:Author>
        <b:NameList>
          <b:Person>
            <b:Last>Faggiano</b:Last>
            <b:First>Vincent</b:First>
          </b:Person>
          <b:Person>
            <b:Last>McNall</b:Last>
            <b:First>John</b:First>
          </b:Person>
          <b:Person>
            <b:Last>Gillespie</b:Last>
            <b:Middle>T</b:Middle>
            <b:First>Thomas</b:First>
          </b:Person>
        </b:NameList>
      </b:Author>
    </b:Author>
    <b:RefOrder>24</b:RefOrder>
  </b:Source>
  <b:Source>
    <b:Tag>MIM16</b:Tag>
    <b:SourceType>InternetSite</b:SourceType>
    <b:Guid>{E7ED4E53-761B-499B-91E1-8A1C86004996}</b:Guid>
    <b:Title>- Major Incidents.  Mimms.org.au.</b:Title>
    <b:Year>2016</b:Year>
    <b:Author>
      <b:Author>
        <b:Corporate>MIMMS</b:Corporate>
      </b:Author>
    </b:Author>
    <b:YearAccessed>2024 </b:YearAccessed>
    <b:MonthAccessed>May</b:MonthAccessed>
    <b:DayAccessed>17</b:DayAccessed>
    <b:URL>https://www.mimms.org.au/major-incidents.</b:URL>
    <b:RefOrder>25</b:RefOrder>
  </b:Source>
  <b:Source>
    <b:Tag>JES22</b:Tag>
    <b:SourceType>InternetSite</b:SourceType>
    <b:Guid>{9FE2D3E9-31CF-45EF-8D51-0195DDBFDF2F}</b:Guid>
    <b:Title>Emergency Responder Organisations - Roles, Responsibilities and Capabilities.</b:Title>
    <b:Year>2022</b:Year>
    <b:YearAccessed>2024</b:YearAccessed>
    <b:MonthAccessed>May</b:MonthAccessed>
    <b:DayAccessed>15</b:DayAccessed>
    <b:URL>https://www.jesip.org.uk/wp-content/uploads/2022/08/Emergency-Responder-Organisations-Roles-and-Responsibilities-v1.1-Aug-2022-1.pdf</b:URL>
    <b:Author>
      <b:Author>
        <b:Corporate>JESIP</b:Corporate>
      </b:Author>
    </b:Author>
    <b:RefOrder>26</b:RefOrder>
  </b:Source>
  <b:Source>
    <b:Tag>Pea24</b:Tag>
    <b:SourceType>Book</b:SourceType>
    <b:Guid>{B3D9A5CE-B02A-4F58-9C71-9FB2341C9417}</b:Guid>
    <b:Title>Fundamentals of Paramedic Practice: A Systems Approach</b:Title>
    <b:Year>2024</b:Year>
    <b:City>Ebook</b:City>
    <b:Publisher>WIley</b:Publisher>
    <b:Edition>3rd</b:Edition>
    <b:Author>
      <b:Author>
        <b:NameList>
          <b:Person>
            <b:Last>Peate</b:Last>
            <b:First>Ian</b:First>
          </b:Person>
          <b:Person>
            <b:Last>Willis</b:Last>
            <b:First>Sam</b:First>
          </b:Person>
        </b:NameList>
      </b:Author>
    </b:Author>
    <b:RefOrder>27</b:RefOrder>
  </b:Source>
  <b:Source>
    <b:Tag>Mac121</b:Tag>
    <b:SourceType>JournalArticle</b:SourceType>
    <b:Guid>{F45FE7AB-6035-4268-9425-33BAC61852F3}</b:Guid>
    <b:Title>Major Incident Medical Management and Support: The Practical Approach at the Scene</b:Title>
    <b:Year>2012</b:Year>
    <b:Author>
      <b:Author>
        <b:NameList>
          <b:Person>
            <b:Last>Mackway-Jones </b:Last>
            <b:First>K</b:First>
          </b:Person>
        </b:NameList>
      </b:Author>
    </b:Author>
    <b:JournalName>Wiley-Blackwell</b:JournalName>
    <b:Pages>84-89</b:Pages>
    <b:Volume>3e</b:Volume>
    <b:RefOrder>28</b:RefOrder>
  </b:Source>
  <b:Source>
    <b:Tag>Hes18</b:Tag>
    <b:SourceType>JournalArticle</b:SourceType>
    <b:Guid>{6EDC2F5A-6CEE-4C36-A3AC-03EAD79C0AC3}</b:Guid>
    <b:Title>Psychological trauma risk management in the UK police service. </b:Title>
    <b:Year>2018</b:Year>
    <b:JournalName>Policing: A Journal of Policy and Practice</b:JournalName>
    <b:Pages>531-535</b:Pages>
    <b:Volume>13</b:Volume>
    <b:Issue>4</b:Issue>
    <b:Author>
      <b:Author>
        <b:NameList>
          <b:Person>
            <b:Last>Hesketh</b:Last>
            <b:First>I</b:First>
          </b:Person>
          <b:Person>
            <b:Last>Tehrani</b:Last>
            <b:First>N</b:First>
          </b:Person>
        </b:NameList>
      </b:Author>
    </b:Author>
    <b:RefOrder>29</b:RefOrder>
  </b:Source>
  <b:Source>
    <b:Tag>Teh18</b:Tag>
    <b:SourceType>InternetSite</b:SourceType>
    <b:Guid>{21348C48-0CD0-46DC-A100-9E0B86E586AF}</b:Guid>
    <b:Title>‘Post-Traumatic Stress Disorder (PTSD) and Policing – Short Guidance Document.’ College of Policing Ltd.</b:Title>
    <b:Year>2018</b:Year>
    <b:YearAccessed>2024</b:YearAccessed>
    <b:MonthAccessed>May</b:MonthAccessed>
    <b:DayAccessed>17</b:DayAccessed>
    <b:URL>https://oscarkilo.org.uk/3886-2/.</b:URL>
    <b:Author>
      <b:Author>
        <b:NameList>
          <b:Person>
            <b:Last>Tehrani</b:Last>
            <b:First>N</b:First>
          </b:Person>
          <b:Person>
            <b:Last>Hesketh</b:Last>
            <b:First>I</b:First>
          </b:Person>
          <b:Person>
            <b:Last>Harrison</b:Last>
            <b:First>J</b:First>
          </b:Person>
          <b:Person>
            <b:Last>Brewin</b:Last>
            <b:First>C</b:First>
          </b:Person>
          <b:Person>
            <b:Last>Miller</b:Last>
            <b:First>J</b:First>
          </b:Person>
        </b:NameList>
      </b:Author>
    </b:Author>
    <b:RefOrder>30</b:RefOrder>
  </b:Source>
  <b:Source>
    <b:Tag>Law20</b:Tag>
    <b:SourceType>JournalArticle</b:SourceType>
    <b:Guid>{B9C2D129-74A0-4B19-B723-C91E4AD0FC39}</b:Guid>
    <b:Title>The effects of emergency medical service work on the psychological, physical, and social well-being of ambulance personnel: A systematic review of qualitative research.</b:Title>
    <b:JournalName>BMC Psychiatry</b:JournalName>
    <b:Year>2020</b:Year>
    <b:Pages>348</b:Pages>
    <b:Volume>20</b:Volume>
    <b:Issue>1</b:Issue>
    <b:Author>
      <b:Author>
        <b:NameList>
          <b:Person>
            <b:Last>Lawn</b:Last>
            <b:First>S</b:First>
          </b:Person>
          <b:Person>
            <b:Last> Roberts</b:Last>
            <b:First>L</b:First>
          </b:Person>
          <b:Person>
            <b:Last>Willis</b:Last>
            <b:First>E</b:First>
          </b:Person>
          <b:Person>
            <b:Last>Couzner </b:Last>
            <b:First>L</b:First>
          </b:Person>
          <b:Person>
            <b:Last>Mohammadi</b:Last>
            <b:First>L</b:First>
          </b:Person>
          <b:Person>
            <b:Last>Goble</b:Last>
            <b:First>E</b:First>
          </b:Person>
        </b:NameList>
      </b:Author>
    </b:Author>
    <b:RefOrder>31</b:RefOrder>
  </b:Source>
  <b:Source>
    <b:Tag>Teh181</b:Tag>
    <b:SourceType>JournalArticle</b:SourceType>
    <b:Guid>{F0826714-2E49-42BF-9798-5B8489068E07}</b:Guid>
    <b:Title>The role of psychological screening for emergency service responders</b:Title>
    <b:JournalName> International Journal of Emergency Services</b:JournalName>
    <b:Year>2018</b:Year>
    <b:Pages>4-19</b:Pages>
    <b:Volume>8</b:Volume>
    <b:Issue>1</b:Issue>
    <b:Author>
      <b:Author>
        <b:NameList>
          <b:Person>
            <b:Last>Tehrani</b:Last>
            <b:First>N</b:First>
          </b:Person>
          <b:Person>
            <b:Last>Hesketh</b:Last>
            <b:First>I</b:First>
          </b:Person>
        </b:NameList>
      </b:Author>
    </b:Author>
    <b:RefOrder>32</b:RefOrder>
  </b:Source>
  <b:Source>
    <b:Tag>Wor22</b:Tag>
    <b:SourceType>InternetSite</b:SourceType>
    <b:Guid>{859D4B39-7904-470C-8977-AD54778F79CA}</b:Guid>
    <b:Title>Mental health </b:Title>
    <b:Year>2022</b:Year>
    <b:Author>
      <b:Author>
        <b:Corporate>World Health Organization</b:Corporate>
      </b:Author>
    </b:Author>
    <b:YearAccessed>2024</b:YearAccessed>
    <b:MonthAccessed>May</b:MonthAccessed>
    <b:DayAccessed>17</b:DayAccessed>
    <b:URL>https://www.who.int/news-room/fact-sheets/detail/mental-health-strengthening-our-response</b:URL>
    <b:RefOrder>33</b:RefOrder>
  </b:Source>
  <b:Source>
    <b:Tag>Mil19</b:Tag>
    <b:SourceType>Report</b:SourceType>
    <b:Guid>{2AF3DAB1-67D4-403F-B32B-765285ADF866}</b:Guid>
    <b:Title>Police workforce: almost one in five suffer with a form of PTSD.</b:Title>
    <b:Year>2019</b:Year>
    <b:Author>
      <b:Author>
        <b:NameList>
          <b:Person>
            <b:Last>Miller</b:Last>
            <b:First>J</b:First>
          </b:Person>
        </b:NameList>
      </b:Author>
    </b:Author>
    <b:Publisher>University of Cambridge &amp; Police Care UK</b:Publisher>
    <b:City>Cambridge</b:City>
    <b:RefOrder>34</b:RefOrder>
  </b:Source>
  <b:Source>
    <b:Tag>APA13</b:Tag>
    <b:SourceType>Report</b:SourceType>
    <b:Guid>{FB7FCACD-1EFC-494D-889A-A74CBFFDE379}</b:Guid>
    <b:Author>
      <b:Author>
        <b:Corporate>APA</b:Corporate>
      </b:Author>
    </b:Author>
    <b:Title>Diagnostic and statistical manual of mental disorders.</b:Title>
    <b:Year>2013</b:Year>
    <b:Publisher>American Psychiatric Association.</b:Publisher>
    <b:RefOrder>35</b:RefOrder>
  </b:Source>
  <b:Source>
    <b:Tag>Ske17</b:Tag>
    <b:SourceType>JournalArticle</b:SourceType>
    <b:Guid>{B9F8EBC7-8C70-4528-9444-5450F6C62AA8}</b:Guid>
    <b:Title>Trauma exposure and post-traumatic stress disorder within fire and emergency services in Western Australia.</b:Title>
    <b:Year>2017</b:Year>
    <b:JournalName>Australian Journal of Psychology</b:JournalName>
    <b:Pages>20-28</b:Pages>
    <b:Volume>69</b:Volume>
    <b:Author>
      <b:Author>
        <b:NameList>
          <b:Person>
            <b:Last>Skeffington</b:Last>
            <b:Middle>P</b:Middle>
            <b:First>M</b:First>
          </b:Person>
          <b:Person>
            <b:Last>Rees</b:Last>
            <b:Middle>C</b:Middle>
            <b:First>S</b:First>
          </b:Person>
          <b:Person>
            <b:Last>Mazzucchelli</b:Last>
            <b:First>T</b:First>
          </b:Person>
        </b:NameList>
      </b:Author>
    </b:Author>
    <b:RefOrder>36</b:RefOrder>
  </b:Source>
  <b:Source>
    <b:Tag>Sko13</b:Tag>
    <b:SourceType>JournalArticle</b:SourceType>
    <b:Guid>{791E1120-FEBE-4705-A1F9-E06C10BD1EC2}</b:Guid>
    <b:Title>Work-related post-traumatic stress disorder</b:Title>
    <b:JournalName>Occupational Medicine</b:JournalName>
    <b:Year>2013</b:Year>
    <b:Pages>175-182</b:Pages>
    <b:Volume>63</b:Volume>
    <b:Issue>3</b:Issue>
    <b:Author>
      <b:Author>
        <b:NameList>
          <b:Person>
            <b:Last>Skogstad</b:Last>
            <b:First>M</b:First>
          </b:Person>
          <b:Person>
            <b:Last>Skorstad</b:Last>
            <b:First>M</b:First>
          </b:Person>
          <b:Person>
            <b:Last>Lie</b:Last>
            <b:First>A</b:First>
          </b:Person>
          <b:Person>
            <b:Last>Conradi</b:Last>
            <b:Middle>H</b:Middle>
            <b:First>S</b:First>
          </b:Person>
        </b:NameList>
      </b:Author>
    </b:Author>
    <b:RefOrder>37</b:RefOrder>
  </b:Source>
  <b:Source>
    <b:Tag>Teh11</b:Tag>
    <b:SourceType>Report</b:SourceType>
    <b:Guid>{4472EB76-0B8A-4DF9-814C-FE2DA586B26D}</b:Guid>
    <b:Title>Tehrani, N., Rainbird, C., &amp; Dunn, B. (2011). Supporting police following the 7/7 London terrorist bomb—an organizational approach</b:Title>
    <b:Year>2011</b:Year>
    <b:Publisher>Routledge</b:Publisher>
    <b:City>London</b:City>
    <b:Author>
      <b:Author>
        <b:NameList>
          <b:Person>
            <b:Last>Tehrani</b:Last>
            <b:First>N</b:First>
          </b:Person>
          <b:Person>
            <b:Last>Rainbird</b:Last>
            <b:First>C</b:First>
          </b:Person>
          <b:Person>
            <b:Last>Dunn</b:Last>
            <b:First>B</b:First>
          </b:Person>
        </b:NameList>
      </b:Author>
    </b:Author>
    <b:RefOrder>38</b:RefOrder>
  </b:Source>
  <b:Source>
    <b:Tag>Clo99</b:Tag>
    <b:SourceType>JournalArticle</b:SourceType>
    <b:Guid>{ECBB41DD-9C0A-41AD-B4F7-30D9EA9353DB}</b:Guid>
    <b:Title>PTSD symptoms, response to intrusive memories and coping in ambulance service workers</b:Title>
    <b:Year>1999</b:Year>
    <b:JournalName>British Journal of Clinical Psychology</b:JournalName>
    <b:Pages>251-265</b:Pages>
    <b:Volume>38</b:Volume>
    <b:Issue>3</b:Issue>
    <b:Author>
      <b:Author>
        <b:NameList>
          <b:Person>
            <b:Last>Clohessy</b:Last>
            <b:First>S</b:First>
          </b:Person>
          <b:Person>
            <b:Last>Ehlers</b:Last>
            <b:First>A</b:First>
          </b:Person>
        </b:NameList>
      </b:Author>
    </b:Author>
    <b:RefOrder>39</b:RefOrder>
  </b:Source>
  <b:Source>
    <b:Tag>Hes24</b:Tag>
    <b:SourceType>JournalArticle</b:SourceType>
    <b:Guid>{2750CE18-3EB2-40BB-99AD-AFFA2D49F30B}</b:Guid>
    <b:Title>‘Developing resilience interventions for emergency service responders—a view from the field’</b:Title>
    <b:JournalName>Public Money &amp; Management</b:JournalName>
    <b:Year>2024</b:Year>
    <b:Pages>117-123</b:Pages>
    <b:Volume>44</b:Volume>
    <b:Issue>2</b:Issue>
    <b:Author>
      <b:Author>
        <b:NameList>
          <b:Person>
            <b:Last>Hesketh</b:Last>
            <b:First>I</b:First>
          </b:Person>
          <b:Person>
            <b:Last>Tehrani</b:Last>
            <b:First>N</b:First>
          </b:Person>
        </b:NameList>
      </b:Author>
    </b:Author>
    <b:RefOrder>40</b:RefOrder>
  </b:Source>
  <b:Source>
    <b:Tag>Ske171</b:Tag>
    <b:SourceType>JournalArticle</b:SourceType>
    <b:Guid>{4318F5FB-D761-4063-A246-B753D71BECBE}</b:Guid>
    <b:Title>Trauma exposure and post-traumatic stress disorder within fire and emergency services in Western Australia.</b:Title>
    <b:JournalName>Australian Journal of Psychology</b:JournalName>
    <b:Year>2017</b:Year>
    <b:Pages>20-28</b:Pages>
    <b:Volume>69</b:Volume>
    <b:Author>
      <b:Author>
        <b:NameList>
          <b:Person>
            <b:Last>Skeffington</b:Last>
            <b:Middle>M</b:Middle>
            <b:First>P</b:First>
          </b:Person>
          <b:Person>
            <b:Last>Rees</b:Last>
            <b:Middle>S</b:Middle>
            <b:First>C</b:First>
          </b:Person>
          <b:Person>
            <b:Last>Mazzucchelli</b:Last>
            <b:First>T</b:First>
          </b:Person>
        </b:NameList>
      </b:Author>
    </b:Author>
    <b:RefOrder>41</b:RefOrder>
  </b:Source>
  <b:Source>
    <b:Tag>Alp14</b:Tag>
    <b:SourceType>Book</b:SourceType>
    <b:Guid>{0F05DBD9-E9A6-4141-B786-104BA33EE4BD}</b:Guid>
    <b:Title>Policing: Continuity and Change</b:Title>
    <b:Year>2014</b:Year>
    <b:City>Ebook</b:City>
    <b:Publisher>Waveland Press</b:Publisher>
    <b:Edition>2nd</b:Edition>
    <b:Author>
      <b:Author>
        <b:NameList>
          <b:Person>
            <b:Last>Alpert</b:Last>
            <b:Middle>P</b:Middle>
            <b:First>Geoffrey </b:First>
          </b:Person>
          <b:Person>
            <b:Last>Dunham</b:Last>
            <b:Middle>G</b:Middle>
            <b:First>Roger</b:First>
          </b:Person>
          <b:Person>
            <b:Last>Stroshine</b:Last>
            <b:Middle>S</b:Middle>
            <b:First>Meghan</b:First>
          </b:Person>
        </b:NameList>
      </b:Author>
    </b:Author>
    <b:RefOrder>42</b:RefOrder>
  </b:Source>
  <b:Source>
    <b:Tag>McN11</b:Tag>
    <b:SourceType>JournalArticle</b:SourceType>
    <b:Guid>{BD3BC0AE-FCE0-470A-A6D3-EDC2CFB8833F}</b:Guid>
    <b:Title>Does the repressor coping style predict lower post-traumatic stress symptoms?</b:Title>
    <b:Year>2011</b:Year>
    <b:JournalName>Military Medicine</b:JournalName>
    <b:Pages>752-775</b:Pages>
    <b:Volume>176</b:Volume>
    <b:Issue>7</b:Issue>
    <b:Author>
      <b:Author>
        <b:NameList>
          <b:Person>
            <b:Last>McNally</b:Last>
            <b:Middle>J</b:Middle>
            <b:First>R</b:First>
          </b:Person>
          <b:Person>
            <b:Last>Hatch</b:Last>
            <b:Middle>P</b:Middle>
            <b:First>J</b:First>
          </b:Person>
          <b:Person>
            <b:Last>Cedillos</b:Last>
            <b:Middle>M</b:Middle>
            <b:First>E</b:First>
          </b:Person>
        </b:NameList>
      </b:Author>
    </b:Author>
    <b:RefOrder>43</b:RefOrder>
  </b:Source>
  <b:Source>
    <b:Tag>Lee01</b:Tag>
    <b:SourceType>JournalArticle</b:SourceType>
    <b:Guid>{E476600F-1302-491E-BF17-9BC0971E483D}</b:Guid>
    <b:Title>The role of shame and guilt in traumatic events: A clinical model of shame based and guilt-based PTSD</b:Title>
    <b:JournalName>British Journal of Medical Psychology</b:JournalName>
    <b:Year>2001</b:Year>
    <b:Pages>451-466</b:Pages>
    <b:Volume>74</b:Volume>
    <b:Issue>4</b:Issue>
    <b:Author>
      <b:Author>
        <b:NameList>
          <b:Person>
            <b:Last>Lee</b:Last>
            <b:Middle>A</b:Middle>
            <b:First>D</b:First>
          </b:Person>
          <b:Person>
            <b:Last>Scragg</b:Last>
            <b:First>P</b:First>
          </b:Person>
          <b:Person>
            <b:Last>Turner</b:Last>
            <b:First>S</b:First>
          </b:Person>
        </b:NameList>
      </b:Author>
    </b:Author>
    <b:RefOrder>44</b:RefOrder>
  </b:Source>
  <b:Source>
    <b:Tag>Bou23</b:Tag>
    <b:SourceType>Book</b:SourceType>
    <b:Guid>{B53951A1-C9F8-4CF0-9002-6E9B5939B8D2}</b:Guid>
    <b:Title>First Responder Mental Health: A Clinician's Guide</b:Title>
    <b:Year>2023</b:Year>
    <b:City>Ebook</b:City>
    <b:Publisher>Springer International Publishing</b:Publisher>
    <b:Author>
      <b:Author>
        <b:NameList>
          <b:Person>
            <b:Last>Bourke</b:Last>
            <b:Middle>L</b:Middle>
            <b:First>Michael</b:First>
          </b:Person>
          <b:Person>
            <b:Last>Buser</b:Last>
            <b:Middle>J</b:Middle>
            <b:First>Sam</b:First>
          </b:Person>
          <b:Person>
            <b:Last>Van Ha</b:Last>
            <b:Middle>B</b:Middle>
            <b:First>Vincent</b:First>
          </b:Person>
        </b:NameList>
      </b:Author>
    </b:Author>
    <b:RefOrder>45</b:RefOrder>
  </b:Source>
</b:Sources>
</file>

<file path=customXml/itemProps1.xml><?xml version="1.0" encoding="utf-8"?>
<ds:datastoreItem xmlns:ds="http://schemas.openxmlformats.org/officeDocument/2006/customXml" ds:itemID="{CBD686ED-7D51-46EF-AB05-0560EAFCE3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11</Pages>
  <Words>5038</Words>
  <Characters>28722</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33693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Jayden Thoirs</dc:creator>
  <cp:keywords/>
  <dc:description/>
  <cp:lastModifiedBy>Thoirs, Jayden</cp:lastModifiedBy>
  <cp:revision>16</cp:revision>
  <dcterms:created xsi:type="dcterms:W3CDTF">2024-05-27T21:02:00Z</dcterms:created>
  <dcterms:modified xsi:type="dcterms:W3CDTF">2024-05-27T21:41:00Z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2024-05-27T21:06:54Z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3aa55d0b-1c88-4901-8a31-76046439b793</vt:lpwstr>
  </property>
  <property fmtid="{D5CDD505-2E9C-101B-9397-08002B2CF9AE}" pid="8" name="MSIP_Label_f2acd28b-79a3-4a0f-b0ff-4b75658b1549_ContentBits">
    <vt:lpwstr>0</vt:lpwstr>
  </property>
</Properties>
</file>