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b/>
          <w:bCs/>
          <w:color w:val="FF0000"/>
          <w:sz w:val="28"/>
          <w:szCs w:val="28"/>
        </w:rPr>
        <w:id w:val="1977179422"/>
        <w:docPartObj>
          <w:docPartGallery w:val="Cover Pages"/>
          <w:docPartUnique/>
        </w:docPartObj>
      </w:sdtPr>
      <w:sdtContent>
        <w:p w14:paraId="67FC32E6" w14:textId="77777777" w:rsidR="00D17D2A" w:rsidRPr="00D17D2A" w:rsidRDefault="00D17D2A" w:rsidP="00D17D2A">
          <w:pPr>
            <w:rPr>
              <w:rFonts w:ascii="Calibri" w:hAnsi="Calibri" w:cs="Calibri"/>
              <w:b/>
              <w:bCs/>
              <w:color w:val="FF0000"/>
              <w:sz w:val="28"/>
              <w:szCs w:val="28"/>
            </w:rPr>
          </w:pPr>
          <w:r w:rsidRPr="00D17D2A">
            <w:rPr>
              <w:rFonts w:ascii="Calibri" w:hAnsi="Calibri" w:cs="Calibri"/>
              <w:b/>
              <w:bCs/>
              <w:noProof/>
              <w:color w:val="FF0000"/>
              <w:sz w:val="28"/>
              <w:szCs w:val="28"/>
            </w:rPr>
            <mc:AlternateContent>
              <mc:Choice Requires="wpg">
                <w:drawing>
                  <wp:anchor distT="0" distB="0" distL="114300" distR="114300" simplePos="0" relativeHeight="251659264" behindDoc="1" locked="0" layoutInCell="1" allowOverlap="1" wp14:anchorId="299AF130" wp14:editId="039A270D">
                    <wp:simplePos x="0" y="0"/>
                    <wp:positionH relativeFrom="page">
                      <wp:posOffset>385733</wp:posOffset>
                    </wp:positionH>
                    <wp:positionV relativeFrom="page">
                      <wp:posOffset>252393</wp:posOffset>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283543" w14:textId="401E7AE9" w:rsidR="00D17D2A" w:rsidRPr="00BE672B" w:rsidRDefault="00D17D2A" w:rsidP="00D17D2A">
                                      <w:pPr>
                                        <w:pStyle w:val="NoSpacing"/>
                                        <w:spacing w:before="120"/>
                                        <w:jc w:val="center"/>
                                        <w:rPr>
                                          <w:color w:val="FFFFFF" w:themeColor="background1"/>
                                          <w:sz w:val="72"/>
                                          <w:szCs w:val="72"/>
                                        </w:rPr>
                                      </w:pPr>
                                      <w:r>
                                        <w:rPr>
                                          <w:color w:val="FFFFFF" w:themeColor="background1"/>
                                          <w:sz w:val="72"/>
                                          <w:szCs w:val="72"/>
                                        </w:rPr>
                                        <w:t>Donna Morgan</w:t>
                                      </w:r>
                                      <w:r w:rsidR="0040753E">
                                        <w:rPr>
                                          <w:color w:val="FFFFFF" w:themeColor="background1"/>
                                          <w:sz w:val="72"/>
                                          <w:szCs w:val="72"/>
                                        </w:rPr>
                                        <w:t xml:space="preserve"> - 1051704</w:t>
                                      </w:r>
                                    </w:p>
                                  </w:sdtContent>
                                </w:sdt>
                                <w:p w14:paraId="63900EA0" w14:textId="1BA6DBBA" w:rsidR="00D17D2A" w:rsidRDefault="00000000" w:rsidP="00D17D2A">
                                  <w:pPr>
                                    <w:pStyle w:val="NoSpacing"/>
                                    <w:spacing w:before="120"/>
                                    <w:jc w:val="center"/>
                                    <w:rPr>
                                      <w:color w:val="FFFFFF" w:themeColor="background1"/>
                                    </w:rPr>
                                  </w:pPr>
                                  <w:sdt>
                                    <w:sdtPr>
                                      <w:rPr>
                                        <w:caps/>
                                        <w:color w:val="FFFFFF" w:themeColor="background1"/>
                                        <w:kern w:val="0"/>
                                        <w:sz w:val="44"/>
                                        <w:szCs w:val="44"/>
                                        <w14:ligatures w14:val="none"/>
                                      </w:rPr>
                                      <w:alias w:val="Company"/>
                                      <w:tag w:val=""/>
                                      <w:id w:val="1618182777"/>
                                      <w:dataBinding w:prefixMappings="xmlns:ns0='http://schemas.openxmlformats.org/officeDocument/2006/extended-properties' " w:xpath="/ns0:Properties[1]/ns0:Company[1]" w:storeItemID="{6668398D-A668-4E3E-A5EB-62B293D839F1}"/>
                                      <w:text/>
                                    </w:sdtPr>
                                    <w:sdtContent>
                                      <w:r w:rsidR="0040753E" w:rsidRPr="0040753E">
                                        <w:rPr>
                                          <w:caps/>
                                          <w:color w:val="FFFFFF" w:themeColor="background1"/>
                                          <w:kern w:val="0"/>
                                          <w:sz w:val="44"/>
                                          <w:szCs w:val="44"/>
                                          <w14:ligatures w14:val="none"/>
                                        </w:rPr>
                                        <w:t>WORD COUNT – 3,4</w:t>
                                      </w:r>
                                      <w:r w:rsidR="00F50831">
                                        <w:rPr>
                                          <w:caps/>
                                          <w:color w:val="FFFFFF" w:themeColor="background1"/>
                                          <w:kern w:val="0"/>
                                          <w:sz w:val="44"/>
                                          <w:szCs w:val="44"/>
                                          <w14:ligatures w14:val="none"/>
                                        </w:rPr>
                                        <w:t>89</w:t>
                                      </w:r>
                                    </w:sdtContent>
                                  </w:sdt>
                                  <w:r w:rsidR="00D17D2A">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88DEE50" w14:textId="2FA60F57" w:rsidR="00D17D2A" w:rsidRDefault="004030C0" w:rsidP="00D17D2A">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ECDE</w:t>
                                      </w:r>
                                      <w:r w:rsidR="0003441A">
                                        <w:rPr>
                                          <w:rFonts w:asciiTheme="majorHAnsi" w:eastAsiaTheme="majorEastAsia" w:hAnsiTheme="majorHAnsi" w:cstheme="majorBidi"/>
                                          <w:caps/>
                                          <w:color w:val="156082" w:themeColor="accent1"/>
                                          <w:sz w:val="72"/>
                                          <w:szCs w:val="72"/>
                                        </w:rPr>
                                        <w:t xml:space="preserve">7012                            </w:t>
                                      </w:r>
                                      <w:r w:rsidR="00992B85">
                                        <w:rPr>
                                          <w:rFonts w:asciiTheme="majorHAnsi" w:eastAsiaTheme="majorEastAsia" w:hAnsiTheme="majorHAnsi" w:cstheme="majorBidi"/>
                                          <w:caps/>
                                          <w:color w:val="156082" w:themeColor="accent1"/>
                                          <w:sz w:val="72"/>
                                          <w:szCs w:val="72"/>
                                        </w:rPr>
                                        <w:t xml:space="preserve">Assessment </w:t>
                                      </w:r>
                                      <w:r w:rsidR="0003441A">
                                        <w:rPr>
                                          <w:rFonts w:asciiTheme="majorHAnsi" w:eastAsiaTheme="majorEastAsia" w:hAnsiTheme="majorHAnsi" w:cstheme="majorBidi"/>
                                          <w:caps/>
                                          <w:color w:val="156082" w:themeColor="accent1"/>
                                          <w:sz w:val="72"/>
                                          <w:szCs w:val="72"/>
                                        </w:rPr>
                                        <w:t>Component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9AF130" id="Group 62" o:spid="_x0000_s1026" style="position:absolute;margin-left:30.35pt;margin-top:19.8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MK1prffAAAACwEAAA8AAABkcnMvZG93bnJldi54bWxMjzFvwjAQhfdK&#10;/AfrkLoVJ0BDm8ZBCIlO7QBh6WbsaxIRn6PYQPrve0ztdHd6T+++V6xH14krDqH1pCCdJSCQjLct&#10;1QqO1e7pBUSImqzuPKGCHwywLicPhc6tv9Eer4dYCw6hkGsFTYx9LmUwDTodZr5HYu3bD05HPoda&#10;2kHfONx1cp4kmXS6Jf7Q6B63DZrz4eIUnPefAbe7qj4aZ9ps/Hiff1VOqcfpuHkDEXGMf2a44zM6&#10;lMx08heyQXQKsmTFTgWLV553PV2m3OXE23KVPYMsC/m/Q/kLAAD//wMAUEsBAi0AFAAGAAgAAAAh&#10;ALaDOJL+AAAA4QEAABMAAAAAAAAAAAAAAAAAAAAAAFtDb250ZW50X1R5cGVzXS54bWxQSwECLQAU&#10;AAYACAAAACEAOP0h/9YAAACUAQAACwAAAAAAAAAAAAAAAAAvAQAAX3JlbHMvLnJlbHNQSwECLQAU&#10;AAYACAAAACEA2LsV2asDAAC+DgAADgAAAAAAAAAAAAAAAAAuAgAAZHJzL2Uyb0RvYy54bWxQSwEC&#10;LQAUAAYACAAAACEAwrWmt98AAAALAQAADwAAAAAAAAAAAAAAAAAF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A283543" w14:textId="401E7AE9" w:rsidR="00D17D2A" w:rsidRPr="00BE672B" w:rsidRDefault="00D17D2A" w:rsidP="00D17D2A">
                                <w:pPr>
                                  <w:pStyle w:val="NoSpacing"/>
                                  <w:spacing w:before="120"/>
                                  <w:jc w:val="center"/>
                                  <w:rPr>
                                    <w:color w:val="FFFFFF" w:themeColor="background1"/>
                                    <w:sz w:val="72"/>
                                    <w:szCs w:val="72"/>
                                  </w:rPr>
                                </w:pPr>
                                <w:r>
                                  <w:rPr>
                                    <w:color w:val="FFFFFF" w:themeColor="background1"/>
                                    <w:sz w:val="72"/>
                                    <w:szCs w:val="72"/>
                                  </w:rPr>
                                  <w:t>Donna Morgan</w:t>
                                </w:r>
                                <w:r w:rsidR="0040753E">
                                  <w:rPr>
                                    <w:color w:val="FFFFFF" w:themeColor="background1"/>
                                    <w:sz w:val="72"/>
                                    <w:szCs w:val="72"/>
                                  </w:rPr>
                                  <w:t xml:space="preserve"> - 1051704</w:t>
                                </w:r>
                              </w:p>
                            </w:sdtContent>
                          </w:sdt>
                          <w:p w14:paraId="63900EA0" w14:textId="1BA6DBBA" w:rsidR="00D17D2A" w:rsidRDefault="00000000" w:rsidP="00D17D2A">
                            <w:pPr>
                              <w:pStyle w:val="NoSpacing"/>
                              <w:spacing w:before="120"/>
                              <w:jc w:val="center"/>
                              <w:rPr>
                                <w:color w:val="FFFFFF" w:themeColor="background1"/>
                              </w:rPr>
                            </w:pPr>
                            <w:sdt>
                              <w:sdtPr>
                                <w:rPr>
                                  <w:caps/>
                                  <w:color w:val="FFFFFF" w:themeColor="background1"/>
                                  <w:kern w:val="0"/>
                                  <w:sz w:val="44"/>
                                  <w:szCs w:val="44"/>
                                  <w14:ligatures w14:val="none"/>
                                </w:rPr>
                                <w:alias w:val="Company"/>
                                <w:tag w:val=""/>
                                <w:id w:val="1618182777"/>
                                <w:dataBinding w:prefixMappings="xmlns:ns0='http://schemas.openxmlformats.org/officeDocument/2006/extended-properties' " w:xpath="/ns0:Properties[1]/ns0:Company[1]" w:storeItemID="{6668398D-A668-4E3E-A5EB-62B293D839F1}"/>
                                <w:text/>
                              </w:sdtPr>
                              <w:sdtContent>
                                <w:r w:rsidR="0040753E" w:rsidRPr="0040753E">
                                  <w:rPr>
                                    <w:caps/>
                                    <w:color w:val="FFFFFF" w:themeColor="background1"/>
                                    <w:kern w:val="0"/>
                                    <w:sz w:val="44"/>
                                    <w:szCs w:val="44"/>
                                    <w14:ligatures w14:val="none"/>
                                  </w:rPr>
                                  <w:t>WORD COUNT – 3,4</w:t>
                                </w:r>
                                <w:r w:rsidR="00F50831">
                                  <w:rPr>
                                    <w:caps/>
                                    <w:color w:val="FFFFFF" w:themeColor="background1"/>
                                    <w:kern w:val="0"/>
                                    <w:sz w:val="44"/>
                                    <w:szCs w:val="44"/>
                                    <w14:ligatures w14:val="none"/>
                                  </w:rPr>
                                  <w:t>89</w:t>
                                </w:r>
                              </w:sdtContent>
                            </w:sdt>
                            <w:r w:rsidR="00D17D2A">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88DEE50" w14:textId="2FA60F57" w:rsidR="00D17D2A" w:rsidRDefault="004030C0" w:rsidP="00D17D2A">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ECDE</w:t>
                                </w:r>
                                <w:r w:rsidR="0003441A">
                                  <w:rPr>
                                    <w:rFonts w:asciiTheme="majorHAnsi" w:eastAsiaTheme="majorEastAsia" w:hAnsiTheme="majorHAnsi" w:cstheme="majorBidi"/>
                                    <w:caps/>
                                    <w:color w:val="156082" w:themeColor="accent1"/>
                                    <w:sz w:val="72"/>
                                    <w:szCs w:val="72"/>
                                  </w:rPr>
                                  <w:t xml:space="preserve">7012                            </w:t>
                                </w:r>
                                <w:r w:rsidR="00992B85">
                                  <w:rPr>
                                    <w:rFonts w:asciiTheme="majorHAnsi" w:eastAsiaTheme="majorEastAsia" w:hAnsiTheme="majorHAnsi" w:cstheme="majorBidi"/>
                                    <w:caps/>
                                    <w:color w:val="156082" w:themeColor="accent1"/>
                                    <w:sz w:val="72"/>
                                    <w:szCs w:val="72"/>
                                  </w:rPr>
                                  <w:t xml:space="preserve">Assessment </w:t>
                                </w:r>
                                <w:r w:rsidR="0003441A">
                                  <w:rPr>
                                    <w:rFonts w:asciiTheme="majorHAnsi" w:eastAsiaTheme="majorEastAsia" w:hAnsiTheme="majorHAnsi" w:cstheme="majorBidi"/>
                                    <w:caps/>
                                    <w:color w:val="156082" w:themeColor="accent1"/>
                                    <w:sz w:val="72"/>
                                    <w:szCs w:val="72"/>
                                  </w:rPr>
                                  <w:t>Component 2</w:t>
                                </w:r>
                              </w:p>
                            </w:sdtContent>
                          </w:sdt>
                        </w:txbxContent>
                      </v:textbox>
                    </v:shape>
                    <w10:wrap anchorx="page" anchory="page"/>
                  </v:group>
                </w:pict>
              </mc:Fallback>
            </mc:AlternateContent>
          </w:r>
        </w:p>
        <w:p w14:paraId="47CC5291" w14:textId="289840EB" w:rsidR="004C2362" w:rsidRPr="007D56A3" w:rsidRDefault="00D17D2A" w:rsidP="004C2362">
          <w:pPr>
            <w:rPr>
              <w:rFonts w:ascii="Calibri" w:hAnsi="Calibri" w:cs="Calibri"/>
              <w:b/>
              <w:bCs/>
              <w:color w:val="FF0000"/>
              <w:sz w:val="28"/>
              <w:szCs w:val="28"/>
            </w:rPr>
          </w:pPr>
          <w:r w:rsidRPr="00D17D2A">
            <w:rPr>
              <w:rFonts w:ascii="Calibri" w:hAnsi="Calibri" w:cs="Calibri"/>
              <w:b/>
              <w:bCs/>
              <w:color w:val="FF0000"/>
              <w:sz w:val="28"/>
              <w:szCs w:val="28"/>
            </w:rPr>
            <w:br w:type="page"/>
          </w:r>
        </w:p>
      </w:sdtContent>
    </w:sdt>
    <w:p w14:paraId="04886A35" w14:textId="0057DDA0" w:rsidR="004C2362" w:rsidRPr="0054040C" w:rsidRDefault="004C2362" w:rsidP="0054040C">
      <w:pPr>
        <w:spacing w:line="360" w:lineRule="auto"/>
        <w:rPr>
          <w:rFonts w:ascii="Calibri" w:hAnsi="Calibri" w:cs="Calibri"/>
          <w:b/>
          <w:bCs/>
          <w:color w:val="0D0D0D" w:themeColor="text1" w:themeTint="F2"/>
          <w:u w:val="single"/>
        </w:rPr>
      </w:pPr>
      <w:r w:rsidRPr="0054040C">
        <w:rPr>
          <w:rFonts w:ascii="Calibri" w:hAnsi="Calibri" w:cs="Calibri"/>
          <w:b/>
          <w:bCs/>
          <w:color w:val="0D0D0D" w:themeColor="text1" w:themeTint="F2"/>
          <w:u w:val="single"/>
        </w:rPr>
        <w:lastRenderedPageBreak/>
        <w:t xml:space="preserve">Part 1 - Research Context </w:t>
      </w:r>
    </w:p>
    <w:p w14:paraId="483569D7" w14:textId="6FC5C2DC" w:rsidR="00545E2F" w:rsidRPr="0054040C" w:rsidRDefault="00545E2F"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Addressing the critical global nursing shortage (World Health Organization, 202</w:t>
      </w:r>
      <w:r w:rsidR="00C504C5" w:rsidRPr="0054040C">
        <w:rPr>
          <w:rFonts w:ascii="Calibri" w:hAnsi="Calibri" w:cs="Calibri"/>
          <w:color w:val="0D0D0D" w:themeColor="text1" w:themeTint="F2"/>
        </w:rPr>
        <w:t>4</w:t>
      </w:r>
      <w:r w:rsidRPr="0054040C">
        <w:rPr>
          <w:rFonts w:ascii="Calibri" w:hAnsi="Calibri" w:cs="Calibri"/>
          <w:color w:val="0D0D0D" w:themeColor="text1" w:themeTint="F2"/>
        </w:rPr>
        <w:t xml:space="preserve">), </w:t>
      </w:r>
      <w:r w:rsidR="00E014C3" w:rsidRPr="0054040C">
        <w:rPr>
          <w:rFonts w:ascii="Calibri" w:hAnsi="Calibri" w:cs="Calibri"/>
          <w:color w:val="0D0D0D" w:themeColor="text1" w:themeTint="F2"/>
        </w:rPr>
        <w:t>intensified</w:t>
      </w:r>
      <w:r w:rsidRPr="0054040C">
        <w:rPr>
          <w:rFonts w:ascii="Calibri" w:hAnsi="Calibri" w:cs="Calibri"/>
          <w:color w:val="0D0D0D" w:themeColor="text1" w:themeTint="F2"/>
        </w:rPr>
        <w:t xml:space="preserve"> in the U</w:t>
      </w:r>
      <w:r w:rsidR="00E014C3" w:rsidRPr="0054040C">
        <w:rPr>
          <w:rFonts w:ascii="Calibri" w:hAnsi="Calibri" w:cs="Calibri"/>
          <w:color w:val="0D0D0D" w:themeColor="text1" w:themeTint="F2"/>
        </w:rPr>
        <w:t xml:space="preserve">nited </w:t>
      </w:r>
      <w:r w:rsidRPr="0054040C">
        <w:rPr>
          <w:rFonts w:ascii="Calibri" w:hAnsi="Calibri" w:cs="Calibri"/>
          <w:color w:val="0D0D0D" w:themeColor="text1" w:themeTint="F2"/>
        </w:rPr>
        <w:t>K</w:t>
      </w:r>
      <w:r w:rsidR="00E014C3" w:rsidRPr="0054040C">
        <w:rPr>
          <w:rFonts w:ascii="Calibri" w:hAnsi="Calibri" w:cs="Calibri"/>
          <w:color w:val="0D0D0D" w:themeColor="text1" w:themeTint="F2"/>
        </w:rPr>
        <w:t>ingdom</w:t>
      </w:r>
      <w:r w:rsidRPr="0054040C">
        <w:rPr>
          <w:rFonts w:ascii="Calibri" w:hAnsi="Calibri" w:cs="Calibri"/>
          <w:color w:val="0D0D0D" w:themeColor="text1" w:themeTint="F2"/>
        </w:rPr>
        <w:t xml:space="preserve"> where only 11% of nurses are male (N</w:t>
      </w:r>
      <w:r w:rsidR="00C504C5" w:rsidRPr="0054040C">
        <w:rPr>
          <w:rFonts w:ascii="Calibri" w:hAnsi="Calibri" w:cs="Calibri"/>
          <w:color w:val="0D0D0D" w:themeColor="text1" w:themeTint="F2"/>
        </w:rPr>
        <w:t>ursing and Midwifery Council</w:t>
      </w:r>
      <w:r w:rsidRPr="0054040C">
        <w:rPr>
          <w:rFonts w:ascii="Calibri" w:hAnsi="Calibri" w:cs="Calibri"/>
          <w:color w:val="0D0D0D" w:themeColor="text1" w:themeTint="F2"/>
        </w:rPr>
        <w:t>, 2023</w:t>
      </w:r>
      <w:r w:rsidR="007478C3" w:rsidRPr="0054040C">
        <w:rPr>
          <w:rFonts w:ascii="Calibri" w:hAnsi="Calibri" w:cs="Calibri"/>
          <w:color w:val="0D0D0D" w:themeColor="text1" w:themeTint="F2"/>
        </w:rPr>
        <w:t>, Royal College of Nursing, 2024</w:t>
      </w:r>
      <w:r w:rsidRPr="0054040C">
        <w:rPr>
          <w:rFonts w:ascii="Calibri" w:hAnsi="Calibri" w:cs="Calibri"/>
          <w:color w:val="0D0D0D" w:themeColor="text1" w:themeTint="F2"/>
        </w:rPr>
        <w:t>), this research investigates the potential role of gender bias within Welsh nurse education programmes as a factor contributing to the underrepresentation and attrition of men (Andrew et al., 2023; U</w:t>
      </w:r>
      <w:r w:rsidR="007478C3" w:rsidRPr="0054040C">
        <w:rPr>
          <w:rFonts w:ascii="Calibri" w:hAnsi="Calibri" w:cs="Calibri"/>
          <w:color w:val="0D0D0D" w:themeColor="text1" w:themeTint="F2"/>
        </w:rPr>
        <w:t xml:space="preserve">niversity and </w:t>
      </w:r>
      <w:r w:rsidRPr="0054040C">
        <w:rPr>
          <w:rFonts w:ascii="Calibri" w:hAnsi="Calibri" w:cs="Calibri"/>
          <w:color w:val="0D0D0D" w:themeColor="text1" w:themeTint="F2"/>
        </w:rPr>
        <w:t>C</w:t>
      </w:r>
      <w:r w:rsidR="007478C3" w:rsidRPr="0054040C">
        <w:rPr>
          <w:rFonts w:ascii="Calibri" w:hAnsi="Calibri" w:cs="Calibri"/>
          <w:color w:val="0D0D0D" w:themeColor="text1" w:themeTint="F2"/>
        </w:rPr>
        <w:t xml:space="preserve">ollege </w:t>
      </w:r>
      <w:r w:rsidRPr="0054040C">
        <w:rPr>
          <w:rFonts w:ascii="Calibri" w:hAnsi="Calibri" w:cs="Calibri"/>
          <w:color w:val="0D0D0D" w:themeColor="text1" w:themeTint="F2"/>
        </w:rPr>
        <w:t>A</w:t>
      </w:r>
      <w:r w:rsidR="00715307" w:rsidRPr="0054040C">
        <w:rPr>
          <w:rFonts w:ascii="Calibri" w:hAnsi="Calibri" w:cs="Calibri"/>
          <w:color w:val="0D0D0D" w:themeColor="text1" w:themeTint="F2"/>
        </w:rPr>
        <w:t xml:space="preserve">dmissions </w:t>
      </w:r>
      <w:r w:rsidRPr="0054040C">
        <w:rPr>
          <w:rFonts w:ascii="Calibri" w:hAnsi="Calibri" w:cs="Calibri"/>
          <w:color w:val="0D0D0D" w:themeColor="text1" w:themeTint="F2"/>
        </w:rPr>
        <w:t>S</w:t>
      </w:r>
      <w:r w:rsidR="00715307" w:rsidRPr="0054040C">
        <w:rPr>
          <w:rFonts w:ascii="Calibri" w:hAnsi="Calibri" w:cs="Calibri"/>
          <w:color w:val="0D0D0D" w:themeColor="text1" w:themeTint="F2"/>
        </w:rPr>
        <w:t>ervice</w:t>
      </w:r>
      <w:r w:rsidRPr="0054040C">
        <w:rPr>
          <w:rFonts w:ascii="Calibri" w:hAnsi="Calibri" w:cs="Calibri"/>
          <w:color w:val="0D0D0D" w:themeColor="text1" w:themeTint="F2"/>
        </w:rPr>
        <w:t>, 202</w:t>
      </w:r>
      <w:r w:rsidR="00EA1DB7" w:rsidRPr="0054040C">
        <w:rPr>
          <w:rFonts w:ascii="Calibri" w:hAnsi="Calibri" w:cs="Calibri"/>
          <w:color w:val="0D0D0D" w:themeColor="text1" w:themeTint="F2"/>
        </w:rPr>
        <w:t>4</w:t>
      </w:r>
      <w:r w:rsidRPr="0054040C">
        <w:rPr>
          <w:rFonts w:ascii="Calibri" w:hAnsi="Calibri" w:cs="Calibri"/>
          <w:color w:val="0D0D0D" w:themeColor="text1" w:themeTint="F2"/>
        </w:rPr>
        <w:t>).</w:t>
      </w:r>
      <w:r w:rsidR="0092163E"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The study aims to answer the following questions: 1. Why are men less likely than women to undertake study on a nursing degree programme in Wales? </w:t>
      </w:r>
      <w:r w:rsidR="0092163E"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2. What are the motivational factors for males to undertake studies on a nursing degree programme in Wales? </w:t>
      </w:r>
      <w:r w:rsidR="0092163E" w:rsidRPr="0054040C">
        <w:rPr>
          <w:rFonts w:ascii="Calibri" w:hAnsi="Calibri" w:cs="Calibri"/>
          <w:color w:val="0D0D0D" w:themeColor="text1" w:themeTint="F2"/>
        </w:rPr>
        <w:t xml:space="preserve"> </w:t>
      </w:r>
      <w:r w:rsidRPr="0054040C">
        <w:rPr>
          <w:rFonts w:ascii="Calibri" w:hAnsi="Calibri" w:cs="Calibri"/>
          <w:color w:val="0D0D0D" w:themeColor="text1" w:themeTint="F2"/>
        </w:rPr>
        <w:t>3. What are the perceived barriers to successful completion of males undertaking studies on a nursing degree programme in Wales?</w:t>
      </w:r>
    </w:p>
    <w:p w14:paraId="0FFB13D1" w14:textId="77777777" w:rsidR="004C2362" w:rsidRPr="0054040C" w:rsidRDefault="004C2362" w:rsidP="0054040C">
      <w:pPr>
        <w:spacing w:line="360" w:lineRule="auto"/>
        <w:rPr>
          <w:rFonts w:ascii="Calibri" w:hAnsi="Calibri" w:cs="Calibri"/>
          <w:color w:val="0D0D0D" w:themeColor="text1" w:themeTint="F2"/>
        </w:rPr>
      </w:pPr>
    </w:p>
    <w:p w14:paraId="2E33E06A" w14:textId="1AD44AAC" w:rsidR="004C2362" w:rsidRPr="0054040C" w:rsidRDefault="004C2362" w:rsidP="0054040C">
      <w:pPr>
        <w:spacing w:line="360" w:lineRule="auto"/>
        <w:rPr>
          <w:rFonts w:ascii="Calibri" w:hAnsi="Calibri" w:cs="Calibri"/>
          <w:b/>
          <w:bCs/>
          <w:color w:val="0D0D0D" w:themeColor="text1" w:themeTint="F2"/>
          <w:u w:val="single"/>
        </w:rPr>
      </w:pPr>
      <w:r w:rsidRPr="0054040C">
        <w:rPr>
          <w:rFonts w:ascii="Calibri" w:hAnsi="Calibri" w:cs="Calibri"/>
          <w:b/>
          <w:bCs/>
          <w:color w:val="0D0D0D" w:themeColor="text1" w:themeTint="F2"/>
          <w:u w:val="single"/>
        </w:rPr>
        <w:t xml:space="preserve">Part 2 - Research Design / Methodology </w:t>
      </w:r>
    </w:p>
    <w:p w14:paraId="0B14629E" w14:textId="0B35C57B" w:rsidR="008F41B3" w:rsidRPr="0054040C" w:rsidRDefault="008F41B3"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This research adopts a pragmatic philosophical worldview, whilst also acknowledging the significant influence of constructivist perspectives on the phenomenon under investigation.</w:t>
      </w:r>
      <w:r w:rsidR="00D41774"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Pragmatism, as </w:t>
      </w:r>
      <w:r w:rsidR="00001045" w:rsidRPr="0054040C">
        <w:rPr>
          <w:rFonts w:ascii="Calibri" w:hAnsi="Calibri" w:cs="Calibri"/>
          <w:color w:val="0D0D0D" w:themeColor="text1" w:themeTint="F2"/>
        </w:rPr>
        <w:t>expressed</w:t>
      </w:r>
      <w:r w:rsidRPr="0054040C">
        <w:rPr>
          <w:rFonts w:ascii="Calibri" w:hAnsi="Calibri" w:cs="Calibri"/>
          <w:color w:val="0D0D0D" w:themeColor="text1" w:themeTint="F2"/>
        </w:rPr>
        <w:t xml:space="preserve"> by scholars </w:t>
      </w:r>
      <w:r w:rsidR="00B40294" w:rsidRPr="0054040C">
        <w:rPr>
          <w:rFonts w:ascii="Calibri" w:hAnsi="Calibri" w:cs="Calibri"/>
          <w:color w:val="0D0D0D" w:themeColor="text1" w:themeTint="F2"/>
        </w:rPr>
        <w:t>including Zainal (2007), Gulsecan and Kubat</w:t>
      </w:r>
      <w:r w:rsidR="00F800F5" w:rsidRPr="0054040C">
        <w:rPr>
          <w:rFonts w:ascii="Calibri" w:hAnsi="Calibri" w:cs="Calibri"/>
          <w:color w:val="0D0D0D" w:themeColor="text1" w:themeTint="F2"/>
        </w:rPr>
        <w:t xml:space="preserve"> (2006),</w:t>
      </w:r>
      <w:r w:rsidRPr="0054040C">
        <w:rPr>
          <w:rFonts w:ascii="Calibri" w:hAnsi="Calibri" w:cs="Calibri"/>
          <w:color w:val="0D0D0D" w:themeColor="text1" w:themeTint="F2"/>
        </w:rPr>
        <w:t xml:space="preserve"> Creswell and Plano Clark (2017) and Tashakkori and Teddlie (2010), asserts that the research question should dictate the </w:t>
      </w:r>
      <w:r w:rsidR="005B72B5" w:rsidRPr="0054040C">
        <w:rPr>
          <w:rFonts w:ascii="Calibri" w:hAnsi="Calibri" w:cs="Calibri"/>
          <w:color w:val="0D0D0D" w:themeColor="text1" w:themeTint="F2"/>
        </w:rPr>
        <w:t>methodology,</w:t>
      </w:r>
      <w:r w:rsidRPr="0054040C">
        <w:rPr>
          <w:rFonts w:ascii="Calibri" w:hAnsi="Calibri" w:cs="Calibri"/>
          <w:color w:val="0D0D0D" w:themeColor="text1" w:themeTint="F2"/>
        </w:rPr>
        <w:t xml:space="preserve"> and that the most important aspect of research is its practical consequences and usefulness in addressing the problem at hand. </w:t>
      </w:r>
      <w:r w:rsidR="00B9759C"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In this context, the overarching aim of understanding and potentially mitigating the underrepresentation and attrition of men in Welsh nurse education programmes necessitates a flexible and problem-centred approach, aligning directly with pragmatic tenets. </w:t>
      </w:r>
      <w:r w:rsidR="0099177C" w:rsidRPr="0054040C">
        <w:rPr>
          <w:rFonts w:ascii="Calibri" w:hAnsi="Calibri" w:cs="Calibri"/>
          <w:color w:val="0D0D0D" w:themeColor="text1" w:themeTint="F2"/>
        </w:rPr>
        <w:t xml:space="preserve"> </w:t>
      </w:r>
      <w:r w:rsidRPr="0054040C">
        <w:rPr>
          <w:rFonts w:ascii="Calibri" w:hAnsi="Calibri" w:cs="Calibri"/>
          <w:color w:val="0D0D0D" w:themeColor="text1" w:themeTint="F2"/>
        </w:rPr>
        <w:t>Pragmatism moves beyond the dichotomy of positivism and interpretivism</w:t>
      </w:r>
      <w:r w:rsidR="00982C9C" w:rsidRPr="0054040C">
        <w:rPr>
          <w:rFonts w:ascii="Calibri" w:hAnsi="Calibri" w:cs="Calibri"/>
          <w:color w:val="0D0D0D" w:themeColor="text1" w:themeTint="F2"/>
        </w:rPr>
        <w:t xml:space="preserve"> (Kaushik and Walsh, 2019</w:t>
      </w:r>
      <w:r w:rsidR="00A904F3" w:rsidRPr="0054040C">
        <w:rPr>
          <w:rFonts w:ascii="Calibri" w:hAnsi="Calibri" w:cs="Calibri"/>
          <w:color w:val="0D0D0D" w:themeColor="text1" w:themeTint="F2"/>
        </w:rPr>
        <w:t xml:space="preserve">; </w:t>
      </w:r>
      <w:r w:rsidR="00AF182D" w:rsidRPr="0054040C">
        <w:rPr>
          <w:rFonts w:ascii="Calibri" w:eastAsia="DengXian" w:hAnsi="Calibri" w:cs="Calibri"/>
          <w:color w:val="0D0D0D" w:themeColor="text1" w:themeTint="F2"/>
          <w:kern w:val="0"/>
          <w:shd w:val="clear" w:color="auto" w:fill="FFFFFF"/>
          <w14:ligatures w14:val="none"/>
        </w:rPr>
        <w:t>Rehman and Alharthi, 2016</w:t>
      </w:r>
      <w:r w:rsidR="00982C9C" w:rsidRPr="0054040C">
        <w:rPr>
          <w:rFonts w:ascii="Calibri" w:hAnsi="Calibri" w:cs="Calibri"/>
          <w:color w:val="0D0D0D" w:themeColor="text1" w:themeTint="F2"/>
        </w:rPr>
        <w:t>)</w:t>
      </w:r>
      <w:r w:rsidRPr="0054040C">
        <w:rPr>
          <w:rFonts w:ascii="Calibri" w:hAnsi="Calibri" w:cs="Calibri"/>
          <w:color w:val="0D0D0D" w:themeColor="text1" w:themeTint="F2"/>
        </w:rPr>
        <w:t>, embracing the value of both objective measurement and subjective understanding to achieve the research aims (Morgan, 2014</w:t>
      </w:r>
      <w:r w:rsidR="00C5736A" w:rsidRPr="0054040C">
        <w:rPr>
          <w:rFonts w:ascii="Calibri" w:hAnsi="Calibri" w:cs="Calibri"/>
          <w:color w:val="0D0D0D" w:themeColor="text1" w:themeTint="F2"/>
        </w:rPr>
        <w:t xml:space="preserve">; </w:t>
      </w:r>
      <w:r w:rsidR="00C5736A" w:rsidRPr="0054040C">
        <w:rPr>
          <w:rFonts w:ascii="Calibri" w:eastAsia="DengXian" w:hAnsi="Calibri" w:cs="Calibri"/>
          <w:color w:val="0D0D0D" w:themeColor="text1" w:themeTint="F2"/>
          <w:kern w:val="0"/>
          <w:shd w:val="clear" w:color="auto" w:fill="FFFFFF"/>
          <w14:ligatures w14:val="none"/>
        </w:rPr>
        <w:t>Collis and Hussey, 2014</w:t>
      </w:r>
      <w:r w:rsidRPr="0054040C">
        <w:rPr>
          <w:rFonts w:ascii="Calibri" w:hAnsi="Calibri" w:cs="Calibri"/>
          <w:color w:val="0D0D0D" w:themeColor="text1" w:themeTint="F2"/>
        </w:rPr>
        <w:t>).</w:t>
      </w:r>
      <w:r w:rsidR="00D45FDA"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This is particularly relevant to this study, which seeks to both quantify the extent of the issue and explore the lived experiences and perceptions of male students and educators.</w:t>
      </w:r>
    </w:p>
    <w:p w14:paraId="2817F5EE" w14:textId="3C11A230" w:rsidR="008F41B3" w:rsidRPr="0054040C" w:rsidRDefault="008F41B3"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While pragmatism serves as the overarching philosophical stance, a constructivist understanding is also pertinent.</w:t>
      </w:r>
      <w:r w:rsidR="001D1F4F"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Constructivism </w:t>
      </w:r>
      <w:r w:rsidR="00FC5701" w:rsidRPr="0054040C">
        <w:rPr>
          <w:rFonts w:ascii="Calibri" w:hAnsi="Calibri" w:cs="Calibri"/>
          <w:color w:val="0D0D0D" w:themeColor="text1" w:themeTint="F2"/>
        </w:rPr>
        <w:t>suggests</w:t>
      </w:r>
      <w:r w:rsidRPr="0054040C">
        <w:rPr>
          <w:rFonts w:ascii="Calibri" w:hAnsi="Calibri" w:cs="Calibri"/>
          <w:color w:val="0D0D0D" w:themeColor="text1" w:themeTint="F2"/>
        </w:rPr>
        <w:t xml:space="preserve"> that meaning and understanding </w:t>
      </w:r>
      <w:r w:rsidRPr="0054040C">
        <w:rPr>
          <w:rFonts w:ascii="Calibri" w:hAnsi="Calibri" w:cs="Calibri"/>
          <w:color w:val="0D0D0D" w:themeColor="text1" w:themeTint="F2"/>
        </w:rPr>
        <w:lastRenderedPageBreak/>
        <w:t xml:space="preserve">are socially constructed through individual and collective experiences (Berger </w:t>
      </w:r>
      <w:r w:rsidR="00483954" w:rsidRPr="0054040C">
        <w:rPr>
          <w:rFonts w:ascii="Calibri" w:hAnsi="Calibri" w:cs="Calibri"/>
          <w:color w:val="0D0D0D" w:themeColor="text1" w:themeTint="F2"/>
        </w:rPr>
        <w:t>and</w:t>
      </w:r>
      <w:r w:rsidRPr="0054040C">
        <w:rPr>
          <w:rFonts w:ascii="Calibri" w:hAnsi="Calibri" w:cs="Calibri"/>
          <w:color w:val="0D0D0D" w:themeColor="text1" w:themeTint="F2"/>
        </w:rPr>
        <w:t xml:space="preserve"> Luckmann, 1966</w:t>
      </w:r>
      <w:r w:rsidR="00B74542" w:rsidRPr="0054040C">
        <w:rPr>
          <w:rFonts w:ascii="Calibri" w:hAnsi="Calibri" w:cs="Calibri"/>
          <w:color w:val="0D0D0D" w:themeColor="text1" w:themeTint="F2"/>
        </w:rPr>
        <w:t xml:space="preserve">; </w:t>
      </w:r>
      <w:r w:rsidR="007356E9" w:rsidRPr="0054040C">
        <w:rPr>
          <w:rFonts w:ascii="Calibri" w:hAnsi="Calibri" w:cs="Calibri"/>
          <w:color w:val="0D0D0D" w:themeColor="text1" w:themeTint="F2"/>
        </w:rPr>
        <w:t xml:space="preserve">Andrews, 2012; </w:t>
      </w:r>
      <w:r w:rsidR="00B74542" w:rsidRPr="0054040C">
        <w:rPr>
          <w:rFonts w:ascii="Calibri" w:hAnsi="Calibri" w:cs="Calibri"/>
          <w:color w:val="0D0D0D" w:themeColor="text1" w:themeTint="F2"/>
        </w:rPr>
        <w:t xml:space="preserve">Burns </w:t>
      </w:r>
      <w:r w:rsidR="00B74542" w:rsidRPr="0054040C">
        <w:rPr>
          <w:rFonts w:ascii="Calibri" w:hAnsi="Calibri" w:cs="Calibri"/>
          <w:i/>
          <w:iCs/>
          <w:color w:val="0D0D0D" w:themeColor="text1" w:themeTint="F2"/>
        </w:rPr>
        <w:t>et al.</w:t>
      </w:r>
      <w:r w:rsidR="00B74542" w:rsidRPr="0054040C">
        <w:rPr>
          <w:rFonts w:ascii="Calibri" w:hAnsi="Calibri" w:cs="Calibri"/>
          <w:color w:val="0D0D0D" w:themeColor="text1" w:themeTint="F2"/>
        </w:rPr>
        <w:t xml:space="preserve"> 2022</w:t>
      </w:r>
      <w:r w:rsidRPr="0054040C">
        <w:rPr>
          <w:rFonts w:ascii="Calibri" w:hAnsi="Calibri" w:cs="Calibri"/>
          <w:color w:val="0D0D0D" w:themeColor="text1" w:themeTint="F2"/>
        </w:rPr>
        <w:t>).</w:t>
      </w:r>
      <w:r w:rsidR="001D1F4F"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In the context of gender in nursing, many of the stereotypes and perceptions surrounding male nurses are undoubtedly social constructs, shaped by historical narratives, cultural norms, and media representations (Williams, 1993; Evans, 2002</w:t>
      </w:r>
      <w:r w:rsidR="0098578A" w:rsidRPr="0054040C">
        <w:rPr>
          <w:rFonts w:ascii="Calibri" w:hAnsi="Calibri" w:cs="Calibri"/>
          <w:color w:val="0D0D0D" w:themeColor="text1" w:themeTint="F2"/>
        </w:rPr>
        <w:t xml:space="preserve">, Adeniji </w:t>
      </w:r>
      <w:r w:rsidR="0098578A" w:rsidRPr="0054040C">
        <w:rPr>
          <w:rFonts w:ascii="Calibri" w:hAnsi="Calibri" w:cs="Calibri"/>
          <w:i/>
          <w:iCs/>
          <w:color w:val="0D0D0D" w:themeColor="text1" w:themeTint="F2"/>
        </w:rPr>
        <w:t>et al.,</w:t>
      </w:r>
      <w:r w:rsidR="0098578A" w:rsidRPr="0054040C">
        <w:rPr>
          <w:rFonts w:ascii="Calibri" w:hAnsi="Calibri" w:cs="Calibri"/>
          <w:color w:val="0D0D0D" w:themeColor="text1" w:themeTint="F2"/>
        </w:rPr>
        <w:t xml:space="preserve"> 2015</w:t>
      </w:r>
      <w:r w:rsidRPr="0054040C">
        <w:rPr>
          <w:rFonts w:ascii="Calibri" w:hAnsi="Calibri" w:cs="Calibri"/>
          <w:color w:val="0D0D0D" w:themeColor="text1" w:themeTint="F2"/>
        </w:rPr>
        <w:t xml:space="preserve">). </w:t>
      </w:r>
      <w:r w:rsidR="00212157"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Therefore, while a pragmatic approach guides the methodological choices, the research acknowledges that the </w:t>
      </w:r>
      <w:r w:rsidR="00BF3C94" w:rsidRPr="0054040C">
        <w:rPr>
          <w:rFonts w:ascii="Calibri" w:hAnsi="Calibri" w:cs="Calibri"/>
          <w:color w:val="0D0D0D" w:themeColor="text1" w:themeTint="F2"/>
        </w:rPr>
        <w:t>experiences</w:t>
      </w:r>
      <w:r w:rsidRPr="0054040C">
        <w:rPr>
          <w:rFonts w:ascii="Calibri" w:hAnsi="Calibri" w:cs="Calibri"/>
          <w:color w:val="0D0D0D" w:themeColor="text1" w:themeTint="F2"/>
        </w:rPr>
        <w:t xml:space="preserve"> being investigated are embedded within socially constructed realities, which will be explored through qualitative data collection. </w:t>
      </w:r>
      <w:r w:rsidR="001933C4" w:rsidRPr="0054040C">
        <w:rPr>
          <w:rFonts w:ascii="Calibri" w:hAnsi="Calibri" w:cs="Calibri"/>
          <w:color w:val="0D0D0D" w:themeColor="text1" w:themeTint="F2"/>
        </w:rPr>
        <w:t xml:space="preserve"> </w:t>
      </w:r>
      <w:r w:rsidRPr="0054040C">
        <w:rPr>
          <w:rFonts w:ascii="Calibri" w:hAnsi="Calibri" w:cs="Calibri"/>
          <w:color w:val="0D0D0D" w:themeColor="text1" w:themeTint="F2"/>
        </w:rPr>
        <w:t>This recognition aligns with the pragmatic emphasis on understanding the context of the problem (Feilzer, 2010).</w:t>
      </w:r>
    </w:p>
    <w:p w14:paraId="70B94CA4" w14:textId="21057F76" w:rsidR="008F41B3" w:rsidRPr="0054040C" w:rsidRDefault="008F41B3"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Given the complex and multifaceted nature of the research questions, a mixed-methods approach has been chosen.</w:t>
      </w:r>
      <w:r w:rsidR="000D1DCF"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This approach strategically combines quantitative and qualitative data collection and analysis techniques to provide a more comprehensive understanding of the</w:t>
      </w:r>
      <w:r w:rsidR="000D1DCF" w:rsidRPr="0054040C">
        <w:rPr>
          <w:rFonts w:ascii="Calibri" w:hAnsi="Calibri" w:cs="Calibri"/>
          <w:color w:val="0D0D0D" w:themeColor="text1" w:themeTint="F2"/>
          <w:vertAlign w:val="superscript"/>
        </w:rPr>
        <w:t xml:space="preserve"> </w:t>
      </w:r>
      <w:r w:rsidRPr="0054040C">
        <w:rPr>
          <w:rFonts w:ascii="Calibri" w:hAnsi="Calibri" w:cs="Calibri"/>
          <w:color w:val="0D0D0D" w:themeColor="text1" w:themeTint="F2"/>
        </w:rPr>
        <w:t>research problem than either method could achieve in isolation (</w:t>
      </w:r>
      <w:r w:rsidR="003C6E2A" w:rsidRPr="0054040C">
        <w:rPr>
          <w:rFonts w:ascii="Calibri" w:hAnsi="Calibri" w:cs="Calibri"/>
          <w:color w:val="0D0D0D" w:themeColor="text1" w:themeTint="F2"/>
        </w:rPr>
        <w:t>Regnault, Willgoss and Barbic, 2018</w:t>
      </w:r>
      <w:r w:rsidR="00AF019E"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Creswell, 2015). </w:t>
      </w:r>
      <w:r w:rsidR="00E27F80" w:rsidRPr="0054040C">
        <w:rPr>
          <w:rFonts w:ascii="Calibri" w:hAnsi="Calibri" w:cs="Calibri"/>
          <w:color w:val="0D0D0D" w:themeColor="text1" w:themeTint="F2"/>
        </w:rPr>
        <w:t xml:space="preserve"> </w:t>
      </w:r>
      <w:r w:rsidRPr="0054040C">
        <w:rPr>
          <w:rFonts w:ascii="Calibri" w:hAnsi="Calibri" w:cs="Calibri"/>
          <w:color w:val="0D0D0D" w:themeColor="text1" w:themeTint="F2"/>
        </w:rPr>
        <w:t>Quantitative methods will be employed to gather statistical data on the number of male applicants and students, attrition rates, and potentially to measure attitudes and perceptions on a larger scale</w:t>
      </w:r>
      <w:r w:rsidR="00713480" w:rsidRPr="0054040C">
        <w:rPr>
          <w:rFonts w:ascii="Calibri" w:hAnsi="Calibri" w:cs="Calibri"/>
          <w:color w:val="0D0D0D" w:themeColor="text1" w:themeTint="F2"/>
        </w:rPr>
        <w:t>; t</w:t>
      </w:r>
      <w:r w:rsidRPr="0054040C">
        <w:rPr>
          <w:rFonts w:ascii="Calibri" w:hAnsi="Calibri" w:cs="Calibri"/>
          <w:color w:val="0D0D0D" w:themeColor="text1" w:themeTint="F2"/>
        </w:rPr>
        <w:t>his will provide a broad overview of the issue and allow for the identification of patterns and trends (</w:t>
      </w:r>
      <w:r w:rsidR="008F4BA9" w:rsidRPr="0054040C">
        <w:rPr>
          <w:rFonts w:ascii="Calibri" w:hAnsi="Calibri" w:cs="Calibri"/>
          <w:color w:val="0D0D0D" w:themeColor="text1" w:themeTint="F2"/>
        </w:rPr>
        <w:t>Walter</w:t>
      </w:r>
      <w:r w:rsidRPr="0054040C">
        <w:rPr>
          <w:rFonts w:ascii="Calibri" w:hAnsi="Calibri" w:cs="Calibri"/>
          <w:color w:val="0D0D0D" w:themeColor="text1" w:themeTint="F2"/>
        </w:rPr>
        <w:t xml:space="preserve">, </w:t>
      </w:r>
      <w:r w:rsidR="008F4BA9" w:rsidRPr="0054040C">
        <w:rPr>
          <w:rFonts w:ascii="Calibri" w:hAnsi="Calibri" w:cs="Calibri"/>
          <w:color w:val="0D0D0D" w:themeColor="text1" w:themeTint="F2"/>
        </w:rPr>
        <w:t>2009</w:t>
      </w:r>
      <w:r w:rsidR="007B0DE1" w:rsidRPr="0054040C">
        <w:rPr>
          <w:rFonts w:ascii="Calibri" w:hAnsi="Calibri" w:cs="Calibri"/>
          <w:color w:val="0D0D0D" w:themeColor="text1" w:themeTint="F2"/>
        </w:rPr>
        <w:t>, cited in Bryman, 2016</w:t>
      </w:r>
      <w:r w:rsidRPr="0054040C">
        <w:rPr>
          <w:rFonts w:ascii="Calibri" w:hAnsi="Calibri" w:cs="Calibri"/>
          <w:color w:val="0D0D0D" w:themeColor="text1" w:themeTint="F2"/>
        </w:rPr>
        <w:t xml:space="preserve">). </w:t>
      </w:r>
      <w:r w:rsidR="00713480" w:rsidRPr="0054040C">
        <w:rPr>
          <w:rFonts w:ascii="Calibri" w:hAnsi="Calibri" w:cs="Calibri"/>
          <w:color w:val="0D0D0D" w:themeColor="text1" w:themeTint="F2"/>
        </w:rPr>
        <w:t xml:space="preserve"> </w:t>
      </w:r>
      <w:r w:rsidRPr="0054040C">
        <w:rPr>
          <w:rFonts w:ascii="Calibri" w:hAnsi="Calibri" w:cs="Calibri"/>
          <w:color w:val="0D0D0D" w:themeColor="text1" w:themeTint="F2"/>
        </w:rPr>
        <w:t>Conversely, qualitative methods</w:t>
      </w:r>
      <w:r w:rsidR="00713480" w:rsidRPr="0054040C">
        <w:rPr>
          <w:rFonts w:ascii="Calibri" w:hAnsi="Calibri" w:cs="Calibri"/>
          <w:color w:val="0D0D0D" w:themeColor="text1" w:themeTint="F2"/>
        </w:rPr>
        <w:t xml:space="preserve"> </w:t>
      </w:r>
      <w:r w:rsidRPr="0054040C">
        <w:rPr>
          <w:rFonts w:ascii="Calibri" w:hAnsi="Calibri" w:cs="Calibri"/>
          <w:color w:val="0D0D0D" w:themeColor="text1" w:themeTint="F2"/>
        </w:rPr>
        <w:t>will be used to explore in-depth their experiences, motivations, perceived barriers, and understandings of gender dynamics within nurse education</w:t>
      </w:r>
      <w:r w:rsidR="00090B52" w:rsidRPr="0054040C">
        <w:rPr>
          <w:rFonts w:ascii="Calibri" w:hAnsi="Calibri" w:cs="Calibri"/>
          <w:color w:val="0D0D0D" w:themeColor="text1" w:themeTint="F2"/>
        </w:rPr>
        <w:t>; t</w:t>
      </w:r>
      <w:r w:rsidRPr="0054040C">
        <w:rPr>
          <w:rFonts w:ascii="Calibri" w:hAnsi="Calibri" w:cs="Calibri"/>
          <w:color w:val="0D0D0D" w:themeColor="text1" w:themeTint="F2"/>
        </w:rPr>
        <w:t>his</w:t>
      </w:r>
      <w:r w:rsidR="00090B52" w:rsidRPr="0054040C">
        <w:rPr>
          <w:rFonts w:ascii="Calibri" w:hAnsi="Calibri" w:cs="Calibri"/>
          <w:color w:val="0D0D0D" w:themeColor="text1" w:themeTint="F2"/>
        </w:rPr>
        <w:t xml:space="preserve">, </w:t>
      </w:r>
      <w:r w:rsidR="000F288F" w:rsidRPr="0054040C">
        <w:rPr>
          <w:rFonts w:ascii="Calibri" w:hAnsi="Calibri" w:cs="Calibri"/>
          <w:color w:val="0D0D0D" w:themeColor="text1" w:themeTint="F2"/>
        </w:rPr>
        <w:t>according to Braun and Clarke (20</w:t>
      </w:r>
      <w:r w:rsidR="006575C3" w:rsidRPr="0054040C">
        <w:rPr>
          <w:rFonts w:ascii="Calibri" w:hAnsi="Calibri" w:cs="Calibri"/>
          <w:color w:val="0D0D0D" w:themeColor="text1" w:themeTint="F2"/>
        </w:rPr>
        <w:t>21</w:t>
      </w:r>
      <w:r w:rsidR="000F288F" w:rsidRPr="0054040C">
        <w:rPr>
          <w:rFonts w:ascii="Calibri" w:hAnsi="Calibri" w:cs="Calibri"/>
          <w:color w:val="0D0D0D" w:themeColor="text1" w:themeTint="F2"/>
        </w:rPr>
        <w:t xml:space="preserve">) </w:t>
      </w:r>
      <w:r w:rsidRPr="0054040C">
        <w:rPr>
          <w:rFonts w:ascii="Calibri" w:hAnsi="Calibri" w:cs="Calibri"/>
          <w:color w:val="0D0D0D" w:themeColor="text1" w:themeTint="F2"/>
        </w:rPr>
        <w:t>will provide rich, contextualised data that can illuminate the ‘why’ behind the statistical trends</w:t>
      </w:r>
    </w:p>
    <w:p w14:paraId="74ACD2DB" w14:textId="198B9B9C" w:rsidR="000A7FD9" w:rsidRPr="0054040C" w:rsidRDefault="0052339E"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My positionality as both a nurse educator within a university and a practicing nurse offers a unique lens through which to investigate</w:t>
      </w:r>
      <w:r w:rsidR="00160A5B" w:rsidRPr="0054040C">
        <w:rPr>
          <w:rFonts w:ascii="Calibri" w:hAnsi="Calibri" w:cs="Calibri"/>
          <w:color w:val="0D0D0D" w:themeColor="text1" w:themeTint="F2"/>
        </w:rPr>
        <w:t>,</w:t>
      </w:r>
      <w:r w:rsidRPr="0054040C">
        <w:rPr>
          <w:rFonts w:ascii="Calibri" w:hAnsi="Calibri" w:cs="Calibri"/>
          <w:color w:val="0D0D0D" w:themeColor="text1" w:themeTint="F2"/>
        </w:rPr>
        <w:t xml:space="preserve"> provid</w:t>
      </w:r>
      <w:r w:rsidR="00B5470E" w:rsidRPr="0054040C">
        <w:rPr>
          <w:rFonts w:ascii="Calibri" w:hAnsi="Calibri" w:cs="Calibri"/>
          <w:color w:val="0D0D0D" w:themeColor="text1" w:themeTint="F2"/>
        </w:rPr>
        <w:t>ing</w:t>
      </w:r>
      <w:r w:rsidRPr="0054040C">
        <w:rPr>
          <w:rFonts w:ascii="Calibri" w:hAnsi="Calibri" w:cs="Calibri"/>
          <w:color w:val="0D0D0D" w:themeColor="text1" w:themeTint="F2"/>
        </w:rPr>
        <w:t xml:space="preserve"> both potential advantages and inherent limitations that require careful consideration throughout the research process (Dwyer </w:t>
      </w:r>
      <w:r w:rsidR="00180B4D" w:rsidRPr="0054040C">
        <w:rPr>
          <w:rFonts w:ascii="Calibri" w:hAnsi="Calibri" w:cs="Calibri"/>
          <w:color w:val="0D0D0D" w:themeColor="text1" w:themeTint="F2"/>
        </w:rPr>
        <w:t>and</w:t>
      </w:r>
      <w:r w:rsidRPr="0054040C">
        <w:rPr>
          <w:rFonts w:ascii="Calibri" w:hAnsi="Calibri" w:cs="Calibri"/>
          <w:color w:val="0D0D0D" w:themeColor="text1" w:themeTint="F2"/>
        </w:rPr>
        <w:t xml:space="preserve"> Buckle, 2009).</w:t>
      </w:r>
      <w:r w:rsidR="00E301D5" w:rsidRPr="0054040C">
        <w:rPr>
          <w:rFonts w:ascii="Calibri" w:hAnsi="Calibri" w:cs="Calibri"/>
          <w:color w:val="0D0D0D" w:themeColor="text1" w:themeTint="F2"/>
        </w:rPr>
        <w:t xml:space="preserve">  </w:t>
      </w:r>
      <w:r w:rsidR="009B2B89" w:rsidRPr="0054040C">
        <w:rPr>
          <w:rFonts w:ascii="Calibri" w:hAnsi="Calibri" w:cs="Calibri"/>
          <w:color w:val="0D0D0D" w:themeColor="text1" w:themeTint="F2"/>
        </w:rPr>
        <w:t xml:space="preserve"> </w:t>
      </w:r>
      <w:r w:rsidR="000A7FD9" w:rsidRPr="0054040C">
        <w:rPr>
          <w:rFonts w:ascii="Calibri" w:hAnsi="Calibri" w:cs="Calibri"/>
          <w:color w:val="0D0D0D" w:themeColor="text1" w:themeTint="F2"/>
        </w:rPr>
        <w:t xml:space="preserve">First-hand experience within clinical settings provides insights into gender disparities' impact on practice and patient care, aligning with pragmatism's focus on real-world consequences (Tashakkori </w:t>
      </w:r>
      <w:r w:rsidR="00B84C4E" w:rsidRPr="0054040C">
        <w:rPr>
          <w:rFonts w:ascii="Calibri" w:hAnsi="Calibri" w:cs="Calibri"/>
          <w:color w:val="0D0D0D" w:themeColor="text1" w:themeTint="F2"/>
        </w:rPr>
        <w:t>and</w:t>
      </w:r>
      <w:r w:rsidR="000A7FD9" w:rsidRPr="0054040C">
        <w:rPr>
          <w:rFonts w:ascii="Calibri" w:hAnsi="Calibri" w:cs="Calibri"/>
          <w:color w:val="0D0D0D" w:themeColor="text1" w:themeTint="F2"/>
        </w:rPr>
        <w:t xml:space="preserve"> Teddlie, 2010; Cho</w:t>
      </w:r>
      <w:r w:rsidR="006762EF" w:rsidRPr="0054040C">
        <w:rPr>
          <w:rFonts w:ascii="Calibri" w:hAnsi="Calibri" w:cs="Calibri"/>
          <w:color w:val="0D0D0D" w:themeColor="text1" w:themeTint="F2"/>
        </w:rPr>
        <w:t xml:space="preserve"> and</w:t>
      </w:r>
      <w:r w:rsidR="000A7FD9" w:rsidRPr="0054040C">
        <w:rPr>
          <w:rFonts w:ascii="Calibri" w:hAnsi="Calibri" w:cs="Calibri"/>
          <w:color w:val="0D0D0D" w:themeColor="text1" w:themeTint="F2"/>
        </w:rPr>
        <w:t xml:space="preserve"> Jung, 202</w:t>
      </w:r>
      <w:r w:rsidR="006762EF" w:rsidRPr="0054040C">
        <w:rPr>
          <w:rFonts w:ascii="Calibri" w:hAnsi="Calibri" w:cs="Calibri"/>
          <w:color w:val="0D0D0D" w:themeColor="text1" w:themeTint="F2"/>
        </w:rPr>
        <w:t>1</w:t>
      </w:r>
      <w:r w:rsidR="000A7FD9" w:rsidRPr="0054040C">
        <w:rPr>
          <w:rFonts w:ascii="Calibri" w:hAnsi="Calibri" w:cs="Calibri"/>
          <w:color w:val="0D0D0D" w:themeColor="text1" w:themeTint="F2"/>
        </w:rPr>
        <w:t>).</w:t>
      </w:r>
      <w:r w:rsidR="00247EFE" w:rsidRPr="0054040C">
        <w:rPr>
          <w:rFonts w:ascii="Calibri" w:hAnsi="Calibri" w:cs="Calibri"/>
          <w:color w:val="0D0D0D" w:themeColor="text1" w:themeTint="F2"/>
        </w:rPr>
        <w:t xml:space="preserve"> </w:t>
      </w:r>
      <w:r w:rsidR="000A7FD9" w:rsidRPr="0054040C">
        <w:rPr>
          <w:rFonts w:ascii="Calibri" w:hAnsi="Calibri" w:cs="Calibri"/>
          <w:color w:val="0D0D0D" w:themeColor="text1" w:themeTint="F2"/>
        </w:rPr>
        <w:t xml:space="preserve"> Simultaneously, the educator role offers direct observation of male students' experiences, informing research questions and data interpretation within the educational context (Creswell, 2015).</w:t>
      </w:r>
      <w:r w:rsidR="000A52A6" w:rsidRPr="0054040C">
        <w:rPr>
          <w:rFonts w:ascii="Calibri" w:hAnsi="Calibri" w:cs="Calibri"/>
          <w:color w:val="0D0D0D" w:themeColor="text1" w:themeTint="F2"/>
        </w:rPr>
        <w:t xml:space="preserve">  </w:t>
      </w:r>
      <w:r w:rsidR="000A7FD9" w:rsidRPr="0054040C">
        <w:rPr>
          <w:rFonts w:ascii="Calibri" w:hAnsi="Calibri" w:cs="Calibri"/>
          <w:color w:val="0D0D0D" w:themeColor="text1" w:themeTint="F2"/>
        </w:rPr>
        <w:t xml:space="preserve">Familiarity with curriculum and institutional structures also provides valuable </w:t>
      </w:r>
      <w:r w:rsidR="00285C42" w:rsidRPr="0054040C">
        <w:rPr>
          <w:rFonts w:ascii="Calibri" w:hAnsi="Calibri" w:cs="Calibri"/>
          <w:color w:val="0D0D0D" w:themeColor="text1" w:themeTint="F2"/>
        </w:rPr>
        <w:t>‘</w:t>
      </w:r>
      <w:r w:rsidR="000A7FD9" w:rsidRPr="0054040C">
        <w:rPr>
          <w:rFonts w:ascii="Calibri" w:hAnsi="Calibri" w:cs="Calibri"/>
          <w:color w:val="0D0D0D" w:themeColor="text1" w:themeTint="F2"/>
        </w:rPr>
        <w:t>insider</w:t>
      </w:r>
      <w:r w:rsidR="00285C42" w:rsidRPr="0054040C">
        <w:rPr>
          <w:rFonts w:ascii="Calibri" w:hAnsi="Calibri" w:cs="Calibri"/>
          <w:color w:val="0D0D0D" w:themeColor="text1" w:themeTint="F2"/>
        </w:rPr>
        <w:t>’</w:t>
      </w:r>
      <w:r w:rsidR="000A7FD9" w:rsidRPr="0054040C">
        <w:rPr>
          <w:rFonts w:ascii="Calibri" w:hAnsi="Calibri" w:cs="Calibri"/>
          <w:color w:val="0D0D0D" w:themeColor="text1" w:themeTint="F2"/>
        </w:rPr>
        <w:t xml:space="preserve"> knowledge</w:t>
      </w:r>
      <w:r w:rsidR="002F1E14" w:rsidRPr="0054040C">
        <w:rPr>
          <w:rFonts w:ascii="Calibri" w:hAnsi="Calibri" w:cs="Calibri"/>
          <w:color w:val="0D0D0D" w:themeColor="text1" w:themeTint="F2"/>
        </w:rPr>
        <w:t xml:space="preserve">, which </w:t>
      </w:r>
      <w:r w:rsidR="00480611" w:rsidRPr="0054040C">
        <w:rPr>
          <w:rFonts w:ascii="Calibri" w:hAnsi="Calibri" w:cs="Calibri"/>
          <w:color w:val="0D0D0D" w:themeColor="text1" w:themeTint="F2"/>
        </w:rPr>
        <w:t xml:space="preserve">while offering rich contextual understanding </w:t>
      </w:r>
      <w:r w:rsidR="0073260B" w:rsidRPr="0054040C">
        <w:rPr>
          <w:rFonts w:ascii="Calibri" w:hAnsi="Calibri" w:cs="Calibri"/>
          <w:color w:val="0D0D0D" w:themeColor="text1" w:themeTint="F2"/>
        </w:rPr>
        <w:t>(</w:t>
      </w:r>
      <w:r w:rsidR="001351F7" w:rsidRPr="0054040C">
        <w:rPr>
          <w:rFonts w:ascii="Calibri" w:hAnsi="Calibri" w:cs="Calibri"/>
          <w:color w:val="0D0D0D" w:themeColor="text1" w:themeTint="F2"/>
        </w:rPr>
        <w:t>Attia and Edge</w:t>
      </w:r>
      <w:r w:rsidR="00837342" w:rsidRPr="0054040C">
        <w:rPr>
          <w:rFonts w:ascii="Calibri" w:hAnsi="Calibri" w:cs="Calibri"/>
          <w:color w:val="0D0D0D" w:themeColor="text1" w:themeTint="F2"/>
        </w:rPr>
        <w:t>, 2017</w:t>
      </w:r>
      <w:r w:rsidR="001351F7" w:rsidRPr="0054040C">
        <w:rPr>
          <w:rFonts w:ascii="Calibri" w:hAnsi="Calibri" w:cs="Calibri"/>
          <w:color w:val="0D0D0D" w:themeColor="text1" w:themeTint="F2"/>
        </w:rPr>
        <w:t>)</w:t>
      </w:r>
      <w:r w:rsidR="00112975" w:rsidRPr="0054040C">
        <w:rPr>
          <w:rFonts w:ascii="Calibri" w:hAnsi="Calibri" w:cs="Calibri"/>
          <w:color w:val="0D0D0D" w:themeColor="text1" w:themeTint="F2"/>
        </w:rPr>
        <w:t xml:space="preserve">, </w:t>
      </w:r>
      <w:r w:rsidR="00974BBB" w:rsidRPr="0054040C">
        <w:rPr>
          <w:rFonts w:ascii="Calibri" w:hAnsi="Calibri" w:cs="Calibri"/>
          <w:color w:val="0D0D0D" w:themeColor="text1" w:themeTint="F2"/>
        </w:rPr>
        <w:lastRenderedPageBreak/>
        <w:t>Mercer (2007</w:t>
      </w:r>
      <w:r w:rsidR="009A7CEA" w:rsidRPr="0054040C">
        <w:rPr>
          <w:rFonts w:ascii="Calibri" w:hAnsi="Calibri" w:cs="Calibri"/>
          <w:color w:val="0D0D0D" w:themeColor="text1" w:themeTint="F2"/>
        </w:rPr>
        <w:t xml:space="preserve">) alerts </w:t>
      </w:r>
      <w:r w:rsidR="00112975" w:rsidRPr="0054040C">
        <w:rPr>
          <w:rFonts w:ascii="Calibri" w:hAnsi="Calibri" w:cs="Calibri"/>
          <w:color w:val="0D0D0D" w:themeColor="text1" w:themeTint="F2"/>
        </w:rPr>
        <w:t>can also create a risk of overlooking aspects that might be more apparent to an external observer.</w:t>
      </w:r>
    </w:p>
    <w:p w14:paraId="41F6709F" w14:textId="2E59068B" w:rsidR="009E0F41" w:rsidRPr="0054040C" w:rsidRDefault="006A0B3F"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w:t>
      </w:r>
      <w:r w:rsidR="000A7FD9" w:rsidRPr="0054040C">
        <w:rPr>
          <w:rFonts w:ascii="Calibri" w:hAnsi="Calibri" w:cs="Calibri"/>
          <w:color w:val="0D0D0D" w:themeColor="text1" w:themeTint="F2"/>
        </w:rPr>
        <w:t xml:space="preserve">his dual position </w:t>
      </w:r>
      <w:r w:rsidRPr="0054040C">
        <w:rPr>
          <w:rFonts w:ascii="Calibri" w:hAnsi="Calibri" w:cs="Calibri"/>
          <w:color w:val="0D0D0D" w:themeColor="text1" w:themeTint="F2"/>
        </w:rPr>
        <w:t xml:space="preserve">can </w:t>
      </w:r>
      <w:r w:rsidR="000A7FD9" w:rsidRPr="0054040C">
        <w:rPr>
          <w:rFonts w:ascii="Calibri" w:hAnsi="Calibri" w:cs="Calibri"/>
          <w:color w:val="0D0D0D" w:themeColor="text1" w:themeTint="F2"/>
        </w:rPr>
        <w:t>present</w:t>
      </w:r>
      <w:r w:rsidRPr="0054040C">
        <w:rPr>
          <w:rFonts w:ascii="Calibri" w:hAnsi="Calibri" w:cs="Calibri"/>
          <w:color w:val="0D0D0D" w:themeColor="text1" w:themeTint="F2"/>
        </w:rPr>
        <w:t xml:space="preserve"> other</w:t>
      </w:r>
      <w:r w:rsidR="000A7FD9" w:rsidRPr="0054040C">
        <w:rPr>
          <w:rFonts w:ascii="Calibri" w:hAnsi="Calibri" w:cs="Calibri"/>
          <w:color w:val="0D0D0D" w:themeColor="text1" w:themeTint="F2"/>
        </w:rPr>
        <w:t xml:space="preserve"> limitations. Potential unconscious biases in data collection and analysis, stemming from being embedded within the investigated system (Berger, 2015), and the possibility of skewed perceptions due to familiarity with participants (Mercer, 2007) are key concerns.</w:t>
      </w:r>
      <w:r w:rsidR="0079380B" w:rsidRPr="0054040C">
        <w:rPr>
          <w:rFonts w:ascii="Calibri" w:hAnsi="Calibri" w:cs="Calibri"/>
          <w:color w:val="0D0D0D" w:themeColor="text1" w:themeTint="F2"/>
        </w:rPr>
        <w:t xml:space="preserve"> </w:t>
      </w:r>
      <w:r w:rsidR="000A7FD9" w:rsidRPr="0054040C">
        <w:rPr>
          <w:rFonts w:ascii="Calibri" w:hAnsi="Calibri" w:cs="Calibri"/>
          <w:color w:val="0D0D0D" w:themeColor="text1" w:themeTint="F2"/>
        </w:rPr>
        <w:t xml:space="preserve"> </w:t>
      </w:r>
      <w:r w:rsidR="009E0F41" w:rsidRPr="0054040C">
        <w:rPr>
          <w:rFonts w:ascii="Calibri" w:hAnsi="Calibri" w:cs="Calibri"/>
          <w:color w:val="0D0D0D" w:themeColor="text1" w:themeTint="F2"/>
        </w:rPr>
        <w:t>To mitigate these potential drawbacks,</w:t>
      </w:r>
      <w:r w:rsidR="00DC1D66" w:rsidRPr="0054040C">
        <w:rPr>
          <w:rFonts w:ascii="Calibri" w:hAnsi="Calibri" w:cs="Calibri"/>
          <w:color w:val="0D0D0D" w:themeColor="text1" w:themeTint="F2"/>
        </w:rPr>
        <w:t xml:space="preserve"> Berger (</w:t>
      </w:r>
      <w:r w:rsidR="002725D6" w:rsidRPr="0054040C">
        <w:rPr>
          <w:rFonts w:ascii="Calibri" w:hAnsi="Calibri" w:cs="Calibri"/>
          <w:color w:val="0D0D0D" w:themeColor="text1" w:themeTint="F2"/>
        </w:rPr>
        <w:t>2015</w:t>
      </w:r>
      <w:r w:rsidR="00DC1D66" w:rsidRPr="0054040C">
        <w:rPr>
          <w:rFonts w:ascii="Calibri" w:hAnsi="Calibri" w:cs="Calibri"/>
          <w:color w:val="0D0D0D" w:themeColor="text1" w:themeTint="F2"/>
        </w:rPr>
        <w:t xml:space="preserve">) highlights the importance </w:t>
      </w:r>
      <w:r w:rsidR="008925B7" w:rsidRPr="0054040C">
        <w:rPr>
          <w:rFonts w:ascii="Calibri" w:hAnsi="Calibri" w:cs="Calibri"/>
          <w:color w:val="0D0D0D" w:themeColor="text1" w:themeTint="F2"/>
        </w:rPr>
        <w:t>of understanding the relationship between development and reflexivity</w:t>
      </w:r>
      <w:r w:rsidR="004F6F63" w:rsidRPr="0054040C">
        <w:rPr>
          <w:rFonts w:ascii="Calibri" w:hAnsi="Calibri" w:cs="Calibri"/>
          <w:color w:val="0D0D0D" w:themeColor="text1" w:themeTint="F2"/>
        </w:rPr>
        <w:t xml:space="preserve">, taking into consideration how both the researcher and the research </w:t>
      </w:r>
      <w:r w:rsidR="00167781" w:rsidRPr="0054040C">
        <w:rPr>
          <w:rFonts w:ascii="Calibri" w:hAnsi="Calibri" w:cs="Calibri"/>
          <w:color w:val="0D0D0D" w:themeColor="text1" w:themeTint="F2"/>
        </w:rPr>
        <w:t>influence each other, and having an awareness</w:t>
      </w:r>
      <w:r w:rsidR="009438CB" w:rsidRPr="0054040C">
        <w:rPr>
          <w:rFonts w:ascii="Calibri" w:hAnsi="Calibri" w:cs="Calibri"/>
          <w:color w:val="0D0D0D" w:themeColor="text1" w:themeTint="F2"/>
        </w:rPr>
        <w:t xml:space="preserve"> of how I interact with the environment in both the clinical and cla</w:t>
      </w:r>
      <w:r w:rsidR="00FC6CE7" w:rsidRPr="0054040C">
        <w:rPr>
          <w:rFonts w:ascii="Calibri" w:hAnsi="Calibri" w:cs="Calibri"/>
          <w:color w:val="0D0D0D" w:themeColor="text1" w:themeTint="F2"/>
        </w:rPr>
        <w:t>ss</w:t>
      </w:r>
      <w:r w:rsidR="009438CB" w:rsidRPr="0054040C">
        <w:rPr>
          <w:rFonts w:ascii="Calibri" w:hAnsi="Calibri" w:cs="Calibri"/>
          <w:color w:val="0D0D0D" w:themeColor="text1" w:themeTint="F2"/>
        </w:rPr>
        <w:t>room setting.</w:t>
      </w:r>
      <w:r w:rsidR="00FC6CE7" w:rsidRPr="0054040C">
        <w:rPr>
          <w:rFonts w:ascii="Calibri" w:hAnsi="Calibri" w:cs="Calibri"/>
          <w:color w:val="0D0D0D" w:themeColor="text1" w:themeTint="F2"/>
        </w:rPr>
        <w:t xml:space="preserve">  I must take the advice of both Creswell (</w:t>
      </w:r>
      <w:r w:rsidR="007D6E17" w:rsidRPr="0054040C">
        <w:rPr>
          <w:rFonts w:ascii="Calibri" w:hAnsi="Calibri" w:cs="Calibri"/>
          <w:color w:val="0D0D0D" w:themeColor="text1" w:themeTint="F2"/>
        </w:rPr>
        <w:t>2015</w:t>
      </w:r>
      <w:r w:rsidR="00B11A63" w:rsidRPr="0054040C">
        <w:rPr>
          <w:rFonts w:ascii="Calibri" w:hAnsi="Calibri" w:cs="Calibri"/>
          <w:color w:val="0D0D0D" w:themeColor="text1" w:themeTint="F2"/>
        </w:rPr>
        <w:t>) and Mercer (</w:t>
      </w:r>
      <w:r w:rsidR="007D6E17" w:rsidRPr="0054040C">
        <w:rPr>
          <w:rFonts w:ascii="Calibri" w:hAnsi="Calibri" w:cs="Calibri"/>
          <w:color w:val="0D0D0D" w:themeColor="text1" w:themeTint="F2"/>
        </w:rPr>
        <w:t>2007</w:t>
      </w:r>
      <w:r w:rsidR="00B11A63" w:rsidRPr="0054040C">
        <w:rPr>
          <w:rFonts w:ascii="Calibri" w:hAnsi="Calibri" w:cs="Calibri"/>
          <w:color w:val="0D0D0D" w:themeColor="text1" w:themeTint="F2"/>
        </w:rPr>
        <w:t xml:space="preserve">) who caution that this approach demands </w:t>
      </w:r>
      <w:r w:rsidR="00B44ECD" w:rsidRPr="0054040C">
        <w:rPr>
          <w:rFonts w:ascii="Calibri" w:hAnsi="Calibri" w:cs="Calibri"/>
          <w:color w:val="0D0D0D" w:themeColor="text1" w:themeTint="F2"/>
        </w:rPr>
        <w:t>high levels of integrity and responsibility when conducting the investigation.</w:t>
      </w:r>
    </w:p>
    <w:p w14:paraId="1919D82A" w14:textId="77777777" w:rsidR="004C2362" w:rsidRPr="0054040C" w:rsidRDefault="004C2362" w:rsidP="0054040C">
      <w:pPr>
        <w:spacing w:line="360" w:lineRule="auto"/>
        <w:rPr>
          <w:rFonts w:ascii="Calibri" w:hAnsi="Calibri" w:cs="Calibri"/>
          <w:color w:val="0D0D0D" w:themeColor="text1" w:themeTint="F2"/>
        </w:rPr>
      </w:pPr>
    </w:p>
    <w:p w14:paraId="72E6412B" w14:textId="0AAAD6A0" w:rsidR="00691D15" w:rsidRPr="0054040C" w:rsidRDefault="004C2362" w:rsidP="0054040C">
      <w:pPr>
        <w:spacing w:line="360" w:lineRule="auto"/>
        <w:rPr>
          <w:rFonts w:ascii="Calibri" w:hAnsi="Calibri" w:cs="Calibri"/>
          <w:b/>
          <w:bCs/>
          <w:color w:val="0D0D0D" w:themeColor="text1" w:themeTint="F2"/>
          <w:u w:val="single"/>
        </w:rPr>
      </w:pPr>
      <w:r w:rsidRPr="0054040C">
        <w:rPr>
          <w:rFonts w:ascii="Calibri" w:hAnsi="Calibri" w:cs="Calibri"/>
          <w:b/>
          <w:bCs/>
          <w:color w:val="0D0D0D" w:themeColor="text1" w:themeTint="F2"/>
          <w:u w:val="single"/>
        </w:rPr>
        <w:t>Part 3 - Research Methods / Tools</w:t>
      </w:r>
    </w:p>
    <w:p w14:paraId="4AE06F51" w14:textId="73422B04"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 xml:space="preserve">To address the research questions, this study will employ a mixed-methods approach, utilising both an online questionnaire and semi-structured interviews. </w:t>
      </w:r>
      <w:r w:rsidR="00DF207F" w:rsidRPr="0054040C">
        <w:rPr>
          <w:rFonts w:ascii="Calibri" w:hAnsi="Calibri" w:cs="Calibri"/>
          <w:color w:val="0D0D0D" w:themeColor="text1" w:themeTint="F2"/>
        </w:rPr>
        <w:t xml:space="preserve"> </w:t>
      </w:r>
      <w:r w:rsidRPr="0054040C">
        <w:rPr>
          <w:rFonts w:ascii="Calibri" w:hAnsi="Calibri" w:cs="Calibri"/>
          <w:color w:val="0D0D0D" w:themeColor="text1" w:themeTint="F2"/>
        </w:rPr>
        <w:t>This combination of methods is strategically chosen to provide a comprehensive understanding of the potential for gender bias within Welsh nurse education and its impact on male students' experiences and attrition rates.</w:t>
      </w:r>
    </w:p>
    <w:p w14:paraId="1F1B5390" w14:textId="251D61B4" w:rsidR="00691D15" w:rsidRPr="0054040C" w:rsidRDefault="002A616F" w:rsidP="0054040C">
      <w:pPr>
        <w:spacing w:line="360" w:lineRule="auto"/>
        <w:rPr>
          <w:rFonts w:ascii="Calibri" w:hAnsi="Calibri" w:cs="Calibri"/>
          <w:color w:val="0D0D0D" w:themeColor="text1" w:themeTint="F2"/>
        </w:rPr>
      </w:pPr>
      <w:r w:rsidRPr="0054040C">
        <w:rPr>
          <w:rFonts w:ascii="Calibri" w:hAnsi="Calibri" w:cs="Calibri"/>
          <w:b/>
          <w:bCs/>
          <w:color w:val="0D0D0D" w:themeColor="text1" w:themeTint="F2"/>
        </w:rPr>
        <w:t xml:space="preserve">Method One - </w:t>
      </w:r>
      <w:r w:rsidR="00691D15" w:rsidRPr="0054040C">
        <w:rPr>
          <w:rFonts w:ascii="Calibri" w:hAnsi="Calibri" w:cs="Calibri"/>
          <w:b/>
          <w:bCs/>
          <w:color w:val="0D0D0D" w:themeColor="text1" w:themeTint="F2"/>
        </w:rPr>
        <w:t>Online Questionnaire</w:t>
      </w:r>
    </w:p>
    <w:p w14:paraId="76618CAE" w14:textId="4181877B"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An online questionnaire will be distributed electronically via email to all nursing students across the four branches of nursing</w:t>
      </w:r>
      <w:r w:rsidR="00D73DCB" w:rsidRPr="0054040C">
        <w:rPr>
          <w:rFonts w:ascii="Calibri" w:hAnsi="Calibri" w:cs="Calibri"/>
          <w:color w:val="0D0D0D" w:themeColor="text1" w:themeTint="F2"/>
        </w:rPr>
        <w:t>:</w:t>
      </w:r>
      <w:r w:rsidRPr="0054040C">
        <w:rPr>
          <w:rFonts w:ascii="Calibri" w:hAnsi="Calibri" w:cs="Calibri"/>
          <w:color w:val="0D0D0D" w:themeColor="text1" w:themeTint="F2"/>
        </w:rPr>
        <w:t xml:space="preserve"> Adult</w:t>
      </w:r>
      <w:r w:rsidR="00D73DCB" w:rsidRPr="0054040C">
        <w:rPr>
          <w:rFonts w:ascii="Calibri" w:hAnsi="Calibri" w:cs="Calibri"/>
          <w:color w:val="0D0D0D" w:themeColor="text1" w:themeTint="F2"/>
        </w:rPr>
        <w:t>;</w:t>
      </w:r>
      <w:r w:rsidRPr="0054040C">
        <w:rPr>
          <w:rFonts w:ascii="Calibri" w:hAnsi="Calibri" w:cs="Calibri"/>
          <w:color w:val="0D0D0D" w:themeColor="text1" w:themeTint="F2"/>
        </w:rPr>
        <w:t xml:space="preserve"> Mental Health</w:t>
      </w:r>
      <w:r w:rsidR="00D73DCB" w:rsidRPr="0054040C">
        <w:rPr>
          <w:rFonts w:ascii="Calibri" w:hAnsi="Calibri" w:cs="Calibri"/>
          <w:color w:val="0D0D0D" w:themeColor="text1" w:themeTint="F2"/>
        </w:rPr>
        <w:t>;</w:t>
      </w:r>
      <w:r w:rsidRPr="0054040C">
        <w:rPr>
          <w:rFonts w:ascii="Calibri" w:hAnsi="Calibri" w:cs="Calibri"/>
          <w:color w:val="0D0D0D" w:themeColor="text1" w:themeTint="F2"/>
        </w:rPr>
        <w:t xml:space="preserve"> Child</w:t>
      </w:r>
      <w:r w:rsidR="00C4207E" w:rsidRPr="0054040C">
        <w:rPr>
          <w:rFonts w:ascii="Calibri" w:hAnsi="Calibri" w:cs="Calibri"/>
          <w:color w:val="0D0D0D" w:themeColor="text1" w:themeTint="F2"/>
        </w:rPr>
        <w:t>;</w:t>
      </w:r>
      <w:r w:rsidRPr="0054040C">
        <w:rPr>
          <w:rFonts w:ascii="Calibri" w:hAnsi="Calibri" w:cs="Calibri"/>
          <w:color w:val="0D0D0D" w:themeColor="text1" w:themeTint="F2"/>
        </w:rPr>
        <w:t xml:space="preserve"> and Learning Disabilities</w:t>
      </w:r>
      <w:r w:rsidR="00C4207E" w:rsidRPr="0054040C">
        <w:rPr>
          <w:rFonts w:ascii="Calibri" w:hAnsi="Calibri" w:cs="Calibri"/>
          <w:color w:val="0D0D0D" w:themeColor="text1" w:themeTint="F2"/>
        </w:rPr>
        <w:t>,</w:t>
      </w:r>
      <w:r w:rsidRPr="0054040C">
        <w:rPr>
          <w:rFonts w:ascii="Calibri" w:hAnsi="Calibri" w:cs="Calibri"/>
          <w:color w:val="0D0D0D" w:themeColor="text1" w:themeTint="F2"/>
        </w:rPr>
        <w:t xml:space="preserve"> within the four universities in Wales that offer nursing degree programmes. </w:t>
      </w:r>
      <w:r w:rsidR="002A616F"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The primary purpose of this questionnaire is to gather broad data on students' experiences, perceptions of their learning environment, and potential barriers to their education. </w:t>
      </w:r>
      <w:r w:rsidR="00625AED"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Several online questionnaire platforms are available, including Jisc Online Surveys, Qualtrics, and Google Forms, each offering varying features for questionnaire design, distribution, and data analysis (Sue </w:t>
      </w:r>
      <w:r w:rsidR="008B4420" w:rsidRPr="0054040C">
        <w:rPr>
          <w:rFonts w:ascii="Calibri" w:hAnsi="Calibri" w:cs="Calibri"/>
          <w:color w:val="0D0D0D" w:themeColor="text1" w:themeTint="F2"/>
        </w:rPr>
        <w:t>and</w:t>
      </w:r>
      <w:r w:rsidRPr="0054040C">
        <w:rPr>
          <w:rFonts w:ascii="Calibri" w:hAnsi="Calibri" w:cs="Calibri"/>
          <w:color w:val="0D0D0D" w:themeColor="text1" w:themeTint="F2"/>
        </w:rPr>
        <w:t xml:space="preserve"> Ritter, 2012</w:t>
      </w:r>
      <w:r w:rsidR="00483BA7" w:rsidRPr="0054040C">
        <w:rPr>
          <w:rFonts w:ascii="Calibri" w:hAnsi="Calibri" w:cs="Calibri"/>
          <w:color w:val="0D0D0D" w:themeColor="text1" w:themeTint="F2"/>
        </w:rPr>
        <w:t>; Wright</w:t>
      </w:r>
      <w:r w:rsidR="00F12C3B" w:rsidRPr="0054040C">
        <w:rPr>
          <w:rFonts w:ascii="Calibri" w:hAnsi="Calibri" w:cs="Calibri"/>
          <w:color w:val="0D0D0D" w:themeColor="text1" w:themeTint="F2"/>
        </w:rPr>
        <w:t>, 2005</w:t>
      </w:r>
      <w:r w:rsidRPr="0054040C">
        <w:rPr>
          <w:rFonts w:ascii="Calibri" w:hAnsi="Calibri" w:cs="Calibri"/>
          <w:color w:val="0D0D0D" w:themeColor="text1" w:themeTint="F2"/>
        </w:rPr>
        <w:t xml:space="preserve">). </w:t>
      </w:r>
      <w:r w:rsidR="008B4420" w:rsidRPr="0054040C">
        <w:rPr>
          <w:rFonts w:ascii="Calibri" w:hAnsi="Calibri" w:cs="Calibri"/>
          <w:color w:val="0D0D0D" w:themeColor="text1" w:themeTint="F2"/>
        </w:rPr>
        <w:t xml:space="preserve"> </w:t>
      </w:r>
      <w:r w:rsidRPr="0054040C">
        <w:rPr>
          <w:rFonts w:ascii="Calibri" w:hAnsi="Calibri" w:cs="Calibri"/>
          <w:color w:val="0D0D0D" w:themeColor="text1" w:themeTint="F2"/>
        </w:rPr>
        <w:t>The choice of platform will be guided by factors such as user-friendliness, data security, and analytical capabilities.</w:t>
      </w:r>
    </w:p>
    <w:p w14:paraId="175EF975" w14:textId="2415F25E"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lastRenderedPageBreak/>
        <w:t xml:space="preserve">The questionnaire will incorporate a range of question types to gather both quantitative and limited qualitative data. </w:t>
      </w:r>
      <w:r w:rsidR="004C204B" w:rsidRPr="0054040C">
        <w:rPr>
          <w:rFonts w:ascii="Calibri" w:hAnsi="Calibri" w:cs="Calibri"/>
          <w:color w:val="0D0D0D" w:themeColor="text1" w:themeTint="F2"/>
        </w:rPr>
        <w:t xml:space="preserve"> </w:t>
      </w:r>
      <w:r w:rsidRPr="0054040C">
        <w:rPr>
          <w:rFonts w:ascii="Calibri" w:hAnsi="Calibri" w:cs="Calibri"/>
          <w:color w:val="0D0D0D" w:themeColor="text1" w:themeTint="F2"/>
        </w:rPr>
        <w:t>Demographic information, including gender and the number and gender of nurse educators encountered, will be collected using closed multiple-choice questions.</w:t>
      </w:r>
      <w:r w:rsidR="004C204B"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Students' self-reported learning styles and their perceptions of the alignment between teaching activities and their preferred learning methods will be assessed using Likert scale questions</w:t>
      </w:r>
      <w:r w:rsidR="007514DC" w:rsidRPr="0054040C">
        <w:rPr>
          <w:rFonts w:ascii="Calibri" w:hAnsi="Calibri" w:cs="Calibri"/>
          <w:color w:val="0D0D0D" w:themeColor="text1" w:themeTint="F2"/>
        </w:rPr>
        <w:t>, where students will align their</w:t>
      </w:r>
      <w:r w:rsidR="00BD6592" w:rsidRPr="0054040C">
        <w:rPr>
          <w:rFonts w:ascii="Calibri" w:hAnsi="Calibri" w:cs="Calibri"/>
          <w:color w:val="0D0D0D" w:themeColor="text1" w:themeTint="F2"/>
        </w:rPr>
        <w:t xml:space="preserve"> response </w:t>
      </w:r>
      <w:r w:rsidR="00152DB1" w:rsidRPr="0054040C">
        <w:rPr>
          <w:rFonts w:ascii="Calibri" w:hAnsi="Calibri" w:cs="Calibri"/>
          <w:color w:val="0D0D0D" w:themeColor="text1" w:themeTint="F2"/>
        </w:rPr>
        <w:t>to a point on a spectrum, for example</w:t>
      </w:r>
      <w:r w:rsidR="005C6846" w:rsidRPr="0054040C">
        <w:rPr>
          <w:rFonts w:ascii="Calibri" w:hAnsi="Calibri" w:cs="Calibri"/>
          <w:color w:val="0D0D0D" w:themeColor="text1" w:themeTint="F2"/>
        </w:rPr>
        <w:t>,</w:t>
      </w:r>
      <w:r w:rsidR="00152DB1" w:rsidRPr="0054040C">
        <w:rPr>
          <w:rFonts w:ascii="Calibri" w:hAnsi="Calibri" w:cs="Calibri"/>
          <w:color w:val="0D0D0D" w:themeColor="text1" w:themeTint="F2"/>
        </w:rPr>
        <w:t xml:space="preserve"> from</w:t>
      </w:r>
      <w:r w:rsidRPr="0054040C">
        <w:rPr>
          <w:rFonts w:ascii="Calibri" w:hAnsi="Calibri" w:cs="Calibri"/>
          <w:color w:val="0D0D0D" w:themeColor="text1" w:themeTint="F2"/>
        </w:rPr>
        <w:t xml:space="preserve"> strongly agree to strongly disagree.</w:t>
      </w:r>
      <w:r w:rsidR="005C6846"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The use of Likert scales allows for the quantification of attitudes and opinions, facilitating statistical analysis and the identification of trends across a larger sample (Bryman, 2016). </w:t>
      </w:r>
      <w:r w:rsidR="005C6846" w:rsidRPr="0054040C">
        <w:rPr>
          <w:rFonts w:ascii="Calibri" w:hAnsi="Calibri" w:cs="Calibri"/>
          <w:color w:val="0D0D0D" w:themeColor="text1" w:themeTint="F2"/>
        </w:rPr>
        <w:t xml:space="preserve"> </w:t>
      </w:r>
      <w:r w:rsidR="00765CAA" w:rsidRPr="0054040C">
        <w:rPr>
          <w:rFonts w:ascii="Calibri" w:hAnsi="Calibri" w:cs="Calibri"/>
          <w:color w:val="0D0D0D" w:themeColor="text1" w:themeTint="F2"/>
        </w:rPr>
        <w:t>T</w:t>
      </w:r>
      <w:r w:rsidRPr="0054040C">
        <w:rPr>
          <w:rFonts w:ascii="Calibri" w:hAnsi="Calibri" w:cs="Calibri"/>
          <w:color w:val="0D0D0D" w:themeColor="text1" w:themeTint="F2"/>
        </w:rPr>
        <w:t>he use of Likert scales</w:t>
      </w:r>
      <w:r w:rsidR="00765CAA" w:rsidRPr="0054040C">
        <w:rPr>
          <w:rFonts w:ascii="Calibri" w:hAnsi="Calibri" w:cs="Calibri"/>
          <w:color w:val="0D0D0D" w:themeColor="text1" w:themeTint="F2"/>
        </w:rPr>
        <w:t>, however,</w:t>
      </w:r>
      <w:r w:rsidRPr="0054040C">
        <w:rPr>
          <w:rFonts w:ascii="Calibri" w:hAnsi="Calibri" w:cs="Calibri"/>
          <w:color w:val="0D0D0D" w:themeColor="text1" w:themeTint="F2"/>
        </w:rPr>
        <w:t xml:space="preserve"> is not without criticism</w:t>
      </w:r>
      <w:r w:rsidR="00765CAA" w:rsidRPr="0054040C">
        <w:rPr>
          <w:rFonts w:ascii="Calibri" w:hAnsi="Calibri" w:cs="Calibri"/>
          <w:color w:val="0D0D0D" w:themeColor="text1" w:themeTint="F2"/>
        </w:rPr>
        <w:t>; s</w:t>
      </w:r>
      <w:r w:rsidRPr="0054040C">
        <w:rPr>
          <w:rFonts w:ascii="Calibri" w:hAnsi="Calibri" w:cs="Calibri"/>
          <w:color w:val="0D0D0D" w:themeColor="text1" w:themeTint="F2"/>
        </w:rPr>
        <w:t>ome researchers</w:t>
      </w:r>
      <w:r w:rsidR="005749C1" w:rsidRPr="0054040C">
        <w:rPr>
          <w:rFonts w:ascii="Calibri" w:hAnsi="Calibri" w:cs="Calibri"/>
          <w:color w:val="0D0D0D" w:themeColor="text1" w:themeTint="F2"/>
        </w:rPr>
        <w:t xml:space="preserve"> </w:t>
      </w:r>
      <w:r w:rsidR="005749C1" w:rsidRPr="0054040C">
        <w:rPr>
          <w:rFonts w:ascii="Calibri" w:hAnsi="Calibri" w:cs="Calibri"/>
          <w:color w:val="0D0D0D" w:themeColor="text1" w:themeTint="F2"/>
        </w:rPr>
        <w:t>(B</w:t>
      </w:r>
      <w:r w:rsidR="003B6C2E" w:rsidRPr="0054040C">
        <w:rPr>
          <w:rFonts w:ascii="Calibri" w:hAnsi="Calibri" w:cs="Calibri"/>
          <w:color w:val="0D0D0D" w:themeColor="text1" w:themeTint="F2"/>
        </w:rPr>
        <w:t>ishop and Herron</w:t>
      </w:r>
      <w:r w:rsidR="000A31D3" w:rsidRPr="0054040C">
        <w:rPr>
          <w:rFonts w:ascii="Calibri" w:hAnsi="Calibri" w:cs="Calibri"/>
          <w:color w:val="0D0D0D" w:themeColor="text1" w:themeTint="F2"/>
        </w:rPr>
        <w:t>, 2015</w:t>
      </w:r>
      <w:r w:rsidR="005749C1" w:rsidRPr="0054040C">
        <w:rPr>
          <w:rFonts w:ascii="Calibri" w:hAnsi="Calibri" w:cs="Calibri"/>
          <w:color w:val="0D0D0D" w:themeColor="text1" w:themeTint="F2"/>
        </w:rPr>
        <w:t>; Fink, 2017)</w:t>
      </w:r>
      <w:r w:rsidR="005749C1" w:rsidRPr="0054040C">
        <w:rPr>
          <w:rFonts w:ascii="Calibri" w:hAnsi="Calibri" w:cs="Calibri"/>
          <w:color w:val="0D0D0D" w:themeColor="text1" w:themeTint="F2"/>
        </w:rPr>
        <w:t xml:space="preserve"> </w:t>
      </w:r>
      <w:r w:rsidRPr="0054040C">
        <w:rPr>
          <w:rFonts w:ascii="Calibri" w:hAnsi="Calibri" w:cs="Calibri"/>
          <w:color w:val="0D0D0D" w:themeColor="text1" w:themeTint="F2"/>
        </w:rPr>
        <w:t>argue that they can oversimplify complex attitudes, lack true neutrality, and be susceptible to response biases such as acquiescence bias</w:t>
      </w:r>
      <w:r w:rsidR="00171727" w:rsidRPr="0054040C">
        <w:rPr>
          <w:rFonts w:ascii="Calibri" w:hAnsi="Calibri" w:cs="Calibri"/>
          <w:color w:val="0D0D0D" w:themeColor="text1" w:themeTint="F2"/>
        </w:rPr>
        <w:t xml:space="preserve">.  </w:t>
      </w:r>
      <w:r w:rsidRPr="0054040C">
        <w:rPr>
          <w:rFonts w:ascii="Calibri" w:hAnsi="Calibri" w:cs="Calibri"/>
          <w:color w:val="0D0D0D" w:themeColor="text1" w:themeTint="F2"/>
        </w:rPr>
        <w:t>To mitigate these limitations, clear and concise question wording will be prioritised, and the inclusion of a neutral midpoint will be considered.</w:t>
      </w:r>
    </w:p>
    <w:p w14:paraId="3194B5ED" w14:textId="503FD584" w:rsidR="00691D15" w:rsidRPr="0054040C" w:rsidRDefault="005753E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w:t>
      </w:r>
      <w:r w:rsidR="00691D15" w:rsidRPr="0054040C">
        <w:rPr>
          <w:rFonts w:ascii="Calibri" w:hAnsi="Calibri" w:cs="Calibri"/>
          <w:color w:val="0D0D0D" w:themeColor="text1" w:themeTint="F2"/>
        </w:rPr>
        <w:t xml:space="preserve">he questionnaire will </w:t>
      </w:r>
      <w:r w:rsidRPr="0054040C">
        <w:rPr>
          <w:rFonts w:ascii="Calibri" w:hAnsi="Calibri" w:cs="Calibri"/>
          <w:color w:val="0D0D0D" w:themeColor="text1" w:themeTint="F2"/>
        </w:rPr>
        <w:t xml:space="preserve">also </w:t>
      </w:r>
      <w:r w:rsidR="00691D15" w:rsidRPr="0054040C">
        <w:rPr>
          <w:rFonts w:ascii="Calibri" w:hAnsi="Calibri" w:cs="Calibri"/>
          <w:color w:val="0D0D0D" w:themeColor="text1" w:themeTint="F2"/>
        </w:rPr>
        <w:t>include questions exploring students' perceptions of learning resources, specifically addressing the extent to which they agree with the assertion that nursing texts are often written by women, for women, and predominantly use feminine pronouns when referring to nurses, as suggested by the literature (</w:t>
      </w:r>
      <w:r w:rsidR="005F1272" w:rsidRPr="0054040C">
        <w:rPr>
          <w:rFonts w:ascii="Calibri" w:eastAsia="DengXian" w:hAnsi="Calibri" w:cs="Calibri"/>
          <w:color w:val="0D0D0D" w:themeColor="text1" w:themeTint="F2"/>
          <w:kern w:val="0"/>
          <w14:ligatures w14:val="none"/>
        </w:rPr>
        <w:t>Smith and Field, 2018; Story and Last, 2021</w:t>
      </w:r>
      <w:r w:rsidR="005F1272" w:rsidRPr="0054040C">
        <w:rPr>
          <w:rFonts w:ascii="Calibri" w:eastAsia="DengXian" w:hAnsi="Calibri" w:cs="Calibri"/>
          <w:color w:val="0D0D0D" w:themeColor="text1" w:themeTint="F2"/>
          <w:kern w:val="0"/>
          <w14:ligatures w14:val="none"/>
        </w:rPr>
        <w:t xml:space="preserve">; </w:t>
      </w:r>
      <w:r w:rsidR="00691D15" w:rsidRPr="0054040C">
        <w:rPr>
          <w:rFonts w:ascii="Calibri" w:hAnsi="Calibri" w:cs="Calibri"/>
          <w:color w:val="0D0D0D" w:themeColor="text1" w:themeTint="F2"/>
        </w:rPr>
        <w:t xml:space="preserve">Group </w:t>
      </w:r>
      <w:r w:rsidR="00154FB5" w:rsidRPr="0054040C">
        <w:rPr>
          <w:rFonts w:ascii="Calibri" w:hAnsi="Calibri" w:cs="Calibri"/>
          <w:color w:val="0D0D0D" w:themeColor="text1" w:themeTint="F2"/>
        </w:rPr>
        <w:t>and</w:t>
      </w:r>
      <w:r w:rsidR="00691D15" w:rsidRPr="0054040C">
        <w:rPr>
          <w:rFonts w:ascii="Calibri" w:hAnsi="Calibri" w:cs="Calibri"/>
          <w:color w:val="0D0D0D" w:themeColor="text1" w:themeTint="F2"/>
        </w:rPr>
        <w:t xml:space="preserve"> Roberts, 2001).</w:t>
      </w:r>
      <w:r w:rsidR="00B5395A" w:rsidRPr="0054040C">
        <w:rPr>
          <w:rFonts w:ascii="Calibri" w:hAnsi="Calibri" w:cs="Calibri"/>
          <w:color w:val="0D0D0D" w:themeColor="text1" w:themeTint="F2"/>
        </w:rPr>
        <w:t xml:space="preserve"> </w:t>
      </w:r>
      <w:r w:rsidR="00691D15" w:rsidRPr="0054040C">
        <w:rPr>
          <w:rFonts w:ascii="Calibri" w:hAnsi="Calibri" w:cs="Calibri"/>
          <w:color w:val="0D0D0D" w:themeColor="text1" w:themeTint="F2"/>
        </w:rPr>
        <w:t xml:space="preserve"> Questions regarding perceived barriers to learning will also be included, employing a combination of closed questions with pre-defined options and open-ended text boxes allowing students to elaborate on their experiences and provide specific examples of barriers they perceive to be related to their gender. </w:t>
      </w:r>
      <w:r w:rsidR="00B5395A" w:rsidRPr="0054040C">
        <w:rPr>
          <w:rFonts w:ascii="Calibri" w:hAnsi="Calibri" w:cs="Calibri"/>
          <w:color w:val="0D0D0D" w:themeColor="text1" w:themeTint="F2"/>
        </w:rPr>
        <w:t xml:space="preserve"> </w:t>
      </w:r>
      <w:r w:rsidR="00691D15" w:rsidRPr="0054040C">
        <w:rPr>
          <w:rFonts w:ascii="Calibri" w:hAnsi="Calibri" w:cs="Calibri"/>
          <w:color w:val="0D0D0D" w:themeColor="text1" w:themeTint="F2"/>
        </w:rPr>
        <w:t>The inclusion of these open-ended questions, although limited, will introduce a qualitative element, providing richer contextual data and potentially uncovering unanticipated themes (Bryman, 2016).</w:t>
      </w:r>
    </w:p>
    <w:p w14:paraId="31141652" w14:textId="1D2EA0CB"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Questionnaires offer several strengths, including their ability to reach a large sample size relatively efficiently and cost-effectively</w:t>
      </w:r>
      <w:r w:rsidR="000421E0" w:rsidRPr="0054040C">
        <w:rPr>
          <w:rFonts w:ascii="Calibri" w:hAnsi="Calibri" w:cs="Calibri"/>
          <w:color w:val="0D0D0D" w:themeColor="text1" w:themeTint="F2"/>
        </w:rPr>
        <w:t xml:space="preserve"> (Regmi et al.</w:t>
      </w:r>
      <w:r w:rsidR="00A7418A" w:rsidRPr="0054040C">
        <w:rPr>
          <w:rFonts w:ascii="Calibri" w:hAnsi="Calibri" w:cs="Calibri"/>
          <w:color w:val="0D0D0D" w:themeColor="text1" w:themeTint="F2"/>
        </w:rPr>
        <w:t>, 2016)</w:t>
      </w:r>
      <w:r w:rsidRPr="0054040C">
        <w:rPr>
          <w:rFonts w:ascii="Calibri" w:hAnsi="Calibri" w:cs="Calibri"/>
          <w:color w:val="0D0D0D" w:themeColor="text1" w:themeTint="F2"/>
        </w:rPr>
        <w:t>, particularly</w:t>
      </w:r>
      <w:r w:rsidR="00A7418A" w:rsidRPr="0054040C">
        <w:rPr>
          <w:rFonts w:ascii="Calibri" w:hAnsi="Calibri" w:cs="Calibri"/>
          <w:color w:val="0D0D0D" w:themeColor="text1" w:themeTint="F2"/>
        </w:rPr>
        <w:t xml:space="preserve">, advocates </w:t>
      </w:r>
      <w:r w:rsidR="00A7418A" w:rsidRPr="0054040C">
        <w:rPr>
          <w:rFonts w:ascii="Calibri" w:hAnsi="Calibri" w:cs="Calibri"/>
          <w:color w:val="0D0D0D" w:themeColor="text1" w:themeTint="F2"/>
        </w:rPr>
        <w:t>(Sue and Ritter</w:t>
      </w:r>
      <w:r w:rsidR="00A7418A" w:rsidRPr="0054040C">
        <w:rPr>
          <w:rFonts w:ascii="Calibri" w:hAnsi="Calibri" w:cs="Calibri"/>
          <w:color w:val="0D0D0D" w:themeColor="text1" w:themeTint="F2"/>
        </w:rPr>
        <w:t xml:space="preserve"> (</w:t>
      </w:r>
      <w:r w:rsidR="00A7418A" w:rsidRPr="0054040C">
        <w:rPr>
          <w:rFonts w:ascii="Calibri" w:hAnsi="Calibri" w:cs="Calibri"/>
          <w:color w:val="0D0D0D" w:themeColor="text1" w:themeTint="F2"/>
        </w:rPr>
        <w:t>2012</w:t>
      </w:r>
      <w:r w:rsidR="00A7418A" w:rsidRPr="0054040C">
        <w:rPr>
          <w:rFonts w:ascii="Calibri" w:hAnsi="Calibri" w:cs="Calibri"/>
          <w:color w:val="0D0D0D" w:themeColor="text1" w:themeTint="F2"/>
        </w:rPr>
        <w:t xml:space="preserve">), </w:t>
      </w:r>
      <w:r w:rsidRPr="0054040C">
        <w:rPr>
          <w:rFonts w:ascii="Calibri" w:hAnsi="Calibri" w:cs="Calibri"/>
          <w:color w:val="0D0D0D" w:themeColor="text1" w:themeTint="F2"/>
        </w:rPr>
        <w:t>when administered. The standardised format allows for ease of data analysis and the identification of statistically significant trends</w:t>
      </w:r>
      <w:r w:rsidR="00194174" w:rsidRPr="0054040C">
        <w:rPr>
          <w:rFonts w:ascii="Calibri" w:hAnsi="Calibri" w:cs="Calibri"/>
          <w:color w:val="0D0D0D" w:themeColor="text1" w:themeTint="F2"/>
        </w:rPr>
        <w:t xml:space="preserve"> (Regmi </w:t>
      </w:r>
      <w:r w:rsidR="00194174" w:rsidRPr="0054040C">
        <w:rPr>
          <w:rFonts w:ascii="Calibri" w:hAnsi="Calibri" w:cs="Calibri"/>
          <w:i/>
          <w:iCs/>
          <w:color w:val="0D0D0D" w:themeColor="text1" w:themeTint="F2"/>
        </w:rPr>
        <w:t>et al</w:t>
      </w:r>
      <w:r w:rsidR="00194174" w:rsidRPr="0054040C">
        <w:rPr>
          <w:rFonts w:ascii="Calibri" w:hAnsi="Calibri" w:cs="Calibri"/>
          <w:color w:val="0D0D0D" w:themeColor="text1" w:themeTint="F2"/>
        </w:rPr>
        <w:t>., 2016)</w:t>
      </w:r>
      <w:r w:rsidRPr="0054040C">
        <w:rPr>
          <w:rFonts w:ascii="Calibri" w:hAnsi="Calibri" w:cs="Calibri"/>
          <w:color w:val="0D0D0D" w:themeColor="text1" w:themeTint="F2"/>
        </w:rPr>
        <w:t>.</w:t>
      </w:r>
      <w:r w:rsidR="00817AA0"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w:t>
      </w:r>
      <w:r w:rsidR="00817AA0" w:rsidRPr="0054040C">
        <w:rPr>
          <w:rFonts w:ascii="Calibri" w:hAnsi="Calibri" w:cs="Calibri"/>
          <w:color w:val="0D0D0D" w:themeColor="text1" w:themeTint="F2"/>
        </w:rPr>
        <w:t>Q</w:t>
      </w:r>
      <w:r w:rsidRPr="0054040C">
        <w:rPr>
          <w:rFonts w:ascii="Calibri" w:hAnsi="Calibri" w:cs="Calibri"/>
          <w:color w:val="0D0D0D" w:themeColor="text1" w:themeTint="F2"/>
        </w:rPr>
        <w:t>uestionnaires</w:t>
      </w:r>
      <w:r w:rsidR="008C2EB1" w:rsidRPr="0054040C">
        <w:rPr>
          <w:rFonts w:ascii="Calibri" w:hAnsi="Calibri" w:cs="Calibri"/>
          <w:color w:val="0D0D0D" w:themeColor="text1" w:themeTint="F2"/>
        </w:rPr>
        <w:t>, however,</w:t>
      </w:r>
      <w:r w:rsidRPr="0054040C">
        <w:rPr>
          <w:rFonts w:ascii="Calibri" w:hAnsi="Calibri" w:cs="Calibri"/>
          <w:color w:val="0D0D0D" w:themeColor="text1" w:themeTint="F2"/>
        </w:rPr>
        <w:t xml:space="preserve"> also have limitations</w:t>
      </w:r>
      <w:r w:rsidR="008C2EB1" w:rsidRPr="0054040C">
        <w:rPr>
          <w:rFonts w:ascii="Calibri" w:hAnsi="Calibri" w:cs="Calibri"/>
          <w:color w:val="0D0D0D" w:themeColor="text1" w:themeTint="F2"/>
        </w:rPr>
        <w:t>; t</w:t>
      </w:r>
      <w:r w:rsidRPr="0054040C">
        <w:rPr>
          <w:rFonts w:ascii="Calibri" w:hAnsi="Calibri" w:cs="Calibri"/>
          <w:color w:val="0D0D0D" w:themeColor="text1" w:themeTint="F2"/>
        </w:rPr>
        <w:t>hey rely on self-report data, which can be subject to biases such as social desirability bias or recall bias (Fink, 20</w:t>
      </w:r>
      <w:r w:rsidR="0001121A" w:rsidRPr="0054040C">
        <w:rPr>
          <w:rFonts w:ascii="Calibri" w:hAnsi="Calibri" w:cs="Calibri"/>
          <w:color w:val="0D0D0D" w:themeColor="text1" w:themeTint="F2"/>
        </w:rPr>
        <w:t>17</w:t>
      </w:r>
      <w:r w:rsidRPr="0054040C">
        <w:rPr>
          <w:rFonts w:ascii="Calibri" w:hAnsi="Calibri" w:cs="Calibri"/>
          <w:color w:val="0D0D0D" w:themeColor="text1" w:themeTint="F2"/>
        </w:rPr>
        <w:t xml:space="preserve">). </w:t>
      </w:r>
      <w:r w:rsidR="008C2EB1" w:rsidRPr="0054040C">
        <w:rPr>
          <w:rFonts w:ascii="Calibri" w:hAnsi="Calibri" w:cs="Calibri"/>
          <w:color w:val="0D0D0D" w:themeColor="text1" w:themeTint="F2"/>
        </w:rPr>
        <w:t xml:space="preserve"> </w:t>
      </w:r>
      <w:r w:rsidRPr="0054040C">
        <w:rPr>
          <w:rFonts w:ascii="Calibri" w:hAnsi="Calibri" w:cs="Calibri"/>
          <w:color w:val="0D0D0D" w:themeColor="text1" w:themeTint="F2"/>
        </w:rPr>
        <w:t>The structured nature of closed questions may</w:t>
      </w:r>
      <w:r w:rsidR="006A458F" w:rsidRPr="0054040C">
        <w:rPr>
          <w:rFonts w:ascii="Calibri" w:hAnsi="Calibri" w:cs="Calibri"/>
          <w:color w:val="0D0D0D" w:themeColor="text1" w:themeTint="F2"/>
        </w:rPr>
        <w:t>, suggests</w:t>
      </w:r>
      <w:r w:rsidR="00850E2A" w:rsidRPr="0054040C">
        <w:rPr>
          <w:rFonts w:ascii="Calibri" w:hAnsi="Calibri" w:cs="Calibri"/>
          <w:color w:val="0D0D0D" w:themeColor="text1" w:themeTint="F2"/>
        </w:rPr>
        <w:t xml:space="preserve"> Ponto (2015),</w:t>
      </w:r>
      <w:r w:rsidRPr="0054040C">
        <w:rPr>
          <w:rFonts w:ascii="Calibri" w:hAnsi="Calibri" w:cs="Calibri"/>
          <w:color w:val="0D0D0D" w:themeColor="text1" w:themeTint="F2"/>
        </w:rPr>
        <w:t xml:space="preserve"> limit the depth and richness of the data collected, </w:t>
      </w:r>
      <w:r w:rsidRPr="0054040C">
        <w:rPr>
          <w:rFonts w:ascii="Calibri" w:hAnsi="Calibri" w:cs="Calibri"/>
          <w:color w:val="0D0D0D" w:themeColor="text1" w:themeTint="F2"/>
        </w:rPr>
        <w:lastRenderedPageBreak/>
        <w:t>potentially failing to capture the nuances of individual experiences.</w:t>
      </w:r>
      <w:r w:rsidR="00BF52FB"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While the inclusion of open-ended questions can address this to some extent, the level of detail provided is often limited compared to in-depth interviews (</w:t>
      </w:r>
      <w:r w:rsidR="00D349D3" w:rsidRPr="0054040C">
        <w:rPr>
          <w:rFonts w:ascii="Calibri" w:hAnsi="Calibri" w:cs="Calibri"/>
          <w:color w:val="0D0D0D" w:themeColor="text1" w:themeTint="F2"/>
        </w:rPr>
        <w:t xml:space="preserve">Shreejesh </w:t>
      </w:r>
      <w:r w:rsidR="00D349D3" w:rsidRPr="0054040C">
        <w:rPr>
          <w:rFonts w:ascii="Calibri" w:hAnsi="Calibri" w:cs="Calibri"/>
          <w:i/>
          <w:iCs/>
          <w:color w:val="0D0D0D" w:themeColor="text1" w:themeTint="F2"/>
        </w:rPr>
        <w:t xml:space="preserve">et al., </w:t>
      </w:r>
      <w:r w:rsidR="00D349D3" w:rsidRPr="0054040C">
        <w:rPr>
          <w:rFonts w:ascii="Calibri" w:hAnsi="Calibri" w:cs="Calibri"/>
          <w:color w:val="0D0D0D" w:themeColor="text1" w:themeTint="F2"/>
        </w:rPr>
        <w:t>2014; Jeager and Cardello</w:t>
      </w:r>
      <w:r w:rsidR="00486981" w:rsidRPr="0054040C">
        <w:rPr>
          <w:rFonts w:ascii="Calibri" w:hAnsi="Calibri" w:cs="Calibri"/>
          <w:color w:val="0D0D0D" w:themeColor="text1" w:themeTint="F2"/>
        </w:rPr>
        <w:t>, 2022</w:t>
      </w:r>
      <w:r w:rsidRPr="0054040C">
        <w:rPr>
          <w:rFonts w:ascii="Calibri" w:hAnsi="Calibri" w:cs="Calibri"/>
          <w:color w:val="0D0D0D" w:themeColor="text1" w:themeTint="F2"/>
        </w:rPr>
        <w:t>).</w:t>
      </w:r>
    </w:p>
    <w:p w14:paraId="6AA91DBB" w14:textId="6ADF02EA" w:rsidR="00691D15" w:rsidRPr="0054040C" w:rsidRDefault="00B5235D" w:rsidP="0054040C">
      <w:pPr>
        <w:spacing w:line="360" w:lineRule="auto"/>
        <w:rPr>
          <w:rFonts w:ascii="Calibri" w:hAnsi="Calibri" w:cs="Calibri"/>
          <w:color w:val="0D0D0D" w:themeColor="text1" w:themeTint="F2"/>
        </w:rPr>
      </w:pPr>
      <w:r w:rsidRPr="0054040C">
        <w:rPr>
          <w:rFonts w:ascii="Calibri" w:hAnsi="Calibri" w:cs="Calibri"/>
          <w:b/>
          <w:bCs/>
          <w:color w:val="0D0D0D" w:themeColor="text1" w:themeTint="F2"/>
        </w:rPr>
        <w:t xml:space="preserve">Method </w:t>
      </w:r>
      <w:r w:rsidR="00856515" w:rsidRPr="0054040C">
        <w:rPr>
          <w:rFonts w:ascii="Calibri" w:hAnsi="Calibri" w:cs="Calibri"/>
          <w:b/>
          <w:bCs/>
          <w:color w:val="0D0D0D" w:themeColor="text1" w:themeTint="F2"/>
        </w:rPr>
        <w:t xml:space="preserve">Two - </w:t>
      </w:r>
      <w:r w:rsidR="00691D15" w:rsidRPr="0054040C">
        <w:rPr>
          <w:rFonts w:ascii="Calibri" w:hAnsi="Calibri" w:cs="Calibri"/>
          <w:b/>
          <w:bCs/>
          <w:color w:val="0D0D0D" w:themeColor="text1" w:themeTint="F2"/>
        </w:rPr>
        <w:t>Semi-Structured Interviews</w:t>
      </w:r>
    </w:p>
    <w:p w14:paraId="74E675E2" w14:textId="434325E7"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Semi-structured interviews will be conducted with a sample of nursing students</w:t>
      </w:r>
      <w:r w:rsidR="00BD2EEF" w:rsidRPr="0054040C">
        <w:rPr>
          <w:rFonts w:ascii="Calibri" w:hAnsi="Calibri" w:cs="Calibri"/>
          <w:color w:val="0D0D0D" w:themeColor="text1" w:themeTint="F2"/>
        </w:rPr>
        <w:t xml:space="preserve">, </w:t>
      </w:r>
      <w:r w:rsidRPr="0054040C">
        <w:rPr>
          <w:rFonts w:ascii="Calibri" w:hAnsi="Calibri" w:cs="Calibri"/>
          <w:color w:val="0D0D0D" w:themeColor="text1" w:themeTint="F2"/>
        </w:rPr>
        <w:t>both male and female</w:t>
      </w:r>
      <w:r w:rsidR="00BD2EEF" w:rsidRPr="0054040C">
        <w:rPr>
          <w:rFonts w:ascii="Calibri" w:hAnsi="Calibri" w:cs="Calibri"/>
          <w:color w:val="0D0D0D" w:themeColor="text1" w:themeTint="F2"/>
        </w:rPr>
        <w:t>,</w:t>
      </w:r>
      <w:r w:rsidRPr="0054040C">
        <w:rPr>
          <w:rFonts w:ascii="Calibri" w:hAnsi="Calibri" w:cs="Calibri"/>
          <w:color w:val="0D0D0D" w:themeColor="text1" w:themeTint="F2"/>
        </w:rPr>
        <w:t xml:space="preserve"> and nurse educators</w:t>
      </w:r>
      <w:r w:rsidR="00BD2EEF" w:rsidRPr="0054040C">
        <w:rPr>
          <w:rFonts w:ascii="Calibri" w:hAnsi="Calibri" w:cs="Calibri"/>
          <w:color w:val="0D0D0D" w:themeColor="text1" w:themeTint="F2"/>
        </w:rPr>
        <w:t xml:space="preserve">, </w:t>
      </w:r>
      <w:r w:rsidRPr="0054040C">
        <w:rPr>
          <w:rFonts w:ascii="Calibri" w:hAnsi="Calibri" w:cs="Calibri"/>
          <w:color w:val="0D0D0D" w:themeColor="text1" w:themeTint="F2"/>
        </w:rPr>
        <w:t>both male and female</w:t>
      </w:r>
      <w:r w:rsidR="00BD2EEF" w:rsidRPr="0054040C">
        <w:rPr>
          <w:rFonts w:ascii="Calibri" w:hAnsi="Calibri" w:cs="Calibri"/>
          <w:color w:val="0D0D0D" w:themeColor="text1" w:themeTint="F2"/>
        </w:rPr>
        <w:t>,</w:t>
      </w:r>
      <w:r w:rsidRPr="0054040C">
        <w:rPr>
          <w:rFonts w:ascii="Calibri" w:hAnsi="Calibri" w:cs="Calibri"/>
          <w:color w:val="0D0D0D" w:themeColor="text1" w:themeTint="F2"/>
        </w:rPr>
        <w:t xml:space="preserve"> from the four participating universities in Wales. </w:t>
      </w:r>
      <w:r w:rsidR="001F7CF3"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The aim of these interviews is to gain a deeper understanding of their perspectives, experiences, and perceptions related to the research questions. </w:t>
      </w:r>
      <w:r w:rsidR="001F7CF3"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The semi-structured format involves the use of an interview guide with a core set of open-ended questions, allowing for flexibility and the exploration of emergent themes based on the participants' responses (Brinkmann </w:t>
      </w:r>
      <w:r w:rsidR="001F7CF3" w:rsidRPr="0054040C">
        <w:rPr>
          <w:rFonts w:ascii="Calibri" w:hAnsi="Calibri" w:cs="Calibri"/>
          <w:color w:val="0D0D0D" w:themeColor="text1" w:themeTint="F2"/>
        </w:rPr>
        <w:t>and</w:t>
      </w:r>
      <w:r w:rsidRPr="0054040C">
        <w:rPr>
          <w:rFonts w:ascii="Calibri" w:hAnsi="Calibri" w:cs="Calibri"/>
          <w:color w:val="0D0D0D" w:themeColor="text1" w:themeTint="F2"/>
        </w:rPr>
        <w:t xml:space="preserve"> Kvale, 2018).</w:t>
      </w:r>
    </w:p>
    <w:p w14:paraId="48454EF8" w14:textId="65CBE16A"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 xml:space="preserve">Student nurse interviews will explore their experiences of barriers to learning, their perceptions of gender dynamics within their education, their motivations for choosing nursing, and any factors they perceive as contributing to male attrition. </w:t>
      </w:r>
      <w:r w:rsidR="004A7B99" w:rsidRPr="0054040C">
        <w:rPr>
          <w:rFonts w:ascii="Calibri" w:hAnsi="Calibri" w:cs="Calibri"/>
          <w:color w:val="0D0D0D" w:themeColor="text1" w:themeTint="F2"/>
        </w:rPr>
        <w:t xml:space="preserve"> </w:t>
      </w:r>
      <w:r w:rsidRPr="0054040C">
        <w:rPr>
          <w:rFonts w:ascii="Calibri" w:hAnsi="Calibri" w:cs="Calibri"/>
          <w:color w:val="0D0D0D" w:themeColor="text1" w:themeTint="F2"/>
        </w:rPr>
        <w:t>Nurse educator interviews will aim to ascertain their views on the availability and inclusivity of current learning resources, their perspectives on the recruitment and retention of male students, and any strategies they believe could be effective in addressing the gender imbalance.</w:t>
      </w:r>
    </w:p>
    <w:p w14:paraId="25F36147" w14:textId="7DFFB820"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 xml:space="preserve">While aiming for an equal number of male and female participants for both student and educator interviews, the inherently lower number of male nursing students and educators may necessitate a degree of convenience sampling. </w:t>
      </w:r>
      <w:r w:rsidR="000E3C8A"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For student interviews, a box will be included in the online questionnaire for students to indicate their willingness to be contacted for a follow-up interview. </w:t>
      </w:r>
      <w:r w:rsidR="00A227E8"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This approach, while practical for recruitment, introduces a potential self-selection bias, as those who volunteer may have particularly strong opinions or experiences (Bryman, 2016). </w:t>
      </w:r>
      <w:r w:rsidR="00AD6208" w:rsidRPr="0054040C">
        <w:rPr>
          <w:rFonts w:ascii="Calibri" w:hAnsi="Calibri" w:cs="Calibri"/>
          <w:color w:val="0D0D0D" w:themeColor="text1" w:themeTint="F2"/>
        </w:rPr>
        <w:t xml:space="preserve"> </w:t>
      </w:r>
      <w:r w:rsidRPr="0054040C">
        <w:rPr>
          <w:rFonts w:ascii="Calibri" w:hAnsi="Calibri" w:cs="Calibri"/>
          <w:color w:val="0D0D0D" w:themeColor="text1" w:themeTint="F2"/>
        </w:rPr>
        <w:t>For nurse educators, an email invitation will be sent to all nursing faculty within the four universities, and participation will be voluntary</w:t>
      </w:r>
      <w:r w:rsidR="00AD6208" w:rsidRPr="0054040C">
        <w:rPr>
          <w:rFonts w:ascii="Calibri" w:hAnsi="Calibri" w:cs="Calibri"/>
          <w:color w:val="0D0D0D" w:themeColor="text1" w:themeTint="F2"/>
        </w:rPr>
        <w:t>; a</w:t>
      </w:r>
      <w:r w:rsidRPr="0054040C">
        <w:rPr>
          <w:rFonts w:ascii="Calibri" w:hAnsi="Calibri" w:cs="Calibri"/>
          <w:color w:val="0D0D0D" w:themeColor="text1" w:themeTint="F2"/>
        </w:rPr>
        <w:t xml:space="preserve">gain, this relies on self-selection. </w:t>
      </w:r>
      <w:r w:rsidR="00AD6208" w:rsidRPr="0054040C">
        <w:rPr>
          <w:rFonts w:ascii="Calibri" w:hAnsi="Calibri" w:cs="Calibri"/>
          <w:color w:val="0D0D0D" w:themeColor="text1" w:themeTint="F2"/>
        </w:rPr>
        <w:t xml:space="preserve"> </w:t>
      </w:r>
      <w:r w:rsidRPr="0054040C">
        <w:rPr>
          <w:rFonts w:ascii="Calibri" w:hAnsi="Calibri" w:cs="Calibri"/>
          <w:color w:val="0D0D0D" w:themeColor="text1" w:themeTint="F2"/>
        </w:rPr>
        <w:t>To mitigate the limitations of convenience sampling, efforts will be made to recruit a diverse range of participants in terms of age, branch of nursing, and years of experience (Patton, 2015).</w:t>
      </w:r>
    </w:p>
    <w:p w14:paraId="04E7AAD3" w14:textId="0C9EC7C6"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structured interviews offer the strength of allowing for in-depth exploration of participants' perspectives and experiences</w:t>
      </w:r>
      <w:r w:rsidR="00521136" w:rsidRPr="0054040C">
        <w:rPr>
          <w:rFonts w:ascii="Calibri" w:hAnsi="Calibri" w:cs="Calibri"/>
          <w:color w:val="0D0D0D" w:themeColor="text1" w:themeTint="F2"/>
        </w:rPr>
        <w:t xml:space="preserve"> (Mashuri </w:t>
      </w:r>
      <w:r w:rsidR="00521136" w:rsidRPr="0054040C">
        <w:rPr>
          <w:rFonts w:ascii="Calibri" w:hAnsi="Calibri" w:cs="Calibri"/>
          <w:i/>
          <w:iCs/>
          <w:color w:val="0D0D0D" w:themeColor="text1" w:themeTint="F2"/>
        </w:rPr>
        <w:t>et al</w:t>
      </w:r>
      <w:r w:rsidR="00521136" w:rsidRPr="0054040C">
        <w:rPr>
          <w:rFonts w:ascii="Calibri" w:hAnsi="Calibri" w:cs="Calibri"/>
          <w:color w:val="0D0D0D" w:themeColor="text1" w:themeTint="F2"/>
        </w:rPr>
        <w:t>., 2022)</w:t>
      </w:r>
      <w:r w:rsidRPr="0054040C">
        <w:rPr>
          <w:rFonts w:ascii="Calibri" w:hAnsi="Calibri" w:cs="Calibri"/>
          <w:color w:val="0D0D0D" w:themeColor="text1" w:themeTint="F2"/>
        </w:rPr>
        <w:t xml:space="preserve">, providing rich and nuanced qualitative </w:t>
      </w:r>
      <w:r w:rsidRPr="0054040C">
        <w:rPr>
          <w:rFonts w:ascii="Calibri" w:hAnsi="Calibri" w:cs="Calibri"/>
          <w:color w:val="0D0D0D" w:themeColor="text1" w:themeTint="F2"/>
        </w:rPr>
        <w:lastRenderedPageBreak/>
        <w:t xml:space="preserve">data (Brinkmann </w:t>
      </w:r>
      <w:r w:rsidR="00B84C4E" w:rsidRPr="0054040C">
        <w:rPr>
          <w:rFonts w:ascii="Calibri" w:hAnsi="Calibri" w:cs="Calibri"/>
          <w:color w:val="0D0D0D" w:themeColor="text1" w:themeTint="F2"/>
        </w:rPr>
        <w:t>and</w:t>
      </w:r>
      <w:r w:rsidRPr="0054040C">
        <w:rPr>
          <w:rFonts w:ascii="Calibri" w:hAnsi="Calibri" w:cs="Calibri"/>
          <w:color w:val="0D0D0D" w:themeColor="text1" w:themeTint="F2"/>
        </w:rPr>
        <w:t xml:space="preserve"> Kvale, 2018). </w:t>
      </w:r>
      <w:r w:rsidR="006A28FE" w:rsidRPr="0054040C">
        <w:rPr>
          <w:rFonts w:ascii="Calibri" w:hAnsi="Calibri" w:cs="Calibri"/>
          <w:color w:val="0D0D0D" w:themeColor="text1" w:themeTint="F2"/>
        </w:rPr>
        <w:t xml:space="preserve"> </w:t>
      </w:r>
      <w:r w:rsidRPr="0054040C">
        <w:rPr>
          <w:rFonts w:ascii="Calibri" w:hAnsi="Calibri" w:cs="Calibri"/>
          <w:color w:val="0D0D0D" w:themeColor="text1" w:themeTint="F2"/>
        </w:rPr>
        <w:t>The flexibility of the interview guide allows the researcher to probe further into interesting or unexpected responses</w:t>
      </w:r>
      <w:r w:rsidR="008900CF" w:rsidRPr="0054040C">
        <w:rPr>
          <w:rFonts w:ascii="Calibri" w:hAnsi="Calibri" w:cs="Calibri"/>
          <w:color w:val="0D0D0D" w:themeColor="text1" w:themeTint="F2"/>
        </w:rPr>
        <w:t xml:space="preserve"> </w:t>
      </w:r>
      <w:r w:rsidR="00B20B96" w:rsidRPr="0054040C">
        <w:rPr>
          <w:rFonts w:ascii="Calibri" w:hAnsi="Calibri" w:cs="Calibri"/>
          <w:color w:val="0D0D0D" w:themeColor="text1" w:themeTint="F2"/>
        </w:rPr>
        <w:t>(DeJonckheere and Vaughn, 2019)</w:t>
      </w:r>
      <w:r w:rsidRPr="0054040C">
        <w:rPr>
          <w:rFonts w:ascii="Calibri" w:hAnsi="Calibri" w:cs="Calibri"/>
          <w:color w:val="0D0D0D" w:themeColor="text1" w:themeTint="F2"/>
        </w:rPr>
        <w:t xml:space="preserve">, potentially uncovering valuable insights that might be missed in a structured questionnaire. </w:t>
      </w:r>
      <w:r w:rsidR="00040A78" w:rsidRPr="0054040C">
        <w:rPr>
          <w:rFonts w:ascii="Calibri" w:hAnsi="Calibri" w:cs="Calibri"/>
          <w:color w:val="0D0D0D" w:themeColor="text1" w:themeTint="F2"/>
        </w:rPr>
        <w:t xml:space="preserve"> I</w:t>
      </w:r>
      <w:r w:rsidRPr="0054040C">
        <w:rPr>
          <w:rFonts w:ascii="Calibri" w:hAnsi="Calibri" w:cs="Calibri"/>
          <w:color w:val="0D0D0D" w:themeColor="text1" w:themeTint="F2"/>
        </w:rPr>
        <w:t>nterviews</w:t>
      </w:r>
      <w:r w:rsidR="00D45EA1" w:rsidRPr="0054040C">
        <w:rPr>
          <w:rFonts w:ascii="Calibri" w:hAnsi="Calibri" w:cs="Calibri"/>
          <w:color w:val="0D0D0D" w:themeColor="text1" w:themeTint="F2"/>
        </w:rPr>
        <w:t>, however,</w:t>
      </w:r>
      <w:r w:rsidRPr="0054040C">
        <w:rPr>
          <w:rFonts w:ascii="Calibri" w:hAnsi="Calibri" w:cs="Calibri"/>
          <w:color w:val="0D0D0D" w:themeColor="text1" w:themeTint="F2"/>
        </w:rPr>
        <w:t xml:space="preserve"> </w:t>
      </w:r>
      <w:r w:rsidR="00E37037" w:rsidRPr="0054040C">
        <w:rPr>
          <w:rFonts w:ascii="Calibri" w:hAnsi="Calibri" w:cs="Calibri"/>
          <w:color w:val="0D0D0D" w:themeColor="text1" w:themeTint="F2"/>
        </w:rPr>
        <w:t xml:space="preserve">reports </w:t>
      </w:r>
      <w:r w:rsidR="002C07A8" w:rsidRPr="0054040C">
        <w:rPr>
          <w:rFonts w:ascii="Calibri" w:hAnsi="Calibri" w:cs="Calibri"/>
          <w:color w:val="0D0D0D" w:themeColor="text1" w:themeTint="F2"/>
        </w:rPr>
        <w:t>Bearman (</w:t>
      </w:r>
      <w:r w:rsidR="00E37037" w:rsidRPr="0054040C">
        <w:rPr>
          <w:rFonts w:ascii="Calibri" w:hAnsi="Calibri" w:cs="Calibri"/>
          <w:color w:val="0D0D0D" w:themeColor="text1" w:themeTint="F2"/>
        </w:rPr>
        <w:t xml:space="preserve">2019), </w:t>
      </w:r>
      <w:r w:rsidRPr="0054040C">
        <w:rPr>
          <w:rFonts w:ascii="Calibri" w:hAnsi="Calibri" w:cs="Calibri"/>
          <w:color w:val="0D0D0D" w:themeColor="text1" w:themeTint="F2"/>
        </w:rPr>
        <w:t xml:space="preserve">are time-consuming to conduct and transcribe, and the data analysis can be complex and labour-intensive (Bryman, 2016). </w:t>
      </w:r>
      <w:r w:rsidR="00D45EA1"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The interaction between the interviewer and the interviewee can also introduce interviewer bias, where the interviewer's behaviour or questioning style unintentionally influences the participant's responses (Rubin </w:t>
      </w:r>
      <w:r w:rsidR="00A147C7" w:rsidRPr="0054040C">
        <w:rPr>
          <w:rFonts w:ascii="Calibri" w:hAnsi="Calibri" w:cs="Calibri"/>
          <w:color w:val="0D0D0D" w:themeColor="text1" w:themeTint="F2"/>
        </w:rPr>
        <w:t>and</w:t>
      </w:r>
      <w:r w:rsidRPr="0054040C">
        <w:rPr>
          <w:rFonts w:ascii="Calibri" w:hAnsi="Calibri" w:cs="Calibri"/>
          <w:color w:val="0D0D0D" w:themeColor="text1" w:themeTint="F2"/>
        </w:rPr>
        <w:t xml:space="preserve"> Rubin, 2012).</w:t>
      </w:r>
      <w:r w:rsidR="00A147C7"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To minimise this, reflexivity will be employed throughout the data collection and analysis process.</w:t>
      </w:r>
    </w:p>
    <w:p w14:paraId="1EFA857D" w14:textId="7DFDBC3C" w:rsidR="00AC7279" w:rsidRPr="0054040C" w:rsidRDefault="00132187"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Employing the use of a mixed methods approach</w:t>
      </w:r>
      <w:r w:rsidR="00D0584C" w:rsidRPr="0054040C">
        <w:rPr>
          <w:rFonts w:ascii="Calibri" w:hAnsi="Calibri" w:cs="Calibri"/>
          <w:color w:val="0D0D0D" w:themeColor="text1" w:themeTint="F2"/>
        </w:rPr>
        <w:t xml:space="preserve"> with t</w:t>
      </w:r>
      <w:r w:rsidR="00AC7279" w:rsidRPr="0054040C">
        <w:rPr>
          <w:rFonts w:ascii="Calibri" w:hAnsi="Calibri" w:cs="Calibri"/>
          <w:color w:val="0D0D0D" w:themeColor="text1" w:themeTint="F2"/>
        </w:rPr>
        <w:t xml:space="preserve">he integration of these data sources, as advocated by Creswell and Plano Clark (2017), will be crucial for triangulation, providing a more robust and nuanced understanding of the research problem. </w:t>
      </w:r>
      <w:r w:rsidR="00D0584C" w:rsidRPr="0054040C">
        <w:rPr>
          <w:rFonts w:ascii="Calibri" w:hAnsi="Calibri" w:cs="Calibri"/>
          <w:color w:val="0D0D0D" w:themeColor="text1" w:themeTint="F2"/>
        </w:rPr>
        <w:t xml:space="preserve"> </w:t>
      </w:r>
      <w:r w:rsidR="00AC7279" w:rsidRPr="0054040C">
        <w:rPr>
          <w:rFonts w:ascii="Calibri" w:hAnsi="Calibri" w:cs="Calibri"/>
          <w:color w:val="0D0D0D" w:themeColor="text1" w:themeTint="F2"/>
        </w:rPr>
        <w:t>For example, quantitative data on attrition rates can be contextualised and explained by the qualitative accounts of male students' experiences of bias or lack of support.</w:t>
      </w:r>
    </w:p>
    <w:p w14:paraId="469125D0" w14:textId="77777777" w:rsidR="00691D15" w:rsidRPr="0054040C" w:rsidRDefault="00691D15" w:rsidP="0054040C">
      <w:pPr>
        <w:spacing w:line="360" w:lineRule="auto"/>
        <w:rPr>
          <w:rFonts w:ascii="Calibri" w:hAnsi="Calibri" w:cs="Calibri"/>
          <w:color w:val="0D0D0D" w:themeColor="text1" w:themeTint="F2"/>
        </w:rPr>
      </w:pPr>
      <w:r w:rsidRPr="0054040C">
        <w:rPr>
          <w:rFonts w:ascii="Calibri" w:hAnsi="Calibri" w:cs="Calibri"/>
          <w:b/>
          <w:bCs/>
          <w:color w:val="0D0D0D" w:themeColor="text1" w:themeTint="F2"/>
        </w:rPr>
        <w:t>Ethical Considerations</w:t>
      </w:r>
    </w:p>
    <w:p w14:paraId="6B8D2159" w14:textId="17847317" w:rsidR="00AE61CF" w:rsidRPr="00AE61CF" w:rsidRDefault="00AE61CF" w:rsidP="0054040C">
      <w:pPr>
        <w:spacing w:line="360" w:lineRule="auto"/>
        <w:rPr>
          <w:rFonts w:ascii="Calibri" w:hAnsi="Calibri" w:cs="Calibri"/>
          <w:color w:val="0D0D0D" w:themeColor="text1" w:themeTint="F2"/>
        </w:rPr>
      </w:pPr>
      <w:r w:rsidRPr="00AE61CF">
        <w:rPr>
          <w:rFonts w:ascii="Calibri" w:hAnsi="Calibri" w:cs="Calibri"/>
          <w:color w:val="0D0D0D" w:themeColor="text1" w:themeTint="F2"/>
        </w:rPr>
        <w:t xml:space="preserve">Ethical considerations are paramount for this research, necessitating approval from the relevant University ethics committee and the ethics boards of the four participating universities prior to data collection. </w:t>
      </w:r>
      <w:r w:rsidR="00BB728E" w:rsidRPr="0054040C">
        <w:rPr>
          <w:rFonts w:ascii="Calibri" w:hAnsi="Calibri" w:cs="Calibri"/>
          <w:color w:val="0D0D0D" w:themeColor="text1" w:themeTint="F2"/>
        </w:rPr>
        <w:t xml:space="preserve"> </w:t>
      </w:r>
      <w:r w:rsidRPr="00AE61CF">
        <w:rPr>
          <w:rFonts w:ascii="Calibri" w:hAnsi="Calibri" w:cs="Calibri"/>
          <w:color w:val="0D0D0D" w:themeColor="text1" w:themeTint="F2"/>
        </w:rPr>
        <w:t>Providing a comprehensive information leaflet via email to all prospective participants, as mandated by ethical guidelines (British Educational Research Association, 20</w:t>
      </w:r>
      <w:r w:rsidR="00C12F22" w:rsidRPr="0054040C">
        <w:rPr>
          <w:rFonts w:ascii="Calibri" w:hAnsi="Calibri" w:cs="Calibri"/>
          <w:color w:val="0D0D0D" w:themeColor="text1" w:themeTint="F2"/>
        </w:rPr>
        <w:t>24</w:t>
      </w:r>
      <w:r w:rsidRPr="00AE61CF">
        <w:rPr>
          <w:rFonts w:ascii="Calibri" w:hAnsi="Calibri" w:cs="Calibri"/>
          <w:color w:val="0D0D0D" w:themeColor="text1" w:themeTint="F2"/>
        </w:rPr>
        <w:t xml:space="preserve">), </w:t>
      </w:r>
      <w:r w:rsidR="00A4298F" w:rsidRPr="0054040C">
        <w:rPr>
          <w:rFonts w:ascii="Calibri" w:hAnsi="Calibri" w:cs="Calibri"/>
          <w:color w:val="0D0D0D" w:themeColor="text1" w:themeTint="F2"/>
        </w:rPr>
        <w:t>will be</w:t>
      </w:r>
      <w:r w:rsidRPr="00AE61CF">
        <w:rPr>
          <w:rFonts w:ascii="Calibri" w:hAnsi="Calibri" w:cs="Calibri"/>
          <w:color w:val="0D0D0D" w:themeColor="text1" w:themeTint="F2"/>
        </w:rPr>
        <w:t xml:space="preserve"> crucial for ensuring informed consent. </w:t>
      </w:r>
      <w:r w:rsidR="00BB728E" w:rsidRPr="0054040C">
        <w:rPr>
          <w:rFonts w:ascii="Calibri" w:hAnsi="Calibri" w:cs="Calibri"/>
          <w:color w:val="0D0D0D" w:themeColor="text1" w:themeTint="F2"/>
        </w:rPr>
        <w:t xml:space="preserve"> </w:t>
      </w:r>
      <w:r w:rsidRPr="00AE61CF">
        <w:rPr>
          <w:rFonts w:ascii="Calibri" w:hAnsi="Calibri" w:cs="Calibri"/>
          <w:color w:val="0D0D0D" w:themeColor="text1" w:themeTint="F2"/>
        </w:rPr>
        <w:t xml:space="preserve">Clearly outlining the study's purpose, procedures, potential risks and benefits, and participants' rights </w:t>
      </w:r>
      <w:r w:rsidR="00A4298F" w:rsidRPr="0054040C">
        <w:rPr>
          <w:rFonts w:ascii="Calibri" w:hAnsi="Calibri" w:cs="Calibri"/>
          <w:color w:val="0D0D0D" w:themeColor="text1" w:themeTint="F2"/>
        </w:rPr>
        <w:t xml:space="preserve">will </w:t>
      </w:r>
      <w:r w:rsidRPr="00AE61CF">
        <w:rPr>
          <w:rFonts w:ascii="Calibri" w:hAnsi="Calibri" w:cs="Calibri"/>
          <w:color w:val="0D0D0D" w:themeColor="text1" w:themeTint="F2"/>
        </w:rPr>
        <w:t xml:space="preserve">empower </w:t>
      </w:r>
      <w:r w:rsidR="00A4298F" w:rsidRPr="0054040C">
        <w:rPr>
          <w:rFonts w:ascii="Calibri" w:hAnsi="Calibri" w:cs="Calibri"/>
          <w:color w:val="0D0D0D" w:themeColor="text1" w:themeTint="F2"/>
        </w:rPr>
        <w:t>students and educators</w:t>
      </w:r>
      <w:r w:rsidRPr="00AE61CF">
        <w:rPr>
          <w:rFonts w:ascii="Calibri" w:hAnsi="Calibri" w:cs="Calibri"/>
          <w:color w:val="0D0D0D" w:themeColor="text1" w:themeTint="F2"/>
        </w:rPr>
        <w:t xml:space="preserve"> to make autonomous decisions about their involvement (Beauchamp </w:t>
      </w:r>
      <w:r w:rsidR="003728C9" w:rsidRPr="0054040C">
        <w:rPr>
          <w:rFonts w:ascii="Calibri" w:hAnsi="Calibri" w:cs="Calibri"/>
          <w:color w:val="0D0D0D" w:themeColor="text1" w:themeTint="F2"/>
        </w:rPr>
        <w:t>and</w:t>
      </w:r>
      <w:r w:rsidRPr="00AE61CF">
        <w:rPr>
          <w:rFonts w:ascii="Calibri" w:hAnsi="Calibri" w:cs="Calibri"/>
          <w:color w:val="0D0D0D" w:themeColor="text1" w:themeTint="F2"/>
        </w:rPr>
        <w:t xml:space="preserve"> Childress, 2019). </w:t>
      </w:r>
      <w:r w:rsidR="00A4298F" w:rsidRPr="0054040C">
        <w:rPr>
          <w:rFonts w:ascii="Calibri" w:hAnsi="Calibri" w:cs="Calibri"/>
          <w:color w:val="0D0D0D" w:themeColor="text1" w:themeTint="F2"/>
        </w:rPr>
        <w:t xml:space="preserve"> </w:t>
      </w:r>
      <w:r w:rsidRPr="00AE61CF">
        <w:rPr>
          <w:rFonts w:ascii="Calibri" w:hAnsi="Calibri" w:cs="Calibri"/>
          <w:color w:val="0D0D0D" w:themeColor="text1" w:themeTint="F2"/>
        </w:rPr>
        <w:t>While active consent through signed forms for interviews and an explicit "next" click for questionnaires aims to respect autonomy</w:t>
      </w:r>
      <w:r w:rsidR="006A0C58" w:rsidRPr="0054040C">
        <w:rPr>
          <w:rFonts w:ascii="Calibri" w:hAnsi="Calibri" w:cs="Calibri"/>
          <w:color w:val="0D0D0D" w:themeColor="text1" w:themeTint="F2"/>
        </w:rPr>
        <w:t xml:space="preserve"> of the participants</w:t>
      </w:r>
      <w:r w:rsidRPr="00AE61CF">
        <w:rPr>
          <w:rFonts w:ascii="Calibri" w:hAnsi="Calibri" w:cs="Calibri"/>
          <w:color w:val="0D0D0D" w:themeColor="text1" w:themeTint="F2"/>
        </w:rPr>
        <w:t xml:space="preserve">, challenges </w:t>
      </w:r>
      <w:r w:rsidR="006A0C58" w:rsidRPr="0054040C">
        <w:rPr>
          <w:rFonts w:ascii="Calibri" w:hAnsi="Calibri" w:cs="Calibri"/>
          <w:color w:val="0D0D0D" w:themeColor="text1" w:themeTint="F2"/>
        </w:rPr>
        <w:t>may</w:t>
      </w:r>
      <w:r w:rsidRPr="00AE61CF">
        <w:rPr>
          <w:rFonts w:ascii="Calibri" w:hAnsi="Calibri" w:cs="Calibri"/>
          <w:color w:val="0D0D0D" w:themeColor="text1" w:themeTint="F2"/>
        </w:rPr>
        <w:t xml:space="preserve"> arise in ensuring genuine understanding, particularly in online environments </w:t>
      </w:r>
      <w:r w:rsidR="00F50370" w:rsidRPr="0054040C">
        <w:rPr>
          <w:rFonts w:ascii="Calibri" w:hAnsi="Calibri" w:cs="Calibri"/>
          <w:color w:val="0D0D0D" w:themeColor="text1" w:themeTint="F2"/>
        </w:rPr>
        <w:t>(</w:t>
      </w:r>
      <w:r w:rsidRPr="00AE61CF">
        <w:rPr>
          <w:rFonts w:ascii="Calibri" w:hAnsi="Calibri" w:cs="Calibri"/>
          <w:color w:val="0D0D0D" w:themeColor="text1" w:themeTint="F2"/>
        </w:rPr>
        <w:t>Roberts, 201</w:t>
      </w:r>
      <w:r w:rsidR="0020454A" w:rsidRPr="0054040C">
        <w:rPr>
          <w:rFonts w:ascii="Calibri" w:hAnsi="Calibri" w:cs="Calibri"/>
          <w:color w:val="0D0D0D" w:themeColor="text1" w:themeTint="F2"/>
        </w:rPr>
        <w:t>5</w:t>
      </w:r>
      <w:r w:rsidRPr="00AE61CF">
        <w:rPr>
          <w:rFonts w:ascii="Calibri" w:hAnsi="Calibri" w:cs="Calibri"/>
          <w:color w:val="0D0D0D" w:themeColor="text1" w:themeTint="F2"/>
        </w:rPr>
        <w:t>).</w:t>
      </w:r>
    </w:p>
    <w:p w14:paraId="2DF54D8F" w14:textId="59B92F3E" w:rsidR="00AE61CF" w:rsidRPr="00AE61CF" w:rsidRDefault="00AE61CF" w:rsidP="0054040C">
      <w:pPr>
        <w:spacing w:line="360" w:lineRule="auto"/>
        <w:rPr>
          <w:rFonts w:ascii="Calibri" w:hAnsi="Calibri" w:cs="Calibri"/>
          <w:color w:val="0D0D0D" w:themeColor="text1" w:themeTint="F2"/>
        </w:rPr>
      </w:pPr>
      <w:r w:rsidRPr="00AE61CF">
        <w:rPr>
          <w:rFonts w:ascii="Calibri" w:hAnsi="Calibri" w:cs="Calibri"/>
          <w:color w:val="0D0D0D" w:themeColor="text1" w:themeTint="F2"/>
        </w:rPr>
        <w:t xml:space="preserve">Maintaining strict confidentiality and anonymity throughout the study </w:t>
      </w:r>
      <w:r w:rsidR="003728C9" w:rsidRPr="0054040C">
        <w:rPr>
          <w:rFonts w:ascii="Calibri" w:hAnsi="Calibri" w:cs="Calibri"/>
          <w:color w:val="0D0D0D" w:themeColor="text1" w:themeTint="F2"/>
        </w:rPr>
        <w:t>will be</w:t>
      </w:r>
      <w:r w:rsidRPr="00AE61CF">
        <w:rPr>
          <w:rFonts w:ascii="Calibri" w:hAnsi="Calibri" w:cs="Calibri"/>
          <w:color w:val="0D0D0D" w:themeColor="text1" w:themeTint="F2"/>
        </w:rPr>
        <w:t xml:space="preserve"> essential for protecting participants' privacy and fostering honest responses</w:t>
      </w:r>
      <w:r w:rsidR="003728C9" w:rsidRPr="0054040C">
        <w:rPr>
          <w:rFonts w:ascii="Calibri" w:hAnsi="Calibri" w:cs="Calibri"/>
          <w:color w:val="0D0D0D" w:themeColor="text1" w:themeTint="F2"/>
        </w:rPr>
        <w:t>, therefore a</w:t>
      </w:r>
      <w:r w:rsidRPr="00AE61CF">
        <w:rPr>
          <w:rFonts w:ascii="Calibri" w:hAnsi="Calibri" w:cs="Calibri"/>
          <w:color w:val="0D0D0D" w:themeColor="text1" w:themeTint="F2"/>
        </w:rPr>
        <w:t>nonymising questionnaire data upon collection and removing identifiers from interview transcripts</w:t>
      </w:r>
      <w:r w:rsidR="00213F72" w:rsidRPr="0054040C">
        <w:rPr>
          <w:rFonts w:ascii="Calibri" w:hAnsi="Calibri" w:cs="Calibri"/>
          <w:color w:val="0D0D0D" w:themeColor="text1" w:themeTint="F2"/>
        </w:rPr>
        <w:t xml:space="preserve"> as recommended by </w:t>
      </w:r>
      <w:r w:rsidR="00213F72" w:rsidRPr="00AE61CF">
        <w:rPr>
          <w:rFonts w:ascii="Calibri" w:hAnsi="Calibri" w:cs="Calibri"/>
          <w:color w:val="0D0D0D" w:themeColor="text1" w:themeTint="F2"/>
        </w:rPr>
        <w:t xml:space="preserve">Orb, Eisenhauer </w:t>
      </w:r>
      <w:r w:rsidR="00213F72" w:rsidRPr="0054040C">
        <w:rPr>
          <w:rFonts w:ascii="Calibri" w:hAnsi="Calibri" w:cs="Calibri"/>
          <w:color w:val="0D0D0D" w:themeColor="text1" w:themeTint="F2"/>
        </w:rPr>
        <w:t>and</w:t>
      </w:r>
      <w:r w:rsidR="00213F72" w:rsidRPr="00AE61CF">
        <w:rPr>
          <w:rFonts w:ascii="Calibri" w:hAnsi="Calibri" w:cs="Calibri"/>
          <w:color w:val="0D0D0D" w:themeColor="text1" w:themeTint="F2"/>
        </w:rPr>
        <w:t xml:space="preserve"> Wynaden </w:t>
      </w:r>
      <w:r w:rsidR="00213F72" w:rsidRPr="0054040C">
        <w:rPr>
          <w:rFonts w:ascii="Calibri" w:hAnsi="Calibri" w:cs="Calibri"/>
          <w:color w:val="0D0D0D" w:themeColor="text1" w:themeTint="F2"/>
        </w:rPr>
        <w:t>(</w:t>
      </w:r>
      <w:r w:rsidR="00213F72" w:rsidRPr="00AE61CF">
        <w:rPr>
          <w:rFonts w:ascii="Calibri" w:hAnsi="Calibri" w:cs="Calibri"/>
          <w:color w:val="0D0D0D" w:themeColor="text1" w:themeTint="F2"/>
        </w:rPr>
        <w:t>2001</w:t>
      </w:r>
      <w:r w:rsidR="00213F72" w:rsidRPr="0054040C">
        <w:rPr>
          <w:rFonts w:ascii="Calibri" w:hAnsi="Calibri" w:cs="Calibri"/>
          <w:color w:val="0D0D0D" w:themeColor="text1" w:themeTint="F2"/>
        </w:rPr>
        <w:t>),</w:t>
      </w:r>
      <w:r w:rsidRPr="00AE61CF">
        <w:rPr>
          <w:rFonts w:ascii="Calibri" w:hAnsi="Calibri" w:cs="Calibri"/>
          <w:color w:val="0D0D0D" w:themeColor="text1" w:themeTint="F2"/>
        </w:rPr>
        <w:t xml:space="preserve"> </w:t>
      </w:r>
      <w:r w:rsidR="003728C9" w:rsidRPr="0054040C">
        <w:rPr>
          <w:rFonts w:ascii="Calibri" w:hAnsi="Calibri" w:cs="Calibri"/>
          <w:color w:val="0D0D0D" w:themeColor="text1" w:themeTint="F2"/>
        </w:rPr>
        <w:t>will be</w:t>
      </w:r>
      <w:r w:rsidRPr="00AE61CF">
        <w:rPr>
          <w:rFonts w:ascii="Calibri" w:hAnsi="Calibri" w:cs="Calibri"/>
          <w:color w:val="0D0D0D" w:themeColor="text1" w:themeTint="F2"/>
        </w:rPr>
        <w:t xml:space="preserve"> standard practices. </w:t>
      </w:r>
      <w:r w:rsidR="00B60B9E" w:rsidRPr="0054040C">
        <w:rPr>
          <w:rFonts w:ascii="Calibri" w:hAnsi="Calibri" w:cs="Calibri"/>
          <w:color w:val="0D0D0D" w:themeColor="text1" w:themeTint="F2"/>
        </w:rPr>
        <w:t xml:space="preserve"> </w:t>
      </w:r>
      <w:r w:rsidRPr="00AE61CF">
        <w:rPr>
          <w:rFonts w:ascii="Calibri" w:hAnsi="Calibri" w:cs="Calibri"/>
          <w:color w:val="0D0D0D" w:themeColor="text1" w:themeTint="F2"/>
        </w:rPr>
        <w:t xml:space="preserve">Clearly </w:t>
      </w:r>
      <w:r w:rsidRPr="00AE61CF">
        <w:rPr>
          <w:rFonts w:ascii="Calibri" w:hAnsi="Calibri" w:cs="Calibri"/>
          <w:color w:val="0D0D0D" w:themeColor="text1" w:themeTint="F2"/>
        </w:rPr>
        <w:lastRenderedPageBreak/>
        <w:t xml:space="preserve">communicating the right to withdraw at any stage without penalty </w:t>
      </w:r>
      <w:r w:rsidR="00B60B9E" w:rsidRPr="0054040C">
        <w:rPr>
          <w:rFonts w:ascii="Calibri" w:hAnsi="Calibri" w:cs="Calibri"/>
          <w:color w:val="0D0D0D" w:themeColor="text1" w:themeTint="F2"/>
        </w:rPr>
        <w:t xml:space="preserve">will </w:t>
      </w:r>
      <w:r w:rsidRPr="00AE61CF">
        <w:rPr>
          <w:rFonts w:ascii="Calibri" w:hAnsi="Calibri" w:cs="Calibri"/>
          <w:color w:val="0D0D0D" w:themeColor="text1" w:themeTint="F2"/>
        </w:rPr>
        <w:t xml:space="preserve">reinforce participants' autonomy </w:t>
      </w:r>
      <w:r w:rsidR="00BC1AEE" w:rsidRPr="0054040C">
        <w:rPr>
          <w:rFonts w:ascii="Calibri" w:hAnsi="Calibri" w:cs="Calibri"/>
          <w:color w:val="0D0D0D" w:themeColor="text1" w:themeTint="F2"/>
        </w:rPr>
        <w:t>(</w:t>
      </w:r>
      <w:r w:rsidR="007060FB" w:rsidRPr="0054040C">
        <w:rPr>
          <w:rFonts w:ascii="Calibri" w:hAnsi="Calibri" w:cs="Calibri"/>
          <w:color w:val="0D0D0D" w:themeColor="text1" w:themeTint="F2"/>
        </w:rPr>
        <w:t>Kly</w:t>
      </w:r>
      <w:r w:rsidR="00D110A3" w:rsidRPr="0054040C">
        <w:rPr>
          <w:rFonts w:ascii="Calibri" w:hAnsi="Calibri" w:cs="Calibri"/>
          <w:color w:val="0D0D0D" w:themeColor="text1" w:themeTint="F2"/>
        </w:rPr>
        <w:t>kken, 2021;</w:t>
      </w:r>
      <w:r w:rsidR="00BC1AEE" w:rsidRPr="0054040C">
        <w:rPr>
          <w:rFonts w:ascii="Calibri" w:hAnsi="Calibri" w:cs="Calibri"/>
          <w:color w:val="0D0D0D" w:themeColor="text1" w:themeTint="F2"/>
        </w:rPr>
        <w:t xml:space="preserve"> </w:t>
      </w:r>
      <w:r w:rsidR="00221D15" w:rsidRPr="0054040C">
        <w:rPr>
          <w:rFonts w:ascii="Calibri" w:hAnsi="Calibri" w:cs="Calibri"/>
          <w:color w:val="0D0D0D" w:themeColor="text1" w:themeTint="F2"/>
        </w:rPr>
        <w:t xml:space="preserve">Gordon and Prohaska, 2006) </w:t>
      </w:r>
      <w:r w:rsidRPr="00AE61CF">
        <w:rPr>
          <w:rFonts w:ascii="Calibri" w:hAnsi="Calibri" w:cs="Calibri"/>
          <w:color w:val="0D0D0D" w:themeColor="text1" w:themeTint="F2"/>
        </w:rPr>
        <w:t xml:space="preserve">and acknowledge the potentially sensitive nature of the research topic. </w:t>
      </w:r>
      <w:r w:rsidR="00C51F84" w:rsidRPr="0054040C">
        <w:rPr>
          <w:rFonts w:ascii="Calibri" w:hAnsi="Calibri" w:cs="Calibri"/>
          <w:color w:val="0D0D0D" w:themeColor="text1" w:themeTint="F2"/>
        </w:rPr>
        <w:t xml:space="preserve"> </w:t>
      </w:r>
      <w:r w:rsidRPr="00AE61CF">
        <w:rPr>
          <w:rFonts w:ascii="Calibri" w:hAnsi="Calibri" w:cs="Calibri"/>
          <w:color w:val="0D0D0D" w:themeColor="text1" w:themeTint="F2"/>
        </w:rPr>
        <w:t xml:space="preserve">Providing contact information for the researcher and the ethics committee </w:t>
      </w:r>
      <w:r w:rsidR="00C51F84" w:rsidRPr="0054040C">
        <w:rPr>
          <w:rFonts w:ascii="Calibri" w:hAnsi="Calibri" w:cs="Calibri"/>
          <w:color w:val="0D0D0D" w:themeColor="text1" w:themeTint="F2"/>
        </w:rPr>
        <w:t xml:space="preserve">is suggested by </w:t>
      </w:r>
      <w:r w:rsidR="00180903" w:rsidRPr="0054040C">
        <w:rPr>
          <w:rFonts w:ascii="Calibri" w:hAnsi="Calibri" w:cs="Calibri"/>
          <w:color w:val="0D0D0D" w:themeColor="text1" w:themeTint="F2"/>
        </w:rPr>
        <w:t xml:space="preserve">Stadnick </w:t>
      </w:r>
      <w:r w:rsidR="00180903" w:rsidRPr="0054040C">
        <w:rPr>
          <w:rFonts w:ascii="Calibri" w:hAnsi="Calibri" w:cs="Calibri"/>
          <w:i/>
          <w:iCs/>
          <w:color w:val="0D0D0D" w:themeColor="text1" w:themeTint="F2"/>
        </w:rPr>
        <w:t>et al.</w:t>
      </w:r>
      <w:r w:rsidR="005F7198" w:rsidRPr="0054040C">
        <w:rPr>
          <w:rFonts w:ascii="Calibri" w:hAnsi="Calibri" w:cs="Calibri"/>
          <w:color w:val="0D0D0D" w:themeColor="text1" w:themeTint="F2"/>
        </w:rPr>
        <w:t xml:space="preserve"> (2021) </w:t>
      </w:r>
      <w:r w:rsidR="00466739" w:rsidRPr="0054040C">
        <w:rPr>
          <w:rFonts w:ascii="Calibri" w:hAnsi="Calibri" w:cs="Calibri"/>
          <w:color w:val="0D0D0D" w:themeColor="text1" w:themeTint="F2"/>
        </w:rPr>
        <w:t>t</w:t>
      </w:r>
      <w:r w:rsidR="00C51F84" w:rsidRPr="0054040C">
        <w:rPr>
          <w:rFonts w:ascii="Calibri" w:hAnsi="Calibri" w:cs="Calibri"/>
          <w:color w:val="0D0D0D" w:themeColor="text1" w:themeTint="F2"/>
        </w:rPr>
        <w:t xml:space="preserve">o </w:t>
      </w:r>
      <w:r w:rsidRPr="00AE61CF">
        <w:rPr>
          <w:rFonts w:ascii="Calibri" w:hAnsi="Calibri" w:cs="Calibri"/>
          <w:color w:val="0D0D0D" w:themeColor="text1" w:themeTint="F2"/>
        </w:rPr>
        <w:t xml:space="preserve">ensure accountability and offer avenues for participants to address concerns. </w:t>
      </w:r>
      <w:r w:rsidR="00107A1C" w:rsidRPr="0054040C">
        <w:rPr>
          <w:rFonts w:ascii="Calibri" w:hAnsi="Calibri" w:cs="Calibri"/>
          <w:color w:val="0D0D0D" w:themeColor="text1" w:themeTint="F2"/>
        </w:rPr>
        <w:t xml:space="preserve"> </w:t>
      </w:r>
      <w:r w:rsidRPr="00AE61CF">
        <w:rPr>
          <w:rFonts w:ascii="Calibri" w:hAnsi="Calibri" w:cs="Calibri"/>
          <w:color w:val="0D0D0D" w:themeColor="text1" w:themeTint="F2"/>
        </w:rPr>
        <w:t>Secure data storage in compliance with data protection regulations is a fundamental ethical obligation</w:t>
      </w:r>
      <w:r w:rsidR="00131A89" w:rsidRPr="0054040C">
        <w:rPr>
          <w:rFonts w:ascii="Calibri" w:hAnsi="Calibri" w:cs="Calibri"/>
          <w:color w:val="0D0D0D" w:themeColor="text1" w:themeTint="F2"/>
        </w:rPr>
        <w:t xml:space="preserve"> (D</w:t>
      </w:r>
      <w:r w:rsidR="005A776D" w:rsidRPr="0054040C">
        <w:rPr>
          <w:rFonts w:ascii="Calibri" w:hAnsi="Calibri" w:cs="Calibri"/>
          <w:color w:val="0D0D0D" w:themeColor="text1" w:themeTint="F2"/>
        </w:rPr>
        <w:t>u</w:t>
      </w:r>
      <w:r w:rsidR="00131A89" w:rsidRPr="0054040C">
        <w:rPr>
          <w:rFonts w:ascii="Calibri" w:hAnsi="Calibri" w:cs="Calibri"/>
          <w:color w:val="0D0D0D" w:themeColor="text1" w:themeTint="F2"/>
        </w:rPr>
        <w:t>cato, 2020</w:t>
      </w:r>
      <w:r w:rsidR="001B6A4E" w:rsidRPr="0054040C">
        <w:rPr>
          <w:rFonts w:ascii="Calibri" w:hAnsi="Calibri" w:cs="Calibri"/>
          <w:color w:val="0D0D0D" w:themeColor="text1" w:themeTint="F2"/>
        </w:rPr>
        <w:t>; Brody, 2001)</w:t>
      </w:r>
      <w:r w:rsidR="00131A89" w:rsidRPr="0054040C">
        <w:rPr>
          <w:rFonts w:ascii="Calibri" w:hAnsi="Calibri" w:cs="Calibri"/>
          <w:color w:val="0D0D0D" w:themeColor="text1" w:themeTint="F2"/>
        </w:rPr>
        <w:t>)</w:t>
      </w:r>
      <w:r w:rsidRPr="00AE61CF">
        <w:rPr>
          <w:rFonts w:ascii="Calibri" w:hAnsi="Calibri" w:cs="Calibri"/>
          <w:color w:val="0D0D0D" w:themeColor="text1" w:themeTint="F2"/>
        </w:rPr>
        <w:t>.</w:t>
      </w:r>
      <w:r w:rsidR="00466739" w:rsidRPr="0054040C">
        <w:rPr>
          <w:rFonts w:ascii="Calibri" w:hAnsi="Calibri" w:cs="Calibri"/>
          <w:color w:val="0D0D0D" w:themeColor="text1" w:themeTint="F2"/>
        </w:rPr>
        <w:t xml:space="preserve"> </w:t>
      </w:r>
      <w:r w:rsidRPr="00AE61CF">
        <w:rPr>
          <w:rFonts w:ascii="Calibri" w:hAnsi="Calibri" w:cs="Calibri"/>
          <w:color w:val="0D0D0D" w:themeColor="text1" w:themeTint="F2"/>
        </w:rPr>
        <w:t xml:space="preserve"> Adherence to these principles aims to conduct the research responsibly and respectfully, safeguarding the well-being and rights of all involved</w:t>
      </w:r>
      <w:r w:rsidR="001B6A4E" w:rsidRPr="0054040C">
        <w:rPr>
          <w:rFonts w:ascii="Calibri" w:hAnsi="Calibri" w:cs="Calibri"/>
          <w:color w:val="0D0D0D" w:themeColor="text1" w:themeTint="F2"/>
        </w:rPr>
        <w:t>(Edwards</w:t>
      </w:r>
      <w:r w:rsidR="007060FB" w:rsidRPr="0054040C">
        <w:rPr>
          <w:rFonts w:ascii="Calibri" w:hAnsi="Calibri" w:cs="Calibri"/>
          <w:color w:val="0D0D0D" w:themeColor="text1" w:themeTint="F2"/>
        </w:rPr>
        <w:t>, 2005)</w:t>
      </w:r>
      <w:r w:rsidRPr="00AE61CF">
        <w:rPr>
          <w:rFonts w:ascii="Calibri" w:hAnsi="Calibri" w:cs="Calibri"/>
          <w:color w:val="0D0D0D" w:themeColor="text1" w:themeTint="F2"/>
        </w:rPr>
        <w:t xml:space="preserve">, although ongoing vigilance and reflexivity </w:t>
      </w:r>
      <w:r w:rsidR="00387658" w:rsidRPr="0054040C">
        <w:rPr>
          <w:rFonts w:ascii="Calibri" w:hAnsi="Calibri" w:cs="Calibri"/>
          <w:color w:val="0D0D0D" w:themeColor="text1" w:themeTint="F2"/>
        </w:rPr>
        <w:t>will be</w:t>
      </w:r>
      <w:r w:rsidRPr="00AE61CF">
        <w:rPr>
          <w:rFonts w:ascii="Calibri" w:hAnsi="Calibri" w:cs="Calibri"/>
          <w:color w:val="0D0D0D" w:themeColor="text1" w:themeTint="F2"/>
        </w:rPr>
        <w:t xml:space="preserve"> necessary to navigate unforeseen ethical dilemmas (Guillemin </w:t>
      </w:r>
      <w:r w:rsidR="00201CB5" w:rsidRPr="0054040C">
        <w:rPr>
          <w:rFonts w:ascii="Calibri" w:hAnsi="Calibri" w:cs="Calibri"/>
          <w:color w:val="0D0D0D" w:themeColor="text1" w:themeTint="F2"/>
        </w:rPr>
        <w:t>and</w:t>
      </w:r>
      <w:r w:rsidRPr="00AE61CF">
        <w:rPr>
          <w:rFonts w:ascii="Calibri" w:hAnsi="Calibri" w:cs="Calibri"/>
          <w:color w:val="0D0D0D" w:themeColor="text1" w:themeTint="F2"/>
        </w:rPr>
        <w:t xml:space="preserve"> Gillam, 2004).</w:t>
      </w:r>
    </w:p>
    <w:p w14:paraId="56D298E2" w14:textId="77777777" w:rsidR="004C2362" w:rsidRPr="0054040C" w:rsidRDefault="004C2362" w:rsidP="0054040C">
      <w:pPr>
        <w:spacing w:line="360" w:lineRule="auto"/>
        <w:rPr>
          <w:rFonts w:ascii="Calibri" w:hAnsi="Calibri" w:cs="Calibri"/>
          <w:color w:val="0D0D0D" w:themeColor="text1" w:themeTint="F2"/>
          <w:u w:val="single"/>
        </w:rPr>
      </w:pPr>
    </w:p>
    <w:p w14:paraId="1CD54C5A" w14:textId="2FA27E63" w:rsidR="00C16ECF" w:rsidRPr="0054040C" w:rsidRDefault="004C2362" w:rsidP="0054040C">
      <w:pPr>
        <w:spacing w:line="360" w:lineRule="auto"/>
        <w:rPr>
          <w:rFonts w:ascii="Calibri" w:hAnsi="Calibri" w:cs="Calibri"/>
          <w:b/>
          <w:bCs/>
          <w:color w:val="0D0D0D" w:themeColor="text1" w:themeTint="F2"/>
          <w:u w:val="single"/>
        </w:rPr>
      </w:pPr>
      <w:r w:rsidRPr="0054040C">
        <w:rPr>
          <w:rFonts w:ascii="Calibri" w:hAnsi="Calibri" w:cs="Calibri"/>
          <w:b/>
          <w:bCs/>
          <w:color w:val="0D0D0D" w:themeColor="text1" w:themeTint="F2"/>
          <w:u w:val="single"/>
        </w:rPr>
        <w:t>Part 4 - Data Presentation and Analysis Method(s)</w:t>
      </w:r>
    </w:p>
    <w:p w14:paraId="5E435DB1" w14:textId="6EE9DD22" w:rsidR="00C41AA1" w:rsidRPr="0054040C" w:rsidRDefault="00C41AA1" w:rsidP="0054040C">
      <w:pPr>
        <w:spacing w:line="360" w:lineRule="auto"/>
        <w:rPr>
          <w:rFonts w:ascii="Calibri" w:hAnsi="Calibri" w:cs="Calibri"/>
          <w:b/>
          <w:bCs/>
          <w:color w:val="0D0D0D" w:themeColor="text1" w:themeTint="F2"/>
        </w:rPr>
      </w:pPr>
      <w:r w:rsidRPr="0054040C">
        <w:rPr>
          <w:rFonts w:ascii="Calibri" w:hAnsi="Calibri" w:cs="Calibri"/>
          <w:color w:val="0D0D0D" w:themeColor="text1" w:themeTint="F2"/>
        </w:rPr>
        <w:t xml:space="preserve">To address the research questions, this study will employ distinct yet complementary methods for the presentation and analysis of both qualitative and quantitative data, aligning with the chosen mixed-methods approach. </w:t>
      </w:r>
      <w:r w:rsidR="00E2738B" w:rsidRPr="0054040C">
        <w:rPr>
          <w:rFonts w:ascii="Calibri" w:hAnsi="Calibri" w:cs="Calibri"/>
          <w:color w:val="0D0D0D" w:themeColor="text1" w:themeTint="F2"/>
        </w:rPr>
        <w:t xml:space="preserve"> </w:t>
      </w:r>
      <w:r w:rsidRPr="0054040C">
        <w:rPr>
          <w:rFonts w:ascii="Calibri" w:hAnsi="Calibri" w:cs="Calibri"/>
          <w:color w:val="0D0D0D" w:themeColor="text1" w:themeTint="F2"/>
        </w:rPr>
        <w:t>Thematic analysis will be used for the qualitative data gathered from semi-structured interviews, while statistical analysis using SPSS (Statistical Package for the Social Sciences) will be applied to the quantitative data collected through the online questionnaires.</w:t>
      </w:r>
    </w:p>
    <w:p w14:paraId="596E3307" w14:textId="508240EF" w:rsidR="00C41AA1" w:rsidRPr="0054040C" w:rsidRDefault="000520E8" w:rsidP="0054040C">
      <w:pPr>
        <w:spacing w:line="360" w:lineRule="auto"/>
        <w:rPr>
          <w:rFonts w:ascii="Calibri" w:hAnsi="Calibri" w:cs="Calibri"/>
          <w:color w:val="0D0D0D" w:themeColor="text1" w:themeTint="F2"/>
        </w:rPr>
      </w:pPr>
      <w:r w:rsidRPr="0054040C">
        <w:rPr>
          <w:rFonts w:ascii="Calibri" w:hAnsi="Calibri" w:cs="Calibri"/>
          <w:b/>
          <w:bCs/>
          <w:color w:val="0D0D0D" w:themeColor="text1" w:themeTint="F2"/>
        </w:rPr>
        <w:t>Method One</w:t>
      </w:r>
      <w:r w:rsidR="008C4427" w:rsidRPr="0054040C">
        <w:rPr>
          <w:rFonts w:ascii="Calibri" w:hAnsi="Calibri" w:cs="Calibri"/>
          <w:b/>
          <w:bCs/>
          <w:color w:val="0D0D0D" w:themeColor="text1" w:themeTint="F2"/>
        </w:rPr>
        <w:t xml:space="preserve"> - </w:t>
      </w:r>
      <w:r w:rsidR="00C41AA1" w:rsidRPr="0054040C">
        <w:rPr>
          <w:rFonts w:ascii="Calibri" w:hAnsi="Calibri" w:cs="Calibri"/>
          <w:b/>
          <w:bCs/>
          <w:color w:val="0D0D0D" w:themeColor="text1" w:themeTint="F2"/>
        </w:rPr>
        <w:t>Qualitative Data Analysis: Thematic Analysis</w:t>
      </w:r>
    </w:p>
    <w:p w14:paraId="73A88AAD" w14:textId="06D5FA41"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The qualitative data obtained from the transcribed semi-structured interviews will be analysed using thematic analysis.</w:t>
      </w:r>
      <w:r w:rsidR="00771DE0"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w:t>
      </w:r>
      <w:r w:rsidR="00C2651D" w:rsidRPr="0054040C">
        <w:rPr>
          <w:rFonts w:ascii="Calibri" w:hAnsi="Calibri" w:cs="Calibri"/>
          <w:color w:val="0D0D0D" w:themeColor="text1" w:themeTint="F2"/>
        </w:rPr>
        <w:t xml:space="preserve">Much literature </w:t>
      </w:r>
      <w:r w:rsidR="00D82C84" w:rsidRPr="0054040C">
        <w:rPr>
          <w:rFonts w:ascii="Calibri" w:hAnsi="Calibri" w:cs="Calibri"/>
          <w:color w:val="0D0D0D" w:themeColor="text1" w:themeTint="F2"/>
        </w:rPr>
        <w:t>presents t</w:t>
      </w:r>
      <w:r w:rsidRPr="0054040C">
        <w:rPr>
          <w:rFonts w:ascii="Calibri" w:hAnsi="Calibri" w:cs="Calibri"/>
          <w:color w:val="0D0D0D" w:themeColor="text1" w:themeTint="F2"/>
        </w:rPr>
        <w:t xml:space="preserve">hematic analysis </w:t>
      </w:r>
      <w:r w:rsidR="00D82C84" w:rsidRPr="0054040C">
        <w:rPr>
          <w:rFonts w:ascii="Calibri" w:hAnsi="Calibri" w:cs="Calibri"/>
          <w:color w:val="0D0D0D" w:themeColor="text1" w:themeTint="F2"/>
        </w:rPr>
        <w:t>a</w:t>
      </w:r>
      <w:r w:rsidRPr="0054040C">
        <w:rPr>
          <w:rFonts w:ascii="Calibri" w:hAnsi="Calibri" w:cs="Calibri"/>
          <w:color w:val="0D0D0D" w:themeColor="text1" w:themeTint="F2"/>
        </w:rPr>
        <w:t>s a widely used and flexible method for identifying, organising, and interpreting patterns of meaning</w:t>
      </w:r>
      <w:r w:rsidR="00771DE0" w:rsidRPr="0054040C">
        <w:rPr>
          <w:rFonts w:ascii="Calibri" w:hAnsi="Calibri" w:cs="Calibri"/>
          <w:color w:val="0D0D0D" w:themeColor="text1" w:themeTint="F2"/>
        </w:rPr>
        <w:t xml:space="preserve"> or themes</w:t>
      </w:r>
      <w:r w:rsidRPr="0054040C">
        <w:rPr>
          <w:rFonts w:ascii="Calibri" w:hAnsi="Calibri" w:cs="Calibri"/>
          <w:color w:val="0D0D0D" w:themeColor="text1" w:themeTint="F2"/>
        </w:rPr>
        <w:t xml:space="preserve"> across a qualitative dataset (Braun </w:t>
      </w:r>
      <w:r w:rsidR="00B84C4E" w:rsidRPr="0054040C">
        <w:rPr>
          <w:rFonts w:ascii="Calibri" w:hAnsi="Calibri" w:cs="Calibri"/>
          <w:color w:val="0D0D0D" w:themeColor="text1" w:themeTint="F2"/>
        </w:rPr>
        <w:t>and</w:t>
      </w:r>
      <w:r w:rsidRPr="0054040C">
        <w:rPr>
          <w:rFonts w:ascii="Calibri" w:hAnsi="Calibri" w:cs="Calibri"/>
          <w:color w:val="0D0D0D" w:themeColor="text1" w:themeTint="F2"/>
        </w:rPr>
        <w:t xml:space="preserve"> Clarke, 2006</w:t>
      </w:r>
      <w:r w:rsidR="008A08F4" w:rsidRPr="0054040C">
        <w:rPr>
          <w:rFonts w:ascii="Calibri" w:hAnsi="Calibri" w:cs="Calibri"/>
          <w:color w:val="0D0D0D" w:themeColor="text1" w:themeTint="F2"/>
        </w:rPr>
        <w:t xml:space="preserve">; </w:t>
      </w:r>
      <w:r w:rsidR="004769BF" w:rsidRPr="0054040C">
        <w:rPr>
          <w:rFonts w:ascii="Calibri" w:hAnsi="Calibri" w:cs="Calibri"/>
          <w:color w:val="0D0D0D" w:themeColor="text1" w:themeTint="F2"/>
        </w:rPr>
        <w:t xml:space="preserve">Naeem </w:t>
      </w:r>
      <w:r w:rsidR="004769BF" w:rsidRPr="0054040C">
        <w:rPr>
          <w:rFonts w:ascii="Calibri" w:hAnsi="Calibri" w:cs="Calibri"/>
          <w:i/>
          <w:iCs/>
          <w:color w:val="0D0D0D" w:themeColor="text1" w:themeTint="F2"/>
        </w:rPr>
        <w:t>et al.,</w:t>
      </w:r>
      <w:r w:rsidR="004769BF" w:rsidRPr="0054040C">
        <w:rPr>
          <w:rFonts w:ascii="Calibri" w:hAnsi="Calibri" w:cs="Calibri"/>
          <w:color w:val="0D0D0D" w:themeColor="text1" w:themeTint="F2"/>
        </w:rPr>
        <w:t xml:space="preserve"> 2023; Saldana, 2021</w:t>
      </w:r>
      <w:r w:rsidRPr="0054040C">
        <w:rPr>
          <w:rFonts w:ascii="Calibri" w:hAnsi="Calibri" w:cs="Calibri"/>
          <w:color w:val="0D0D0D" w:themeColor="text1" w:themeTint="F2"/>
        </w:rPr>
        <w:t xml:space="preserve">). </w:t>
      </w:r>
      <w:r w:rsidR="00D82C84" w:rsidRPr="0054040C">
        <w:rPr>
          <w:rFonts w:ascii="Calibri" w:hAnsi="Calibri" w:cs="Calibri"/>
          <w:color w:val="0D0D0D" w:themeColor="text1" w:themeTint="F2"/>
        </w:rPr>
        <w:t xml:space="preserve"> </w:t>
      </w:r>
      <w:r w:rsidRPr="0054040C">
        <w:rPr>
          <w:rFonts w:ascii="Calibri" w:hAnsi="Calibri" w:cs="Calibri"/>
          <w:color w:val="0D0D0D" w:themeColor="text1" w:themeTint="F2"/>
        </w:rPr>
        <w:t>It provides a systematic approach to understanding the lived experiences and perspectives of participants, making it particularly suitable for exploring the motivational factors and perceived barriers related to gender in nurse education</w:t>
      </w:r>
      <w:r w:rsidR="00F06897" w:rsidRPr="0054040C">
        <w:rPr>
          <w:rFonts w:ascii="Calibri" w:hAnsi="Calibri" w:cs="Calibri"/>
          <w:color w:val="0D0D0D" w:themeColor="text1" w:themeTint="F2"/>
        </w:rPr>
        <w:t xml:space="preserve"> </w:t>
      </w:r>
      <w:r w:rsidR="003B06DA" w:rsidRPr="0054040C">
        <w:rPr>
          <w:rFonts w:ascii="Calibri" w:hAnsi="Calibri" w:cs="Calibri"/>
          <w:color w:val="0D0D0D" w:themeColor="text1" w:themeTint="F2"/>
        </w:rPr>
        <w:t>(Xu and Zammit, 2020)</w:t>
      </w:r>
      <w:r w:rsidRPr="0054040C">
        <w:rPr>
          <w:rFonts w:ascii="Calibri" w:hAnsi="Calibri" w:cs="Calibri"/>
          <w:color w:val="0D0D0D" w:themeColor="text1" w:themeTint="F2"/>
        </w:rPr>
        <w:t>.</w:t>
      </w:r>
    </w:p>
    <w:p w14:paraId="23DD07B6" w14:textId="2062DC0D"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 xml:space="preserve">Following the six-phase framework proposed by Braun and Clarke (2006), the analysis will involve: familiarisation with the data through repeated reading of the transcripts; generating initial codes to identify interesting features within the data; searching for overarching </w:t>
      </w:r>
      <w:r w:rsidRPr="0054040C">
        <w:rPr>
          <w:rFonts w:ascii="Calibri" w:hAnsi="Calibri" w:cs="Calibri"/>
          <w:color w:val="0D0D0D" w:themeColor="text1" w:themeTint="F2"/>
        </w:rPr>
        <w:lastRenderedPageBreak/>
        <w:t xml:space="preserve">themes by grouping related codes; reviewing and refining these themes to ensure they are coherent and distinct; defining and naming the themes, providing clear descriptions and examples; and producing the final report, weaving together the thematic analysis with illustrative quotes from the participants. </w:t>
      </w:r>
      <w:r w:rsidR="00554226" w:rsidRPr="0054040C">
        <w:rPr>
          <w:rFonts w:ascii="Calibri" w:hAnsi="Calibri" w:cs="Calibri"/>
          <w:color w:val="0D0D0D" w:themeColor="text1" w:themeTint="F2"/>
        </w:rPr>
        <w:t xml:space="preserve"> </w:t>
      </w:r>
      <w:r w:rsidR="0027665A" w:rsidRPr="0054040C">
        <w:rPr>
          <w:rFonts w:ascii="Calibri" w:hAnsi="Calibri" w:cs="Calibri"/>
          <w:color w:val="0D0D0D" w:themeColor="text1" w:themeTint="F2"/>
        </w:rPr>
        <w:t>Patton (2015) maintains that this</w:t>
      </w:r>
      <w:r w:rsidRPr="0054040C">
        <w:rPr>
          <w:rFonts w:ascii="Calibri" w:hAnsi="Calibri" w:cs="Calibri"/>
          <w:color w:val="0D0D0D" w:themeColor="text1" w:themeTint="F2"/>
        </w:rPr>
        <w:t xml:space="preserve"> inductive approach allows themes to emerge directly from the data, rather than being pre-determined</w:t>
      </w:r>
      <w:r w:rsidR="00780358" w:rsidRPr="0054040C">
        <w:rPr>
          <w:rFonts w:ascii="Calibri" w:hAnsi="Calibri" w:cs="Calibri"/>
          <w:color w:val="0D0D0D" w:themeColor="text1" w:themeTint="F2"/>
        </w:rPr>
        <w:t>.</w:t>
      </w:r>
    </w:p>
    <w:p w14:paraId="717D8424" w14:textId="2CFBC875"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The audio recordings of the online interviews conducted via Teams will be transcribed verbatim to provide a written record for analysis</w:t>
      </w:r>
      <w:r w:rsidR="00993122" w:rsidRPr="0054040C">
        <w:rPr>
          <w:rFonts w:ascii="Calibri" w:hAnsi="Calibri" w:cs="Calibri"/>
          <w:color w:val="0D0D0D" w:themeColor="text1" w:themeTint="F2"/>
        </w:rPr>
        <w:t xml:space="preserve">, </w:t>
      </w:r>
      <w:r w:rsidRPr="0054040C">
        <w:rPr>
          <w:rFonts w:ascii="Calibri" w:hAnsi="Calibri" w:cs="Calibri"/>
          <w:color w:val="0D0D0D" w:themeColor="text1" w:themeTint="F2"/>
        </w:rPr>
        <w:t>a crucial first step</w:t>
      </w:r>
      <w:r w:rsidR="007B2CBF" w:rsidRPr="0054040C">
        <w:rPr>
          <w:rFonts w:ascii="Calibri" w:hAnsi="Calibri" w:cs="Calibri"/>
          <w:color w:val="0D0D0D" w:themeColor="text1" w:themeTint="F2"/>
        </w:rPr>
        <w:t>,</w:t>
      </w:r>
      <w:r w:rsidR="00864993" w:rsidRPr="0054040C">
        <w:rPr>
          <w:rFonts w:ascii="Calibri" w:hAnsi="Calibri" w:cs="Calibri"/>
          <w:color w:val="0D0D0D" w:themeColor="text1" w:themeTint="F2"/>
        </w:rPr>
        <w:t xml:space="preserve"> according to</w:t>
      </w:r>
      <w:r w:rsidR="00634569" w:rsidRPr="0054040C">
        <w:rPr>
          <w:rFonts w:ascii="Calibri" w:hAnsi="Calibri" w:cs="Calibri"/>
          <w:color w:val="0D0D0D" w:themeColor="text1" w:themeTint="F2"/>
        </w:rPr>
        <w:t xml:space="preserve"> Flick (2014)</w:t>
      </w:r>
      <w:r w:rsidR="0075349C" w:rsidRPr="0054040C">
        <w:rPr>
          <w:rFonts w:ascii="Calibri" w:hAnsi="Calibri" w:cs="Calibri"/>
          <w:color w:val="0D0D0D" w:themeColor="text1" w:themeTint="F2"/>
        </w:rPr>
        <w:t xml:space="preserve">, </w:t>
      </w:r>
      <w:r w:rsidRPr="0054040C">
        <w:rPr>
          <w:rFonts w:ascii="Calibri" w:hAnsi="Calibri" w:cs="Calibri"/>
          <w:color w:val="0D0D0D" w:themeColor="text1" w:themeTint="F2"/>
        </w:rPr>
        <w:t>in transforming spoken data into a textual format that can be systematically examined</w:t>
      </w:r>
      <w:r w:rsidR="00C06504" w:rsidRPr="0054040C">
        <w:rPr>
          <w:rFonts w:ascii="Calibri" w:hAnsi="Calibri" w:cs="Calibri"/>
          <w:color w:val="0D0D0D" w:themeColor="text1" w:themeTint="F2"/>
        </w:rPr>
        <w:t xml:space="preserve">.  </w:t>
      </w:r>
      <w:r w:rsidRPr="0054040C">
        <w:rPr>
          <w:rFonts w:ascii="Calibri" w:hAnsi="Calibri" w:cs="Calibri"/>
          <w:color w:val="0D0D0D" w:themeColor="text1" w:themeTint="F2"/>
        </w:rPr>
        <w:t>While transcription offers the benefit of allowing for detailed and repeated engagement with the participants' accounts</w:t>
      </w:r>
      <w:r w:rsidR="00C06504" w:rsidRPr="0054040C">
        <w:rPr>
          <w:rFonts w:ascii="Calibri" w:hAnsi="Calibri" w:cs="Calibri"/>
          <w:color w:val="0D0D0D" w:themeColor="text1" w:themeTint="F2"/>
        </w:rPr>
        <w:t xml:space="preserve"> </w:t>
      </w:r>
      <w:r w:rsidR="00C06504" w:rsidRPr="0054040C">
        <w:rPr>
          <w:rFonts w:ascii="Calibri" w:hAnsi="Calibri" w:cs="Calibri"/>
          <w:color w:val="0D0D0D" w:themeColor="text1" w:themeTint="F2"/>
        </w:rPr>
        <w:t>(Brandenburg and Davidson, 2011)</w:t>
      </w:r>
      <w:r w:rsidRPr="0054040C">
        <w:rPr>
          <w:rFonts w:ascii="Calibri" w:hAnsi="Calibri" w:cs="Calibri"/>
          <w:color w:val="0D0D0D" w:themeColor="text1" w:themeTint="F2"/>
        </w:rPr>
        <w:t>, it is important to acknowledge its limitations.</w:t>
      </w:r>
      <w:r w:rsidR="00226B91"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Transcription is an interpretive process</w:t>
      </w:r>
      <w:r w:rsidR="00AB757E" w:rsidRPr="0054040C">
        <w:rPr>
          <w:rFonts w:ascii="Calibri" w:hAnsi="Calibri" w:cs="Calibri"/>
          <w:color w:val="0D0D0D" w:themeColor="text1" w:themeTint="F2"/>
        </w:rPr>
        <w:t xml:space="preserve"> </w:t>
      </w:r>
      <w:r w:rsidR="00C726AF" w:rsidRPr="0054040C">
        <w:rPr>
          <w:rFonts w:ascii="Calibri" w:hAnsi="Calibri" w:cs="Calibri"/>
          <w:color w:val="0D0D0D" w:themeColor="text1" w:themeTint="F2"/>
        </w:rPr>
        <w:t>(</w:t>
      </w:r>
      <w:r w:rsidR="00C726AF" w:rsidRPr="0054040C">
        <w:rPr>
          <w:rFonts w:ascii="Calibri" w:hAnsi="Calibri" w:cs="Calibri"/>
          <w:color w:val="0D0D0D" w:themeColor="text1" w:themeTint="F2"/>
        </w:rPr>
        <w:t>Cassell and Bishop, 2019, Francis and Holloway, 2007)</w:t>
      </w:r>
      <w:r w:rsidRPr="0054040C">
        <w:rPr>
          <w:rFonts w:ascii="Calibri" w:hAnsi="Calibri" w:cs="Calibri"/>
          <w:color w:val="0D0D0D" w:themeColor="text1" w:themeTint="F2"/>
        </w:rPr>
        <w:t>, and the transcriber's choices regarding what to include</w:t>
      </w:r>
      <w:r w:rsidR="00456549" w:rsidRPr="0054040C">
        <w:rPr>
          <w:rFonts w:ascii="Calibri" w:hAnsi="Calibri" w:cs="Calibri"/>
          <w:color w:val="0D0D0D" w:themeColor="text1" w:themeTint="F2"/>
        </w:rPr>
        <w:t xml:space="preserve">, for example </w:t>
      </w:r>
      <w:r w:rsidRPr="0054040C">
        <w:rPr>
          <w:rFonts w:ascii="Calibri" w:hAnsi="Calibri" w:cs="Calibri"/>
          <w:color w:val="0D0D0D" w:themeColor="text1" w:themeTint="F2"/>
        </w:rPr>
        <w:t>pauses</w:t>
      </w:r>
      <w:r w:rsidR="00456549" w:rsidRPr="0054040C">
        <w:rPr>
          <w:rFonts w:ascii="Calibri" w:hAnsi="Calibri" w:cs="Calibri"/>
          <w:color w:val="0D0D0D" w:themeColor="text1" w:themeTint="F2"/>
        </w:rPr>
        <w:t xml:space="preserve"> or</w:t>
      </w:r>
      <w:r w:rsidRPr="0054040C">
        <w:rPr>
          <w:rFonts w:ascii="Calibri" w:hAnsi="Calibri" w:cs="Calibri"/>
          <w:color w:val="0D0D0D" w:themeColor="text1" w:themeTint="F2"/>
        </w:rPr>
        <w:t xml:space="preserve"> intonation</w:t>
      </w:r>
      <w:r w:rsidR="009432F9" w:rsidRPr="0054040C">
        <w:rPr>
          <w:rFonts w:ascii="Calibri" w:hAnsi="Calibri" w:cs="Calibri"/>
          <w:color w:val="0D0D0D" w:themeColor="text1" w:themeTint="F2"/>
        </w:rPr>
        <w:t>,</w:t>
      </w:r>
      <w:r w:rsidRPr="0054040C">
        <w:rPr>
          <w:rFonts w:ascii="Calibri" w:hAnsi="Calibri" w:cs="Calibri"/>
          <w:color w:val="0D0D0D" w:themeColor="text1" w:themeTint="F2"/>
        </w:rPr>
        <w:t xml:space="preserve"> and how to represent spoken language can influence the subsequent analysis (Lapadat </w:t>
      </w:r>
      <w:r w:rsidR="009432F9" w:rsidRPr="0054040C">
        <w:rPr>
          <w:rFonts w:ascii="Calibri" w:hAnsi="Calibri" w:cs="Calibri"/>
          <w:color w:val="0D0D0D" w:themeColor="text1" w:themeTint="F2"/>
        </w:rPr>
        <w:t xml:space="preserve">and </w:t>
      </w:r>
      <w:r w:rsidR="006D0D67" w:rsidRPr="0054040C">
        <w:rPr>
          <w:rFonts w:ascii="Calibri" w:hAnsi="Calibri" w:cs="Calibri"/>
          <w:color w:val="0D0D0D" w:themeColor="text1" w:themeTint="F2"/>
        </w:rPr>
        <w:t>Lind</w:t>
      </w:r>
      <w:r w:rsidR="00EF7012" w:rsidRPr="0054040C">
        <w:rPr>
          <w:rFonts w:ascii="Calibri" w:hAnsi="Calibri" w:cs="Calibri"/>
          <w:color w:val="0D0D0D" w:themeColor="text1" w:themeTint="F2"/>
        </w:rPr>
        <w:t>s</w:t>
      </w:r>
      <w:r w:rsidR="006D0D67" w:rsidRPr="0054040C">
        <w:rPr>
          <w:rFonts w:ascii="Calibri" w:hAnsi="Calibri" w:cs="Calibri"/>
          <w:color w:val="0D0D0D" w:themeColor="text1" w:themeTint="F2"/>
        </w:rPr>
        <w:t>ay</w:t>
      </w:r>
      <w:r w:rsidRPr="0054040C">
        <w:rPr>
          <w:rFonts w:ascii="Calibri" w:hAnsi="Calibri" w:cs="Calibri"/>
          <w:color w:val="0D0D0D" w:themeColor="text1" w:themeTint="F2"/>
        </w:rPr>
        <w:t>, 199</w:t>
      </w:r>
      <w:r w:rsidR="006D0D67" w:rsidRPr="0054040C">
        <w:rPr>
          <w:rFonts w:ascii="Calibri" w:hAnsi="Calibri" w:cs="Calibri"/>
          <w:color w:val="0D0D0D" w:themeColor="text1" w:themeTint="F2"/>
        </w:rPr>
        <w:t>9</w:t>
      </w:r>
      <w:r w:rsidRPr="0054040C">
        <w:rPr>
          <w:rFonts w:ascii="Calibri" w:hAnsi="Calibri" w:cs="Calibri"/>
          <w:color w:val="0D0D0D" w:themeColor="text1" w:themeTint="F2"/>
        </w:rPr>
        <w:t xml:space="preserve">). </w:t>
      </w:r>
      <w:r w:rsidR="009432F9" w:rsidRPr="0054040C">
        <w:rPr>
          <w:rFonts w:ascii="Calibri" w:hAnsi="Calibri" w:cs="Calibri"/>
          <w:color w:val="0D0D0D" w:themeColor="text1" w:themeTint="F2"/>
        </w:rPr>
        <w:t xml:space="preserve"> </w:t>
      </w:r>
      <w:r w:rsidR="008908AD" w:rsidRPr="0054040C">
        <w:rPr>
          <w:rFonts w:ascii="Calibri" w:hAnsi="Calibri" w:cs="Calibri"/>
          <w:color w:val="0D0D0D" w:themeColor="text1" w:themeTint="F2"/>
        </w:rPr>
        <w:t>Bird (2005) cautions that t</w:t>
      </w:r>
      <w:r w:rsidRPr="0054040C">
        <w:rPr>
          <w:rFonts w:ascii="Calibri" w:hAnsi="Calibri" w:cs="Calibri"/>
          <w:color w:val="0D0D0D" w:themeColor="text1" w:themeTint="F2"/>
        </w:rPr>
        <w:t>ranscription can be time-consuming and resource</w:t>
      </w:r>
      <w:r w:rsidR="005A16AB"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intensive. </w:t>
      </w:r>
      <w:r w:rsidR="008908AD" w:rsidRPr="0054040C">
        <w:rPr>
          <w:rFonts w:ascii="Calibri" w:hAnsi="Calibri" w:cs="Calibri"/>
          <w:color w:val="0D0D0D" w:themeColor="text1" w:themeTint="F2"/>
        </w:rPr>
        <w:t xml:space="preserve"> </w:t>
      </w:r>
      <w:r w:rsidRPr="0054040C">
        <w:rPr>
          <w:rFonts w:ascii="Calibri" w:hAnsi="Calibri" w:cs="Calibri"/>
          <w:color w:val="0D0D0D" w:themeColor="text1" w:themeTint="F2"/>
        </w:rPr>
        <w:t>To mitigate these limitations</w:t>
      </w:r>
      <w:r w:rsidR="00FA03F8" w:rsidRPr="0054040C">
        <w:rPr>
          <w:rFonts w:ascii="Calibri" w:hAnsi="Calibri" w:cs="Calibri"/>
          <w:color w:val="0D0D0D" w:themeColor="text1" w:themeTint="F2"/>
        </w:rPr>
        <w:t>, Vanover (2021)</w:t>
      </w:r>
      <w:r w:rsidR="00947384" w:rsidRPr="0054040C">
        <w:rPr>
          <w:rFonts w:ascii="Calibri" w:hAnsi="Calibri" w:cs="Calibri"/>
          <w:color w:val="0D0D0D" w:themeColor="text1" w:themeTint="F2"/>
        </w:rPr>
        <w:t xml:space="preserve"> </w:t>
      </w:r>
      <w:r w:rsidR="005A16AB" w:rsidRPr="0054040C">
        <w:rPr>
          <w:rFonts w:ascii="Calibri" w:hAnsi="Calibri" w:cs="Calibri"/>
          <w:color w:val="0D0D0D" w:themeColor="text1" w:themeTint="F2"/>
        </w:rPr>
        <w:t>r</w:t>
      </w:r>
      <w:r w:rsidR="00947384" w:rsidRPr="0054040C">
        <w:rPr>
          <w:rFonts w:ascii="Calibri" w:hAnsi="Calibri" w:cs="Calibri"/>
          <w:color w:val="0D0D0D" w:themeColor="text1" w:themeTint="F2"/>
        </w:rPr>
        <w:t>ecommends the adoption of</w:t>
      </w:r>
      <w:r w:rsidR="006661CD" w:rsidRPr="0054040C">
        <w:rPr>
          <w:rFonts w:ascii="Calibri" w:hAnsi="Calibri" w:cs="Calibri"/>
          <w:color w:val="0D0D0D" w:themeColor="text1" w:themeTint="F2"/>
        </w:rPr>
        <w:t xml:space="preserve"> a</w:t>
      </w:r>
      <w:r w:rsidRPr="0054040C">
        <w:rPr>
          <w:rFonts w:ascii="Calibri" w:hAnsi="Calibri" w:cs="Calibri"/>
          <w:color w:val="0D0D0D" w:themeColor="text1" w:themeTint="F2"/>
        </w:rPr>
        <w:t xml:space="preserve"> consistent and detailed transcription protocol</w:t>
      </w:r>
      <w:r w:rsidR="006661CD" w:rsidRPr="0054040C">
        <w:rPr>
          <w:rFonts w:ascii="Calibri" w:hAnsi="Calibri" w:cs="Calibri"/>
          <w:color w:val="0D0D0D" w:themeColor="text1" w:themeTint="F2"/>
        </w:rPr>
        <w:t xml:space="preserve">, </w:t>
      </w:r>
      <w:r w:rsidRPr="0054040C">
        <w:rPr>
          <w:rFonts w:ascii="Calibri" w:hAnsi="Calibri" w:cs="Calibri"/>
          <w:color w:val="0D0D0D" w:themeColor="text1" w:themeTint="F2"/>
        </w:rPr>
        <w:t>review</w:t>
      </w:r>
      <w:r w:rsidR="006661CD" w:rsidRPr="0054040C">
        <w:rPr>
          <w:rFonts w:ascii="Calibri" w:hAnsi="Calibri" w:cs="Calibri"/>
          <w:color w:val="0D0D0D" w:themeColor="text1" w:themeTint="F2"/>
        </w:rPr>
        <w:t>ing</w:t>
      </w:r>
      <w:r w:rsidRPr="0054040C">
        <w:rPr>
          <w:rFonts w:ascii="Calibri" w:hAnsi="Calibri" w:cs="Calibri"/>
          <w:color w:val="0D0D0D" w:themeColor="text1" w:themeTint="F2"/>
        </w:rPr>
        <w:t xml:space="preserve"> </w:t>
      </w:r>
      <w:r w:rsidR="006661CD" w:rsidRPr="0054040C">
        <w:rPr>
          <w:rFonts w:ascii="Calibri" w:hAnsi="Calibri" w:cs="Calibri"/>
          <w:color w:val="0D0D0D" w:themeColor="text1" w:themeTint="F2"/>
        </w:rPr>
        <w:t xml:space="preserve">transcripts </w:t>
      </w:r>
      <w:r w:rsidRPr="0054040C">
        <w:rPr>
          <w:rFonts w:ascii="Calibri" w:hAnsi="Calibri" w:cs="Calibri"/>
          <w:color w:val="0D0D0D" w:themeColor="text1" w:themeTint="F2"/>
        </w:rPr>
        <w:t>against the audio recordings to ensure accuracy.</w:t>
      </w:r>
    </w:p>
    <w:p w14:paraId="77434DAA" w14:textId="5A63529B"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Thematic analysis offers several strengths</w:t>
      </w:r>
      <w:r w:rsidR="004813A3" w:rsidRPr="0054040C">
        <w:rPr>
          <w:rFonts w:ascii="Calibri" w:hAnsi="Calibri" w:cs="Calibri"/>
          <w:color w:val="0D0D0D" w:themeColor="text1" w:themeTint="F2"/>
        </w:rPr>
        <w:t>; i</w:t>
      </w:r>
      <w:r w:rsidRPr="0054040C">
        <w:rPr>
          <w:rFonts w:ascii="Calibri" w:hAnsi="Calibri" w:cs="Calibri"/>
          <w:color w:val="0D0D0D" w:themeColor="text1" w:themeTint="F2"/>
        </w:rPr>
        <w:t xml:space="preserve">ts flexibility allows it to be applied across a range of research questions and epistemological perspectives (Braun </w:t>
      </w:r>
      <w:r w:rsidR="00B84C4E" w:rsidRPr="0054040C">
        <w:rPr>
          <w:rFonts w:ascii="Calibri" w:hAnsi="Calibri" w:cs="Calibri"/>
          <w:color w:val="0D0D0D" w:themeColor="text1" w:themeTint="F2"/>
        </w:rPr>
        <w:t>and</w:t>
      </w:r>
      <w:r w:rsidRPr="0054040C">
        <w:rPr>
          <w:rFonts w:ascii="Calibri" w:hAnsi="Calibri" w:cs="Calibri"/>
          <w:color w:val="0D0D0D" w:themeColor="text1" w:themeTint="F2"/>
        </w:rPr>
        <w:t xml:space="preserve"> Clarke, 2006</w:t>
      </w:r>
      <w:r w:rsidR="00701A6B" w:rsidRPr="0054040C">
        <w:rPr>
          <w:rFonts w:ascii="Calibri" w:hAnsi="Calibri" w:cs="Calibri"/>
          <w:color w:val="0D0D0D" w:themeColor="text1" w:themeTint="F2"/>
        </w:rPr>
        <w:t>; Saldana, 2021)</w:t>
      </w:r>
      <w:r w:rsidR="0043211F" w:rsidRPr="0054040C">
        <w:rPr>
          <w:rFonts w:ascii="Calibri" w:hAnsi="Calibri" w:cs="Calibri"/>
          <w:color w:val="0D0D0D" w:themeColor="text1" w:themeTint="F2"/>
        </w:rPr>
        <w:t>, Wiltshire and Ronkainen (2021) attest</w:t>
      </w:r>
      <w:r w:rsidRPr="0054040C">
        <w:rPr>
          <w:rFonts w:ascii="Calibri" w:hAnsi="Calibri" w:cs="Calibri"/>
          <w:color w:val="0D0D0D" w:themeColor="text1" w:themeTint="F2"/>
        </w:rPr>
        <w:t xml:space="preserve"> </w:t>
      </w:r>
      <w:r w:rsidR="003C0132" w:rsidRPr="0054040C">
        <w:rPr>
          <w:rFonts w:ascii="Calibri" w:hAnsi="Calibri" w:cs="Calibri"/>
          <w:color w:val="0D0D0D" w:themeColor="text1" w:themeTint="F2"/>
        </w:rPr>
        <w:t>to it</w:t>
      </w:r>
      <w:r w:rsidRPr="0054040C">
        <w:rPr>
          <w:rFonts w:ascii="Calibri" w:hAnsi="Calibri" w:cs="Calibri"/>
          <w:color w:val="0D0D0D" w:themeColor="text1" w:themeTint="F2"/>
        </w:rPr>
        <w:t>s relative accessib</w:t>
      </w:r>
      <w:r w:rsidR="00A23B8D" w:rsidRPr="0054040C">
        <w:rPr>
          <w:rFonts w:ascii="Calibri" w:hAnsi="Calibri" w:cs="Calibri"/>
          <w:color w:val="0D0D0D" w:themeColor="text1" w:themeTint="F2"/>
        </w:rPr>
        <w:t>ility</w:t>
      </w:r>
      <w:r w:rsidRPr="0054040C">
        <w:rPr>
          <w:rFonts w:ascii="Calibri" w:hAnsi="Calibri" w:cs="Calibri"/>
          <w:color w:val="0D0D0D" w:themeColor="text1" w:themeTint="F2"/>
        </w:rPr>
        <w:t xml:space="preserve"> to researchers and can provide rich and detailed insights into complex phenomena. </w:t>
      </w:r>
      <w:r w:rsidR="009031AD" w:rsidRPr="0054040C">
        <w:rPr>
          <w:rFonts w:ascii="Calibri" w:hAnsi="Calibri" w:cs="Calibri"/>
          <w:color w:val="0D0D0D" w:themeColor="text1" w:themeTint="F2"/>
        </w:rPr>
        <w:t xml:space="preserve"> </w:t>
      </w:r>
      <w:r w:rsidR="00E739A2" w:rsidRPr="0054040C">
        <w:rPr>
          <w:rFonts w:ascii="Calibri" w:hAnsi="Calibri" w:cs="Calibri"/>
          <w:color w:val="0D0D0D" w:themeColor="text1" w:themeTint="F2"/>
        </w:rPr>
        <w:t>Ayre and McCaffey (2022)</w:t>
      </w:r>
      <w:r w:rsidR="001E1136" w:rsidRPr="0054040C">
        <w:rPr>
          <w:rFonts w:ascii="Calibri" w:hAnsi="Calibri" w:cs="Calibri"/>
          <w:color w:val="0D0D0D" w:themeColor="text1" w:themeTint="F2"/>
        </w:rPr>
        <w:t xml:space="preserve"> </w:t>
      </w:r>
      <w:r w:rsidR="00CA719C" w:rsidRPr="0054040C">
        <w:rPr>
          <w:rFonts w:ascii="Calibri" w:hAnsi="Calibri" w:cs="Calibri"/>
          <w:color w:val="0D0D0D" w:themeColor="text1" w:themeTint="F2"/>
        </w:rPr>
        <w:t xml:space="preserve">however </w:t>
      </w:r>
      <w:r w:rsidR="002D204E" w:rsidRPr="0054040C">
        <w:rPr>
          <w:rFonts w:ascii="Calibri" w:hAnsi="Calibri" w:cs="Calibri"/>
          <w:color w:val="0D0D0D" w:themeColor="text1" w:themeTint="F2"/>
        </w:rPr>
        <w:t>v</w:t>
      </w:r>
      <w:r w:rsidR="001E1136" w:rsidRPr="0054040C">
        <w:rPr>
          <w:rFonts w:ascii="Calibri" w:hAnsi="Calibri" w:cs="Calibri"/>
          <w:color w:val="0D0D0D" w:themeColor="text1" w:themeTint="F2"/>
        </w:rPr>
        <w:t>iew t</w:t>
      </w:r>
      <w:r w:rsidRPr="0054040C">
        <w:rPr>
          <w:rFonts w:ascii="Calibri" w:hAnsi="Calibri" w:cs="Calibri"/>
          <w:color w:val="0D0D0D" w:themeColor="text1" w:themeTint="F2"/>
        </w:rPr>
        <w:t xml:space="preserve">hematic analysis </w:t>
      </w:r>
      <w:r w:rsidR="001E1136" w:rsidRPr="0054040C">
        <w:rPr>
          <w:rFonts w:ascii="Calibri" w:hAnsi="Calibri" w:cs="Calibri"/>
          <w:color w:val="0D0D0D" w:themeColor="text1" w:themeTint="F2"/>
        </w:rPr>
        <w:t xml:space="preserve">as </w:t>
      </w:r>
      <w:r w:rsidRPr="0054040C">
        <w:rPr>
          <w:rFonts w:ascii="Calibri" w:hAnsi="Calibri" w:cs="Calibri"/>
          <w:color w:val="0D0D0D" w:themeColor="text1" w:themeTint="F2"/>
        </w:rPr>
        <w:t xml:space="preserve">subjective, </w:t>
      </w:r>
      <w:r w:rsidR="00FB34AB" w:rsidRPr="0054040C">
        <w:rPr>
          <w:rFonts w:ascii="Calibri" w:hAnsi="Calibri" w:cs="Calibri"/>
          <w:color w:val="0D0D0D" w:themeColor="text1" w:themeTint="F2"/>
        </w:rPr>
        <w:t xml:space="preserve">whilst Boyatzis (1998) cautions </w:t>
      </w:r>
      <w:r w:rsidRPr="0054040C">
        <w:rPr>
          <w:rFonts w:ascii="Calibri" w:hAnsi="Calibri" w:cs="Calibri"/>
          <w:color w:val="0D0D0D" w:themeColor="text1" w:themeTint="F2"/>
        </w:rPr>
        <w:t xml:space="preserve">identification and interpretation of themes can be influenced by the researcher's biases. </w:t>
      </w:r>
      <w:r w:rsidR="001E1136"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To enhance the trustworthiness of the analysis, </w:t>
      </w:r>
      <w:r w:rsidR="00F60BC2" w:rsidRPr="0054040C">
        <w:rPr>
          <w:rFonts w:ascii="Calibri" w:hAnsi="Calibri" w:cs="Calibri"/>
          <w:color w:val="0D0D0D" w:themeColor="text1" w:themeTint="F2"/>
        </w:rPr>
        <w:t xml:space="preserve">Lincoln and Guba (1985) suggest </w:t>
      </w:r>
      <w:r w:rsidRPr="0054040C">
        <w:rPr>
          <w:rFonts w:ascii="Calibri" w:hAnsi="Calibri" w:cs="Calibri"/>
          <w:color w:val="0D0D0D" w:themeColor="text1" w:themeTint="F2"/>
        </w:rPr>
        <w:t>strategies such as researcher reflexivity</w:t>
      </w:r>
      <w:r w:rsidR="00CA0F94" w:rsidRPr="0054040C">
        <w:rPr>
          <w:rFonts w:ascii="Calibri" w:hAnsi="Calibri" w:cs="Calibri"/>
          <w:color w:val="0D0D0D" w:themeColor="text1" w:themeTint="F2"/>
        </w:rPr>
        <w:t xml:space="preserve"> and </w:t>
      </w:r>
      <w:r w:rsidRPr="0054040C">
        <w:rPr>
          <w:rFonts w:ascii="Calibri" w:hAnsi="Calibri" w:cs="Calibri"/>
          <w:color w:val="0D0D0D" w:themeColor="text1" w:themeTint="F2"/>
        </w:rPr>
        <w:t xml:space="preserve">peer debriefing, </w:t>
      </w:r>
      <w:r w:rsidR="00CA0F94" w:rsidRPr="0054040C">
        <w:rPr>
          <w:rFonts w:ascii="Calibri" w:hAnsi="Calibri" w:cs="Calibri"/>
          <w:color w:val="0D0D0D" w:themeColor="text1" w:themeTint="F2"/>
        </w:rPr>
        <w:t>whilst</w:t>
      </w:r>
      <w:r w:rsidR="00FB34AB" w:rsidRPr="0054040C">
        <w:rPr>
          <w:rFonts w:ascii="Calibri" w:hAnsi="Calibri" w:cs="Calibri"/>
          <w:color w:val="0D0D0D" w:themeColor="text1" w:themeTint="F2"/>
        </w:rPr>
        <w:t xml:space="preserve"> </w:t>
      </w:r>
      <w:r w:rsidR="00C32D2D" w:rsidRPr="0054040C">
        <w:rPr>
          <w:rFonts w:ascii="Calibri" w:hAnsi="Calibri" w:cs="Calibri"/>
          <w:color w:val="0D0D0D" w:themeColor="text1" w:themeTint="F2"/>
        </w:rPr>
        <w:t xml:space="preserve">Ritchie et al (2013) </w:t>
      </w:r>
      <w:r w:rsidR="00CA0F94" w:rsidRPr="0054040C">
        <w:rPr>
          <w:rFonts w:ascii="Calibri" w:hAnsi="Calibri" w:cs="Calibri"/>
          <w:color w:val="0D0D0D" w:themeColor="text1" w:themeTint="F2"/>
        </w:rPr>
        <w:t>recommends that</w:t>
      </w:r>
      <w:r w:rsidRPr="0054040C">
        <w:rPr>
          <w:rFonts w:ascii="Calibri" w:hAnsi="Calibri" w:cs="Calibri"/>
          <w:color w:val="0D0D0D" w:themeColor="text1" w:themeTint="F2"/>
        </w:rPr>
        <w:t xml:space="preserve"> the provision of clear audit trails </w:t>
      </w:r>
      <w:r w:rsidR="00CA0F94" w:rsidRPr="0054040C">
        <w:rPr>
          <w:rFonts w:ascii="Calibri" w:hAnsi="Calibri" w:cs="Calibri"/>
          <w:color w:val="0D0D0D" w:themeColor="text1" w:themeTint="F2"/>
        </w:rPr>
        <w:t>should</w:t>
      </w:r>
      <w:r w:rsidRPr="0054040C">
        <w:rPr>
          <w:rFonts w:ascii="Calibri" w:hAnsi="Calibri" w:cs="Calibri"/>
          <w:color w:val="0D0D0D" w:themeColor="text1" w:themeTint="F2"/>
        </w:rPr>
        <w:t xml:space="preserve"> be employed</w:t>
      </w:r>
      <w:r w:rsidR="00F60BC2" w:rsidRPr="0054040C">
        <w:rPr>
          <w:rFonts w:ascii="Calibri" w:hAnsi="Calibri" w:cs="Calibri"/>
          <w:color w:val="0D0D0D" w:themeColor="text1" w:themeTint="F2"/>
        </w:rPr>
        <w:t xml:space="preserve">. </w:t>
      </w:r>
    </w:p>
    <w:p w14:paraId="6C0764DF" w14:textId="7F97FB3B" w:rsidR="00C41AA1" w:rsidRPr="0054040C" w:rsidRDefault="00B34124" w:rsidP="0054040C">
      <w:pPr>
        <w:spacing w:line="360" w:lineRule="auto"/>
        <w:rPr>
          <w:rFonts w:ascii="Calibri" w:hAnsi="Calibri" w:cs="Calibri"/>
          <w:color w:val="0D0D0D" w:themeColor="text1" w:themeTint="F2"/>
        </w:rPr>
      </w:pPr>
      <w:r w:rsidRPr="0054040C">
        <w:rPr>
          <w:rFonts w:ascii="Calibri" w:hAnsi="Calibri" w:cs="Calibri"/>
          <w:b/>
          <w:bCs/>
          <w:color w:val="0D0D0D" w:themeColor="text1" w:themeTint="F2"/>
        </w:rPr>
        <w:t xml:space="preserve">Method Two - </w:t>
      </w:r>
      <w:r w:rsidR="00C41AA1" w:rsidRPr="0054040C">
        <w:rPr>
          <w:rFonts w:ascii="Calibri" w:hAnsi="Calibri" w:cs="Calibri"/>
          <w:b/>
          <w:bCs/>
          <w:color w:val="0D0D0D" w:themeColor="text1" w:themeTint="F2"/>
        </w:rPr>
        <w:t>Quantitative Data Analysis: SPSS</w:t>
      </w:r>
    </w:p>
    <w:p w14:paraId="72B5B16D" w14:textId="04F6DC8F"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The quantitative data collected through the online questionnaires will be analysed using SPSS (Statistical Package for the Social Sciences).</w:t>
      </w:r>
      <w:r w:rsidR="00DE62F2"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SPSS is a widely used statistical software </w:t>
      </w:r>
      <w:r w:rsidRPr="0054040C">
        <w:rPr>
          <w:rFonts w:ascii="Calibri" w:hAnsi="Calibri" w:cs="Calibri"/>
          <w:color w:val="0D0D0D" w:themeColor="text1" w:themeTint="F2"/>
        </w:rPr>
        <w:lastRenderedPageBreak/>
        <w:t>package in social science research, offering a comprehensive range of statistical procedures for data management, analysis, and presentation (Pallant, 20</w:t>
      </w:r>
      <w:r w:rsidR="00FE5CD5" w:rsidRPr="0054040C">
        <w:rPr>
          <w:rFonts w:ascii="Calibri" w:hAnsi="Calibri" w:cs="Calibri"/>
          <w:color w:val="0D0D0D" w:themeColor="text1" w:themeTint="F2"/>
        </w:rPr>
        <w:t>20</w:t>
      </w:r>
      <w:r w:rsidRPr="0054040C">
        <w:rPr>
          <w:rFonts w:ascii="Calibri" w:hAnsi="Calibri" w:cs="Calibri"/>
          <w:color w:val="0D0D0D" w:themeColor="text1" w:themeTint="F2"/>
        </w:rPr>
        <w:t>).</w:t>
      </w:r>
    </w:p>
    <w:p w14:paraId="3F648A86" w14:textId="0258A1D6"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 xml:space="preserve">The analysis </w:t>
      </w:r>
      <w:r w:rsidR="00445BC7" w:rsidRPr="0054040C">
        <w:rPr>
          <w:rFonts w:ascii="Calibri" w:hAnsi="Calibri" w:cs="Calibri"/>
          <w:color w:val="0D0D0D" w:themeColor="text1" w:themeTint="F2"/>
        </w:rPr>
        <w:t>could</w:t>
      </w:r>
      <w:r w:rsidRPr="0054040C">
        <w:rPr>
          <w:rFonts w:ascii="Calibri" w:hAnsi="Calibri" w:cs="Calibri"/>
          <w:color w:val="0D0D0D" w:themeColor="text1" w:themeTint="F2"/>
        </w:rPr>
        <w:t xml:space="preserve"> begin with descriptive statistics to summarise the characteristics of the sample, including the frequency and percentage of male and female respondents, the gender distribution of their nurse educators, and their responses to the Likert scale questions regarding learning styles and perceptions of learning resources.</w:t>
      </w:r>
      <w:r w:rsidR="00AE5EBB"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These descriptive statistics will provide an overview of the data</w:t>
      </w:r>
      <w:r w:rsidR="004A2940" w:rsidRPr="0054040C">
        <w:rPr>
          <w:rFonts w:ascii="Calibri" w:hAnsi="Calibri" w:cs="Calibri"/>
          <w:color w:val="0D0D0D" w:themeColor="text1" w:themeTint="F2"/>
        </w:rPr>
        <w:t xml:space="preserve">, which Field (2018) maintains will </w:t>
      </w:r>
      <w:r w:rsidRPr="0054040C">
        <w:rPr>
          <w:rFonts w:ascii="Calibri" w:hAnsi="Calibri" w:cs="Calibri"/>
          <w:color w:val="0D0D0D" w:themeColor="text1" w:themeTint="F2"/>
        </w:rPr>
        <w:t>allow for the identification of initial patterns and trends.</w:t>
      </w:r>
    </w:p>
    <w:p w14:paraId="0F230E20" w14:textId="37099181"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Inferential statistics will then be used to explore potential relationships between variables and to determine the statistical significance of any observed differences between male and female students. For example, chi-square tests may be used to examine the association between gender and perceived barriers to learning (</w:t>
      </w:r>
      <w:r w:rsidR="008026F2" w:rsidRPr="0054040C">
        <w:rPr>
          <w:rFonts w:ascii="Calibri" w:hAnsi="Calibri" w:cs="Calibri"/>
          <w:color w:val="0D0D0D" w:themeColor="text1" w:themeTint="F2"/>
        </w:rPr>
        <w:t xml:space="preserve">Ozgur </w:t>
      </w:r>
      <w:r w:rsidR="008026F2" w:rsidRPr="0054040C">
        <w:rPr>
          <w:rFonts w:ascii="Calibri" w:hAnsi="Calibri" w:cs="Calibri"/>
          <w:i/>
          <w:iCs/>
          <w:color w:val="0D0D0D" w:themeColor="text1" w:themeTint="F2"/>
        </w:rPr>
        <w:t>et al.,</w:t>
      </w:r>
      <w:r w:rsidR="008026F2" w:rsidRPr="0054040C">
        <w:rPr>
          <w:rFonts w:ascii="Calibri" w:hAnsi="Calibri" w:cs="Calibri"/>
          <w:color w:val="0D0D0D" w:themeColor="text1" w:themeTint="F2"/>
        </w:rPr>
        <w:t xml:space="preserve"> 2015; </w:t>
      </w:r>
      <w:r w:rsidRPr="0054040C">
        <w:rPr>
          <w:rFonts w:ascii="Calibri" w:hAnsi="Calibri" w:cs="Calibri"/>
          <w:color w:val="0D0D0D" w:themeColor="text1" w:themeTint="F2"/>
        </w:rPr>
        <w:t xml:space="preserve">Field, 2018). </w:t>
      </w:r>
      <w:r w:rsidR="00FE5DFB" w:rsidRPr="0054040C">
        <w:rPr>
          <w:rFonts w:ascii="Calibri" w:hAnsi="Calibri" w:cs="Calibri"/>
          <w:color w:val="0D0D0D" w:themeColor="text1" w:themeTint="F2"/>
        </w:rPr>
        <w:t xml:space="preserve"> </w:t>
      </w:r>
      <w:r w:rsidRPr="0054040C">
        <w:rPr>
          <w:rFonts w:ascii="Calibri" w:hAnsi="Calibri" w:cs="Calibri"/>
          <w:color w:val="0D0D0D" w:themeColor="text1" w:themeTint="F2"/>
        </w:rPr>
        <w:t>Correlation analysis may also be employed to explore the relationship between the gender balance of educators and students' reported experiences.</w:t>
      </w:r>
    </w:p>
    <w:p w14:paraId="4EE19420" w14:textId="501D0133"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Quantitative data will be presented using tables</w:t>
      </w:r>
      <w:r w:rsidR="00FC1F78" w:rsidRPr="0054040C">
        <w:rPr>
          <w:rFonts w:ascii="Calibri" w:hAnsi="Calibri" w:cs="Calibri"/>
          <w:color w:val="0D0D0D" w:themeColor="text1" w:themeTint="F2"/>
        </w:rPr>
        <w:t xml:space="preserve"> and </w:t>
      </w:r>
      <w:r w:rsidRPr="0054040C">
        <w:rPr>
          <w:rFonts w:ascii="Calibri" w:hAnsi="Calibri" w:cs="Calibri"/>
          <w:color w:val="0D0D0D" w:themeColor="text1" w:themeTint="F2"/>
        </w:rPr>
        <w:t>graphs</w:t>
      </w:r>
      <w:r w:rsidR="004D32B0" w:rsidRPr="0054040C">
        <w:rPr>
          <w:rFonts w:ascii="Calibri" w:hAnsi="Calibri" w:cs="Calibri"/>
          <w:color w:val="0D0D0D" w:themeColor="text1" w:themeTint="F2"/>
        </w:rPr>
        <w:t>, for example</w:t>
      </w:r>
      <w:r w:rsidRPr="0054040C">
        <w:rPr>
          <w:rFonts w:ascii="Calibri" w:hAnsi="Calibri" w:cs="Calibri"/>
          <w:color w:val="0D0D0D" w:themeColor="text1" w:themeTint="F2"/>
        </w:rPr>
        <w:t xml:space="preserve"> bar charts, pie charts</w:t>
      </w:r>
      <w:r w:rsidR="004D32B0" w:rsidRPr="0054040C">
        <w:rPr>
          <w:rFonts w:ascii="Calibri" w:hAnsi="Calibri" w:cs="Calibri"/>
          <w:color w:val="0D0D0D" w:themeColor="text1" w:themeTint="F2"/>
        </w:rPr>
        <w:t xml:space="preserve"> or</w:t>
      </w:r>
      <w:r w:rsidRPr="0054040C">
        <w:rPr>
          <w:rFonts w:ascii="Calibri" w:hAnsi="Calibri" w:cs="Calibri"/>
          <w:color w:val="0D0D0D" w:themeColor="text1" w:themeTint="F2"/>
        </w:rPr>
        <w:t xml:space="preserve"> histograms, </w:t>
      </w:r>
      <w:r w:rsidR="008A66B8" w:rsidRPr="0054040C">
        <w:rPr>
          <w:rFonts w:ascii="Calibri" w:hAnsi="Calibri" w:cs="Calibri"/>
          <w:color w:val="0D0D0D" w:themeColor="text1" w:themeTint="F2"/>
        </w:rPr>
        <w:t>in addition to</w:t>
      </w:r>
      <w:r w:rsidRPr="0054040C">
        <w:rPr>
          <w:rFonts w:ascii="Calibri" w:hAnsi="Calibri" w:cs="Calibri"/>
          <w:color w:val="0D0D0D" w:themeColor="text1" w:themeTint="F2"/>
        </w:rPr>
        <w:t xml:space="preserve"> descriptive statistics within the written report. </w:t>
      </w:r>
      <w:r w:rsidR="00F36F18" w:rsidRPr="0054040C">
        <w:rPr>
          <w:rFonts w:ascii="Calibri" w:hAnsi="Calibri" w:cs="Calibri"/>
          <w:color w:val="0D0D0D" w:themeColor="text1" w:themeTint="F2"/>
        </w:rPr>
        <w:t xml:space="preserve"> </w:t>
      </w:r>
      <w:r w:rsidR="00EA0DEC" w:rsidRPr="0054040C">
        <w:rPr>
          <w:rFonts w:ascii="Calibri" w:hAnsi="Calibri" w:cs="Calibri"/>
          <w:color w:val="0D0D0D" w:themeColor="text1" w:themeTint="F2"/>
        </w:rPr>
        <w:t xml:space="preserve">Punch (2014) advises </w:t>
      </w:r>
      <w:r w:rsidR="00E1671F" w:rsidRPr="0054040C">
        <w:rPr>
          <w:rFonts w:ascii="Calibri" w:hAnsi="Calibri" w:cs="Calibri"/>
          <w:color w:val="0D0D0D" w:themeColor="text1" w:themeTint="F2"/>
        </w:rPr>
        <w:t>the v</w:t>
      </w:r>
      <w:r w:rsidRPr="0054040C">
        <w:rPr>
          <w:rFonts w:ascii="Calibri" w:hAnsi="Calibri" w:cs="Calibri"/>
          <w:color w:val="0D0D0D" w:themeColor="text1" w:themeTint="F2"/>
        </w:rPr>
        <w:t>isual representations will aid in the clear and concise communication of the findings.</w:t>
      </w:r>
      <w:r w:rsidR="00E1671F"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 Qualitative data will be presented </w:t>
      </w:r>
      <w:r w:rsidR="002D2594" w:rsidRPr="0054040C">
        <w:rPr>
          <w:rFonts w:ascii="Calibri" w:hAnsi="Calibri" w:cs="Calibri"/>
          <w:color w:val="0D0D0D" w:themeColor="text1" w:themeTint="F2"/>
        </w:rPr>
        <w:t>using</w:t>
      </w:r>
      <w:r w:rsidRPr="0054040C">
        <w:rPr>
          <w:rFonts w:ascii="Calibri" w:hAnsi="Calibri" w:cs="Calibri"/>
          <w:color w:val="0D0D0D" w:themeColor="text1" w:themeTint="F2"/>
        </w:rPr>
        <w:t xml:space="preserve"> thematic summaries supported by direct quotations from the interview transcripts, </w:t>
      </w:r>
      <w:r w:rsidR="000E1678" w:rsidRPr="0054040C">
        <w:rPr>
          <w:rFonts w:ascii="Calibri" w:hAnsi="Calibri" w:cs="Calibri"/>
          <w:color w:val="0D0D0D" w:themeColor="text1" w:themeTint="F2"/>
        </w:rPr>
        <w:t>which, promote</w:t>
      </w:r>
      <w:r w:rsidR="005D6839" w:rsidRPr="0054040C">
        <w:rPr>
          <w:rFonts w:ascii="Calibri" w:hAnsi="Calibri" w:cs="Calibri"/>
          <w:color w:val="0D0D0D" w:themeColor="text1" w:themeTint="F2"/>
        </w:rPr>
        <w:t>s Jasrai (2020),</w:t>
      </w:r>
      <w:r w:rsidR="000E1678" w:rsidRPr="0054040C">
        <w:rPr>
          <w:rFonts w:ascii="Calibri" w:hAnsi="Calibri" w:cs="Calibri"/>
          <w:color w:val="0D0D0D" w:themeColor="text1" w:themeTint="F2"/>
        </w:rPr>
        <w:t xml:space="preserve"> will </w:t>
      </w:r>
      <w:r w:rsidRPr="0054040C">
        <w:rPr>
          <w:rFonts w:ascii="Calibri" w:hAnsi="Calibri" w:cs="Calibri"/>
          <w:color w:val="0D0D0D" w:themeColor="text1" w:themeTint="F2"/>
        </w:rPr>
        <w:t xml:space="preserve">allow the voices and experiences of the </w:t>
      </w:r>
      <w:r w:rsidR="00295C0C" w:rsidRPr="0054040C">
        <w:rPr>
          <w:rFonts w:ascii="Calibri" w:hAnsi="Calibri" w:cs="Calibri"/>
          <w:color w:val="0D0D0D" w:themeColor="text1" w:themeTint="F2"/>
        </w:rPr>
        <w:t xml:space="preserve">student nurses </w:t>
      </w:r>
      <w:r w:rsidRPr="0054040C">
        <w:rPr>
          <w:rFonts w:ascii="Calibri" w:hAnsi="Calibri" w:cs="Calibri"/>
          <w:color w:val="0D0D0D" w:themeColor="text1" w:themeTint="F2"/>
        </w:rPr>
        <w:t xml:space="preserve">to be heard (Braun </w:t>
      </w:r>
      <w:r w:rsidR="00B84C4E" w:rsidRPr="0054040C">
        <w:rPr>
          <w:rFonts w:ascii="Calibri" w:hAnsi="Calibri" w:cs="Calibri"/>
          <w:color w:val="0D0D0D" w:themeColor="text1" w:themeTint="F2"/>
        </w:rPr>
        <w:t>and</w:t>
      </w:r>
      <w:r w:rsidRPr="0054040C">
        <w:rPr>
          <w:rFonts w:ascii="Calibri" w:hAnsi="Calibri" w:cs="Calibri"/>
          <w:color w:val="0D0D0D" w:themeColor="text1" w:themeTint="F2"/>
        </w:rPr>
        <w:t xml:space="preserve"> Clarke, 2006). </w:t>
      </w:r>
    </w:p>
    <w:p w14:paraId="3EFC79CC" w14:textId="3437A0C2"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SPSS offers a powerful and efficient tool for analysing large datasets, allowing for the application of a wide range of statistical techniques (Pallant, 20</w:t>
      </w:r>
      <w:r w:rsidR="00DA5A9D" w:rsidRPr="0054040C">
        <w:rPr>
          <w:rFonts w:ascii="Calibri" w:hAnsi="Calibri" w:cs="Calibri"/>
          <w:color w:val="0D0D0D" w:themeColor="text1" w:themeTint="F2"/>
        </w:rPr>
        <w:t>20</w:t>
      </w:r>
      <w:r w:rsidRPr="0054040C">
        <w:rPr>
          <w:rFonts w:ascii="Calibri" w:hAnsi="Calibri" w:cs="Calibri"/>
          <w:color w:val="0D0D0D" w:themeColor="text1" w:themeTint="F2"/>
        </w:rPr>
        <w:t xml:space="preserve">). </w:t>
      </w:r>
      <w:r w:rsidR="005F2C7B" w:rsidRPr="0054040C">
        <w:rPr>
          <w:rFonts w:ascii="Calibri" w:hAnsi="Calibri" w:cs="Calibri"/>
          <w:color w:val="0D0D0D" w:themeColor="text1" w:themeTint="F2"/>
        </w:rPr>
        <w:t xml:space="preserve"> </w:t>
      </w:r>
      <w:r w:rsidR="00587CF6" w:rsidRPr="0054040C">
        <w:rPr>
          <w:rFonts w:ascii="Calibri" w:hAnsi="Calibri" w:cs="Calibri"/>
          <w:color w:val="0D0D0D" w:themeColor="text1" w:themeTint="F2"/>
        </w:rPr>
        <w:t>Rahman and Muktadir (2021) advocate for t</w:t>
      </w:r>
      <w:r w:rsidRPr="0054040C">
        <w:rPr>
          <w:rFonts w:ascii="Calibri" w:hAnsi="Calibri" w:cs="Calibri"/>
          <w:color w:val="0D0D0D" w:themeColor="text1" w:themeTint="F2"/>
        </w:rPr>
        <w:t>he software's ability to generate visual representations of data also aids in the presentation of findings</w:t>
      </w:r>
      <w:r w:rsidR="0018075C" w:rsidRPr="0054040C">
        <w:rPr>
          <w:rFonts w:ascii="Calibri" w:hAnsi="Calibri" w:cs="Calibri"/>
          <w:color w:val="0D0D0D" w:themeColor="text1" w:themeTint="F2"/>
        </w:rPr>
        <w:t>, h</w:t>
      </w:r>
      <w:r w:rsidRPr="0054040C">
        <w:rPr>
          <w:rFonts w:ascii="Calibri" w:hAnsi="Calibri" w:cs="Calibri"/>
          <w:color w:val="0D0D0D" w:themeColor="text1" w:themeTint="F2"/>
        </w:rPr>
        <w:t xml:space="preserve">owever, </w:t>
      </w:r>
      <w:r w:rsidR="00B35C91" w:rsidRPr="0054040C">
        <w:rPr>
          <w:rFonts w:ascii="Calibri" w:hAnsi="Calibri" w:cs="Calibri"/>
          <w:color w:val="0D0D0D" w:themeColor="text1" w:themeTint="F2"/>
        </w:rPr>
        <w:t>Garth (2008) documents that a</w:t>
      </w:r>
      <w:r w:rsidRPr="0054040C">
        <w:rPr>
          <w:rFonts w:ascii="Calibri" w:hAnsi="Calibri" w:cs="Calibri"/>
          <w:color w:val="0D0D0D" w:themeColor="text1" w:themeTint="F2"/>
        </w:rPr>
        <w:t xml:space="preserve"> limitation of statistical analysis is that it can sometimes obscure the complexity and context of human experiences. </w:t>
      </w:r>
      <w:r w:rsidR="00853068" w:rsidRPr="0054040C">
        <w:rPr>
          <w:rFonts w:ascii="Calibri" w:hAnsi="Calibri" w:cs="Calibri"/>
          <w:color w:val="0D0D0D" w:themeColor="text1" w:themeTint="F2"/>
        </w:rPr>
        <w:t xml:space="preserve">  </w:t>
      </w:r>
      <w:r w:rsidR="002A0BDB" w:rsidRPr="0054040C">
        <w:rPr>
          <w:rFonts w:ascii="Calibri" w:hAnsi="Calibri" w:cs="Calibri"/>
          <w:color w:val="0D0D0D" w:themeColor="text1" w:themeTint="F2"/>
        </w:rPr>
        <w:t>T</w:t>
      </w:r>
      <w:r w:rsidRPr="0054040C">
        <w:rPr>
          <w:rFonts w:ascii="Calibri" w:hAnsi="Calibri" w:cs="Calibri"/>
          <w:color w:val="0D0D0D" w:themeColor="text1" w:themeTint="F2"/>
        </w:rPr>
        <w:t xml:space="preserve">he inappropriate application or interpretation of statistical tests can lead to </w:t>
      </w:r>
      <w:r w:rsidR="002A0BDB" w:rsidRPr="0054040C">
        <w:rPr>
          <w:rFonts w:ascii="Calibri" w:hAnsi="Calibri" w:cs="Calibri"/>
          <w:color w:val="0D0D0D" w:themeColor="text1" w:themeTint="F2"/>
        </w:rPr>
        <w:t>flawed</w:t>
      </w:r>
      <w:r w:rsidRPr="0054040C">
        <w:rPr>
          <w:rFonts w:ascii="Calibri" w:hAnsi="Calibri" w:cs="Calibri"/>
          <w:color w:val="0D0D0D" w:themeColor="text1" w:themeTint="F2"/>
        </w:rPr>
        <w:t xml:space="preserve"> conclusions (Field, 2018)</w:t>
      </w:r>
      <w:r w:rsidR="002A0BDB" w:rsidRPr="0054040C">
        <w:rPr>
          <w:rFonts w:ascii="Calibri" w:hAnsi="Calibri" w:cs="Calibri"/>
          <w:color w:val="0D0D0D" w:themeColor="text1" w:themeTint="F2"/>
        </w:rPr>
        <w:t>, t</w:t>
      </w:r>
      <w:r w:rsidRPr="0054040C">
        <w:rPr>
          <w:rFonts w:ascii="Calibri" w:hAnsi="Calibri" w:cs="Calibri"/>
          <w:color w:val="0D0D0D" w:themeColor="text1" w:themeTint="F2"/>
        </w:rPr>
        <w:t xml:space="preserve">herefore, </w:t>
      </w:r>
      <w:r w:rsidR="00216C1A" w:rsidRPr="0054040C">
        <w:rPr>
          <w:rFonts w:ascii="Calibri" w:hAnsi="Calibri" w:cs="Calibri"/>
          <w:color w:val="0D0D0D" w:themeColor="text1" w:themeTint="F2"/>
        </w:rPr>
        <w:t xml:space="preserve">Arkkelin (2014) recommends that </w:t>
      </w:r>
      <w:r w:rsidRPr="0054040C">
        <w:rPr>
          <w:rFonts w:ascii="Calibri" w:hAnsi="Calibri" w:cs="Calibri"/>
          <w:color w:val="0D0D0D" w:themeColor="text1" w:themeTint="F2"/>
        </w:rPr>
        <w:t>a thorough understanding of statistical principles and careful consideration of the assumptions underlying each test will be crucial</w:t>
      </w:r>
      <w:r w:rsidR="00216C1A" w:rsidRPr="0054040C">
        <w:rPr>
          <w:rFonts w:ascii="Calibri" w:hAnsi="Calibri" w:cs="Calibri"/>
          <w:color w:val="0D0D0D" w:themeColor="text1" w:themeTint="F2"/>
        </w:rPr>
        <w:t xml:space="preserve"> </w:t>
      </w:r>
      <w:r w:rsidR="002F6CC3" w:rsidRPr="0054040C">
        <w:rPr>
          <w:rFonts w:ascii="Calibri" w:hAnsi="Calibri" w:cs="Calibri"/>
          <w:color w:val="0D0D0D" w:themeColor="text1" w:themeTint="F2"/>
        </w:rPr>
        <w:t>when conducting the analysis.</w:t>
      </w:r>
    </w:p>
    <w:p w14:paraId="76D96FB5" w14:textId="1A73366F" w:rsidR="00C41AA1" w:rsidRPr="0054040C" w:rsidRDefault="00C41AA1"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lastRenderedPageBreak/>
        <w:t xml:space="preserve">The statistical findings from the questionnaire will be used to identify broader trends and patterns, while the in-depth insights from the interviews will provide context and explanation for these findings. For example, quantitative data might reveal a statistically significant difference in the perceived barriers to learning reported by male and female students, while the qualitative data could illuminate the specific nature of these gendered barriers and the lived experiences associated with them. </w:t>
      </w:r>
      <w:r w:rsidR="007C4FF0" w:rsidRPr="0054040C">
        <w:rPr>
          <w:rFonts w:ascii="Calibri" w:hAnsi="Calibri" w:cs="Calibri"/>
          <w:color w:val="0D0D0D" w:themeColor="text1" w:themeTint="F2"/>
        </w:rPr>
        <w:t xml:space="preserve"> </w:t>
      </w:r>
      <w:r w:rsidRPr="0054040C">
        <w:rPr>
          <w:rFonts w:ascii="Calibri" w:hAnsi="Calibri" w:cs="Calibri"/>
          <w:color w:val="0D0D0D" w:themeColor="text1" w:themeTint="F2"/>
        </w:rPr>
        <w:t>This triangulation of data will enhance the robustness and validity of the overall research findings.</w:t>
      </w:r>
    </w:p>
    <w:p w14:paraId="55933072" w14:textId="77777777" w:rsidR="00271D42" w:rsidRPr="0054040C" w:rsidRDefault="00271D42" w:rsidP="0054040C">
      <w:pPr>
        <w:spacing w:line="360" w:lineRule="auto"/>
        <w:rPr>
          <w:rFonts w:ascii="Calibri" w:hAnsi="Calibri" w:cs="Calibri"/>
          <w:color w:val="0D0D0D" w:themeColor="text1" w:themeTint="F2"/>
        </w:rPr>
      </w:pPr>
    </w:p>
    <w:p w14:paraId="1110737C" w14:textId="6D4FBEA8" w:rsidR="00795CFC" w:rsidRPr="0054040C" w:rsidRDefault="004C2362" w:rsidP="0054040C">
      <w:pPr>
        <w:spacing w:line="360" w:lineRule="auto"/>
        <w:rPr>
          <w:rFonts w:ascii="Calibri" w:hAnsi="Calibri" w:cs="Calibri"/>
          <w:b/>
          <w:bCs/>
          <w:color w:val="0D0D0D" w:themeColor="text1" w:themeTint="F2"/>
          <w:u w:val="single"/>
        </w:rPr>
      </w:pPr>
      <w:r w:rsidRPr="0054040C">
        <w:rPr>
          <w:rFonts w:ascii="Calibri" w:hAnsi="Calibri" w:cs="Calibri"/>
          <w:b/>
          <w:bCs/>
          <w:color w:val="0D0D0D" w:themeColor="text1" w:themeTint="F2"/>
          <w:u w:val="single"/>
        </w:rPr>
        <w:t>Part 5 – Conclusions</w:t>
      </w:r>
    </w:p>
    <w:p w14:paraId="7998E5F7" w14:textId="056EA15C" w:rsidR="006162A7" w:rsidRPr="0054040C" w:rsidRDefault="00F468A3"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w:t>
      </w:r>
      <w:r w:rsidR="006162A7" w:rsidRPr="0054040C">
        <w:rPr>
          <w:rFonts w:ascii="Calibri" w:hAnsi="Calibri" w:cs="Calibri"/>
          <w:color w:val="0D0D0D" w:themeColor="text1" w:themeTint="F2"/>
        </w:rPr>
        <w:t>he reliability of the data collection methods presents both strengths and limitations. The online questionnaire, with its standardised questions, aims for consiste</w:t>
      </w:r>
      <w:r w:rsidR="006C122B" w:rsidRPr="0054040C">
        <w:rPr>
          <w:rFonts w:ascii="Calibri" w:hAnsi="Calibri" w:cs="Calibri"/>
          <w:color w:val="0D0D0D" w:themeColor="text1" w:themeTint="F2"/>
        </w:rPr>
        <w:t>nt</w:t>
      </w:r>
      <w:r w:rsidR="006162A7" w:rsidRPr="0054040C">
        <w:rPr>
          <w:rFonts w:ascii="Calibri" w:hAnsi="Calibri" w:cs="Calibri"/>
          <w:color w:val="0D0D0D" w:themeColor="text1" w:themeTint="F2"/>
        </w:rPr>
        <w:t xml:space="preserve"> data collection across a large sample, enhancing its reliability (Bryman, 2016)</w:t>
      </w:r>
      <w:r w:rsidR="006C122B" w:rsidRPr="0054040C">
        <w:rPr>
          <w:rFonts w:ascii="Calibri" w:hAnsi="Calibri" w:cs="Calibri"/>
          <w:color w:val="0D0D0D" w:themeColor="text1" w:themeTint="F2"/>
        </w:rPr>
        <w:t xml:space="preserve"> h</w:t>
      </w:r>
      <w:r w:rsidR="006162A7" w:rsidRPr="0054040C">
        <w:rPr>
          <w:rFonts w:ascii="Calibri" w:hAnsi="Calibri" w:cs="Calibri"/>
          <w:color w:val="0D0D0D" w:themeColor="text1" w:themeTint="F2"/>
        </w:rPr>
        <w:t>owever, reliance on self-report data introduces potential for bias and inconsistencies in interpretation by respondents (Fink, 20</w:t>
      </w:r>
      <w:r w:rsidR="0001121A" w:rsidRPr="0054040C">
        <w:rPr>
          <w:rFonts w:ascii="Calibri" w:hAnsi="Calibri" w:cs="Calibri"/>
          <w:color w:val="0D0D0D" w:themeColor="text1" w:themeTint="F2"/>
        </w:rPr>
        <w:t>17</w:t>
      </w:r>
      <w:r w:rsidR="006162A7" w:rsidRPr="0054040C">
        <w:rPr>
          <w:rFonts w:ascii="Calibri" w:hAnsi="Calibri" w:cs="Calibri"/>
          <w:color w:val="0D0D0D" w:themeColor="text1" w:themeTint="F2"/>
        </w:rPr>
        <w:t>)</w:t>
      </w:r>
      <w:r w:rsidR="00795CFC" w:rsidRPr="0054040C">
        <w:rPr>
          <w:rFonts w:ascii="Calibri" w:hAnsi="Calibri" w:cs="Calibri"/>
          <w:color w:val="0D0D0D" w:themeColor="text1" w:themeTint="F2"/>
        </w:rPr>
        <w:t xml:space="preserve">.  </w:t>
      </w:r>
      <w:r w:rsidR="006162A7" w:rsidRPr="0054040C">
        <w:rPr>
          <w:rFonts w:ascii="Calibri" w:hAnsi="Calibri" w:cs="Calibri"/>
          <w:color w:val="0D0D0D" w:themeColor="text1" w:themeTint="F2"/>
        </w:rPr>
        <w:t xml:space="preserve">The semi-structured interviews, while offering rich qualitative data, may exhibit lower reliability due to the inherent flexibility in questioning and the potential for interviewer effects (Rubin </w:t>
      </w:r>
      <w:r w:rsidR="00B84C4E" w:rsidRPr="0054040C">
        <w:rPr>
          <w:rFonts w:ascii="Calibri" w:hAnsi="Calibri" w:cs="Calibri"/>
          <w:color w:val="0D0D0D" w:themeColor="text1" w:themeTint="F2"/>
        </w:rPr>
        <w:t>and</w:t>
      </w:r>
      <w:r w:rsidR="006162A7" w:rsidRPr="0054040C">
        <w:rPr>
          <w:rFonts w:ascii="Calibri" w:hAnsi="Calibri" w:cs="Calibri"/>
          <w:color w:val="0D0D0D" w:themeColor="text1" w:themeTint="F2"/>
        </w:rPr>
        <w:t xml:space="preserve"> Rubin, 2012</w:t>
      </w:r>
      <w:r w:rsidR="00AC3CF8" w:rsidRPr="0054040C">
        <w:rPr>
          <w:rFonts w:ascii="Calibri" w:hAnsi="Calibri" w:cs="Calibri"/>
          <w:color w:val="0D0D0D" w:themeColor="text1" w:themeTint="F2"/>
        </w:rPr>
        <w:t>).</w:t>
      </w:r>
    </w:p>
    <w:p w14:paraId="79BB27E4" w14:textId="53D0DD81" w:rsidR="006162A7" w:rsidRPr="0054040C" w:rsidRDefault="00112B55"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T</w:t>
      </w:r>
      <w:r w:rsidR="006162A7" w:rsidRPr="0054040C">
        <w:rPr>
          <w:rFonts w:ascii="Calibri" w:hAnsi="Calibri" w:cs="Calibri"/>
          <w:color w:val="0D0D0D" w:themeColor="text1" w:themeTint="F2"/>
        </w:rPr>
        <w:t xml:space="preserve">he mixed-methods approach strengthens the study's ability to provide a comprehensive and nuanced understanding of the research problem, enhancing its construct validity (Creswell </w:t>
      </w:r>
      <w:r w:rsidR="00B84C4E" w:rsidRPr="0054040C">
        <w:rPr>
          <w:rFonts w:ascii="Calibri" w:hAnsi="Calibri" w:cs="Calibri"/>
          <w:color w:val="0D0D0D" w:themeColor="text1" w:themeTint="F2"/>
        </w:rPr>
        <w:t>and</w:t>
      </w:r>
      <w:r w:rsidR="006162A7" w:rsidRPr="0054040C">
        <w:rPr>
          <w:rFonts w:ascii="Calibri" w:hAnsi="Calibri" w:cs="Calibri"/>
          <w:color w:val="0D0D0D" w:themeColor="text1" w:themeTint="F2"/>
        </w:rPr>
        <w:t xml:space="preserve"> Plano Clark, 2017). </w:t>
      </w:r>
      <w:r w:rsidR="0074464B" w:rsidRPr="0054040C">
        <w:rPr>
          <w:rFonts w:ascii="Calibri" w:hAnsi="Calibri" w:cs="Calibri"/>
          <w:color w:val="0D0D0D" w:themeColor="text1" w:themeTint="F2"/>
        </w:rPr>
        <w:t xml:space="preserve"> </w:t>
      </w:r>
      <w:r w:rsidR="006162A7" w:rsidRPr="0054040C">
        <w:rPr>
          <w:rFonts w:ascii="Calibri" w:hAnsi="Calibri" w:cs="Calibri"/>
          <w:color w:val="0D0D0D" w:themeColor="text1" w:themeTint="F2"/>
        </w:rPr>
        <w:t>Triangulating quantitative data on student perceptions with qualitative insights from interviews will</w:t>
      </w:r>
      <w:r w:rsidR="003506C4" w:rsidRPr="0054040C">
        <w:rPr>
          <w:rFonts w:ascii="Calibri" w:hAnsi="Calibri" w:cs="Calibri"/>
          <w:color w:val="0D0D0D" w:themeColor="text1" w:themeTint="F2"/>
        </w:rPr>
        <w:t>, maintain Dawadi</w:t>
      </w:r>
      <w:r w:rsidR="00764C2B" w:rsidRPr="0054040C">
        <w:rPr>
          <w:rFonts w:ascii="Calibri" w:hAnsi="Calibri" w:cs="Calibri"/>
          <w:color w:val="0D0D0D" w:themeColor="text1" w:themeTint="F2"/>
        </w:rPr>
        <w:t xml:space="preserve">, Shrestha and Giri (2021), </w:t>
      </w:r>
      <w:r w:rsidR="006162A7" w:rsidRPr="0054040C">
        <w:rPr>
          <w:rFonts w:ascii="Calibri" w:hAnsi="Calibri" w:cs="Calibri"/>
          <w:color w:val="0D0D0D" w:themeColor="text1" w:themeTint="F2"/>
        </w:rPr>
        <w:t xml:space="preserve">offer a more valid representation of the </w:t>
      </w:r>
      <w:r w:rsidR="00874B44" w:rsidRPr="0054040C">
        <w:rPr>
          <w:rFonts w:ascii="Calibri" w:hAnsi="Calibri" w:cs="Calibri"/>
          <w:color w:val="0D0D0D" w:themeColor="text1" w:themeTint="F2"/>
        </w:rPr>
        <w:t>phenomena</w:t>
      </w:r>
      <w:r w:rsidR="00CA1662" w:rsidRPr="0054040C">
        <w:rPr>
          <w:rFonts w:ascii="Calibri" w:hAnsi="Calibri" w:cs="Calibri"/>
          <w:color w:val="0D0D0D" w:themeColor="text1" w:themeTint="F2"/>
        </w:rPr>
        <w:t>, h</w:t>
      </w:r>
      <w:r w:rsidR="006162A7" w:rsidRPr="0054040C">
        <w:rPr>
          <w:rFonts w:ascii="Calibri" w:hAnsi="Calibri" w:cs="Calibri"/>
          <w:color w:val="0D0D0D" w:themeColor="text1" w:themeTint="F2"/>
        </w:rPr>
        <w:t>owever, the potential for self-selection bias in interview participants could impact internal validity.</w:t>
      </w:r>
    </w:p>
    <w:p w14:paraId="5A3671E1" w14:textId="4F62D9DB" w:rsidR="004618AE" w:rsidRPr="0054040C" w:rsidRDefault="006162A7"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t xml:space="preserve">Generalisability of the findings may be limited. </w:t>
      </w:r>
      <w:r w:rsidR="00AA03A7" w:rsidRPr="0054040C">
        <w:rPr>
          <w:rFonts w:ascii="Calibri" w:hAnsi="Calibri" w:cs="Calibri"/>
          <w:color w:val="0D0D0D" w:themeColor="text1" w:themeTint="F2"/>
        </w:rPr>
        <w:t xml:space="preserve"> </w:t>
      </w:r>
      <w:r w:rsidR="00ED5016" w:rsidRPr="0054040C">
        <w:rPr>
          <w:rFonts w:ascii="Calibri" w:hAnsi="Calibri" w:cs="Calibri"/>
          <w:color w:val="0D0D0D" w:themeColor="text1" w:themeTint="F2"/>
        </w:rPr>
        <w:t>Whilst</w:t>
      </w:r>
      <w:r w:rsidRPr="0054040C">
        <w:rPr>
          <w:rFonts w:ascii="Calibri" w:hAnsi="Calibri" w:cs="Calibri"/>
          <w:color w:val="0D0D0D" w:themeColor="text1" w:themeTint="F2"/>
        </w:rPr>
        <w:t xml:space="preserve"> focus</w:t>
      </w:r>
      <w:r w:rsidR="00AA03A7" w:rsidRPr="0054040C">
        <w:rPr>
          <w:rFonts w:ascii="Calibri" w:hAnsi="Calibri" w:cs="Calibri"/>
          <w:color w:val="0D0D0D" w:themeColor="text1" w:themeTint="F2"/>
        </w:rPr>
        <w:t>sing</w:t>
      </w:r>
      <w:r w:rsidRPr="0054040C">
        <w:rPr>
          <w:rFonts w:ascii="Calibri" w:hAnsi="Calibri" w:cs="Calibri"/>
          <w:color w:val="0D0D0D" w:themeColor="text1" w:themeTint="F2"/>
        </w:rPr>
        <w:t xml:space="preserve"> on nursing students within four universities in Wales provides a specific context</w:t>
      </w:r>
      <w:r w:rsidR="00AA03A7" w:rsidRPr="0054040C">
        <w:rPr>
          <w:rFonts w:ascii="Calibri" w:hAnsi="Calibri" w:cs="Calibri"/>
          <w:color w:val="0D0D0D" w:themeColor="text1" w:themeTint="F2"/>
        </w:rPr>
        <w:t xml:space="preserve">, </w:t>
      </w:r>
      <w:r w:rsidRPr="0054040C">
        <w:rPr>
          <w:rFonts w:ascii="Calibri" w:hAnsi="Calibri" w:cs="Calibri"/>
          <w:color w:val="0D0D0D" w:themeColor="text1" w:themeTint="F2"/>
        </w:rPr>
        <w:t xml:space="preserve">caution will be needed when </w:t>
      </w:r>
      <w:r w:rsidR="00556B4C" w:rsidRPr="0054040C">
        <w:rPr>
          <w:rFonts w:ascii="Calibri" w:hAnsi="Calibri" w:cs="Calibri"/>
          <w:color w:val="0D0D0D" w:themeColor="text1" w:themeTint="F2"/>
        </w:rPr>
        <w:t xml:space="preserve">drawing conclusions </w:t>
      </w:r>
      <w:r w:rsidR="00A15409" w:rsidRPr="0054040C">
        <w:rPr>
          <w:rFonts w:ascii="Calibri" w:hAnsi="Calibri" w:cs="Calibri"/>
          <w:color w:val="0D0D0D" w:themeColor="text1" w:themeTint="F2"/>
        </w:rPr>
        <w:t xml:space="preserve">against </w:t>
      </w:r>
      <w:r w:rsidRPr="0054040C">
        <w:rPr>
          <w:rFonts w:ascii="Calibri" w:hAnsi="Calibri" w:cs="Calibri"/>
          <w:color w:val="0D0D0D" w:themeColor="text1" w:themeTint="F2"/>
        </w:rPr>
        <w:t>other regions or different types of nursing programmes (Bryman, 2016). The relatively lower number of male participants may further limit the generalisability of findings specific to their experiences</w:t>
      </w:r>
      <w:r w:rsidR="002F7FF9" w:rsidRPr="0054040C">
        <w:rPr>
          <w:rFonts w:ascii="Calibri" w:hAnsi="Calibri" w:cs="Calibri"/>
          <w:color w:val="0D0D0D" w:themeColor="text1" w:themeTint="F2"/>
        </w:rPr>
        <w:t>, however f</w:t>
      </w:r>
      <w:r w:rsidRPr="0054040C">
        <w:rPr>
          <w:rFonts w:ascii="Calibri" w:hAnsi="Calibri" w:cs="Calibri"/>
          <w:color w:val="0D0D0D" w:themeColor="text1" w:themeTint="F2"/>
        </w:rPr>
        <w:t xml:space="preserve">uture research across a wider range of institutions and geographical locations </w:t>
      </w:r>
      <w:r w:rsidR="002F7FF9" w:rsidRPr="0054040C">
        <w:rPr>
          <w:rFonts w:ascii="Calibri" w:hAnsi="Calibri" w:cs="Calibri"/>
          <w:color w:val="0D0D0D" w:themeColor="text1" w:themeTint="F2"/>
        </w:rPr>
        <w:t>c</w:t>
      </w:r>
      <w:r w:rsidRPr="0054040C">
        <w:rPr>
          <w:rFonts w:ascii="Calibri" w:hAnsi="Calibri" w:cs="Calibri"/>
          <w:color w:val="0D0D0D" w:themeColor="text1" w:themeTint="F2"/>
        </w:rPr>
        <w:t>ould establish broader generalisability</w:t>
      </w:r>
      <w:r w:rsidR="00500A6A" w:rsidRPr="0054040C">
        <w:rPr>
          <w:rFonts w:ascii="Calibri" w:hAnsi="Calibri" w:cs="Calibri"/>
          <w:color w:val="0D0D0D" w:themeColor="text1" w:themeTint="F2"/>
        </w:rPr>
        <w:t>.</w:t>
      </w:r>
    </w:p>
    <w:p w14:paraId="4EE75741" w14:textId="66ACA2EC" w:rsidR="004C2362" w:rsidRPr="0054040C" w:rsidRDefault="004618AE" w:rsidP="0054040C">
      <w:pPr>
        <w:spacing w:line="360" w:lineRule="auto"/>
        <w:rPr>
          <w:rFonts w:ascii="Calibri" w:hAnsi="Calibri" w:cs="Calibri"/>
          <w:color w:val="0D0D0D" w:themeColor="text1" w:themeTint="F2"/>
        </w:rPr>
      </w:pPr>
      <w:r w:rsidRPr="0054040C">
        <w:rPr>
          <w:rFonts w:ascii="Calibri" w:hAnsi="Calibri" w:cs="Calibri"/>
          <w:color w:val="0D0D0D" w:themeColor="text1" w:themeTint="F2"/>
        </w:rPr>
        <w:lastRenderedPageBreak/>
        <w:t>W</w:t>
      </w:r>
      <w:r w:rsidRPr="0054040C">
        <w:rPr>
          <w:rFonts w:ascii="Calibri" w:hAnsi="Calibri" w:cs="Calibri"/>
          <w:color w:val="0D0D0D" w:themeColor="text1" w:themeTint="F2"/>
        </w:rPr>
        <w:t>hile acknowledging the inherent limitations, the chosen methodological approach, with its combination of quantitative and qualitative methods and careful consideration of ethical implications, offers a robust framework for investigating the potential for gender bias in Welsh nurse education and its impact on male student experiences and attrition</w:t>
      </w:r>
      <w:r w:rsidR="00014857" w:rsidRPr="0054040C">
        <w:rPr>
          <w:rFonts w:ascii="Calibri" w:hAnsi="Calibri" w:cs="Calibri"/>
          <w:color w:val="0D0D0D" w:themeColor="text1" w:themeTint="F2"/>
        </w:rPr>
        <w:t>.</w:t>
      </w:r>
    </w:p>
    <w:p w14:paraId="1C0B38F9" w14:textId="77777777" w:rsidR="004C2362" w:rsidRPr="00AE3C29" w:rsidRDefault="004C2362" w:rsidP="004C2362">
      <w:pPr>
        <w:rPr>
          <w:rFonts w:ascii="Calibri" w:hAnsi="Calibri" w:cs="Calibri"/>
          <w:color w:val="FF0000"/>
        </w:rPr>
      </w:pPr>
      <w:r w:rsidRPr="00AE3C29">
        <w:rPr>
          <w:rFonts w:ascii="Calibri" w:hAnsi="Calibri" w:cs="Calibri"/>
          <w:color w:val="FF0000"/>
        </w:rPr>
        <w:br w:type="page"/>
      </w:r>
    </w:p>
    <w:p w14:paraId="7595728F" w14:textId="77777777" w:rsidR="004C2362" w:rsidRPr="00AE3C29" w:rsidRDefault="004C2362" w:rsidP="004C2362">
      <w:pPr>
        <w:rPr>
          <w:rFonts w:ascii="Calibri" w:hAnsi="Calibri" w:cs="Calibri"/>
          <w:color w:val="FF0000"/>
        </w:rPr>
      </w:pPr>
      <w:r w:rsidRPr="00AE3C29">
        <w:rPr>
          <w:rFonts w:ascii="Calibri" w:hAnsi="Calibri" w:cs="Calibri"/>
          <w:color w:val="FF0000"/>
        </w:rPr>
        <w:lastRenderedPageBreak/>
        <w:t>Reference List</w:t>
      </w:r>
    </w:p>
    <w:p w14:paraId="3289BEC7" w14:textId="77777777" w:rsidR="0029251A" w:rsidRPr="00D66A9C" w:rsidRDefault="0029251A" w:rsidP="0029251A">
      <w:pPr>
        <w:spacing w:line="276" w:lineRule="auto"/>
        <w:rPr>
          <w:rFonts w:ascii="Calibri" w:eastAsia="DengXian" w:hAnsi="Calibri" w:cs="Calibri"/>
          <w:kern w:val="0"/>
          <w14:ligatures w14:val="none"/>
        </w:rPr>
      </w:pPr>
      <w:r w:rsidRPr="00D66A9C">
        <w:rPr>
          <w:rFonts w:ascii="Calibri" w:eastAsia="DengXian" w:hAnsi="Calibri" w:cs="Calibri"/>
          <w:kern w:val="0"/>
          <w14:ligatures w14:val="none"/>
        </w:rPr>
        <w:t xml:space="preserve">Adeniji, O., Akanni, A., Owkulaemi, R. and Ekundayo, O. (2015) ‘Gender difference in emotional labour among nurses’ </w:t>
      </w:r>
      <w:r w:rsidRPr="00D66A9C">
        <w:rPr>
          <w:rFonts w:ascii="Calibri" w:eastAsia="DengXian" w:hAnsi="Calibri" w:cs="Calibri"/>
          <w:i/>
          <w:iCs/>
          <w:kern w:val="0"/>
          <w14:ligatures w14:val="none"/>
        </w:rPr>
        <w:t>Gender and Behaviour,</w:t>
      </w:r>
      <w:r w:rsidRPr="00D66A9C">
        <w:rPr>
          <w:rFonts w:ascii="Calibri" w:eastAsia="DengXian" w:hAnsi="Calibri" w:cs="Calibri"/>
          <w:kern w:val="0"/>
          <w14:ligatures w14:val="none"/>
        </w:rPr>
        <w:t xml:space="preserve"> 13(2), pp 6789–6794.</w:t>
      </w:r>
    </w:p>
    <w:p w14:paraId="69689B47"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Andrew, L., Robinson, K., Dare, J. and Costello, L. (2023) ‘Nursing students doing gender: Implications for higher education and the nursing profession’, </w:t>
      </w:r>
      <w:r w:rsidRPr="00D66A9C">
        <w:rPr>
          <w:rFonts w:ascii="Calibri" w:hAnsi="Calibri" w:cs="Calibri"/>
          <w:i/>
          <w:iCs/>
          <w:color w:val="0D0D0D" w:themeColor="text1" w:themeTint="F2"/>
        </w:rPr>
        <w:t>Nursing Inquiry,</w:t>
      </w:r>
      <w:r w:rsidRPr="00D66A9C">
        <w:rPr>
          <w:rFonts w:ascii="Calibri" w:hAnsi="Calibri" w:cs="Calibri"/>
          <w:color w:val="0D0D0D" w:themeColor="text1" w:themeTint="F2"/>
        </w:rPr>
        <w:t xml:space="preserve"> 30(1), e12516. doi: 10.1111/nin.12516.</w:t>
      </w:r>
    </w:p>
    <w:p w14:paraId="6D19DB77"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Andrews, T. (2012) ‘What is Social Constructionism?’, </w:t>
      </w:r>
      <w:r w:rsidRPr="00D66A9C">
        <w:rPr>
          <w:rFonts w:ascii="Calibri" w:hAnsi="Calibri" w:cs="Calibri"/>
          <w:i/>
          <w:iCs/>
          <w:color w:val="0D0D0D" w:themeColor="text1" w:themeTint="F2"/>
        </w:rPr>
        <w:t>The Grounded Theory Review,</w:t>
      </w:r>
      <w:r w:rsidRPr="00D66A9C">
        <w:rPr>
          <w:rFonts w:ascii="Calibri" w:hAnsi="Calibri" w:cs="Calibri"/>
          <w:color w:val="0D0D0D" w:themeColor="text1" w:themeTint="F2"/>
        </w:rPr>
        <w:t xml:space="preserve"> 11(1), pp. 39-46. </w:t>
      </w:r>
    </w:p>
    <w:p w14:paraId="14055AEB" w14:textId="77777777" w:rsidR="0029251A" w:rsidRPr="00D66A9C" w:rsidRDefault="0029251A" w:rsidP="0029251A">
      <w:pPr>
        <w:spacing w:line="276" w:lineRule="auto"/>
        <w:rPr>
          <w:rFonts w:ascii="Calibri" w:hAnsi="Calibri" w:cs="Calibri"/>
          <w:i/>
          <w:iCs/>
          <w:color w:val="0D0D0D" w:themeColor="text1" w:themeTint="F2"/>
        </w:rPr>
      </w:pPr>
      <w:r w:rsidRPr="00D66A9C">
        <w:rPr>
          <w:rFonts w:ascii="Calibri" w:hAnsi="Calibri" w:cs="Calibri"/>
          <w:color w:val="0D0D0D" w:themeColor="text1" w:themeTint="F2"/>
        </w:rPr>
        <w:t xml:space="preserve"> Arkkelin, D. (2014)</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Using SPSS to Understand Research and Data Analysis</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Psychology Curricular Materials.</w:t>
      </w:r>
    </w:p>
    <w:p w14:paraId="2C7DB86C"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Attia, M. and Edge, J. (2017) ‘Be(com)ing a reflexive researcher: a developmental approach to research methodology’, </w:t>
      </w:r>
      <w:r w:rsidRPr="00D66A9C">
        <w:rPr>
          <w:rFonts w:ascii="Calibri" w:hAnsi="Calibri" w:cs="Calibri"/>
          <w:i/>
          <w:iCs/>
          <w:color w:val="0D0D0D" w:themeColor="text1" w:themeTint="F2"/>
        </w:rPr>
        <w:t>Open Review of Educational Research</w:t>
      </w:r>
      <w:r w:rsidRPr="00D66A9C">
        <w:rPr>
          <w:rFonts w:ascii="Calibri" w:hAnsi="Calibri" w:cs="Calibri"/>
          <w:color w:val="0D0D0D" w:themeColor="text1" w:themeTint="F2"/>
        </w:rPr>
        <w:t xml:space="preserve">, 4(1), pp. 33–45. </w:t>
      </w:r>
      <w:r w:rsidRPr="00D66A9C">
        <w:rPr>
          <w:rFonts w:ascii="Calibri" w:hAnsi="Calibri" w:cs="Calibri"/>
        </w:rPr>
        <w:t>https://doi.org/10.1080/23265507.2017.1300068</w:t>
      </w:r>
      <w:r w:rsidRPr="00D66A9C">
        <w:rPr>
          <w:rFonts w:ascii="Calibri" w:hAnsi="Calibri" w:cs="Calibri"/>
          <w:color w:val="0D0D0D" w:themeColor="text1" w:themeTint="F2"/>
        </w:rPr>
        <w:t>.</w:t>
      </w:r>
    </w:p>
    <w:p w14:paraId="6E18D2E9"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Ayre, J. and McCaffey, J. K. (2022) ‘</w:t>
      </w:r>
      <w:r w:rsidRPr="00D66A9C">
        <w:rPr>
          <w:rFonts w:ascii="Calibri" w:hAnsi="Calibri" w:cs="Calibri"/>
          <w:color w:val="0D0D0D" w:themeColor="text1" w:themeTint="F2"/>
        </w:rPr>
        <w:t>Research Note: Thematic analysis in qualitative research</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Journal of Physiotherapy,</w:t>
      </w:r>
      <w:r w:rsidRPr="00D66A9C">
        <w:rPr>
          <w:rFonts w:ascii="Calibri" w:hAnsi="Calibri" w:cs="Calibri"/>
          <w:color w:val="0D0D0D" w:themeColor="text1" w:themeTint="F2"/>
        </w:rPr>
        <w:t xml:space="preserve"> 68(1), pp. 76-79.</w:t>
      </w:r>
    </w:p>
    <w:p w14:paraId="49602004"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Bearman, M. (2019) ‘</w:t>
      </w:r>
      <w:r w:rsidRPr="00D66A9C">
        <w:rPr>
          <w:rFonts w:ascii="Calibri" w:hAnsi="Calibri" w:cs="Calibri"/>
          <w:color w:val="0D0D0D" w:themeColor="text1" w:themeTint="F2"/>
        </w:rPr>
        <w:t xml:space="preserve">Focus on Methodology: Eliciting rich data: A practical approach to writing semi-structured interview schedules </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Focus On Health Professional Education: A Multi-Professional Journal</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20</w:t>
      </w:r>
      <w:r w:rsidRPr="00D66A9C">
        <w:rPr>
          <w:rFonts w:ascii="Calibri" w:hAnsi="Calibri" w:cs="Calibri"/>
          <w:color w:val="0D0D0D" w:themeColor="text1" w:themeTint="F2"/>
        </w:rPr>
        <w:t>(</w:t>
      </w:r>
      <w:r w:rsidRPr="00D66A9C">
        <w:rPr>
          <w:rFonts w:ascii="Calibri" w:hAnsi="Calibri" w:cs="Calibri"/>
          <w:color w:val="0D0D0D" w:themeColor="text1" w:themeTint="F2"/>
        </w:rPr>
        <w:t>3</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t>
      </w:r>
    </w:p>
    <w:p w14:paraId="07B91E89"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Beauchamp</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T</w:t>
      </w:r>
      <w:r w:rsidRPr="00D66A9C">
        <w:rPr>
          <w:rFonts w:ascii="Calibri" w:hAnsi="Calibri" w:cs="Calibri"/>
          <w:color w:val="0D0D0D" w:themeColor="text1" w:themeTint="F2"/>
        </w:rPr>
        <w:t>. and</w:t>
      </w:r>
      <w:r w:rsidRPr="00D66A9C">
        <w:rPr>
          <w:rFonts w:ascii="Calibri" w:hAnsi="Calibri" w:cs="Calibri"/>
          <w:color w:val="0D0D0D" w:themeColor="text1" w:themeTint="F2"/>
        </w:rPr>
        <w:t xml:space="preserve"> Childress</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J. </w:t>
      </w:r>
      <w:r w:rsidRPr="00D66A9C">
        <w:rPr>
          <w:rFonts w:ascii="Calibri" w:hAnsi="Calibri" w:cs="Calibri"/>
          <w:color w:val="0D0D0D" w:themeColor="text1" w:themeTint="F2"/>
        </w:rPr>
        <w:t>(2019) ‘</w:t>
      </w:r>
      <w:r w:rsidRPr="00D66A9C">
        <w:rPr>
          <w:rFonts w:ascii="Calibri" w:hAnsi="Calibri" w:cs="Calibri"/>
          <w:color w:val="0D0D0D" w:themeColor="text1" w:themeTint="F2"/>
        </w:rPr>
        <w:t>Principles of Biomedical Ethics: Marking Its Fortieth Anniversary</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Am</w:t>
      </w:r>
      <w:r w:rsidRPr="00D66A9C">
        <w:rPr>
          <w:rFonts w:ascii="Calibri" w:hAnsi="Calibri" w:cs="Calibri"/>
          <w:i/>
          <w:iCs/>
          <w:color w:val="0D0D0D" w:themeColor="text1" w:themeTint="F2"/>
        </w:rPr>
        <w:t>erican</w:t>
      </w:r>
      <w:r w:rsidRPr="00D66A9C">
        <w:rPr>
          <w:rFonts w:ascii="Calibri" w:hAnsi="Calibri" w:cs="Calibri"/>
          <w:i/>
          <w:iCs/>
          <w:color w:val="0D0D0D" w:themeColor="text1" w:themeTint="F2"/>
        </w:rPr>
        <w:t xml:space="preserve"> J</w:t>
      </w:r>
      <w:r w:rsidRPr="00D66A9C">
        <w:rPr>
          <w:rFonts w:ascii="Calibri" w:hAnsi="Calibri" w:cs="Calibri"/>
          <w:i/>
          <w:iCs/>
          <w:color w:val="0D0D0D" w:themeColor="text1" w:themeTint="F2"/>
        </w:rPr>
        <w:t>ournal of</w:t>
      </w:r>
      <w:r w:rsidRPr="00D66A9C">
        <w:rPr>
          <w:rFonts w:ascii="Calibri" w:hAnsi="Calibri" w:cs="Calibri"/>
          <w:i/>
          <w:iCs/>
          <w:color w:val="0D0D0D" w:themeColor="text1" w:themeTint="F2"/>
        </w:rPr>
        <w:t xml:space="preserve"> Bioeth</w:t>
      </w:r>
      <w:r w:rsidRPr="00D66A9C">
        <w:rPr>
          <w:rFonts w:ascii="Calibri" w:hAnsi="Calibri" w:cs="Calibri"/>
          <w:i/>
          <w:iCs/>
          <w:color w:val="0D0D0D" w:themeColor="text1" w:themeTint="F2"/>
        </w:rPr>
        <w:t>ics</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19(11)</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9-12. doi: 10.1080/15265161.2019.1665402.</w:t>
      </w:r>
    </w:p>
    <w:p w14:paraId="63D52284"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Berger, P. L. and Luckmann, T. (1966) </w:t>
      </w:r>
      <w:r w:rsidRPr="00D66A9C">
        <w:rPr>
          <w:rFonts w:ascii="Calibri" w:hAnsi="Calibri" w:cs="Calibri"/>
          <w:i/>
          <w:iCs/>
          <w:color w:val="0D0D0D" w:themeColor="text1" w:themeTint="F2"/>
        </w:rPr>
        <w:t xml:space="preserve">The Social Construction of Reality: A Treatise in the Sociology of Knowledge. </w:t>
      </w:r>
      <w:r w:rsidRPr="00D66A9C">
        <w:rPr>
          <w:rFonts w:ascii="Calibri" w:hAnsi="Calibri" w:cs="Calibri"/>
          <w:color w:val="0D0D0D" w:themeColor="text1" w:themeTint="F2"/>
        </w:rPr>
        <w:t>New York: Doubleday and Company.</w:t>
      </w:r>
    </w:p>
    <w:p w14:paraId="029A1D5D"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Berger, R. (2015) ‘Now I see, now I don’t: Researcher’s position and reflexivity in qualitative research’, </w:t>
      </w:r>
      <w:r w:rsidRPr="00D66A9C">
        <w:rPr>
          <w:rFonts w:ascii="Calibri" w:hAnsi="Calibri" w:cs="Calibri"/>
          <w:i/>
          <w:iCs/>
          <w:color w:val="0D0D0D" w:themeColor="text1" w:themeTint="F2"/>
        </w:rPr>
        <w:t>Qualitative Research</w:t>
      </w:r>
      <w:r w:rsidRPr="00D66A9C">
        <w:rPr>
          <w:rFonts w:ascii="Calibri" w:hAnsi="Calibri" w:cs="Calibri"/>
          <w:color w:val="0D0D0D" w:themeColor="text1" w:themeTint="F2"/>
        </w:rPr>
        <w:t>, 15(2), pp. 219–234.</w:t>
      </w:r>
    </w:p>
    <w:p w14:paraId="6D65327A"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Bird</w:t>
      </w:r>
      <w:r w:rsidRPr="00D66A9C">
        <w:rPr>
          <w:rFonts w:ascii="Calibri" w:hAnsi="Calibri" w:cs="Calibri"/>
          <w:color w:val="0D0D0D" w:themeColor="text1" w:themeTint="F2"/>
        </w:rPr>
        <w:t>, C. M. (2005) ‘</w:t>
      </w:r>
      <w:r w:rsidRPr="00D66A9C">
        <w:rPr>
          <w:rFonts w:ascii="Calibri" w:hAnsi="Calibri" w:cs="Calibri"/>
          <w:color w:val="0D0D0D" w:themeColor="text1" w:themeTint="F2"/>
        </w:rPr>
        <w:t>How I stopped dreading and learned to love transcription</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Qualitative Inquiry,</w:t>
      </w:r>
      <w:r w:rsidRPr="00D66A9C">
        <w:rPr>
          <w:rFonts w:ascii="Calibri" w:hAnsi="Calibri" w:cs="Calibri"/>
          <w:color w:val="0D0D0D" w:themeColor="text1" w:themeTint="F2"/>
        </w:rPr>
        <w:t xml:space="preserve"> 11, pp. 226-248</w:t>
      </w:r>
      <w:r w:rsidRPr="00D66A9C">
        <w:rPr>
          <w:rFonts w:ascii="Calibri" w:hAnsi="Calibri" w:cs="Calibri"/>
          <w:color w:val="0D0D0D" w:themeColor="text1" w:themeTint="F2"/>
        </w:rPr>
        <w:t>.</w:t>
      </w:r>
    </w:p>
    <w:p w14:paraId="5E4E6D47"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Bishop</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P</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A</w:t>
      </w:r>
      <w:r w:rsidRPr="00D66A9C">
        <w:rPr>
          <w:rFonts w:ascii="Calibri" w:hAnsi="Calibri" w:cs="Calibri"/>
          <w:color w:val="0D0D0D" w:themeColor="text1" w:themeTint="F2"/>
        </w:rPr>
        <w:t>. and</w:t>
      </w:r>
      <w:r w:rsidRPr="00D66A9C">
        <w:rPr>
          <w:rFonts w:ascii="Calibri" w:hAnsi="Calibri" w:cs="Calibri"/>
          <w:color w:val="0D0D0D" w:themeColor="text1" w:themeTint="F2"/>
        </w:rPr>
        <w:t xml:space="preserve"> Herron</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R</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 xml:space="preserve">L. </w:t>
      </w:r>
      <w:r w:rsidRPr="00D66A9C">
        <w:rPr>
          <w:rFonts w:ascii="Calibri" w:hAnsi="Calibri" w:cs="Calibri"/>
          <w:color w:val="0D0D0D" w:themeColor="text1" w:themeTint="F2"/>
        </w:rPr>
        <w:t>(2015) ‘</w:t>
      </w:r>
      <w:r w:rsidRPr="00D66A9C">
        <w:rPr>
          <w:rFonts w:ascii="Calibri" w:hAnsi="Calibri" w:cs="Calibri"/>
          <w:color w:val="0D0D0D" w:themeColor="text1" w:themeTint="F2"/>
        </w:rPr>
        <w:t>Use and Misuse of the Likert Item Responses and Other Ordinal Measures</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Int</w:t>
      </w:r>
      <w:r w:rsidRPr="00D66A9C">
        <w:rPr>
          <w:rFonts w:ascii="Calibri" w:hAnsi="Calibri" w:cs="Calibri"/>
          <w:color w:val="0D0D0D" w:themeColor="text1" w:themeTint="F2"/>
        </w:rPr>
        <w:t>ernational</w:t>
      </w:r>
      <w:r w:rsidRPr="00D66A9C">
        <w:rPr>
          <w:rFonts w:ascii="Calibri" w:hAnsi="Calibri" w:cs="Calibri"/>
          <w:color w:val="0D0D0D" w:themeColor="text1" w:themeTint="F2"/>
        </w:rPr>
        <w:t xml:space="preserve"> J</w:t>
      </w:r>
      <w:r w:rsidRPr="00D66A9C">
        <w:rPr>
          <w:rFonts w:ascii="Calibri" w:hAnsi="Calibri" w:cs="Calibri"/>
          <w:color w:val="0D0D0D" w:themeColor="text1" w:themeTint="F2"/>
        </w:rPr>
        <w:t>ournal of</w:t>
      </w:r>
      <w:r w:rsidRPr="00D66A9C">
        <w:rPr>
          <w:rFonts w:ascii="Calibri" w:hAnsi="Calibri" w:cs="Calibri"/>
          <w:color w:val="0D0D0D" w:themeColor="text1" w:themeTint="F2"/>
        </w:rPr>
        <w:t xml:space="preserve"> Exerc</w:t>
      </w:r>
      <w:r w:rsidRPr="00D66A9C">
        <w:rPr>
          <w:rFonts w:ascii="Calibri" w:hAnsi="Calibri" w:cs="Calibri"/>
          <w:color w:val="0D0D0D" w:themeColor="text1" w:themeTint="F2"/>
        </w:rPr>
        <w:t>ise</w:t>
      </w:r>
      <w:r w:rsidRPr="00D66A9C">
        <w:rPr>
          <w:rFonts w:ascii="Calibri" w:hAnsi="Calibri" w:cs="Calibri"/>
          <w:color w:val="0D0D0D" w:themeColor="text1" w:themeTint="F2"/>
        </w:rPr>
        <w:t xml:space="preserve"> Sci</w:t>
      </w:r>
      <w:r w:rsidRPr="00D66A9C">
        <w:rPr>
          <w:rFonts w:ascii="Calibri" w:hAnsi="Calibri" w:cs="Calibri"/>
          <w:color w:val="0D0D0D" w:themeColor="text1" w:themeTint="F2"/>
        </w:rPr>
        <w:t>ence,</w:t>
      </w:r>
      <w:r w:rsidRPr="00D66A9C">
        <w:rPr>
          <w:rFonts w:ascii="Calibri" w:hAnsi="Calibri" w:cs="Calibri"/>
          <w:color w:val="0D0D0D" w:themeColor="text1" w:themeTint="F2"/>
        </w:rPr>
        <w:t xml:space="preserve"> 8(3)</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297-302. doi: 10.70252/LANZ1453.</w:t>
      </w:r>
    </w:p>
    <w:p w14:paraId="01C33069" w14:textId="77777777" w:rsidR="0029251A" w:rsidRPr="00D66A9C" w:rsidRDefault="0029251A" w:rsidP="0029251A">
      <w:pPr>
        <w:spacing w:line="276" w:lineRule="auto"/>
        <w:rPr>
          <w:rFonts w:ascii="Calibri" w:hAnsi="Calibri" w:cs="Calibri"/>
          <w:color w:val="0D0D0D" w:themeColor="text1" w:themeTint="F2"/>
        </w:rPr>
      </w:pPr>
      <w:r w:rsidRPr="007E50A9">
        <w:rPr>
          <w:rFonts w:ascii="Calibri" w:hAnsi="Calibri" w:cs="Calibri"/>
          <w:color w:val="0D0D0D" w:themeColor="text1" w:themeTint="F2"/>
        </w:rPr>
        <w:t>Boyatzis, R. E. (1998) </w:t>
      </w:r>
      <w:r w:rsidRPr="007E50A9">
        <w:rPr>
          <w:rFonts w:ascii="Calibri" w:hAnsi="Calibri" w:cs="Calibri"/>
          <w:i/>
          <w:iCs/>
          <w:color w:val="0D0D0D" w:themeColor="text1" w:themeTint="F2"/>
        </w:rPr>
        <w:t>Transforming qualitative information: Thematic analysis and code development.</w:t>
      </w:r>
      <w:r w:rsidRPr="007E50A9">
        <w:rPr>
          <w:rFonts w:ascii="Calibri" w:hAnsi="Calibri" w:cs="Calibri"/>
          <w:color w:val="0D0D0D" w:themeColor="text1" w:themeTint="F2"/>
        </w:rPr>
        <w:t> </w:t>
      </w:r>
      <w:r w:rsidRPr="00D66A9C">
        <w:rPr>
          <w:rFonts w:ascii="Calibri" w:hAnsi="Calibri" w:cs="Calibri"/>
          <w:color w:val="0D0D0D" w:themeColor="text1" w:themeTint="F2"/>
        </w:rPr>
        <w:t xml:space="preserve">New York: </w:t>
      </w:r>
      <w:r w:rsidRPr="007E50A9">
        <w:rPr>
          <w:rFonts w:ascii="Calibri" w:hAnsi="Calibri" w:cs="Calibri"/>
          <w:color w:val="0D0D0D" w:themeColor="text1" w:themeTint="F2"/>
        </w:rPr>
        <w:t>Sage Publications Inc.</w:t>
      </w:r>
    </w:p>
    <w:p w14:paraId="3824EA09"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Brandenburg,</w:t>
      </w:r>
      <w:r w:rsidRPr="00D66A9C">
        <w:rPr>
          <w:rFonts w:ascii="Calibri" w:hAnsi="Calibri" w:cs="Calibri"/>
          <w:color w:val="0D0D0D" w:themeColor="text1" w:themeTint="F2"/>
        </w:rPr>
        <w:t xml:space="preserve"> R. T. and</w:t>
      </w:r>
      <w:r w:rsidRPr="00D66A9C">
        <w:rPr>
          <w:rFonts w:ascii="Calibri" w:hAnsi="Calibri" w:cs="Calibri"/>
          <w:color w:val="0D0D0D" w:themeColor="text1" w:themeTint="F2"/>
        </w:rPr>
        <w:t xml:space="preserve"> Davidson</w:t>
      </w:r>
      <w:r w:rsidRPr="00D66A9C">
        <w:rPr>
          <w:rFonts w:ascii="Calibri" w:hAnsi="Calibri" w:cs="Calibri"/>
          <w:color w:val="0D0D0D" w:themeColor="text1" w:themeTint="F2"/>
        </w:rPr>
        <w:t>, C. (2011) ‘</w:t>
      </w:r>
      <w:r w:rsidRPr="00D66A9C">
        <w:rPr>
          <w:rFonts w:ascii="Calibri" w:hAnsi="Calibri" w:cs="Calibri"/>
          <w:color w:val="0D0D0D" w:themeColor="text1" w:themeTint="F2"/>
        </w:rPr>
        <w:t>Transcribing the unsaid: Finding silence in a self-study</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Reflective Practice</w:t>
      </w:r>
      <w:r w:rsidRPr="00D66A9C">
        <w:rPr>
          <w:rFonts w:ascii="Calibri" w:hAnsi="Calibri" w:cs="Calibri"/>
          <w:color w:val="0D0D0D" w:themeColor="text1" w:themeTint="F2"/>
        </w:rPr>
        <w:t>, 12(6)</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pp. 703-715</w:t>
      </w:r>
      <w:r w:rsidRPr="00D66A9C">
        <w:rPr>
          <w:rFonts w:ascii="Calibri" w:hAnsi="Calibri" w:cs="Calibri"/>
          <w:color w:val="0D0D0D" w:themeColor="text1" w:themeTint="F2"/>
        </w:rPr>
        <w:t>.</w:t>
      </w:r>
    </w:p>
    <w:p w14:paraId="7B333675" w14:textId="77777777" w:rsidR="0029251A" w:rsidRPr="00D66A9C" w:rsidRDefault="0029251A" w:rsidP="0029251A">
      <w:pPr>
        <w:spacing w:line="276" w:lineRule="auto"/>
        <w:rPr>
          <w:rFonts w:ascii="Calibri" w:eastAsia="DengXian" w:hAnsi="Calibri" w:cs="Calibri"/>
          <w:kern w:val="0"/>
          <w14:ligatures w14:val="none"/>
        </w:rPr>
      </w:pPr>
      <w:r w:rsidRPr="00D66A9C">
        <w:rPr>
          <w:rFonts w:ascii="Calibri" w:eastAsia="DengXian" w:hAnsi="Calibri" w:cs="Calibri"/>
          <w:kern w:val="0"/>
          <w14:ligatures w14:val="none"/>
        </w:rPr>
        <w:lastRenderedPageBreak/>
        <w:t xml:space="preserve">Braun, V. and Clarke, V. (2021) ‘One size fits all? What counts as quality practice in (reflexive) thematic analysis?’, </w:t>
      </w:r>
      <w:r w:rsidRPr="00D66A9C">
        <w:rPr>
          <w:rFonts w:ascii="Calibri" w:eastAsia="DengXian" w:hAnsi="Calibri" w:cs="Calibri"/>
          <w:i/>
          <w:iCs/>
          <w:kern w:val="0"/>
          <w14:ligatures w14:val="none"/>
        </w:rPr>
        <w:t>Qualitative Research in Psychology</w:t>
      </w:r>
      <w:r w:rsidRPr="00D66A9C">
        <w:rPr>
          <w:rFonts w:ascii="Calibri" w:eastAsia="DengXian" w:hAnsi="Calibri" w:cs="Calibri"/>
          <w:kern w:val="0"/>
          <w14:ligatures w14:val="none"/>
        </w:rPr>
        <w:t>, 18(3) pp 328-352.</w:t>
      </w:r>
    </w:p>
    <w:p w14:paraId="76BD1984"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Braun, V., </w:t>
      </w:r>
      <w:r w:rsidRPr="00D66A9C">
        <w:rPr>
          <w:rFonts w:ascii="Calibri" w:hAnsi="Calibri" w:cs="Calibri"/>
          <w:color w:val="0D0D0D" w:themeColor="text1" w:themeTint="F2"/>
        </w:rPr>
        <w:t>and</w:t>
      </w:r>
      <w:r w:rsidRPr="00D66A9C">
        <w:rPr>
          <w:rFonts w:ascii="Calibri" w:hAnsi="Calibri" w:cs="Calibri"/>
          <w:color w:val="0D0D0D" w:themeColor="text1" w:themeTint="F2"/>
        </w:rPr>
        <w:t xml:space="preserve"> Clarke, V. (2006) </w:t>
      </w:r>
      <w:r w:rsidRPr="00D66A9C">
        <w:rPr>
          <w:rFonts w:ascii="Calibri" w:hAnsi="Calibri" w:cs="Calibri"/>
          <w:color w:val="0D0D0D" w:themeColor="text1" w:themeTint="F2"/>
        </w:rPr>
        <w:t>‘</w:t>
      </w:r>
      <w:r w:rsidRPr="00D66A9C">
        <w:rPr>
          <w:rFonts w:ascii="Calibri" w:hAnsi="Calibri" w:cs="Calibri"/>
          <w:color w:val="0D0D0D" w:themeColor="text1" w:themeTint="F2"/>
        </w:rPr>
        <w:t>Using thematic analysis in psychology</w:t>
      </w:r>
      <w:r w:rsidRPr="00D66A9C">
        <w:rPr>
          <w:rFonts w:ascii="Calibri" w:hAnsi="Calibri" w:cs="Calibri"/>
          <w:color w:val="0D0D0D" w:themeColor="text1" w:themeTint="F2"/>
        </w:rPr>
        <w:t>’,</w:t>
      </w:r>
      <w:r w:rsidRPr="00D66A9C">
        <w:rPr>
          <w:rFonts w:ascii="Calibri" w:hAnsi="Calibri" w:cs="Calibri"/>
          <w:color w:val="0D0D0D" w:themeColor="text1" w:themeTint="F2"/>
        </w:rPr>
        <w:t> </w:t>
      </w:r>
      <w:r w:rsidRPr="00D66A9C">
        <w:rPr>
          <w:rFonts w:ascii="Calibri" w:hAnsi="Calibri" w:cs="Calibri"/>
          <w:i/>
          <w:iCs/>
          <w:color w:val="0D0D0D" w:themeColor="text1" w:themeTint="F2"/>
        </w:rPr>
        <w:t xml:space="preserve">Qualitative </w:t>
      </w:r>
      <w:r w:rsidRPr="00D66A9C">
        <w:rPr>
          <w:rFonts w:ascii="Calibri" w:hAnsi="Calibri" w:cs="Calibri"/>
          <w:i/>
          <w:iCs/>
          <w:color w:val="0D0D0D" w:themeColor="text1" w:themeTint="F2"/>
        </w:rPr>
        <w:t>R</w:t>
      </w:r>
      <w:r w:rsidRPr="00D66A9C">
        <w:rPr>
          <w:rFonts w:ascii="Calibri" w:hAnsi="Calibri" w:cs="Calibri"/>
          <w:i/>
          <w:iCs/>
          <w:color w:val="0D0D0D" w:themeColor="text1" w:themeTint="F2"/>
        </w:rPr>
        <w:t xml:space="preserve">esearch in </w:t>
      </w:r>
      <w:r w:rsidRPr="00D66A9C">
        <w:rPr>
          <w:rFonts w:ascii="Calibri" w:hAnsi="Calibri" w:cs="Calibri"/>
          <w:i/>
          <w:iCs/>
          <w:color w:val="0D0D0D" w:themeColor="text1" w:themeTint="F2"/>
        </w:rPr>
        <w:t>P</w:t>
      </w:r>
      <w:r w:rsidRPr="00D66A9C">
        <w:rPr>
          <w:rFonts w:ascii="Calibri" w:hAnsi="Calibri" w:cs="Calibri"/>
          <w:i/>
          <w:iCs/>
          <w:color w:val="0D0D0D" w:themeColor="text1" w:themeTint="F2"/>
        </w:rPr>
        <w:t>sychology</w:t>
      </w:r>
      <w:r w:rsidRPr="00D66A9C">
        <w:rPr>
          <w:rFonts w:ascii="Calibri" w:hAnsi="Calibri" w:cs="Calibri"/>
          <w:color w:val="0D0D0D" w:themeColor="text1" w:themeTint="F2"/>
        </w:rPr>
        <w:t>, </w:t>
      </w:r>
      <w:r w:rsidRPr="00D66A9C">
        <w:rPr>
          <w:rFonts w:ascii="Calibri" w:hAnsi="Calibri" w:cs="Calibri"/>
          <w:i/>
          <w:iCs/>
          <w:color w:val="0D0D0D" w:themeColor="text1" w:themeTint="F2"/>
        </w:rPr>
        <w:t>3</w:t>
      </w:r>
      <w:r w:rsidRPr="00D66A9C">
        <w:rPr>
          <w:rFonts w:ascii="Calibri" w:hAnsi="Calibri" w:cs="Calibri"/>
          <w:color w:val="0D0D0D" w:themeColor="text1" w:themeTint="F2"/>
        </w:rPr>
        <w:t xml:space="preserve">(2), </w:t>
      </w:r>
      <w:r w:rsidRPr="00D66A9C">
        <w:rPr>
          <w:rFonts w:ascii="Calibri" w:hAnsi="Calibri" w:cs="Calibri"/>
          <w:color w:val="0D0D0D" w:themeColor="text1" w:themeTint="F2"/>
        </w:rPr>
        <w:t xml:space="preserve">pp. </w:t>
      </w:r>
      <w:r w:rsidRPr="00D66A9C">
        <w:rPr>
          <w:rFonts w:ascii="Calibri" w:hAnsi="Calibri" w:cs="Calibri"/>
          <w:color w:val="0D0D0D" w:themeColor="text1" w:themeTint="F2"/>
        </w:rPr>
        <w:t>77-101.</w:t>
      </w:r>
    </w:p>
    <w:p w14:paraId="4F88D643"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Brinkmann, S. and Kvale, S. (2018) </w:t>
      </w:r>
      <w:r w:rsidRPr="00D66A9C">
        <w:rPr>
          <w:rFonts w:ascii="Calibri" w:hAnsi="Calibri" w:cs="Calibri"/>
          <w:i/>
          <w:iCs/>
          <w:color w:val="0D0D0D" w:themeColor="text1" w:themeTint="F2"/>
        </w:rPr>
        <w:t>Epistemological issues of interviewing</w:t>
      </w:r>
      <w:r w:rsidRPr="00D66A9C">
        <w:rPr>
          <w:rFonts w:ascii="Calibri" w:hAnsi="Calibri" w:cs="Calibri"/>
          <w:color w:val="0D0D0D" w:themeColor="text1" w:themeTint="F2"/>
        </w:rPr>
        <w:t>. Thousand Oaks: Sage Publications Inc.</w:t>
      </w:r>
    </w:p>
    <w:p w14:paraId="4F90A52D"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British Educational Research Association (2024) </w:t>
      </w:r>
      <w:r w:rsidRPr="00D66A9C">
        <w:rPr>
          <w:rFonts w:ascii="Calibri" w:hAnsi="Calibri" w:cs="Calibri"/>
          <w:i/>
          <w:iCs/>
          <w:color w:val="0D0D0D" w:themeColor="text1" w:themeTint="F2"/>
        </w:rPr>
        <w:t xml:space="preserve">Ethical </w:t>
      </w:r>
      <w:r w:rsidRPr="00D66A9C">
        <w:rPr>
          <w:rFonts w:ascii="Calibri" w:hAnsi="Calibri" w:cs="Calibri"/>
          <w:i/>
          <w:iCs/>
          <w:color w:val="0D0D0D" w:themeColor="text1" w:themeTint="F2"/>
        </w:rPr>
        <w:t>G</w:t>
      </w:r>
      <w:r w:rsidRPr="00D66A9C">
        <w:rPr>
          <w:rFonts w:ascii="Calibri" w:hAnsi="Calibri" w:cs="Calibri"/>
          <w:i/>
          <w:iCs/>
          <w:color w:val="0D0D0D" w:themeColor="text1" w:themeTint="F2"/>
        </w:rPr>
        <w:t xml:space="preserve">uidelines for </w:t>
      </w:r>
      <w:r w:rsidRPr="00D66A9C">
        <w:rPr>
          <w:rFonts w:ascii="Calibri" w:hAnsi="Calibri" w:cs="Calibri"/>
          <w:i/>
          <w:iCs/>
          <w:color w:val="0D0D0D" w:themeColor="text1" w:themeTint="F2"/>
        </w:rPr>
        <w:t>E</w:t>
      </w:r>
      <w:r w:rsidRPr="00D66A9C">
        <w:rPr>
          <w:rFonts w:ascii="Calibri" w:hAnsi="Calibri" w:cs="Calibri"/>
          <w:i/>
          <w:iCs/>
          <w:color w:val="0D0D0D" w:themeColor="text1" w:themeTint="F2"/>
        </w:rPr>
        <w:t xml:space="preserve">ducational </w:t>
      </w:r>
      <w:r w:rsidRPr="00D66A9C">
        <w:rPr>
          <w:rFonts w:ascii="Calibri" w:hAnsi="Calibri" w:cs="Calibri"/>
          <w:i/>
          <w:iCs/>
          <w:color w:val="0D0D0D" w:themeColor="text1" w:themeTint="F2"/>
        </w:rPr>
        <w:t>R</w:t>
      </w:r>
      <w:r w:rsidRPr="00D66A9C">
        <w:rPr>
          <w:rFonts w:ascii="Calibri" w:hAnsi="Calibri" w:cs="Calibri"/>
          <w:i/>
          <w:iCs/>
          <w:color w:val="0D0D0D" w:themeColor="text1" w:themeTint="F2"/>
        </w:rPr>
        <w:t>esearch (5th ed</w:t>
      </w:r>
      <w:r w:rsidRPr="00D66A9C">
        <w:rPr>
          <w:rFonts w:ascii="Calibri" w:hAnsi="Calibri" w:cs="Calibri"/>
          <w:i/>
          <w:iCs/>
          <w:color w:val="0D0D0D" w:themeColor="text1" w:themeTint="F2"/>
        </w:rPr>
        <w:t>n</w:t>
      </w:r>
      <w:r w:rsidRPr="00D66A9C">
        <w:rPr>
          <w:rFonts w:ascii="Calibri" w:hAnsi="Calibri" w:cs="Calibri"/>
          <w:i/>
          <w:iCs/>
          <w:color w:val="0D0D0D" w:themeColor="text1" w:themeTint="F2"/>
        </w:rPr>
        <w:t>)</w:t>
      </w:r>
      <w:r w:rsidRPr="00D66A9C">
        <w:rPr>
          <w:rFonts w:ascii="Calibri" w:hAnsi="Calibri" w:cs="Calibri"/>
          <w:color w:val="0D0D0D" w:themeColor="text1" w:themeTint="F2"/>
        </w:rPr>
        <w:t xml:space="preserve">. Available at: </w:t>
      </w:r>
      <w:r w:rsidRPr="00D66A9C">
        <w:rPr>
          <w:rFonts w:ascii="Calibri" w:hAnsi="Calibri" w:cs="Calibri"/>
          <w:color w:val="0D0D0D" w:themeColor="text1" w:themeTint="F2"/>
        </w:rPr>
        <w:t>https://www.bera.ac.uk/publication/ethical-guidelines-for-educational-research-fifth-edition-2024-online </w:t>
      </w:r>
      <w:r w:rsidRPr="00D66A9C">
        <w:rPr>
          <w:rFonts w:ascii="Calibri" w:hAnsi="Calibri" w:cs="Calibri"/>
          <w:color w:val="0D0D0D" w:themeColor="text1" w:themeTint="F2"/>
        </w:rPr>
        <w:t>(Accessed on 27th April 2025).</w:t>
      </w:r>
    </w:p>
    <w:p w14:paraId="7B1D8B35"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Brody</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B</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(2001) </w:t>
      </w:r>
      <w:r w:rsidRPr="00D66A9C">
        <w:rPr>
          <w:rFonts w:ascii="Calibri" w:hAnsi="Calibri" w:cs="Calibri"/>
          <w:color w:val="0D0D0D" w:themeColor="text1" w:themeTint="F2"/>
        </w:rPr>
        <w:t>‘</w:t>
      </w:r>
      <w:r w:rsidRPr="00D66A9C">
        <w:rPr>
          <w:rFonts w:ascii="Calibri" w:hAnsi="Calibri" w:cs="Calibri"/>
          <w:color w:val="0D0D0D" w:themeColor="text1" w:themeTint="F2"/>
        </w:rPr>
        <w:t>Making informed consent meaningful</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Ethics &amp; Human Research</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23</w:t>
      </w:r>
      <w:r w:rsidRPr="00D66A9C">
        <w:rPr>
          <w:rFonts w:ascii="Calibri" w:hAnsi="Calibri" w:cs="Calibri"/>
          <w:color w:val="0D0D0D" w:themeColor="text1" w:themeTint="F2"/>
        </w:rPr>
        <w:t>(</w:t>
      </w:r>
      <w:r w:rsidRPr="00D66A9C">
        <w:rPr>
          <w:rFonts w:ascii="Calibri" w:hAnsi="Calibri" w:cs="Calibri"/>
          <w:color w:val="0D0D0D" w:themeColor="text1" w:themeTint="F2"/>
        </w:rPr>
        <w:t>5</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1–5</w:t>
      </w:r>
      <w:r w:rsidRPr="00D66A9C">
        <w:rPr>
          <w:rFonts w:ascii="Calibri" w:hAnsi="Calibri" w:cs="Calibri"/>
          <w:color w:val="0D0D0D" w:themeColor="text1" w:themeTint="F2"/>
        </w:rPr>
        <w:t>.</w:t>
      </w:r>
    </w:p>
    <w:p w14:paraId="3772649E"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Burns, M., Bally, J., Burles, M., Holtslander, L., and Peacock, S. (2022) ‘Constructivist Grounded Theory or Interpretive Phenomenology? Methodological Choices Within Specific Study Contexts’, </w:t>
      </w:r>
      <w:r w:rsidRPr="00D66A9C">
        <w:rPr>
          <w:rFonts w:ascii="Calibri" w:hAnsi="Calibri" w:cs="Calibri"/>
          <w:i/>
          <w:iCs/>
          <w:color w:val="0D0D0D" w:themeColor="text1" w:themeTint="F2"/>
        </w:rPr>
        <w:t>International Journal of Qualitative Methods</w:t>
      </w:r>
      <w:r w:rsidRPr="00D66A9C">
        <w:rPr>
          <w:rFonts w:ascii="Calibri" w:hAnsi="Calibri" w:cs="Calibri"/>
          <w:color w:val="0D0D0D" w:themeColor="text1" w:themeTint="F2"/>
        </w:rPr>
        <w:t>, 21(14). https://doi.org/10.1177/16094069221077758.</w:t>
      </w:r>
    </w:p>
    <w:p w14:paraId="3A8ADEAF"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Cassell,</w:t>
      </w:r>
      <w:r w:rsidRPr="00D66A9C">
        <w:rPr>
          <w:rFonts w:ascii="Calibri" w:hAnsi="Calibri" w:cs="Calibri"/>
          <w:color w:val="0D0D0D" w:themeColor="text1" w:themeTint="F2"/>
        </w:rPr>
        <w:t xml:space="preserve"> C. and </w:t>
      </w:r>
      <w:r w:rsidRPr="00D66A9C">
        <w:rPr>
          <w:rFonts w:ascii="Calibri" w:hAnsi="Calibri" w:cs="Calibri"/>
          <w:color w:val="0D0D0D" w:themeColor="text1" w:themeTint="F2"/>
        </w:rPr>
        <w:t>Bishop</w:t>
      </w:r>
      <w:r w:rsidRPr="00D66A9C">
        <w:rPr>
          <w:rFonts w:ascii="Calibri" w:hAnsi="Calibri" w:cs="Calibri"/>
          <w:color w:val="0D0D0D" w:themeColor="text1" w:themeTint="F2"/>
        </w:rPr>
        <w:t>, V. (2019) ‘</w:t>
      </w:r>
      <w:r w:rsidRPr="00D66A9C">
        <w:rPr>
          <w:rFonts w:ascii="Calibri" w:hAnsi="Calibri" w:cs="Calibri"/>
          <w:color w:val="0D0D0D" w:themeColor="text1" w:themeTint="F2"/>
        </w:rPr>
        <w:t>Qualitative data analysis: Exploring themes, metaphors and stories</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European Management Review</w:t>
      </w:r>
      <w:r w:rsidRPr="00D66A9C">
        <w:rPr>
          <w:rFonts w:ascii="Calibri" w:hAnsi="Calibri" w:cs="Calibri"/>
          <w:color w:val="0D0D0D" w:themeColor="text1" w:themeTint="F2"/>
        </w:rPr>
        <w:t>, 16, pp. 195-207</w:t>
      </w:r>
      <w:r w:rsidRPr="00D66A9C">
        <w:rPr>
          <w:rFonts w:ascii="Calibri" w:hAnsi="Calibri" w:cs="Calibri"/>
          <w:color w:val="0D0D0D" w:themeColor="text1" w:themeTint="F2"/>
        </w:rPr>
        <w:t>.</w:t>
      </w:r>
    </w:p>
    <w:p w14:paraId="7C8DBEE1"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Cho, S. and Jung, S. (2021) ‘Do Gender Role Stereotypes and Patriarchal Culture Affect Nursing Students’ Major Satisfaction?’, </w:t>
      </w:r>
      <w:r w:rsidRPr="00D66A9C">
        <w:rPr>
          <w:rFonts w:ascii="Calibri" w:hAnsi="Calibri" w:cs="Calibri"/>
          <w:i/>
          <w:iCs/>
          <w:color w:val="0D0D0D" w:themeColor="text1" w:themeTint="F2"/>
        </w:rPr>
        <w:t>International Journal of Environmental Research and Public Health</w:t>
      </w:r>
      <w:r w:rsidRPr="00D66A9C">
        <w:rPr>
          <w:rFonts w:ascii="Calibri" w:hAnsi="Calibri" w:cs="Calibri"/>
          <w:color w:val="0D0D0D" w:themeColor="text1" w:themeTint="F2"/>
        </w:rPr>
        <w:t>, 18(5), pp. 260-270.</w:t>
      </w:r>
    </w:p>
    <w:p w14:paraId="64E0BFBD" w14:textId="77777777" w:rsidR="0029251A" w:rsidRPr="00D66A9C" w:rsidRDefault="0029251A" w:rsidP="0029251A">
      <w:pPr>
        <w:spacing w:line="276" w:lineRule="auto"/>
        <w:rPr>
          <w:rFonts w:ascii="Calibri" w:eastAsia="DengXian" w:hAnsi="Calibri" w:cs="Calibri"/>
          <w:color w:val="212529"/>
          <w:kern w:val="0"/>
          <w:shd w:val="clear" w:color="auto" w:fill="FFFFFF"/>
          <w14:ligatures w14:val="none"/>
        </w:rPr>
      </w:pPr>
      <w:r w:rsidRPr="00D66A9C">
        <w:rPr>
          <w:rFonts w:ascii="Calibri" w:eastAsia="DengXian" w:hAnsi="Calibri" w:cs="Calibri"/>
          <w:color w:val="212529"/>
          <w:kern w:val="0"/>
          <w:shd w:val="clear" w:color="auto" w:fill="FFFFFF"/>
          <w14:ligatures w14:val="none"/>
        </w:rPr>
        <w:t xml:space="preserve">Collis, J. and Hussey, R. (2014) </w:t>
      </w:r>
      <w:r w:rsidRPr="00D66A9C">
        <w:rPr>
          <w:rFonts w:ascii="Calibri" w:eastAsia="DengXian" w:hAnsi="Calibri" w:cs="Calibri"/>
          <w:i/>
          <w:iCs/>
          <w:color w:val="212529"/>
          <w:kern w:val="0"/>
          <w:shd w:val="clear" w:color="auto" w:fill="FFFFFF"/>
          <w14:ligatures w14:val="none"/>
        </w:rPr>
        <w:t>Business Research: A Practical Guide for Undergraduate and Postgraduate Students</w:t>
      </w:r>
      <w:r w:rsidRPr="00D66A9C">
        <w:rPr>
          <w:rFonts w:ascii="Calibri" w:eastAsia="DengXian" w:hAnsi="Calibri" w:cs="Calibri"/>
          <w:color w:val="212529"/>
          <w:kern w:val="0"/>
          <w:shd w:val="clear" w:color="auto" w:fill="FFFFFF"/>
          <w14:ligatures w14:val="none"/>
        </w:rPr>
        <w:t xml:space="preserve"> (4</w:t>
      </w:r>
      <w:r w:rsidRPr="00D66A9C">
        <w:rPr>
          <w:rFonts w:ascii="Calibri" w:eastAsia="DengXian" w:hAnsi="Calibri" w:cs="Calibri"/>
          <w:color w:val="212529"/>
          <w:kern w:val="0"/>
          <w:shd w:val="clear" w:color="auto" w:fill="FFFFFF"/>
          <w:vertAlign w:val="superscript"/>
          <w14:ligatures w14:val="none"/>
        </w:rPr>
        <w:t>th</w:t>
      </w:r>
      <w:r w:rsidRPr="00D66A9C">
        <w:rPr>
          <w:rFonts w:ascii="Calibri" w:eastAsia="DengXian" w:hAnsi="Calibri" w:cs="Calibri"/>
          <w:color w:val="212529"/>
          <w:kern w:val="0"/>
          <w:shd w:val="clear" w:color="auto" w:fill="FFFFFF"/>
          <w14:ligatures w14:val="none"/>
        </w:rPr>
        <w:t> edn). Basingstoke: Palgrave Macmillan.</w:t>
      </w:r>
    </w:p>
    <w:p w14:paraId="1D289532" w14:textId="77777777" w:rsidR="0029251A" w:rsidRPr="00D66A9C" w:rsidRDefault="0029251A" w:rsidP="0029251A">
      <w:pPr>
        <w:spacing w:line="276" w:lineRule="auto"/>
        <w:rPr>
          <w:rFonts w:ascii="Calibri" w:eastAsia="DengXian" w:hAnsi="Calibri" w:cs="Calibri"/>
          <w:kern w:val="0"/>
          <w14:ligatures w14:val="none"/>
        </w:rPr>
      </w:pPr>
      <w:r w:rsidRPr="00D66A9C">
        <w:rPr>
          <w:rFonts w:ascii="Calibri" w:eastAsia="DengXian" w:hAnsi="Calibri" w:cs="Calibri"/>
          <w:kern w:val="0"/>
          <w14:ligatures w14:val="none"/>
        </w:rPr>
        <w:t xml:space="preserve">Creswell, J. (2015) </w:t>
      </w:r>
      <w:r w:rsidRPr="00D66A9C">
        <w:rPr>
          <w:rFonts w:ascii="Calibri" w:eastAsia="DengXian" w:hAnsi="Calibri" w:cs="Calibri"/>
          <w:i/>
          <w:iCs/>
          <w:kern w:val="0"/>
          <w14:ligatures w14:val="none"/>
        </w:rPr>
        <w:t>Research Design: Qualitative, Quantitative and Mixed Methods Approaches</w:t>
      </w:r>
      <w:r w:rsidRPr="00D66A9C">
        <w:rPr>
          <w:rFonts w:ascii="Calibri" w:eastAsia="DengXian" w:hAnsi="Calibri" w:cs="Calibri"/>
          <w:kern w:val="0"/>
          <w14:ligatures w14:val="none"/>
        </w:rPr>
        <w:t>. London: Pearson Education Inc.</w:t>
      </w:r>
    </w:p>
    <w:p w14:paraId="38F06958" w14:textId="77777777" w:rsidR="0029251A" w:rsidRPr="00D66A9C" w:rsidRDefault="0029251A" w:rsidP="0029251A">
      <w:pPr>
        <w:spacing w:line="276" w:lineRule="auto"/>
        <w:rPr>
          <w:rFonts w:ascii="Calibri" w:eastAsia="DengXian" w:hAnsi="Calibri" w:cs="Calibri"/>
          <w:kern w:val="0"/>
          <w14:ligatures w14:val="none"/>
        </w:rPr>
      </w:pPr>
      <w:r w:rsidRPr="00D66A9C">
        <w:rPr>
          <w:rFonts w:ascii="Calibri" w:eastAsia="DengXian" w:hAnsi="Calibri" w:cs="Calibri"/>
          <w:kern w:val="0"/>
          <w14:ligatures w14:val="none"/>
        </w:rPr>
        <w:t>Creswell, J. W. and Plano-Clark, V. L. (2017) </w:t>
      </w:r>
      <w:r w:rsidRPr="00D66A9C">
        <w:rPr>
          <w:rFonts w:ascii="Calibri" w:eastAsia="DengXian" w:hAnsi="Calibri" w:cs="Calibri"/>
          <w:i/>
          <w:iCs/>
          <w:kern w:val="0"/>
          <w14:ligatures w14:val="none"/>
        </w:rPr>
        <w:t>Designing and Conducting Mixed Methods Research</w:t>
      </w:r>
      <w:r w:rsidRPr="00D66A9C">
        <w:rPr>
          <w:rFonts w:ascii="Calibri" w:eastAsia="DengXian" w:hAnsi="Calibri" w:cs="Calibri"/>
          <w:kern w:val="0"/>
          <w14:ligatures w14:val="none"/>
        </w:rPr>
        <w:t xml:space="preserve"> (3</w:t>
      </w:r>
      <w:r w:rsidRPr="00D66A9C">
        <w:rPr>
          <w:rFonts w:ascii="Calibri" w:eastAsia="DengXian" w:hAnsi="Calibri" w:cs="Calibri"/>
          <w:kern w:val="0"/>
          <w:vertAlign w:val="superscript"/>
          <w14:ligatures w14:val="none"/>
        </w:rPr>
        <w:t>rd</w:t>
      </w:r>
      <w:r w:rsidRPr="00D66A9C">
        <w:rPr>
          <w:rFonts w:ascii="Calibri" w:eastAsia="DengXian" w:hAnsi="Calibri" w:cs="Calibri"/>
          <w:kern w:val="0"/>
          <w14:ligatures w14:val="none"/>
        </w:rPr>
        <w:t xml:space="preserve"> edn). Thousand Oaks: Sage.</w:t>
      </w:r>
    </w:p>
    <w:p w14:paraId="7A062810"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Dawadi, S., Shrestha, S.</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Giri, R. A. (2021) </w:t>
      </w:r>
      <w:r w:rsidRPr="00D66A9C">
        <w:rPr>
          <w:rFonts w:ascii="Calibri" w:hAnsi="Calibri" w:cs="Calibri"/>
          <w:color w:val="0D0D0D" w:themeColor="text1" w:themeTint="F2"/>
        </w:rPr>
        <w:t>‘</w:t>
      </w:r>
      <w:r w:rsidRPr="00D66A9C">
        <w:rPr>
          <w:rFonts w:ascii="Calibri" w:hAnsi="Calibri" w:cs="Calibri"/>
          <w:color w:val="0D0D0D" w:themeColor="text1" w:themeTint="F2"/>
        </w:rPr>
        <w:t>Mixed-Methods Research: A Discussion on its Types, Challenges, and Criticisms</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Journal of Practical Studies in Education</w:t>
      </w:r>
      <w:r w:rsidRPr="00D66A9C">
        <w:rPr>
          <w:rFonts w:ascii="Calibri" w:hAnsi="Calibri" w:cs="Calibri"/>
          <w:color w:val="0D0D0D" w:themeColor="text1" w:themeTint="F2"/>
        </w:rPr>
        <w:t xml:space="preserve">, 2(2), </w:t>
      </w:r>
      <w:r w:rsidRPr="00D66A9C">
        <w:rPr>
          <w:rFonts w:ascii="Calibri" w:hAnsi="Calibri" w:cs="Calibri"/>
          <w:color w:val="0D0D0D" w:themeColor="text1" w:themeTint="F2"/>
        </w:rPr>
        <w:t xml:space="preserve">pp. </w:t>
      </w:r>
      <w:r w:rsidRPr="00D66A9C">
        <w:rPr>
          <w:rFonts w:ascii="Calibri" w:hAnsi="Calibri" w:cs="Calibri"/>
          <w:color w:val="0D0D0D" w:themeColor="text1" w:themeTint="F2"/>
        </w:rPr>
        <w:t>25-36 DOI: https://doi.org/10.46809/jpse.v2i2.20</w:t>
      </w:r>
      <w:r w:rsidRPr="00D66A9C">
        <w:rPr>
          <w:rFonts w:ascii="Calibri" w:hAnsi="Calibri" w:cs="Calibri"/>
          <w:color w:val="0D0D0D" w:themeColor="text1" w:themeTint="F2"/>
        </w:rPr>
        <w:t>.</w:t>
      </w:r>
    </w:p>
    <w:p w14:paraId="593BD882"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DeJonckheere</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M</w:t>
      </w:r>
      <w:r w:rsidRPr="00D66A9C">
        <w:rPr>
          <w:rFonts w:ascii="Calibri" w:hAnsi="Calibri" w:cs="Calibri"/>
          <w:color w:val="0D0D0D" w:themeColor="text1" w:themeTint="F2"/>
        </w:rPr>
        <w:t>. and</w:t>
      </w:r>
      <w:r w:rsidRPr="00D66A9C">
        <w:rPr>
          <w:rFonts w:ascii="Calibri" w:hAnsi="Calibri" w:cs="Calibri"/>
          <w:color w:val="0D0D0D" w:themeColor="text1" w:themeTint="F2"/>
        </w:rPr>
        <w:t xml:space="preserve"> Vaughn</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L</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 xml:space="preserve">M. </w:t>
      </w:r>
      <w:r w:rsidRPr="00D66A9C">
        <w:rPr>
          <w:rFonts w:ascii="Calibri" w:hAnsi="Calibri" w:cs="Calibri"/>
          <w:color w:val="0D0D0D" w:themeColor="text1" w:themeTint="F2"/>
        </w:rPr>
        <w:t>(2019) ‘</w:t>
      </w:r>
      <w:r w:rsidRPr="00D66A9C">
        <w:rPr>
          <w:rFonts w:ascii="Calibri" w:hAnsi="Calibri" w:cs="Calibri"/>
          <w:color w:val="0D0D0D" w:themeColor="text1" w:themeTint="F2"/>
        </w:rPr>
        <w:t>Semi</w:t>
      </w:r>
      <w:r w:rsidRPr="00D66A9C">
        <w:rPr>
          <w:rFonts w:ascii="Calibri" w:hAnsi="Calibri" w:cs="Calibri"/>
          <w:color w:val="0D0D0D" w:themeColor="text1" w:themeTint="F2"/>
        </w:rPr>
        <w:t>-</w:t>
      </w:r>
      <w:r w:rsidRPr="00D66A9C">
        <w:rPr>
          <w:rFonts w:ascii="Calibri" w:hAnsi="Calibri" w:cs="Calibri"/>
          <w:color w:val="0D0D0D" w:themeColor="text1" w:themeTint="F2"/>
        </w:rPr>
        <w:t>structured interviewing in primary care research: a balance of relationship and rigour</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Fam Med Community Health</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7(2)</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e000057. doi: 10.1136/fmch-2018-000057.</w:t>
      </w:r>
    </w:p>
    <w:p w14:paraId="67EDE63D"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Ducato, R. (2020) ‘</w:t>
      </w:r>
      <w:r w:rsidRPr="00D66A9C">
        <w:rPr>
          <w:rFonts w:ascii="Calibri" w:hAnsi="Calibri" w:cs="Calibri"/>
          <w:color w:val="0D0D0D" w:themeColor="text1" w:themeTint="F2"/>
        </w:rPr>
        <w:t>Data protection, scientific research, and the role of information</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Computer Law and Security Review,</w:t>
      </w:r>
      <w:r w:rsidRPr="00D66A9C">
        <w:rPr>
          <w:rFonts w:ascii="Calibri" w:hAnsi="Calibri" w:cs="Calibri"/>
          <w:color w:val="0D0D0D" w:themeColor="text1" w:themeTint="F2"/>
        </w:rPr>
        <w:t xml:space="preserve"> 37(3).</w:t>
      </w:r>
    </w:p>
    <w:p w14:paraId="2CA6AB65" w14:textId="77777777" w:rsidR="0029251A" w:rsidRPr="00D66A9C" w:rsidRDefault="0029251A" w:rsidP="0029251A">
      <w:pPr>
        <w:spacing w:line="276" w:lineRule="auto"/>
        <w:rPr>
          <w:rFonts w:ascii="Calibri" w:eastAsia="DengXian" w:hAnsi="Calibri" w:cs="Calibri"/>
          <w:kern w:val="0"/>
          <w14:ligatures w14:val="none"/>
        </w:rPr>
      </w:pPr>
      <w:r w:rsidRPr="00D66A9C">
        <w:rPr>
          <w:rFonts w:ascii="Calibri" w:eastAsia="DengXian" w:hAnsi="Calibri" w:cs="Calibri"/>
          <w:kern w:val="0"/>
          <w14:ligatures w14:val="none"/>
        </w:rPr>
        <w:lastRenderedPageBreak/>
        <w:t xml:space="preserve">Dwyer, S. C. and Buckle, J. L. (2009) ‘The Space Between: On Being an Insider-Outsider in Qualitative Research’, </w:t>
      </w:r>
      <w:r w:rsidRPr="00D66A9C">
        <w:rPr>
          <w:rFonts w:ascii="Calibri" w:eastAsia="DengXian" w:hAnsi="Calibri" w:cs="Calibri"/>
          <w:i/>
          <w:iCs/>
          <w:kern w:val="0"/>
          <w14:ligatures w14:val="none"/>
        </w:rPr>
        <w:t>International Journal of Qualitative Methods</w:t>
      </w:r>
      <w:r w:rsidRPr="00D66A9C">
        <w:rPr>
          <w:rFonts w:ascii="Calibri" w:eastAsia="DengXian" w:hAnsi="Calibri" w:cs="Calibri"/>
          <w:kern w:val="0"/>
          <w14:ligatures w14:val="none"/>
        </w:rPr>
        <w:t>, 8(1), pp. 54-63. https://doi.org/10.1177/160940690900800105.</w:t>
      </w:r>
    </w:p>
    <w:p w14:paraId="110A177D"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Edwards</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S</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J</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(2005) </w:t>
      </w:r>
      <w:r w:rsidRPr="00D66A9C">
        <w:rPr>
          <w:rFonts w:ascii="Calibri" w:hAnsi="Calibri" w:cs="Calibri"/>
          <w:color w:val="0D0D0D" w:themeColor="text1" w:themeTint="F2"/>
        </w:rPr>
        <w:t>‘</w:t>
      </w:r>
      <w:r w:rsidRPr="00D66A9C">
        <w:rPr>
          <w:rFonts w:ascii="Calibri" w:hAnsi="Calibri" w:cs="Calibri"/>
          <w:color w:val="0D0D0D" w:themeColor="text1" w:themeTint="F2"/>
        </w:rPr>
        <w:t>Research participation and the right to withdraw</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Bioethics</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19</w:t>
      </w:r>
      <w:r w:rsidRPr="00D66A9C">
        <w:rPr>
          <w:rFonts w:ascii="Calibri" w:hAnsi="Calibri" w:cs="Calibri"/>
          <w:color w:val="0D0D0D" w:themeColor="text1" w:themeTint="F2"/>
        </w:rPr>
        <w:t>(</w:t>
      </w:r>
      <w:r w:rsidRPr="00D66A9C">
        <w:rPr>
          <w:rFonts w:ascii="Calibri" w:hAnsi="Calibri" w:cs="Calibri"/>
          <w:color w:val="0D0D0D" w:themeColor="text1" w:themeTint="F2"/>
        </w:rPr>
        <w:t>2</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112–30</w:t>
      </w:r>
      <w:r w:rsidRPr="00D66A9C">
        <w:rPr>
          <w:rFonts w:ascii="Calibri" w:hAnsi="Calibri" w:cs="Calibri"/>
          <w:color w:val="0D0D0D" w:themeColor="text1" w:themeTint="F2"/>
        </w:rPr>
        <w:t>.</w:t>
      </w:r>
    </w:p>
    <w:p w14:paraId="4B33C910"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Evans, J. A. (2017) ‘Cautious caregivers: gender stereotypes and the sexualization of men nurses' touch’,</w:t>
      </w:r>
      <w:r w:rsidRPr="00D66A9C">
        <w:rPr>
          <w:rFonts w:ascii="Calibri" w:hAnsi="Calibri" w:cs="Calibri"/>
          <w:i/>
          <w:iCs/>
          <w:color w:val="0D0D0D" w:themeColor="text1" w:themeTint="F2"/>
        </w:rPr>
        <w:t xml:space="preserve"> Journal of Advanced Nursing</w:t>
      </w:r>
      <w:r w:rsidRPr="00D66A9C">
        <w:rPr>
          <w:rFonts w:ascii="Calibri" w:hAnsi="Calibri" w:cs="Calibri"/>
          <w:color w:val="0D0D0D" w:themeColor="text1" w:themeTint="F2"/>
        </w:rPr>
        <w:t>, 40(4), pp. 441-448.</w:t>
      </w:r>
    </w:p>
    <w:p w14:paraId="1CB53C90"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Feilzer, M. (2010) ‘Doing Mixed Methods Research Pragmatically: Implications for the Rediscovery of Pragmatism as a Research Paradigm’, </w:t>
      </w:r>
      <w:r w:rsidRPr="00D66A9C">
        <w:rPr>
          <w:rFonts w:ascii="Calibri" w:hAnsi="Calibri" w:cs="Calibri"/>
          <w:i/>
          <w:iCs/>
          <w:color w:val="0D0D0D" w:themeColor="text1" w:themeTint="F2"/>
        </w:rPr>
        <w:t>Journal of Mixed Methods Research</w:t>
      </w:r>
      <w:r w:rsidRPr="00D66A9C">
        <w:rPr>
          <w:rFonts w:ascii="Calibri" w:hAnsi="Calibri" w:cs="Calibri"/>
          <w:color w:val="0D0D0D" w:themeColor="text1" w:themeTint="F2"/>
        </w:rPr>
        <w:t>, 4(1), pp. 6-16. DOI:10.1177/1558689809349691.</w:t>
      </w:r>
    </w:p>
    <w:p w14:paraId="6FE11A4E"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Fink, A. (2017) </w:t>
      </w:r>
      <w:r w:rsidRPr="00D66A9C">
        <w:rPr>
          <w:rFonts w:ascii="Calibri" w:hAnsi="Calibri" w:cs="Calibri"/>
          <w:i/>
          <w:iCs/>
          <w:color w:val="0D0D0D" w:themeColor="text1" w:themeTint="F2"/>
        </w:rPr>
        <w:t>How to Conduct Surveys: A Step-by-Step Guide</w:t>
      </w:r>
      <w:r w:rsidRPr="00D66A9C">
        <w:rPr>
          <w:rFonts w:ascii="Calibri" w:hAnsi="Calibri" w:cs="Calibri"/>
          <w:color w:val="0D0D0D" w:themeColor="text1" w:themeTint="F2"/>
        </w:rPr>
        <w:t xml:space="preserve"> (6</w:t>
      </w:r>
      <w:r w:rsidRPr="00D66A9C">
        <w:rPr>
          <w:rFonts w:ascii="Calibri" w:hAnsi="Calibri" w:cs="Calibri"/>
          <w:color w:val="0D0D0D" w:themeColor="text1" w:themeTint="F2"/>
          <w:vertAlign w:val="superscript"/>
        </w:rPr>
        <w:t>th</w:t>
      </w:r>
      <w:r w:rsidRPr="00D66A9C">
        <w:rPr>
          <w:rFonts w:ascii="Calibri" w:hAnsi="Calibri" w:cs="Calibri"/>
          <w:color w:val="0D0D0D" w:themeColor="text1" w:themeTint="F2"/>
        </w:rPr>
        <w:t xml:space="preserve"> edn). Thousand Oaks: Sage Publications Inc.</w:t>
      </w:r>
    </w:p>
    <w:p w14:paraId="29BB12CE"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Finlay, L. (2017) ‘Championing ‘reflexivities’. </w:t>
      </w:r>
      <w:r w:rsidRPr="00D66A9C">
        <w:rPr>
          <w:rFonts w:ascii="Calibri" w:hAnsi="Calibri" w:cs="Calibri"/>
          <w:i/>
          <w:iCs/>
          <w:color w:val="0D0D0D" w:themeColor="text1" w:themeTint="F2"/>
        </w:rPr>
        <w:t>Qualitative Psychology’, 4</w:t>
      </w:r>
      <w:r w:rsidRPr="00D66A9C">
        <w:rPr>
          <w:rFonts w:ascii="Calibri" w:hAnsi="Calibri" w:cs="Calibri"/>
          <w:color w:val="0D0D0D" w:themeColor="text1" w:themeTint="F2"/>
        </w:rPr>
        <w:t>(2), pp. 120–125. https://doi.org/10.1037/qup0000075</w:t>
      </w:r>
    </w:p>
    <w:p w14:paraId="08CD350B"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Flick</w:t>
      </w:r>
      <w:r w:rsidRPr="00D66A9C">
        <w:rPr>
          <w:rFonts w:ascii="Calibri" w:hAnsi="Calibri" w:cs="Calibri"/>
          <w:color w:val="0D0D0D" w:themeColor="text1" w:themeTint="F2"/>
        </w:rPr>
        <w:t xml:space="preserve">, U. (2014) </w:t>
      </w:r>
      <w:r w:rsidRPr="00D66A9C">
        <w:rPr>
          <w:rFonts w:ascii="Calibri" w:hAnsi="Calibri" w:cs="Calibri"/>
          <w:color w:val="0D0D0D" w:themeColor="text1" w:themeTint="F2"/>
        </w:rPr>
        <w:t>An introduction to qualitative research</w:t>
      </w:r>
      <w:r w:rsidRPr="00D66A9C">
        <w:rPr>
          <w:rFonts w:ascii="Calibri" w:hAnsi="Calibri" w:cs="Calibri"/>
          <w:color w:val="0D0D0D" w:themeColor="text1" w:themeTint="F2"/>
        </w:rPr>
        <w:t xml:space="preserve">. Los Angeles: </w:t>
      </w:r>
      <w:r w:rsidRPr="00D66A9C">
        <w:rPr>
          <w:rFonts w:ascii="Calibri" w:hAnsi="Calibri" w:cs="Calibri"/>
          <w:color w:val="0D0D0D" w:themeColor="text1" w:themeTint="F2"/>
        </w:rPr>
        <w:t>Sage</w:t>
      </w:r>
      <w:r w:rsidRPr="00D66A9C">
        <w:rPr>
          <w:rFonts w:ascii="Calibri" w:hAnsi="Calibri" w:cs="Calibri"/>
          <w:color w:val="0D0D0D" w:themeColor="text1" w:themeTint="F2"/>
        </w:rPr>
        <w:t>.</w:t>
      </w:r>
    </w:p>
    <w:p w14:paraId="4378900F"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Francis,</w:t>
      </w:r>
      <w:r w:rsidRPr="00D66A9C">
        <w:rPr>
          <w:rFonts w:ascii="Calibri" w:hAnsi="Calibri" w:cs="Calibri"/>
          <w:color w:val="0D0D0D" w:themeColor="text1" w:themeTint="F2"/>
        </w:rPr>
        <w:t xml:space="preserve"> G. and </w:t>
      </w:r>
      <w:r w:rsidRPr="00D66A9C">
        <w:rPr>
          <w:rFonts w:ascii="Calibri" w:hAnsi="Calibri" w:cs="Calibri"/>
          <w:color w:val="0D0D0D" w:themeColor="text1" w:themeTint="F2"/>
        </w:rPr>
        <w:t>Holloway</w:t>
      </w:r>
      <w:r w:rsidRPr="00D66A9C">
        <w:rPr>
          <w:rFonts w:ascii="Calibri" w:hAnsi="Calibri" w:cs="Calibri"/>
          <w:color w:val="0D0D0D" w:themeColor="text1" w:themeTint="F2"/>
        </w:rPr>
        <w:t>, J. (2007) ‘</w:t>
      </w:r>
      <w:r w:rsidRPr="00D66A9C">
        <w:rPr>
          <w:rFonts w:ascii="Calibri" w:hAnsi="Calibri" w:cs="Calibri"/>
          <w:color w:val="0D0D0D" w:themeColor="text1" w:themeTint="F2"/>
        </w:rPr>
        <w:t>What have we learned? Themes from the literature on best‐practice benchmarking</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International Journal of Management Reviews</w:t>
      </w:r>
      <w:r w:rsidRPr="00D66A9C">
        <w:rPr>
          <w:rFonts w:ascii="Calibri" w:hAnsi="Calibri" w:cs="Calibri"/>
          <w:color w:val="0D0D0D" w:themeColor="text1" w:themeTint="F2"/>
        </w:rPr>
        <w:t>, 9, pp. 171-189</w:t>
      </w:r>
      <w:r w:rsidRPr="00D66A9C">
        <w:rPr>
          <w:rFonts w:ascii="Calibri" w:hAnsi="Calibri" w:cs="Calibri"/>
          <w:color w:val="0D0D0D" w:themeColor="text1" w:themeTint="F2"/>
        </w:rPr>
        <w:t>.</w:t>
      </w:r>
    </w:p>
    <w:p w14:paraId="033B579C"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Garth, A. (2008) </w:t>
      </w:r>
      <w:r w:rsidRPr="00D66A9C">
        <w:rPr>
          <w:rFonts w:ascii="Calibri" w:hAnsi="Calibri" w:cs="Calibri"/>
          <w:i/>
          <w:iCs/>
          <w:color w:val="0D0D0D" w:themeColor="text1" w:themeTint="F2"/>
        </w:rPr>
        <w:t>Analysing data using SPSS</w:t>
      </w:r>
      <w:r w:rsidRPr="00D66A9C">
        <w:rPr>
          <w:rFonts w:ascii="Calibri" w:hAnsi="Calibri" w:cs="Calibri"/>
          <w:color w:val="0D0D0D" w:themeColor="text1" w:themeTint="F2"/>
        </w:rPr>
        <w:t>. Sheffield</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Hallam University.</w:t>
      </w:r>
    </w:p>
    <w:p w14:paraId="169CAC14"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Gordon</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E</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J</w:t>
      </w:r>
      <w:r w:rsidRPr="00D66A9C">
        <w:rPr>
          <w:rFonts w:ascii="Calibri" w:hAnsi="Calibri" w:cs="Calibri"/>
          <w:color w:val="0D0D0D" w:themeColor="text1" w:themeTint="F2"/>
        </w:rPr>
        <w:t>. and</w:t>
      </w:r>
      <w:r w:rsidRPr="00D66A9C">
        <w:rPr>
          <w:rFonts w:ascii="Calibri" w:hAnsi="Calibri" w:cs="Calibri"/>
          <w:color w:val="0D0D0D" w:themeColor="text1" w:themeTint="F2"/>
        </w:rPr>
        <w:t xml:space="preserve"> Prohaska</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T</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 xml:space="preserve">R. </w:t>
      </w:r>
      <w:r w:rsidRPr="00D66A9C">
        <w:rPr>
          <w:rFonts w:ascii="Calibri" w:hAnsi="Calibri" w:cs="Calibri"/>
          <w:color w:val="0D0D0D" w:themeColor="text1" w:themeTint="F2"/>
        </w:rPr>
        <w:t>(2006) ‘</w:t>
      </w:r>
      <w:r w:rsidRPr="00D66A9C">
        <w:rPr>
          <w:rFonts w:ascii="Calibri" w:hAnsi="Calibri" w:cs="Calibri"/>
          <w:color w:val="0D0D0D" w:themeColor="text1" w:themeTint="F2"/>
        </w:rPr>
        <w:t xml:space="preserve">The ethics of withdrawal from study participation. </w:t>
      </w:r>
      <w:r w:rsidRPr="00D66A9C">
        <w:rPr>
          <w:rFonts w:ascii="Calibri" w:hAnsi="Calibri" w:cs="Calibri"/>
          <w:i/>
          <w:iCs/>
          <w:color w:val="0D0D0D" w:themeColor="text1" w:themeTint="F2"/>
        </w:rPr>
        <w:t xml:space="preserve">Journal of </w:t>
      </w:r>
      <w:r w:rsidRPr="00D66A9C">
        <w:rPr>
          <w:rFonts w:ascii="Calibri" w:hAnsi="Calibri" w:cs="Calibri"/>
          <w:i/>
          <w:iCs/>
          <w:color w:val="0D0D0D" w:themeColor="text1" w:themeTint="F2"/>
        </w:rPr>
        <w:t>Account</w:t>
      </w:r>
      <w:r w:rsidRPr="00D66A9C">
        <w:rPr>
          <w:rFonts w:ascii="Calibri" w:hAnsi="Calibri" w:cs="Calibri"/>
          <w:i/>
          <w:iCs/>
          <w:color w:val="0D0D0D" w:themeColor="text1" w:themeTint="F2"/>
        </w:rPr>
        <w:t>ability</w:t>
      </w:r>
      <w:r w:rsidRPr="00D66A9C">
        <w:rPr>
          <w:rFonts w:ascii="Calibri" w:hAnsi="Calibri" w:cs="Calibri"/>
          <w:i/>
          <w:iCs/>
          <w:color w:val="0D0D0D" w:themeColor="text1" w:themeTint="F2"/>
        </w:rPr>
        <w:t xml:space="preserve"> Res</w:t>
      </w:r>
      <w:r w:rsidRPr="00D66A9C">
        <w:rPr>
          <w:rFonts w:ascii="Calibri" w:hAnsi="Calibri" w:cs="Calibri"/>
          <w:i/>
          <w:iCs/>
          <w:color w:val="0D0D0D" w:themeColor="text1" w:themeTint="F2"/>
        </w:rPr>
        <w:t>earch</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13(4)</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285-309. doi: 10.1080/08989620600848645.</w:t>
      </w:r>
    </w:p>
    <w:p w14:paraId="13823BC9"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Group, T. M. and Roberts, T. L. (2001) </w:t>
      </w:r>
      <w:r w:rsidRPr="00D66A9C">
        <w:rPr>
          <w:rFonts w:ascii="Calibri" w:hAnsi="Calibri" w:cs="Calibri"/>
          <w:i/>
          <w:iCs/>
          <w:color w:val="0D0D0D" w:themeColor="text1" w:themeTint="F2"/>
        </w:rPr>
        <w:t xml:space="preserve">Nursing, Physician Control, and the Medical Monopoly: Historical Perspectives on Gendered Inequality in Roles, Rights, and Range of Practice. </w:t>
      </w:r>
      <w:r w:rsidRPr="00D66A9C">
        <w:rPr>
          <w:rFonts w:ascii="Calibri" w:hAnsi="Calibri" w:cs="Calibri"/>
          <w:color w:val="0D0D0D" w:themeColor="text1" w:themeTint="F2"/>
        </w:rPr>
        <w:t>Bloomington Indiana: Indiana University Press.</w:t>
      </w:r>
    </w:p>
    <w:p w14:paraId="063C4133"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Group, T. M. and Roberts, T. L. (2001) </w:t>
      </w:r>
      <w:r w:rsidRPr="00D66A9C">
        <w:rPr>
          <w:rFonts w:ascii="Calibri" w:hAnsi="Calibri" w:cs="Calibri"/>
          <w:i/>
          <w:iCs/>
          <w:color w:val="0D0D0D" w:themeColor="text1" w:themeTint="F2"/>
        </w:rPr>
        <w:t xml:space="preserve">Nursing, Physician Control, and the Medical Monopoly: Historical Perspectives on Gendered Inequality in Roles, Rights, and Range of Practice. </w:t>
      </w:r>
      <w:r w:rsidRPr="00D66A9C">
        <w:rPr>
          <w:rFonts w:ascii="Calibri" w:hAnsi="Calibri" w:cs="Calibri"/>
          <w:color w:val="0D0D0D" w:themeColor="text1" w:themeTint="F2"/>
        </w:rPr>
        <w:t>Bloomington: Indiana University Press.</w:t>
      </w:r>
    </w:p>
    <w:p w14:paraId="509DF753"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Guillemin, M. </w:t>
      </w:r>
      <w:r w:rsidRPr="00D66A9C">
        <w:rPr>
          <w:rFonts w:ascii="Calibri" w:hAnsi="Calibri" w:cs="Calibri"/>
          <w:color w:val="0D0D0D" w:themeColor="text1" w:themeTint="F2"/>
        </w:rPr>
        <w:t>and</w:t>
      </w:r>
      <w:r w:rsidRPr="00D66A9C">
        <w:rPr>
          <w:rFonts w:ascii="Calibri" w:hAnsi="Calibri" w:cs="Calibri"/>
          <w:color w:val="0D0D0D" w:themeColor="text1" w:themeTint="F2"/>
        </w:rPr>
        <w:t xml:space="preserve"> Gillam, L. (2004) </w:t>
      </w:r>
      <w:r w:rsidRPr="00D66A9C">
        <w:rPr>
          <w:rFonts w:ascii="Calibri" w:hAnsi="Calibri" w:cs="Calibri"/>
          <w:color w:val="0D0D0D" w:themeColor="text1" w:themeTint="F2"/>
        </w:rPr>
        <w:t>‘</w:t>
      </w:r>
      <w:r w:rsidRPr="00D66A9C">
        <w:rPr>
          <w:rFonts w:ascii="Calibri" w:hAnsi="Calibri" w:cs="Calibri"/>
          <w:color w:val="0D0D0D" w:themeColor="text1" w:themeTint="F2"/>
        </w:rPr>
        <w:t>Ethics, Reflexivity, and “Ethically Important Moments” in Research</w:t>
      </w:r>
      <w:r w:rsidRPr="00D66A9C">
        <w:rPr>
          <w:rFonts w:ascii="Calibri" w:hAnsi="Calibri" w:cs="Calibri"/>
          <w:color w:val="0D0D0D" w:themeColor="text1" w:themeTint="F2"/>
        </w:rPr>
        <w:t>’,</w:t>
      </w:r>
      <w:r w:rsidRPr="00D66A9C">
        <w:rPr>
          <w:rFonts w:ascii="Calibri" w:hAnsi="Calibri" w:cs="Calibri"/>
          <w:color w:val="0D0D0D" w:themeColor="text1" w:themeTint="F2"/>
        </w:rPr>
        <w:t> </w:t>
      </w:r>
      <w:r w:rsidRPr="00D66A9C">
        <w:rPr>
          <w:rFonts w:ascii="Calibri" w:hAnsi="Calibri" w:cs="Calibri"/>
          <w:i/>
          <w:iCs/>
          <w:color w:val="0D0D0D" w:themeColor="text1" w:themeTint="F2"/>
        </w:rPr>
        <w:t>Qualitative Inquiry</w:t>
      </w:r>
      <w:r w:rsidRPr="00D66A9C">
        <w:rPr>
          <w:rFonts w:ascii="Calibri" w:hAnsi="Calibri" w:cs="Calibri"/>
          <w:color w:val="0D0D0D" w:themeColor="text1" w:themeTint="F2"/>
        </w:rPr>
        <w:t>, </w:t>
      </w:r>
      <w:r w:rsidRPr="00D66A9C">
        <w:rPr>
          <w:rFonts w:ascii="Calibri" w:hAnsi="Calibri" w:cs="Calibri"/>
          <w:i/>
          <w:iCs/>
          <w:color w:val="0D0D0D" w:themeColor="text1" w:themeTint="F2"/>
        </w:rPr>
        <w:t>10</w:t>
      </w:r>
      <w:r w:rsidRPr="00D66A9C">
        <w:rPr>
          <w:rFonts w:ascii="Calibri" w:hAnsi="Calibri" w:cs="Calibri"/>
          <w:color w:val="0D0D0D" w:themeColor="text1" w:themeTint="F2"/>
        </w:rPr>
        <w:t xml:space="preserve">(2), </w:t>
      </w:r>
      <w:r w:rsidRPr="00D66A9C">
        <w:rPr>
          <w:rFonts w:ascii="Calibri" w:hAnsi="Calibri" w:cs="Calibri"/>
          <w:color w:val="0D0D0D" w:themeColor="text1" w:themeTint="F2"/>
        </w:rPr>
        <w:t xml:space="preserve">pp. </w:t>
      </w:r>
      <w:r w:rsidRPr="00D66A9C">
        <w:rPr>
          <w:rFonts w:ascii="Calibri" w:hAnsi="Calibri" w:cs="Calibri"/>
          <w:color w:val="0D0D0D" w:themeColor="text1" w:themeTint="F2"/>
        </w:rPr>
        <w:t>261</w:t>
      </w:r>
      <w:r w:rsidRPr="00D66A9C">
        <w:rPr>
          <w:rFonts w:ascii="Calibri" w:hAnsi="Calibri" w:cs="Calibri"/>
          <w:color w:val="0D0D0D" w:themeColor="text1" w:themeTint="F2"/>
        </w:rPr>
        <w:t>-</w:t>
      </w:r>
      <w:r w:rsidRPr="00D66A9C">
        <w:rPr>
          <w:rFonts w:ascii="Calibri" w:hAnsi="Calibri" w:cs="Calibri"/>
          <w:color w:val="0D0D0D" w:themeColor="text1" w:themeTint="F2"/>
        </w:rPr>
        <w:t>280.</w:t>
      </w:r>
      <w:r w:rsidRPr="00D66A9C">
        <w:rPr>
          <w:rFonts w:ascii="Calibri" w:hAnsi="Calibri" w:cs="Calibri"/>
          <w:color w:val="0D0D0D" w:themeColor="text1" w:themeTint="F2"/>
        </w:rPr>
        <w:t xml:space="preserve"> </w:t>
      </w:r>
    </w:p>
    <w:p w14:paraId="57261506"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Gulsecen, S. and Kubat, A. (2006) ‘Teaching ICT to teacher candidates using PBL: A qualitative and quantitative evaluation’, </w:t>
      </w:r>
      <w:r w:rsidRPr="00D66A9C">
        <w:rPr>
          <w:rFonts w:ascii="Calibri" w:hAnsi="Calibri" w:cs="Calibri"/>
          <w:i/>
          <w:iCs/>
          <w:color w:val="0D0D0D" w:themeColor="text1" w:themeTint="F2"/>
        </w:rPr>
        <w:t>Educational Technology and Society</w:t>
      </w:r>
      <w:r w:rsidRPr="00D66A9C">
        <w:rPr>
          <w:rFonts w:ascii="Calibri" w:hAnsi="Calibri" w:cs="Calibri"/>
          <w:color w:val="0D0D0D" w:themeColor="text1" w:themeTint="F2"/>
        </w:rPr>
        <w:t>, 9(2), pp. 96-106.</w:t>
      </w:r>
    </w:p>
    <w:p w14:paraId="6B017A44"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Jaeger</w:t>
      </w:r>
      <w:r w:rsidRPr="00D66A9C">
        <w:rPr>
          <w:rFonts w:ascii="Calibri" w:hAnsi="Calibri" w:cs="Calibri"/>
          <w:color w:val="0D0D0D" w:themeColor="text1" w:themeTint="F2"/>
        </w:rPr>
        <w:t>, S. R. and</w:t>
      </w:r>
      <w:r w:rsidRPr="00D66A9C">
        <w:rPr>
          <w:rFonts w:ascii="Calibri" w:hAnsi="Calibri" w:cs="Calibri"/>
          <w:color w:val="0D0D0D" w:themeColor="text1" w:themeTint="F2"/>
        </w:rPr>
        <w:t xml:space="preserve"> Cardello</w:t>
      </w:r>
      <w:r w:rsidRPr="00D66A9C">
        <w:rPr>
          <w:rFonts w:ascii="Calibri" w:hAnsi="Calibri" w:cs="Calibri"/>
          <w:color w:val="0D0D0D" w:themeColor="text1" w:themeTint="F2"/>
        </w:rPr>
        <w:t>, A. V. (2022)</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w:t>
      </w:r>
      <w:r w:rsidRPr="00D66A9C">
        <w:rPr>
          <w:rFonts w:ascii="Calibri" w:hAnsi="Calibri" w:cs="Calibri"/>
          <w:color w:val="0D0D0D" w:themeColor="text1" w:themeTint="F2"/>
        </w:rPr>
        <w:t>Factors affecting data quality of online questionnaires: Issues and metrics for sensory and consumer research</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Food Quality and Preference,</w:t>
      </w:r>
      <w:r w:rsidRPr="00D66A9C">
        <w:rPr>
          <w:rFonts w:ascii="Calibri" w:hAnsi="Calibri" w:cs="Calibri"/>
          <w:color w:val="0D0D0D" w:themeColor="text1" w:themeTint="F2"/>
        </w:rPr>
        <w:t xml:space="preserve"> 102(2).</w:t>
      </w:r>
    </w:p>
    <w:p w14:paraId="32BC82E8"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lastRenderedPageBreak/>
        <w:t xml:space="preserve">Jasrai, L. (2020) </w:t>
      </w:r>
      <w:r w:rsidRPr="00D66A9C">
        <w:rPr>
          <w:rFonts w:ascii="Calibri" w:hAnsi="Calibri" w:cs="Calibri"/>
          <w:i/>
          <w:iCs/>
          <w:color w:val="0D0D0D" w:themeColor="text1" w:themeTint="F2"/>
        </w:rPr>
        <w:t>Data analysis using SPSS.</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 xml:space="preserve">Thousand Oaks: </w:t>
      </w:r>
      <w:r w:rsidRPr="00D66A9C">
        <w:rPr>
          <w:rFonts w:ascii="Calibri" w:hAnsi="Calibri" w:cs="Calibri"/>
          <w:color w:val="0D0D0D" w:themeColor="text1" w:themeTint="F2"/>
        </w:rPr>
        <w:t>Sage Publications</w:t>
      </w:r>
      <w:r w:rsidRPr="00D66A9C">
        <w:rPr>
          <w:rFonts w:ascii="Calibri" w:hAnsi="Calibri" w:cs="Calibri"/>
          <w:color w:val="0D0D0D" w:themeColor="text1" w:themeTint="F2"/>
        </w:rPr>
        <w:t>.</w:t>
      </w:r>
    </w:p>
    <w:p w14:paraId="04F6D008" w14:textId="77777777" w:rsidR="0029251A" w:rsidRPr="00D66A9C" w:rsidRDefault="0029251A" w:rsidP="0029251A">
      <w:pPr>
        <w:spacing w:line="276" w:lineRule="auto"/>
        <w:rPr>
          <w:rFonts w:ascii="Calibri" w:eastAsia="DengXian" w:hAnsi="Calibri" w:cs="Calibri"/>
          <w:kern w:val="0"/>
          <w14:ligatures w14:val="none"/>
        </w:rPr>
      </w:pPr>
      <w:r w:rsidRPr="00D66A9C">
        <w:rPr>
          <w:rFonts w:ascii="Calibri" w:eastAsia="DengXian" w:hAnsi="Calibri" w:cs="Calibri"/>
          <w:kern w:val="0"/>
          <w14:ligatures w14:val="none"/>
        </w:rPr>
        <w:t xml:space="preserve">Kaushik, V. and Walsh, P. (2019) ‘Pragmatism as a research paradigm and its implication for social work research’, </w:t>
      </w:r>
      <w:r w:rsidRPr="00D66A9C">
        <w:rPr>
          <w:rFonts w:ascii="Calibri" w:eastAsia="DengXian" w:hAnsi="Calibri" w:cs="Calibri"/>
          <w:i/>
          <w:iCs/>
          <w:kern w:val="0"/>
          <w14:ligatures w14:val="none"/>
        </w:rPr>
        <w:t>Journal of Social Sciences</w:t>
      </w:r>
      <w:r w:rsidRPr="00D66A9C">
        <w:rPr>
          <w:rFonts w:ascii="Calibri" w:eastAsia="DengXian" w:hAnsi="Calibri" w:cs="Calibri"/>
          <w:kern w:val="0"/>
          <w14:ligatures w14:val="none"/>
        </w:rPr>
        <w:t>, 8(9), pp. 255-261.</w:t>
      </w:r>
    </w:p>
    <w:p w14:paraId="0B977CE7"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Kaushik, V., and Walsh, C. A. (2019) ‘Pragmatism as a Research Paradigm and Its Implications for Social Work Research’, </w:t>
      </w:r>
      <w:r w:rsidRPr="00D66A9C">
        <w:rPr>
          <w:rFonts w:ascii="Calibri" w:hAnsi="Calibri" w:cs="Calibri"/>
          <w:i/>
          <w:iCs/>
          <w:color w:val="0D0D0D" w:themeColor="text1" w:themeTint="F2"/>
        </w:rPr>
        <w:t>Social Sciences</w:t>
      </w:r>
      <w:r w:rsidRPr="00D66A9C">
        <w:rPr>
          <w:rFonts w:ascii="Calibri" w:hAnsi="Calibri" w:cs="Calibri"/>
          <w:color w:val="0D0D0D" w:themeColor="text1" w:themeTint="F2"/>
        </w:rPr>
        <w:t>, </w:t>
      </w:r>
      <w:r w:rsidRPr="00D66A9C">
        <w:rPr>
          <w:rFonts w:ascii="Calibri" w:hAnsi="Calibri" w:cs="Calibri"/>
          <w:i/>
          <w:iCs/>
          <w:color w:val="0D0D0D" w:themeColor="text1" w:themeTint="F2"/>
        </w:rPr>
        <w:t>8</w:t>
      </w:r>
      <w:r w:rsidRPr="00D66A9C">
        <w:rPr>
          <w:rFonts w:ascii="Calibri" w:hAnsi="Calibri" w:cs="Calibri"/>
          <w:color w:val="0D0D0D" w:themeColor="text1" w:themeTint="F2"/>
        </w:rPr>
        <w:t xml:space="preserve">(9), 255. </w:t>
      </w:r>
      <w:hyperlink r:id="rId5" w:history="1">
        <w:r w:rsidRPr="00D66A9C">
          <w:rPr>
            <w:rStyle w:val="Hyperlink"/>
            <w:rFonts w:ascii="Calibri" w:hAnsi="Calibri" w:cs="Calibri"/>
          </w:rPr>
          <w:t>https://doi.org/10.3390/socsci8090255</w:t>
        </w:r>
      </w:hyperlink>
    </w:p>
    <w:p w14:paraId="4D9F7406"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Klykken, F. H. (2021) </w:t>
      </w:r>
      <w:r w:rsidRPr="00D66A9C">
        <w:rPr>
          <w:rFonts w:ascii="Calibri" w:hAnsi="Calibri" w:cs="Calibri"/>
          <w:color w:val="0D0D0D" w:themeColor="text1" w:themeTint="F2"/>
        </w:rPr>
        <w:t>‘</w:t>
      </w:r>
      <w:r w:rsidRPr="00D66A9C">
        <w:rPr>
          <w:rFonts w:ascii="Calibri" w:hAnsi="Calibri" w:cs="Calibri"/>
          <w:color w:val="0D0D0D" w:themeColor="text1" w:themeTint="F2"/>
        </w:rPr>
        <w:t>Implementing continuous consent in qualitative research</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Qualitative Research</w:t>
      </w:r>
      <w:r w:rsidRPr="00D66A9C">
        <w:rPr>
          <w:rFonts w:ascii="Calibri" w:hAnsi="Calibri" w:cs="Calibri"/>
          <w:color w:val="0D0D0D" w:themeColor="text1" w:themeTint="F2"/>
        </w:rPr>
        <w:t>, </w:t>
      </w:r>
      <w:r w:rsidRPr="00D66A9C">
        <w:rPr>
          <w:rFonts w:ascii="Calibri" w:hAnsi="Calibri" w:cs="Calibri"/>
          <w:i/>
          <w:iCs/>
          <w:color w:val="0D0D0D" w:themeColor="text1" w:themeTint="F2"/>
        </w:rPr>
        <w:t>22</w:t>
      </w:r>
      <w:r w:rsidRPr="00D66A9C">
        <w:rPr>
          <w:rFonts w:ascii="Calibri" w:hAnsi="Calibri" w:cs="Calibri"/>
          <w:color w:val="0D0D0D" w:themeColor="text1" w:themeTint="F2"/>
        </w:rPr>
        <w:t xml:space="preserve">(5), </w:t>
      </w:r>
      <w:r w:rsidRPr="00D66A9C">
        <w:rPr>
          <w:rFonts w:ascii="Calibri" w:hAnsi="Calibri" w:cs="Calibri"/>
          <w:color w:val="0D0D0D" w:themeColor="text1" w:themeTint="F2"/>
        </w:rPr>
        <w:t xml:space="preserve">pp. </w:t>
      </w:r>
      <w:r w:rsidRPr="00D66A9C">
        <w:rPr>
          <w:rFonts w:ascii="Calibri" w:hAnsi="Calibri" w:cs="Calibri"/>
          <w:color w:val="0D0D0D" w:themeColor="text1" w:themeTint="F2"/>
        </w:rPr>
        <w:t>795-810. https://doi.org/10.1177/14687941211014366</w:t>
      </w:r>
      <w:r w:rsidRPr="00D66A9C">
        <w:rPr>
          <w:rFonts w:ascii="Calibri" w:hAnsi="Calibri" w:cs="Calibri"/>
          <w:color w:val="0D0D0D" w:themeColor="text1" w:themeTint="F2"/>
        </w:rPr>
        <w:t>.</w:t>
      </w:r>
    </w:p>
    <w:p w14:paraId="7932D64E" w14:textId="77777777" w:rsidR="0029251A" w:rsidRPr="00D66A9C" w:rsidRDefault="0029251A" w:rsidP="0029251A">
      <w:pPr>
        <w:spacing w:line="276" w:lineRule="auto"/>
        <w:rPr>
          <w:rFonts w:ascii="Calibri" w:hAnsi="Calibri" w:cs="Calibri"/>
          <w:color w:val="0D0D0D" w:themeColor="text1" w:themeTint="F2"/>
        </w:rPr>
      </w:pPr>
      <w:r w:rsidRPr="005956FF">
        <w:rPr>
          <w:rFonts w:ascii="Calibri" w:hAnsi="Calibri" w:cs="Calibri"/>
          <w:color w:val="0D0D0D" w:themeColor="text1" w:themeTint="F2"/>
        </w:rPr>
        <w:t>Lapadat,</w:t>
      </w:r>
      <w:r w:rsidRPr="00D66A9C">
        <w:rPr>
          <w:rFonts w:ascii="Calibri" w:hAnsi="Calibri" w:cs="Calibri"/>
          <w:color w:val="0D0D0D" w:themeColor="text1" w:themeTint="F2"/>
        </w:rPr>
        <w:t xml:space="preserve"> J. C. and</w:t>
      </w:r>
      <w:r w:rsidRPr="005956FF">
        <w:rPr>
          <w:rFonts w:ascii="Calibri" w:hAnsi="Calibri" w:cs="Calibri"/>
          <w:color w:val="0D0D0D" w:themeColor="text1" w:themeTint="F2"/>
        </w:rPr>
        <w:t> Lindsay</w:t>
      </w:r>
      <w:r w:rsidRPr="00D66A9C">
        <w:rPr>
          <w:rFonts w:ascii="Calibri" w:hAnsi="Calibri" w:cs="Calibri"/>
          <w:color w:val="0D0D0D" w:themeColor="text1" w:themeTint="F2"/>
        </w:rPr>
        <w:t xml:space="preserve">, A. C. (1999) </w:t>
      </w:r>
      <w:r w:rsidRPr="005956FF">
        <w:rPr>
          <w:rFonts w:ascii="Calibri" w:hAnsi="Calibri" w:cs="Calibri"/>
          <w:color w:val="0D0D0D" w:themeColor="text1" w:themeTint="F2"/>
        </w:rPr>
        <w:t>Transcription in research and practice: From standardization of technique to interpretive positionings</w:t>
      </w:r>
      <w:r w:rsidRPr="00D66A9C">
        <w:rPr>
          <w:rFonts w:ascii="Calibri" w:hAnsi="Calibri" w:cs="Calibri"/>
          <w:color w:val="0D0D0D" w:themeColor="text1" w:themeTint="F2"/>
        </w:rPr>
        <w:t xml:space="preserve">, </w:t>
      </w:r>
      <w:r w:rsidRPr="005956FF">
        <w:rPr>
          <w:rFonts w:ascii="Calibri" w:hAnsi="Calibri" w:cs="Calibri"/>
          <w:i/>
          <w:iCs/>
          <w:color w:val="0D0D0D" w:themeColor="text1" w:themeTint="F2"/>
        </w:rPr>
        <w:t>Qualitative Inquiry</w:t>
      </w:r>
      <w:r w:rsidRPr="005956FF">
        <w:rPr>
          <w:rFonts w:ascii="Calibri" w:hAnsi="Calibri" w:cs="Calibri"/>
          <w:color w:val="0D0D0D" w:themeColor="text1" w:themeTint="F2"/>
        </w:rPr>
        <w:t>, 5</w:t>
      </w:r>
      <w:r w:rsidRPr="00D66A9C">
        <w:rPr>
          <w:rFonts w:ascii="Calibri" w:hAnsi="Calibri" w:cs="Calibri"/>
          <w:color w:val="0D0D0D" w:themeColor="text1" w:themeTint="F2"/>
        </w:rPr>
        <w:t xml:space="preserve">, </w:t>
      </w:r>
      <w:r w:rsidRPr="005956FF">
        <w:rPr>
          <w:rFonts w:ascii="Calibri" w:hAnsi="Calibri" w:cs="Calibri"/>
          <w:color w:val="0D0D0D" w:themeColor="text1" w:themeTint="F2"/>
        </w:rPr>
        <w:t>pp. 64-86</w:t>
      </w:r>
      <w:r w:rsidRPr="00D66A9C">
        <w:rPr>
          <w:rFonts w:ascii="Calibri" w:hAnsi="Calibri" w:cs="Calibri"/>
          <w:color w:val="0D0D0D" w:themeColor="text1" w:themeTint="F2"/>
        </w:rPr>
        <w:t>.</w:t>
      </w:r>
    </w:p>
    <w:p w14:paraId="2E545D28"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Lincoln, Y. S. and Guba, E. G. (1986) ‘But is it rigorous? Trustworthiness and authenticity in naturalistic evaluation’, </w:t>
      </w:r>
      <w:r w:rsidRPr="00D66A9C">
        <w:rPr>
          <w:rFonts w:ascii="Calibri" w:hAnsi="Calibri" w:cs="Calibri"/>
          <w:i/>
          <w:iCs/>
          <w:color w:val="0D0D0D" w:themeColor="text1" w:themeTint="F2"/>
        </w:rPr>
        <w:t>New Directions for Program Evaluation,</w:t>
      </w:r>
      <w:r w:rsidRPr="00D66A9C">
        <w:rPr>
          <w:rFonts w:ascii="Calibri" w:hAnsi="Calibri" w:cs="Calibri"/>
          <w:color w:val="0D0D0D" w:themeColor="text1" w:themeTint="F2"/>
        </w:rPr>
        <w:t xml:space="preserve"> 1986(30), pp. 73-84. https://doi.org/10.1002/ev.1427.</w:t>
      </w:r>
    </w:p>
    <w:p w14:paraId="758693E1"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Mashuri</w:t>
      </w:r>
      <w:r w:rsidRPr="00D66A9C">
        <w:rPr>
          <w:rFonts w:ascii="Calibri" w:hAnsi="Calibri" w:cs="Calibri"/>
          <w:color w:val="0D0D0D" w:themeColor="text1" w:themeTint="F2"/>
        </w:rPr>
        <w:t>, S.,</w:t>
      </w:r>
      <w:r w:rsidRPr="00D66A9C">
        <w:rPr>
          <w:rFonts w:ascii="Calibri" w:hAnsi="Calibri" w:cs="Calibri"/>
          <w:color w:val="0D0D0D" w:themeColor="text1" w:themeTint="F2"/>
        </w:rPr>
        <w:t xml:space="preserve"> Sarib</w:t>
      </w:r>
      <w:r w:rsidRPr="00D66A9C">
        <w:rPr>
          <w:rFonts w:ascii="Calibri" w:hAnsi="Calibri" w:cs="Calibri"/>
          <w:color w:val="0D0D0D" w:themeColor="text1" w:themeTint="F2"/>
        </w:rPr>
        <w:t>, M.,</w:t>
      </w:r>
      <w:r w:rsidRPr="00D66A9C">
        <w:rPr>
          <w:rFonts w:ascii="Calibri" w:hAnsi="Calibri" w:cs="Calibri"/>
          <w:color w:val="0D0D0D" w:themeColor="text1" w:themeTint="F2"/>
        </w:rPr>
        <w:t xml:space="preserve"> Rasak</w:t>
      </w:r>
      <w:r w:rsidRPr="00D66A9C">
        <w:rPr>
          <w:rFonts w:ascii="Calibri" w:hAnsi="Calibri" w:cs="Calibri"/>
          <w:color w:val="0D0D0D" w:themeColor="text1" w:themeTint="F2"/>
        </w:rPr>
        <w:t xml:space="preserve">, A., </w:t>
      </w:r>
      <w:r w:rsidRPr="00D66A9C">
        <w:rPr>
          <w:rFonts w:ascii="Calibri" w:hAnsi="Calibri" w:cs="Calibri"/>
          <w:color w:val="0D0D0D" w:themeColor="text1" w:themeTint="F2"/>
        </w:rPr>
        <w:t>Alhabsyi</w:t>
      </w:r>
      <w:r w:rsidRPr="00D66A9C">
        <w:rPr>
          <w:rFonts w:ascii="Calibri" w:hAnsi="Calibri" w:cs="Calibri"/>
          <w:color w:val="0D0D0D" w:themeColor="text1" w:themeTint="F2"/>
        </w:rPr>
        <w:t xml:space="preserve">, F. and </w:t>
      </w:r>
      <w:r w:rsidRPr="00D66A9C">
        <w:rPr>
          <w:rFonts w:ascii="Calibri" w:hAnsi="Calibri" w:cs="Calibri"/>
          <w:color w:val="0D0D0D" w:themeColor="text1" w:themeTint="F2"/>
        </w:rPr>
        <w:t>Syam</w:t>
      </w:r>
      <w:r w:rsidRPr="00D66A9C">
        <w:rPr>
          <w:rFonts w:ascii="Calibri" w:hAnsi="Calibri" w:cs="Calibri"/>
          <w:color w:val="0D0D0D" w:themeColor="text1" w:themeTint="F2"/>
        </w:rPr>
        <w:t>, H.</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(2022) ‘S</w:t>
      </w:r>
      <w:r w:rsidRPr="00D66A9C">
        <w:rPr>
          <w:rFonts w:ascii="Calibri" w:hAnsi="Calibri" w:cs="Calibri"/>
          <w:color w:val="0D0D0D" w:themeColor="text1" w:themeTint="F2"/>
        </w:rPr>
        <w:t>emi-structured Interview: A Methodological Reflection on the Development of a Qualitative Research Instrument in Educational Studies</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 xml:space="preserve">Journal of Research </w:t>
      </w:r>
      <w:r w:rsidRPr="00D66A9C">
        <w:rPr>
          <w:rFonts w:ascii="Calibri" w:hAnsi="Calibri" w:cs="Calibri"/>
          <w:i/>
          <w:iCs/>
          <w:color w:val="0D0D0D" w:themeColor="text1" w:themeTint="F2"/>
        </w:rPr>
        <w:t>and</w:t>
      </w:r>
      <w:r w:rsidRPr="00D66A9C">
        <w:rPr>
          <w:rFonts w:ascii="Calibri" w:hAnsi="Calibri" w:cs="Calibri"/>
          <w:i/>
          <w:iCs/>
          <w:color w:val="0D0D0D" w:themeColor="text1" w:themeTint="F2"/>
        </w:rPr>
        <w:t xml:space="preserve"> Method in Education</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12</w:t>
      </w:r>
      <w:r w:rsidRPr="00D66A9C">
        <w:rPr>
          <w:rFonts w:ascii="Calibri" w:hAnsi="Calibri" w:cs="Calibri"/>
          <w:color w:val="0D0D0D" w:themeColor="text1" w:themeTint="F2"/>
        </w:rPr>
        <w:t>(</w:t>
      </w:r>
      <w:r w:rsidRPr="00D66A9C">
        <w:rPr>
          <w:rFonts w:ascii="Calibri" w:hAnsi="Calibri" w:cs="Calibri"/>
          <w:color w:val="0D0D0D" w:themeColor="text1" w:themeTint="F2"/>
        </w:rPr>
        <w:t>1</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22-29</w:t>
      </w:r>
      <w:r w:rsidRPr="00D66A9C">
        <w:rPr>
          <w:rFonts w:ascii="Calibri" w:hAnsi="Calibri" w:cs="Calibri"/>
          <w:color w:val="0D0D0D" w:themeColor="text1" w:themeTint="F2"/>
        </w:rPr>
        <w:t>.</w:t>
      </w:r>
    </w:p>
    <w:p w14:paraId="46E42276"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Mercer, J. (2007) ‘The challenges of insider research in educational institutions: wielding a double‐edged sword and resolving delicate dilemmas’,</w:t>
      </w:r>
      <w:r w:rsidRPr="00D66A9C">
        <w:rPr>
          <w:rFonts w:ascii="Calibri" w:hAnsi="Calibri" w:cs="Calibri"/>
          <w:i/>
          <w:iCs/>
          <w:color w:val="0D0D0D" w:themeColor="text1" w:themeTint="F2"/>
        </w:rPr>
        <w:t xml:space="preserve"> Oxford Review of Education, </w:t>
      </w:r>
      <w:r w:rsidRPr="00D66A9C">
        <w:rPr>
          <w:rFonts w:ascii="Calibri" w:hAnsi="Calibri" w:cs="Calibri"/>
          <w:color w:val="0D0D0D" w:themeColor="text1" w:themeTint="F2"/>
        </w:rPr>
        <w:t>33(1), pp. 10–27.</w:t>
      </w:r>
    </w:p>
    <w:p w14:paraId="390AEF4B"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Morgan, D. L. (2014) </w:t>
      </w:r>
      <w:r w:rsidRPr="00D66A9C">
        <w:rPr>
          <w:rFonts w:ascii="Calibri" w:hAnsi="Calibri" w:cs="Calibri"/>
          <w:i/>
          <w:iCs/>
          <w:color w:val="0D0D0D" w:themeColor="text1" w:themeTint="F2"/>
        </w:rPr>
        <w:t>Integrating Qualitative and Quantitative Methods: A Pragmatic Approach</w:t>
      </w:r>
      <w:r w:rsidRPr="00D66A9C">
        <w:rPr>
          <w:rFonts w:ascii="Calibri" w:hAnsi="Calibri" w:cs="Calibri"/>
          <w:color w:val="0D0D0D" w:themeColor="text1" w:themeTint="F2"/>
        </w:rPr>
        <w:t>. Thousand Oaks: Sage.</w:t>
      </w:r>
    </w:p>
    <w:p w14:paraId="738AF5B2"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Naeem, M., Ozuem, W., Howell, K.</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Ranfagni, S. (2023) </w:t>
      </w:r>
      <w:r w:rsidRPr="00D66A9C">
        <w:rPr>
          <w:rFonts w:ascii="Calibri" w:hAnsi="Calibri" w:cs="Calibri"/>
          <w:color w:val="0D0D0D" w:themeColor="text1" w:themeTint="F2"/>
        </w:rPr>
        <w:t>‘</w:t>
      </w:r>
      <w:r w:rsidRPr="00D66A9C">
        <w:rPr>
          <w:rFonts w:ascii="Calibri" w:hAnsi="Calibri" w:cs="Calibri"/>
          <w:color w:val="0D0D0D" w:themeColor="text1" w:themeTint="F2"/>
        </w:rPr>
        <w:t>A Step-by-Step Process of Thematic Analysis to Develop a Conceptual Model in Qualitative Research</w:t>
      </w:r>
      <w:r w:rsidRPr="00D66A9C">
        <w:rPr>
          <w:rFonts w:ascii="Calibri" w:hAnsi="Calibri" w:cs="Calibri"/>
          <w:color w:val="0D0D0D" w:themeColor="text1" w:themeTint="F2"/>
        </w:rPr>
        <w:t>’</w:t>
      </w:r>
      <w:r w:rsidRPr="00D66A9C">
        <w:rPr>
          <w:rFonts w:ascii="Calibri" w:hAnsi="Calibri" w:cs="Calibri"/>
          <w:i/>
          <w:iCs/>
          <w:color w:val="0D0D0D" w:themeColor="text1" w:themeTint="F2"/>
        </w:rPr>
        <w:t>,</w:t>
      </w:r>
      <w:r w:rsidRPr="00D66A9C">
        <w:rPr>
          <w:rFonts w:ascii="Calibri" w:hAnsi="Calibri" w:cs="Calibri"/>
          <w:i/>
          <w:iCs/>
          <w:color w:val="0D0D0D" w:themeColor="text1" w:themeTint="F2"/>
        </w:rPr>
        <w:t xml:space="preserve"> International Journal of Qualitative Methods</w:t>
      </w:r>
      <w:r w:rsidRPr="00D66A9C">
        <w:rPr>
          <w:rFonts w:ascii="Calibri" w:hAnsi="Calibri" w:cs="Calibri"/>
          <w:color w:val="0D0D0D" w:themeColor="text1" w:themeTint="F2"/>
        </w:rPr>
        <w:t>, 22</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https://doi.org/10.1177/16094069231205789</w:t>
      </w:r>
      <w:r w:rsidRPr="00D66A9C">
        <w:rPr>
          <w:rFonts w:ascii="Calibri" w:hAnsi="Calibri" w:cs="Calibri"/>
          <w:color w:val="0D0D0D" w:themeColor="text1" w:themeTint="F2"/>
        </w:rPr>
        <w:t>.</w:t>
      </w:r>
    </w:p>
    <w:p w14:paraId="3500AB9F"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Nursing and Midwifery Council (2023) </w:t>
      </w:r>
      <w:r w:rsidRPr="00D66A9C">
        <w:rPr>
          <w:rFonts w:ascii="Calibri" w:hAnsi="Calibri" w:cs="Calibri"/>
          <w:i/>
          <w:iCs/>
          <w:color w:val="0D0D0D" w:themeColor="text1" w:themeTint="F2"/>
        </w:rPr>
        <w:t>Our Latest Information about Nursing and Midwifery in the UK.</w:t>
      </w:r>
      <w:r w:rsidRPr="00D66A9C">
        <w:rPr>
          <w:rFonts w:ascii="Calibri" w:hAnsi="Calibri" w:cs="Calibri"/>
          <w:color w:val="0D0D0D" w:themeColor="text1" w:themeTint="F2"/>
        </w:rPr>
        <w:t xml:space="preserve"> Available at:.nmc.org.uk/globalassets/sitedocuments/data-reports/march-2023/nmc-register-data-march-2023-easy-read.pdf (Accessed on: 19th March 2025).</w:t>
      </w:r>
    </w:p>
    <w:p w14:paraId="75C4B346"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Orb,</w:t>
      </w:r>
      <w:r w:rsidRPr="00D66A9C">
        <w:rPr>
          <w:rFonts w:ascii="Calibri" w:hAnsi="Calibri" w:cs="Calibri"/>
          <w:color w:val="0D0D0D" w:themeColor="text1" w:themeTint="F2"/>
        </w:rPr>
        <w:t xml:space="preserve"> A.,</w:t>
      </w:r>
      <w:r w:rsidRPr="00D66A9C">
        <w:rPr>
          <w:rFonts w:ascii="Calibri" w:hAnsi="Calibri" w:cs="Calibri"/>
          <w:color w:val="0D0D0D" w:themeColor="text1" w:themeTint="F2"/>
        </w:rPr>
        <w:t xml:space="preserve"> Eisenhauer,</w:t>
      </w:r>
      <w:r w:rsidRPr="00D66A9C">
        <w:rPr>
          <w:rFonts w:ascii="Calibri" w:hAnsi="Calibri" w:cs="Calibri"/>
          <w:color w:val="0D0D0D" w:themeColor="text1" w:themeTint="F2"/>
        </w:rPr>
        <w:t xml:space="preserve"> L. and</w:t>
      </w:r>
      <w:r w:rsidRPr="00D66A9C">
        <w:rPr>
          <w:rFonts w:ascii="Calibri" w:hAnsi="Calibri" w:cs="Calibri"/>
          <w:color w:val="0D0D0D" w:themeColor="text1" w:themeTint="F2"/>
        </w:rPr>
        <w:t xml:space="preserve"> Wynaden</w:t>
      </w:r>
      <w:r w:rsidRPr="00D66A9C">
        <w:rPr>
          <w:rFonts w:ascii="Calibri" w:hAnsi="Calibri" w:cs="Calibri"/>
          <w:color w:val="0D0D0D" w:themeColor="text1" w:themeTint="F2"/>
        </w:rPr>
        <w:t>, D. (2001) ‘</w:t>
      </w:r>
      <w:r w:rsidRPr="00D66A9C">
        <w:rPr>
          <w:rFonts w:ascii="Calibri" w:hAnsi="Calibri" w:cs="Calibri"/>
          <w:color w:val="0D0D0D" w:themeColor="text1" w:themeTint="F2"/>
        </w:rPr>
        <w:t>Ethics in Qualitative Research</w:t>
      </w:r>
      <w:r w:rsidRPr="00D66A9C">
        <w:rPr>
          <w:rFonts w:ascii="Calibri" w:hAnsi="Calibri" w:cs="Calibri"/>
          <w:color w:val="0D0D0D" w:themeColor="text1" w:themeTint="F2"/>
        </w:rPr>
        <w:t xml:space="preserve">’, Journal of Nursing Scholarship, 33(1), pp. 93-96. </w:t>
      </w:r>
      <w:r w:rsidRPr="00D66A9C">
        <w:rPr>
          <w:rFonts w:ascii="Calibri" w:hAnsi="Calibri" w:cs="Calibri"/>
          <w:color w:val="0D0D0D" w:themeColor="text1" w:themeTint="F2"/>
        </w:rPr>
        <w:t>https://doi.org/10.1111/j.1547-5069.2001.00093.x</w:t>
      </w:r>
      <w:r w:rsidRPr="00D66A9C">
        <w:rPr>
          <w:rFonts w:ascii="Calibri" w:hAnsi="Calibri" w:cs="Calibri"/>
          <w:color w:val="0D0D0D" w:themeColor="text1" w:themeTint="F2"/>
        </w:rPr>
        <w:t>.</w:t>
      </w:r>
    </w:p>
    <w:p w14:paraId="161E6D55"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Ozgur, C., Kleckner, M.</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Li, Y. (2015) </w:t>
      </w:r>
      <w:r w:rsidRPr="00D66A9C">
        <w:rPr>
          <w:rFonts w:ascii="Calibri" w:hAnsi="Calibri" w:cs="Calibri"/>
          <w:color w:val="0D0D0D" w:themeColor="text1" w:themeTint="F2"/>
        </w:rPr>
        <w:t>‘</w:t>
      </w:r>
      <w:r w:rsidRPr="00D66A9C">
        <w:rPr>
          <w:rFonts w:ascii="Calibri" w:hAnsi="Calibri" w:cs="Calibri"/>
          <w:color w:val="0D0D0D" w:themeColor="text1" w:themeTint="F2"/>
        </w:rPr>
        <w:t>Selection of Statistical Software for Solving Big Data Problems: A Guide for Businesses, Students, and Universities</w:t>
      </w:r>
      <w:r w:rsidRPr="00D66A9C">
        <w:rPr>
          <w:rFonts w:ascii="Calibri" w:hAnsi="Calibri" w:cs="Calibri"/>
          <w:color w:val="0D0D0D" w:themeColor="text1" w:themeTint="F2"/>
        </w:rPr>
        <w:t>’,</w:t>
      </w:r>
      <w:r w:rsidRPr="00D66A9C">
        <w:rPr>
          <w:rFonts w:ascii="Calibri" w:hAnsi="Calibri" w:cs="Calibri"/>
          <w:color w:val="0D0D0D" w:themeColor="text1" w:themeTint="F2"/>
        </w:rPr>
        <w:t> </w:t>
      </w:r>
      <w:r w:rsidRPr="00D66A9C">
        <w:rPr>
          <w:rFonts w:ascii="Calibri" w:hAnsi="Calibri" w:cs="Calibri"/>
          <w:i/>
          <w:iCs/>
          <w:color w:val="0D0D0D" w:themeColor="text1" w:themeTint="F2"/>
        </w:rPr>
        <w:t>SAGE Open</w:t>
      </w:r>
      <w:r w:rsidRPr="00D66A9C">
        <w:rPr>
          <w:rFonts w:ascii="Calibri" w:hAnsi="Calibri" w:cs="Calibri"/>
          <w:color w:val="0D0D0D" w:themeColor="text1" w:themeTint="F2"/>
        </w:rPr>
        <w:t>, </w:t>
      </w:r>
      <w:r w:rsidRPr="00D66A9C">
        <w:rPr>
          <w:rFonts w:ascii="Calibri" w:hAnsi="Calibri" w:cs="Calibri"/>
          <w:i/>
          <w:iCs/>
          <w:color w:val="0D0D0D" w:themeColor="text1" w:themeTint="F2"/>
        </w:rPr>
        <w:t>5</w:t>
      </w:r>
      <w:r w:rsidRPr="00D66A9C">
        <w:rPr>
          <w:rFonts w:ascii="Calibri" w:hAnsi="Calibri" w:cs="Calibri"/>
          <w:color w:val="0D0D0D" w:themeColor="text1" w:themeTint="F2"/>
        </w:rPr>
        <w:t>(2). https://doi.org/10.1177/2158244015584379</w:t>
      </w:r>
      <w:r w:rsidRPr="00D66A9C">
        <w:rPr>
          <w:rFonts w:ascii="Calibri" w:hAnsi="Calibri" w:cs="Calibri"/>
          <w:color w:val="0D0D0D" w:themeColor="text1" w:themeTint="F2"/>
        </w:rPr>
        <w:t>.</w:t>
      </w:r>
    </w:p>
    <w:p w14:paraId="285514BF"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Pallant, J. (2020) </w:t>
      </w:r>
      <w:r w:rsidRPr="00DA5A9D">
        <w:rPr>
          <w:rFonts w:ascii="Calibri" w:hAnsi="Calibri" w:cs="Calibri"/>
          <w:i/>
          <w:iCs/>
          <w:color w:val="0D0D0D" w:themeColor="text1" w:themeTint="F2"/>
        </w:rPr>
        <w:t>SPSS Survival Manual</w:t>
      </w:r>
      <w:r w:rsidRPr="00D66A9C">
        <w:rPr>
          <w:rFonts w:ascii="Calibri" w:hAnsi="Calibri" w:cs="Calibri"/>
          <w:i/>
          <w:iCs/>
          <w:color w:val="0D0D0D" w:themeColor="text1" w:themeTint="F2"/>
        </w:rPr>
        <w:t xml:space="preserve">: </w:t>
      </w:r>
      <w:r w:rsidRPr="00DA5A9D">
        <w:rPr>
          <w:rFonts w:ascii="Calibri" w:hAnsi="Calibri" w:cs="Calibri"/>
          <w:i/>
          <w:iCs/>
          <w:color w:val="0D0D0D" w:themeColor="text1" w:themeTint="F2"/>
        </w:rPr>
        <w:t>A step by step guide to data analysis using IBM SPSS</w:t>
      </w:r>
      <w:r w:rsidRPr="00D66A9C">
        <w:rPr>
          <w:rFonts w:ascii="Calibri" w:hAnsi="Calibri" w:cs="Calibri"/>
          <w:color w:val="0D0D0D" w:themeColor="text1" w:themeTint="F2"/>
        </w:rPr>
        <w:t xml:space="preserve"> (7</w:t>
      </w:r>
      <w:r w:rsidRPr="00D66A9C">
        <w:rPr>
          <w:rFonts w:ascii="Calibri" w:hAnsi="Calibri" w:cs="Calibri"/>
          <w:color w:val="0D0D0D" w:themeColor="text1" w:themeTint="F2"/>
          <w:vertAlign w:val="superscript"/>
        </w:rPr>
        <w:t>th</w:t>
      </w:r>
      <w:r w:rsidRPr="00D66A9C">
        <w:rPr>
          <w:rFonts w:ascii="Calibri" w:hAnsi="Calibri" w:cs="Calibri"/>
          <w:color w:val="0D0D0D" w:themeColor="text1" w:themeTint="F2"/>
        </w:rPr>
        <w:t xml:space="preserve"> edn). London: Routledge.</w:t>
      </w:r>
    </w:p>
    <w:p w14:paraId="6309A612"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lastRenderedPageBreak/>
        <w:t xml:space="preserve">Patton, M. Q. (2015) </w:t>
      </w:r>
      <w:r w:rsidRPr="00D66A9C">
        <w:rPr>
          <w:rFonts w:ascii="Calibri" w:hAnsi="Calibri" w:cs="Calibri"/>
          <w:i/>
          <w:iCs/>
          <w:color w:val="0D0D0D" w:themeColor="text1" w:themeTint="F2"/>
        </w:rPr>
        <w:t>Qualitative Research and Evaluation Methods: Integrating Theory and Practice</w:t>
      </w:r>
      <w:r w:rsidRPr="00D66A9C">
        <w:rPr>
          <w:rFonts w:ascii="Calibri" w:hAnsi="Calibri" w:cs="Calibri"/>
          <w:color w:val="0D0D0D" w:themeColor="text1" w:themeTint="F2"/>
        </w:rPr>
        <w:t xml:space="preserve"> (4</w:t>
      </w:r>
      <w:r w:rsidRPr="00D66A9C">
        <w:rPr>
          <w:rFonts w:ascii="Calibri" w:hAnsi="Calibri" w:cs="Calibri"/>
          <w:color w:val="0D0D0D" w:themeColor="text1" w:themeTint="F2"/>
          <w:vertAlign w:val="superscript"/>
        </w:rPr>
        <w:t>th</w:t>
      </w:r>
      <w:r w:rsidRPr="00D66A9C">
        <w:rPr>
          <w:rFonts w:ascii="Calibri" w:hAnsi="Calibri" w:cs="Calibri"/>
          <w:color w:val="0D0D0D" w:themeColor="text1" w:themeTint="F2"/>
        </w:rPr>
        <w:t xml:space="preserve"> edn). Thousand Oaks: Sage Publications Inc.</w:t>
      </w:r>
    </w:p>
    <w:p w14:paraId="0434F3B5"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Ponto J. </w:t>
      </w:r>
      <w:r w:rsidRPr="00D66A9C">
        <w:rPr>
          <w:rFonts w:ascii="Calibri" w:hAnsi="Calibri" w:cs="Calibri"/>
          <w:color w:val="0D0D0D" w:themeColor="text1" w:themeTint="F2"/>
        </w:rPr>
        <w:t>(2015) ‘</w:t>
      </w:r>
      <w:r w:rsidRPr="00D66A9C">
        <w:rPr>
          <w:rFonts w:ascii="Calibri" w:hAnsi="Calibri" w:cs="Calibri"/>
          <w:color w:val="0D0D0D" w:themeColor="text1" w:themeTint="F2"/>
        </w:rPr>
        <w:t>Understanding and Evaluating Survey Research</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J</w:t>
      </w:r>
      <w:r w:rsidRPr="00D66A9C">
        <w:rPr>
          <w:rFonts w:ascii="Calibri" w:hAnsi="Calibri" w:cs="Calibri"/>
          <w:i/>
          <w:iCs/>
          <w:color w:val="0D0D0D" w:themeColor="text1" w:themeTint="F2"/>
        </w:rPr>
        <w:t>ournal of</w:t>
      </w:r>
      <w:r w:rsidRPr="00D66A9C">
        <w:rPr>
          <w:rFonts w:ascii="Calibri" w:hAnsi="Calibri" w:cs="Calibri"/>
          <w:i/>
          <w:iCs/>
          <w:color w:val="0D0D0D" w:themeColor="text1" w:themeTint="F2"/>
        </w:rPr>
        <w:t xml:space="preserve"> Adv</w:t>
      </w:r>
      <w:r w:rsidRPr="00D66A9C">
        <w:rPr>
          <w:rFonts w:ascii="Calibri" w:hAnsi="Calibri" w:cs="Calibri"/>
          <w:i/>
          <w:iCs/>
          <w:color w:val="0D0D0D" w:themeColor="text1" w:themeTint="F2"/>
        </w:rPr>
        <w:t>anced</w:t>
      </w:r>
      <w:r w:rsidRPr="00D66A9C">
        <w:rPr>
          <w:rFonts w:ascii="Calibri" w:hAnsi="Calibri" w:cs="Calibri"/>
          <w:i/>
          <w:iCs/>
          <w:color w:val="0D0D0D" w:themeColor="text1" w:themeTint="F2"/>
        </w:rPr>
        <w:t xml:space="preserve"> Pract</w:t>
      </w:r>
      <w:r w:rsidRPr="00D66A9C">
        <w:rPr>
          <w:rFonts w:ascii="Calibri" w:hAnsi="Calibri" w:cs="Calibri"/>
          <w:i/>
          <w:iCs/>
          <w:color w:val="0D0D0D" w:themeColor="text1" w:themeTint="F2"/>
        </w:rPr>
        <w:t>ice</w:t>
      </w:r>
      <w:r w:rsidRPr="00D66A9C">
        <w:rPr>
          <w:rFonts w:ascii="Calibri" w:hAnsi="Calibri" w:cs="Calibri"/>
          <w:i/>
          <w:iCs/>
          <w:color w:val="0D0D0D" w:themeColor="text1" w:themeTint="F2"/>
        </w:rPr>
        <w:t xml:space="preserve"> Oncol</w:t>
      </w:r>
      <w:r w:rsidRPr="00D66A9C">
        <w:rPr>
          <w:rFonts w:ascii="Calibri" w:hAnsi="Calibri" w:cs="Calibri"/>
          <w:i/>
          <w:iCs/>
          <w:color w:val="0D0D0D" w:themeColor="text1" w:themeTint="F2"/>
        </w:rPr>
        <w:t>ogy,</w:t>
      </w:r>
      <w:r w:rsidRPr="00D66A9C">
        <w:rPr>
          <w:rFonts w:ascii="Calibri" w:hAnsi="Calibri" w:cs="Calibri"/>
          <w:i/>
          <w:iCs/>
          <w:color w:val="0D0D0D" w:themeColor="text1" w:themeTint="F2"/>
        </w:rPr>
        <w:t xml:space="preserve"> </w:t>
      </w:r>
      <w:r w:rsidRPr="00D66A9C">
        <w:rPr>
          <w:rFonts w:ascii="Calibri" w:hAnsi="Calibri" w:cs="Calibri"/>
          <w:color w:val="0D0D0D" w:themeColor="text1" w:themeTint="F2"/>
        </w:rPr>
        <w:t>6(2)</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168-71.</w:t>
      </w:r>
    </w:p>
    <w:p w14:paraId="7E762132"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Punch</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K. F. (201</w:t>
      </w:r>
      <w:r w:rsidRPr="00D66A9C">
        <w:rPr>
          <w:rFonts w:ascii="Calibri" w:hAnsi="Calibri" w:cs="Calibri"/>
          <w:color w:val="0D0D0D" w:themeColor="text1" w:themeTint="F2"/>
        </w:rPr>
        <w:t>4</w:t>
      </w:r>
      <w:r w:rsidRPr="00D66A9C">
        <w:rPr>
          <w:rFonts w:ascii="Calibri" w:hAnsi="Calibri" w:cs="Calibri"/>
          <w:color w:val="0D0D0D" w:themeColor="text1" w:themeTint="F2"/>
        </w:rPr>
        <w:t>) </w:t>
      </w:r>
      <w:r w:rsidRPr="00D66A9C">
        <w:rPr>
          <w:rFonts w:ascii="Calibri" w:hAnsi="Calibri" w:cs="Calibri"/>
          <w:i/>
          <w:iCs/>
          <w:color w:val="0D0D0D" w:themeColor="text1" w:themeTint="F2"/>
        </w:rPr>
        <w:t>Introduction to social research: Quantitative and qualitative approaches</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 xml:space="preserve">New York: </w:t>
      </w:r>
      <w:r w:rsidRPr="00D66A9C">
        <w:rPr>
          <w:rFonts w:ascii="Calibri" w:hAnsi="Calibri" w:cs="Calibri"/>
          <w:color w:val="0D0D0D" w:themeColor="text1" w:themeTint="F2"/>
        </w:rPr>
        <w:t>Sage.</w:t>
      </w:r>
    </w:p>
    <w:p w14:paraId="14E46F15"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Rahman, </w:t>
      </w:r>
      <w:r w:rsidRPr="00D66A9C">
        <w:rPr>
          <w:rFonts w:ascii="Calibri" w:hAnsi="Calibri" w:cs="Calibri"/>
          <w:color w:val="0D0D0D" w:themeColor="text1" w:themeTint="F2"/>
        </w:rPr>
        <w:t>A</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and</w:t>
      </w:r>
      <w:r w:rsidRPr="00D66A9C">
        <w:rPr>
          <w:rFonts w:ascii="Calibri" w:hAnsi="Calibri" w:cs="Calibri"/>
          <w:color w:val="0D0D0D" w:themeColor="text1" w:themeTint="F2"/>
        </w:rPr>
        <w:t xml:space="preserve"> Muktadir</w:t>
      </w:r>
      <w:r w:rsidRPr="00D66A9C">
        <w:rPr>
          <w:rFonts w:ascii="Calibri" w:hAnsi="Calibri" w:cs="Calibri"/>
          <w:color w:val="0D0D0D" w:themeColor="text1" w:themeTint="F2"/>
        </w:rPr>
        <w:t>, R. (2021) ‘</w:t>
      </w:r>
      <w:r w:rsidRPr="00D66A9C">
        <w:rPr>
          <w:rFonts w:ascii="Calibri" w:hAnsi="Calibri" w:cs="Calibri"/>
          <w:color w:val="0D0D0D" w:themeColor="text1" w:themeTint="F2"/>
        </w:rPr>
        <w:t>SPSS: An Imperative Quantitative Data Analysis Tool for Social Science Research</w:t>
      </w:r>
      <w:r w:rsidRPr="00D66A9C">
        <w:rPr>
          <w:rFonts w:ascii="Calibri" w:hAnsi="Calibri" w:cs="Calibri"/>
          <w:color w:val="0D0D0D" w:themeColor="text1" w:themeTint="F2"/>
        </w:rPr>
        <w:t>’</w:t>
      </w:r>
      <w:r w:rsidRPr="00D66A9C">
        <w:rPr>
          <w:rFonts w:ascii="Calibri" w:hAnsi="Calibri" w:cs="Calibri"/>
          <w:i/>
          <w:iCs/>
          <w:color w:val="0D0D0D" w:themeColor="text1" w:themeTint="F2"/>
        </w:rPr>
        <w:t>,</w:t>
      </w:r>
      <w:r w:rsidRPr="00D66A9C">
        <w:rPr>
          <w:rFonts w:ascii="Calibri" w:hAnsi="Calibri" w:cs="Calibri"/>
          <w:i/>
          <w:iCs/>
          <w:color w:val="0D0D0D" w:themeColor="text1" w:themeTint="F2"/>
        </w:rPr>
        <w:t xml:space="preserve"> International Journal of Research and Innovation in Social Science</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5(10).</w:t>
      </w:r>
    </w:p>
    <w:p w14:paraId="1A862C1B"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Regmi</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P</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R</w:t>
      </w:r>
      <w:r w:rsidRPr="00D66A9C">
        <w:rPr>
          <w:rFonts w:ascii="Calibri" w:hAnsi="Calibri" w:cs="Calibri"/>
          <w:color w:val="0D0D0D" w:themeColor="text1" w:themeTint="F2"/>
        </w:rPr>
        <w:t>.</w:t>
      </w:r>
      <w:r w:rsidRPr="00D66A9C">
        <w:rPr>
          <w:rFonts w:ascii="Calibri" w:hAnsi="Calibri" w:cs="Calibri"/>
          <w:color w:val="0D0D0D" w:themeColor="text1" w:themeTint="F2"/>
        </w:rPr>
        <w:t>, Waithaka</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E</w:t>
      </w:r>
      <w:r w:rsidRPr="00D66A9C">
        <w:rPr>
          <w:rFonts w:ascii="Calibri" w:hAnsi="Calibri" w:cs="Calibri"/>
          <w:color w:val="0D0D0D" w:themeColor="text1" w:themeTint="F2"/>
        </w:rPr>
        <w:t>.</w:t>
      </w:r>
      <w:r w:rsidRPr="00D66A9C">
        <w:rPr>
          <w:rFonts w:ascii="Calibri" w:hAnsi="Calibri" w:cs="Calibri"/>
          <w:color w:val="0D0D0D" w:themeColor="text1" w:themeTint="F2"/>
        </w:rPr>
        <w:t>, Paudyal</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A</w:t>
      </w:r>
      <w:r w:rsidRPr="00D66A9C">
        <w:rPr>
          <w:rFonts w:ascii="Calibri" w:hAnsi="Calibri" w:cs="Calibri"/>
          <w:color w:val="0D0D0D" w:themeColor="text1" w:themeTint="F2"/>
        </w:rPr>
        <w:t>.</w:t>
      </w:r>
      <w:r w:rsidRPr="00D66A9C">
        <w:rPr>
          <w:rFonts w:ascii="Calibri" w:hAnsi="Calibri" w:cs="Calibri"/>
          <w:color w:val="0D0D0D" w:themeColor="text1" w:themeTint="F2"/>
        </w:rPr>
        <w:t>, Simkhada</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P</w:t>
      </w:r>
      <w:r w:rsidRPr="00D66A9C">
        <w:rPr>
          <w:rFonts w:ascii="Calibri" w:hAnsi="Calibri" w:cs="Calibri"/>
          <w:color w:val="0D0D0D" w:themeColor="text1" w:themeTint="F2"/>
        </w:rPr>
        <w:t>. and</w:t>
      </w:r>
      <w:r w:rsidRPr="00D66A9C">
        <w:rPr>
          <w:rFonts w:ascii="Calibri" w:hAnsi="Calibri" w:cs="Calibri"/>
          <w:color w:val="0D0D0D" w:themeColor="text1" w:themeTint="F2"/>
        </w:rPr>
        <w:t xml:space="preserve"> van Teijlingen E. </w:t>
      </w:r>
      <w:r w:rsidRPr="00D66A9C">
        <w:rPr>
          <w:rFonts w:ascii="Calibri" w:hAnsi="Calibri" w:cs="Calibri"/>
          <w:color w:val="0D0D0D" w:themeColor="text1" w:themeTint="F2"/>
        </w:rPr>
        <w:t>(2016) ‘</w:t>
      </w:r>
      <w:r w:rsidRPr="00D66A9C">
        <w:rPr>
          <w:rFonts w:ascii="Calibri" w:hAnsi="Calibri" w:cs="Calibri"/>
          <w:color w:val="0D0D0D" w:themeColor="text1" w:themeTint="F2"/>
        </w:rPr>
        <w:t>Guide to the design and application of online questionnaire surveys</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N</w:t>
      </w:r>
      <w:r w:rsidRPr="00D66A9C">
        <w:rPr>
          <w:rFonts w:ascii="Calibri" w:hAnsi="Calibri" w:cs="Calibri"/>
          <w:i/>
          <w:iCs/>
          <w:color w:val="0D0D0D" w:themeColor="text1" w:themeTint="F2"/>
        </w:rPr>
        <w:t>epal J</w:t>
      </w:r>
      <w:r w:rsidRPr="00D66A9C">
        <w:rPr>
          <w:rFonts w:ascii="Calibri" w:hAnsi="Calibri" w:cs="Calibri"/>
          <w:i/>
          <w:iCs/>
          <w:color w:val="0D0D0D" w:themeColor="text1" w:themeTint="F2"/>
        </w:rPr>
        <w:t>ournal of</w:t>
      </w:r>
      <w:r w:rsidRPr="00D66A9C">
        <w:rPr>
          <w:rFonts w:ascii="Calibri" w:hAnsi="Calibri" w:cs="Calibri"/>
          <w:i/>
          <w:iCs/>
          <w:color w:val="0D0D0D" w:themeColor="text1" w:themeTint="F2"/>
        </w:rPr>
        <w:t xml:space="preserve"> Epidemiol</w:t>
      </w:r>
      <w:r w:rsidRPr="00D66A9C">
        <w:rPr>
          <w:rFonts w:ascii="Calibri" w:hAnsi="Calibri" w:cs="Calibri"/>
          <w:i/>
          <w:iCs/>
          <w:color w:val="0D0D0D" w:themeColor="text1" w:themeTint="F2"/>
        </w:rPr>
        <w:t>ogy</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6(4)</w:t>
      </w:r>
      <w:r w:rsidRPr="00D66A9C">
        <w:rPr>
          <w:rFonts w:ascii="Calibri" w:hAnsi="Calibri" w:cs="Calibri"/>
          <w:color w:val="0D0D0D" w:themeColor="text1" w:themeTint="F2"/>
        </w:rPr>
        <w:t xml:space="preserve">, pp. </w:t>
      </w:r>
      <w:r w:rsidRPr="00D66A9C">
        <w:rPr>
          <w:rFonts w:ascii="Calibri" w:hAnsi="Calibri" w:cs="Calibri"/>
          <w:color w:val="0D0D0D" w:themeColor="text1" w:themeTint="F2"/>
        </w:rPr>
        <w:t>640-644. doi: 10.3126/nje.v6i4.17258</w:t>
      </w:r>
      <w:r w:rsidRPr="00D66A9C">
        <w:rPr>
          <w:rFonts w:ascii="Calibri" w:hAnsi="Calibri" w:cs="Calibri"/>
          <w:color w:val="0D0D0D" w:themeColor="text1" w:themeTint="F2"/>
        </w:rPr>
        <w:t>.</w:t>
      </w:r>
    </w:p>
    <w:p w14:paraId="2856D97B"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Regnault, A., Willgoss, T.</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Barbic, S. </w:t>
      </w:r>
      <w:r w:rsidRPr="00D66A9C">
        <w:rPr>
          <w:rFonts w:ascii="Calibri" w:hAnsi="Calibri" w:cs="Calibri"/>
          <w:color w:val="0D0D0D" w:themeColor="text1" w:themeTint="F2"/>
        </w:rPr>
        <w:t xml:space="preserve">(2018) </w:t>
      </w:r>
      <w:r w:rsidRPr="00D66A9C">
        <w:rPr>
          <w:rFonts w:ascii="Calibri" w:hAnsi="Calibri" w:cs="Calibri"/>
          <w:color w:val="0D0D0D" w:themeColor="text1" w:themeTint="F2"/>
        </w:rPr>
        <w:t>Towards the use of mixed methods inquiry as best practice in health outcomes research. </w:t>
      </w:r>
      <w:r w:rsidRPr="00D66A9C">
        <w:rPr>
          <w:rFonts w:ascii="Calibri" w:hAnsi="Calibri" w:cs="Calibri"/>
          <w:i/>
          <w:iCs/>
          <w:color w:val="0D0D0D" w:themeColor="text1" w:themeTint="F2"/>
        </w:rPr>
        <w:t>J</w:t>
      </w:r>
      <w:r w:rsidRPr="00D66A9C">
        <w:rPr>
          <w:rFonts w:ascii="Calibri" w:hAnsi="Calibri" w:cs="Calibri"/>
          <w:i/>
          <w:iCs/>
          <w:color w:val="0D0D0D" w:themeColor="text1" w:themeTint="F2"/>
        </w:rPr>
        <w:t>ournal of</w:t>
      </w:r>
      <w:r w:rsidRPr="00D66A9C">
        <w:rPr>
          <w:rFonts w:ascii="Calibri" w:hAnsi="Calibri" w:cs="Calibri"/>
          <w:i/>
          <w:iCs/>
          <w:color w:val="0D0D0D" w:themeColor="text1" w:themeTint="F2"/>
        </w:rPr>
        <w:t xml:space="preserve"> Patient Rep</w:t>
      </w:r>
      <w:r w:rsidRPr="00D66A9C">
        <w:rPr>
          <w:rFonts w:ascii="Calibri" w:hAnsi="Calibri" w:cs="Calibri"/>
          <w:i/>
          <w:iCs/>
          <w:color w:val="0D0D0D" w:themeColor="text1" w:themeTint="F2"/>
        </w:rPr>
        <w:t>orted</w:t>
      </w:r>
      <w:r w:rsidRPr="00D66A9C">
        <w:rPr>
          <w:rFonts w:ascii="Calibri" w:hAnsi="Calibri" w:cs="Calibri"/>
          <w:i/>
          <w:iCs/>
          <w:color w:val="0D0D0D" w:themeColor="text1" w:themeTint="F2"/>
        </w:rPr>
        <w:t xml:space="preserve"> Outcomes</w:t>
      </w:r>
      <w:r w:rsidRPr="00D66A9C">
        <w:rPr>
          <w:rFonts w:ascii="Calibri" w:hAnsi="Calibri" w:cs="Calibri"/>
          <w:color w:val="0D0D0D" w:themeColor="text1" w:themeTint="F2"/>
        </w:rPr>
        <w:t> 2</w:t>
      </w:r>
      <w:r w:rsidRPr="00D66A9C">
        <w:rPr>
          <w:rFonts w:ascii="Calibri" w:hAnsi="Calibri" w:cs="Calibri"/>
          <w:color w:val="0D0D0D" w:themeColor="text1" w:themeTint="F2"/>
        </w:rPr>
        <w:t>(</w:t>
      </w:r>
      <w:r w:rsidRPr="00D66A9C">
        <w:rPr>
          <w:rFonts w:ascii="Calibri" w:hAnsi="Calibri" w:cs="Calibri"/>
          <w:color w:val="0D0D0D" w:themeColor="text1" w:themeTint="F2"/>
        </w:rPr>
        <w:t>19</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https://doi.org/10.1186/s41687-018-0043-8</w:t>
      </w:r>
      <w:r w:rsidRPr="00D66A9C">
        <w:rPr>
          <w:rFonts w:ascii="Calibri" w:hAnsi="Calibri" w:cs="Calibri"/>
          <w:color w:val="0D0D0D" w:themeColor="text1" w:themeTint="F2"/>
        </w:rPr>
        <w:t>.</w:t>
      </w:r>
    </w:p>
    <w:p w14:paraId="26E21D13"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Rehman, A. and Alharthi, K. (2016) ‘Introduction to Research Paradigms’, </w:t>
      </w:r>
      <w:r w:rsidRPr="00D66A9C">
        <w:rPr>
          <w:rFonts w:ascii="Calibri" w:hAnsi="Calibri" w:cs="Calibri"/>
          <w:i/>
          <w:iCs/>
          <w:color w:val="0D0D0D" w:themeColor="text1" w:themeTint="F2"/>
        </w:rPr>
        <w:t>International Journal of Educational Investigations</w:t>
      </w:r>
      <w:r w:rsidRPr="00D66A9C">
        <w:rPr>
          <w:rFonts w:ascii="Calibri" w:hAnsi="Calibri" w:cs="Calibri"/>
          <w:color w:val="0D0D0D" w:themeColor="text1" w:themeTint="F2"/>
        </w:rPr>
        <w:t>, 3(8), pp. 51-59.</w:t>
      </w:r>
    </w:p>
    <w:p w14:paraId="4B823021"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Ritchie, J., Ormston, R., McNaughton Nicholls, C.</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Lewis, J. (2013) </w:t>
      </w:r>
      <w:r w:rsidRPr="00D66A9C">
        <w:rPr>
          <w:rFonts w:ascii="Calibri" w:hAnsi="Calibri" w:cs="Calibri"/>
          <w:i/>
          <w:iCs/>
          <w:color w:val="0D0D0D" w:themeColor="text1" w:themeTint="F2"/>
        </w:rPr>
        <w:t>Qualitative research practice: A guide for social science students and researchers</w:t>
      </w:r>
      <w:r w:rsidRPr="00D66A9C">
        <w:rPr>
          <w:rFonts w:ascii="Calibri" w:hAnsi="Calibri" w:cs="Calibri"/>
          <w:i/>
          <w:iCs/>
          <w:color w:val="0D0D0D" w:themeColor="text1" w:themeTint="F2"/>
        </w:rPr>
        <w:t>.</w:t>
      </w:r>
      <w:r w:rsidRPr="00D66A9C">
        <w:rPr>
          <w:rFonts w:ascii="Calibri" w:hAnsi="Calibri" w:cs="Calibri"/>
          <w:color w:val="0D0D0D" w:themeColor="text1" w:themeTint="F2"/>
        </w:rPr>
        <w:t xml:space="preserve"> Oxford: Sage. </w:t>
      </w:r>
    </w:p>
    <w:p w14:paraId="5C7D2DBD"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Roberts, L. D. (2015) ‘</w:t>
      </w:r>
      <w:r w:rsidRPr="00D66A9C">
        <w:rPr>
          <w:rFonts w:ascii="Calibri" w:hAnsi="Calibri" w:cs="Calibri"/>
          <w:color w:val="0D0D0D" w:themeColor="text1" w:themeTint="F2"/>
        </w:rPr>
        <w:t>Ethical Issues in Conducting Qualitative Research in Online Communities</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Qualitative Research In Psychology</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12(3)</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DOI:10.1080/14780887.2015.1008909</w:t>
      </w:r>
      <w:r w:rsidRPr="00D66A9C">
        <w:rPr>
          <w:rFonts w:ascii="Calibri" w:hAnsi="Calibri" w:cs="Calibri"/>
          <w:color w:val="0D0D0D" w:themeColor="text1" w:themeTint="F2"/>
        </w:rPr>
        <w:t xml:space="preserve">. </w:t>
      </w:r>
    </w:p>
    <w:p w14:paraId="49509E00"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Royal College of Nursing (2024) </w:t>
      </w:r>
      <w:r w:rsidRPr="00D66A9C">
        <w:rPr>
          <w:rFonts w:ascii="Calibri" w:hAnsi="Calibri" w:cs="Calibri"/>
          <w:i/>
          <w:iCs/>
          <w:color w:val="0D0D0D" w:themeColor="text1" w:themeTint="F2"/>
        </w:rPr>
        <w:t>Critical Nursing Shortages Leave Patients Unsafe</w:t>
      </w:r>
      <w:r w:rsidRPr="00D66A9C">
        <w:rPr>
          <w:rFonts w:ascii="Calibri" w:hAnsi="Calibri" w:cs="Calibri"/>
          <w:color w:val="0D0D0D" w:themeColor="text1" w:themeTint="F2"/>
        </w:rPr>
        <w:t>. Available at: https://www.rcn.org.uk/news-and-events/Press-Releases/critical-nursing-shortages-leave-patients-unsafe-010724 (Accessed on 20th March 2025).</w:t>
      </w:r>
    </w:p>
    <w:p w14:paraId="34CA46E2"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Saldana J. (2021). </w:t>
      </w:r>
      <w:r w:rsidRPr="00D66A9C">
        <w:rPr>
          <w:rFonts w:ascii="Calibri" w:hAnsi="Calibri" w:cs="Calibri"/>
          <w:i/>
          <w:iCs/>
          <w:color w:val="0D0D0D" w:themeColor="text1" w:themeTint="F2"/>
        </w:rPr>
        <w:t>The coding manual for qualitative researchers</w:t>
      </w:r>
      <w:r w:rsidRPr="00D66A9C">
        <w:rPr>
          <w:rFonts w:ascii="Calibri" w:hAnsi="Calibri" w:cs="Calibri"/>
          <w:i/>
          <w:iCs/>
          <w:color w:val="0D0D0D" w:themeColor="text1" w:themeTint="F2"/>
        </w:rPr>
        <w:t xml:space="preserve"> </w:t>
      </w:r>
      <w:r w:rsidRPr="00D66A9C">
        <w:rPr>
          <w:rFonts w:ascii="Calibri" w:hAnsi="Calibri" w:cs="Calibri"/>
          <w:color w:val="0D0D0D" w:themeColor="text1" w:themeTint="F2"/>
        </w:rPr>
        <w:t>(4</w:t>
      </w:r>
      <w:r w:rsidRPr="00D66A9C">
        <w:rPr>
          <w:rFonts w:ascii="Calibri" w:hAnsi="Calibri" w:cs="Calibri"/>
          <w:color w:val="0D0D0D" w:themeColor="text1" w:themeTint="F2"/>
          <w:vertAlign w:val="superscript"/>
        </w:rPr>
        <w:t>th</w:t>
      </w:r>
      <w:r w:rsidRPr="00D66A9C">
        <w:rPr>
          <w:rFonts w:ascii="Calibri" w:hAnsi="Calibri" w:cs="Calibri"/>
          <w:color w:val="0D0D0D" w:themeColor="text1" w:themeTint="F2"/>
        </w:rPr>
        <w:t xml:space="preserve"> edn).</w:t>
      </w:r>
      <w:r w:rsidRPr="00D66A9C">
        <w:rPr>
          <w:rFonts w:ascii="Calibri" w:hAnsi="Calibri" w:cs="Calibri"/>
          <w:color w:val="0D0D0D" w:themeColor="text1" w:themeTint="F2"/>
        </w:rPr>
        <w:t xml:space="preserve"> </w:t>
      </w:r>
      <w:r w:rsidRPr="00D66A9C">
        <w:rPr>
          <w:rFonts w:ascii="Calibri" w:hAnsi="Calibri" w:cs="Calibri"/>
          <w:color w:val="0D0D0D" w:themeColor="text1" w:themeTint="F2"/>
        </w:rPr>
        <w:t xml:space="preserve"> Los Angeles: </w:t>
      </w:r>
      <w:r w:rsidRPr="00D66A9C">
        <w:rPr>
          <w:rFonts w:ascii="Calibri" w:hAnsi="Calibri" w:cs="Calibri"/>
          <w:color w:val="0D0D0D" w:themeColor="text1" w:themeTint="F2"/>
        </w:rPr>
        <w:t>Sage.</w:t>
      </w:r>
    </w:p>
    <w:p w14:paraId="4F0E209F" w14:textId="77777777" w:rsidR="0029251A" w:rsidRPr="006B4D57" w:rsidRDefault="0029251A" w:rsidP="0029251A">
      <w:pPr>
        <w:spacing w:line="276" w:lineRule="auto"/>
        <w:rPr>
          <w:rFonts w:ascii="Calibri" w:hAnsi="Calibri" w:cs="Calibri"/>
          <w:color w:val="0D0D0D" w:themeColor="text1" w:themeTint="F2"/>
        </w:rPr>
      </w:pPr>
      <w:r w:rsidRPr="006B4D57">
        <w:rPr>
          <w:rFonts w:ascii="Calibri" w:hAnsi="Calibri" w:cs="Calibri"/>
          <w:color w:val="0D0D0D" w:themeColor="text1" w:themeTint="F2"/>
        </w:rPr>
        <w:t>Smith, B., and Field, L. (2018) </w:t>
      </w:r>
      <w:r w:rsidRPr="006B4D57">
        <w:rPr>
          <w:rFonts w:ascii="Calibri" w:hAnsi="Calibri" w:cs="Calibri"/>
          <w:i/>
          <w:iCs/>
          <w:color w:val="0D0D0D" w:themeColor="text1" w:themeTint="F2"/>
        </w:rPr>
        <w:t>Nursing Care: An Essential Guide for Nurses and Healthcare Workers in Primary and Secondary Care.</w:t>
      </w:r>
      <w:r w:rsidRPr="006B4D57">
        <w:rPr>
          <w:rFonts w:ascii="Calibri" w:hAnsi="Calibri" w:cs="Calibri"/>
          <w:color w:val="0D0D0D" w:themeColor="text1" w:themeTint="F2"/>
        </w:rPr>
        <w:t> Sussex: Taylor &amp; Francis.</w:t>
      </w:r>
    </w:p>
    <w:p w14:paraId="6C064967"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Sreejesh, S., Mohapatra, S., </w:t>
      </w:r>
      <w:r w:rsidRPr="00D66A9C">
        <w:rPr>
          <w:rFonts w:ascii="Calibri" w:hAnsi="Calibri" w:cs="Calibri"/>
          <w:color w:val="0D0D0D" w:themeColor="text1" w:themeTint="F2"/>
        </w:rPr>
        <w:t>Pashwarn, T. and</w:t>
      </w:r>
      <w:r w:rsidRPr="00D66A9C">
        <w:rPr>
          <w:rFonts w:ascii="Calibri" w:hAnsi="Calibri" w:cs="Calibri"/>
          <w:color w:val="0D0D0D" w:themeColor="text1" w:themeTint="F2"/>
        </w:rPr>
        <w:t xml:space="preserve"> Anusree, M.  R.  (2014) </w:t>
      </w:r>
      <w:r w:rsidRPr="00D66A9C">
        <w:rPr>
          <w:rFonts w:ascii="Calibri" w:hAnsi="Calibri" w:cs="Calibri"/>
          <w:color w:val="0D0D0D" w:themeColor="text1" w:themeTint="F2"/>
        </w:rPr>
        <w:t>‘</w:t>
      </w:r>
      <w:r w:rsidRPr="00D66A9C">
        <w:rPr>
          <w:rFonts w:ascii="Calibri" w:hAnsi="Calibri" w:cs="Calibri"/>
          <w:color w:val="0D0D0D" w:themeColor="text1" w:themeTint="F2"/>
        </w:rPr>
        <w:t>Questionnaire Design</w:t>
      </w:r>
      <w:r w:rsidRPr="00D66A9C">
        <w:rPr>
          <w:rFonts w:ascii="Calibri" w:hAnsi="Calibri" w:cs="Calibri"/>
          <w:color w:val="0D0D0D" w:themeColor="text1" w:themeTint="F2"/>
        </w:rPr>
        <w:t xml:space="preserve">’, </w:t>
      </w:r>
      <w:r w:rsidRPr="00D66A9C">
        <w:rPr>
          <w:rFonts w:ascii="Calibri" w:hAnsi="Calibri" w:cs="Calibri"/>
          <w:i/>
          <w:iCs/>
          <w:color w:val="0D0D0D" w:themeColor="text1" w:themeTint="F2"/>
        </w:rPr>
        <w:t>Business Research Methods</w:t>
      </w:r>
      <w:r w:rsidRPr="00D66A9C">
        <w:rPr>
          <w:rFonts w:ascii="Calibri" w:hAnsi="Calibri" w:cs="Calibri"/>
          <w:color w:val="0D0D0D" w:themeColor="text1" w:themeTint="F2"/>
        </w:rPr>
        <w:t xml:space="preserve">, 17(3), </w:t>
      </w:r>
      <w:r w:rsidRPr="00D66A9C">
        <w:rPr>
          <w:rFonts w:ascii="Calibri" w:hAnsi="Calibri" w:cs="Calibri"/>
          <w:color w:val="0D0D0D" w:themeColor="text1" w:themeTint="F2"/>
        </w:rPr>
        <w:t xml:space="preserve">pp. 143–159. </w:t>
      </w:r>
    </w:p>
    <w:p w14:paraId="483AE5DC"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Stadnick, N. A., Poth, C. N., Guetterman, T.C. and McMillan, B. F. (2021) ‘Advancing discussion of ethics in mixed methods health services research’, </w:t>
      </w:r>
      <w:r w:rsidRPr="00D66A9C">
        <w:rPr>
          <w:rFonts w:ascii="Calibri" w:hAnsi="Calibri" w:cs="Calibri"/>
          <w:i/>
          <w:iCs/>
          <w:color w:val="0D0D0D" w:themeColor="text1" w:themeTint="F2"/>
        </w:rPr>
        <w:t>BMC Health Services Research</w:t>
      </w:r>
      <w:r w:rsidRPr="00D66A9C">
        <w:rPr>
          <w:rFonts w:ascii="Calibri" w:hAnsi="Calibri" w:cs="Calibri"/>
          <w:color w:val="0D0D0D" w:themeColor="text1" w:themeTint="F2"/>
        </w:rPr>
        <w:t>, 21(577).</w:t>
      </w:r>
    </w:p>
    <w:p w14:paraId="16910310" w14:textId="77777777" w:rsidR="0029251A" w:rsidRPr="00D66A9C" w:rsidRDefault="0029251A" w:rsidP="0029251A">
      <w:pPr>
        <w:spacing w:line="276" w:lineRule="auto"/>
        <w:rPr>
          <w:rFonts w:ascii="Calibri" w:hAnsi="Calibri" w:cs="Calibri"/>
          <w:color w:val="0D0D0D" w:themeColor="text1" w:themeTint="F2"/>
        </w:rPr>
      </w:pPr>
      <w:r w:rsidRPr="006B4D57">
        <w:rPr>
          <w:rFonts w:ascii="Calibri" w:hAnsi="Calibri" w:cs="Calibri"/>
          <w:color w:val="0D0D0D" w:themeColor="text1" w:themeTint="F2"/>
        </w:rPr>
        <w:lastRenderedPageBreak/>
        <w:t>Storey, K., and Last, J. R. (2021) </w:t>
      </w:r>
      <w:r w:rsidRPr="006B4D57">
        <w:rPr>
          <w:rFonts w:ascii="Calibri" w:hAnsi="Calibri" w:cs="Calibri"/>
          <w:i/>
          <w:iCs/>
          <w:color w:val="0D0D0D" w:themeColor="text1" w:themeTint="F2"/>
        </w:rPr>
        <w:t xml:space="preserve">A Nurse's Survival Guide to General Practice. </w:t>
      </w:r>
      <w:r w:rsidRPr="006B4D57">
        <w:rPr>
          <w:rFonts w:ascii="Calibri" w:hAnsi="Calibri" w:cs="Calibri"/>
          <w:color w:val="0D0D0D" w:themeColor="text1" w:themeTint="F2"/>
        </w:rPr>
        <w:t>Amsterdam: Elsevier Health Sciences.</w:t>
      </w:r>
    </w:p>
    <w:p w14:paraId="542F43FE"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Sue, V. M. and Ritter, L. A. (2012) </w:t>
      </w:r>
      <w:r w:rsidRPr="00D66A9C">
        <w:rPr>
          <w:rFonts w:ascii="Calibri" w:hAnsi="Calibri" w:cs="Calibri"/>
          <w:i/>
          <w:iCs/>
          <w:color w:val="0D0D0D" w:themeColor="text1" w:themeTint="F2"/>
        </w:rPr>
        <w:t>Conducting Online Surveys</w:t>
      </w:r>
      <w:r w:rsidRPr="00D66A9C">
        <w:rPr>
          <w:rFonts w:ascii="Calibri" w:hAnsi="Calibri" w:cs="Calibri"/>
          <w:color w:val="0D0D0D" w:themeColor="text1" w:themeTint="F2"/>
        </w:rPr>
        <w:t xml:space="preserve"> (2</w:t>
      </w:r>
      <w:r w:rsidRPr="00D66A9C">
        <w:rPr>
          <w:rFonts w:ascii="Calibri" w:hAnsi="Calibri" w:cs="Calibri"/>
          <w:color w:val="0D0D0D" w:themeColor="text1" w:themeTint="F2"/>
          <w:vertAlign w:val="superscript"/>
        </w:rPr>
        <w:t>nd</w:t>
      </w:r>
      <w:r w:rsidRPr="00D66A9C">
        <w:rPr>
          <w:rFonts w:ascii="Calibri" w:hAnsi="Calibri" w:cs="Calibri"/>
          <w:color w:val="0D0D0D" w:themeColor="text1" w:themeTint="F2"/>
        </w:rPr>
        <w:t xml:space="preserve"> edn).  Thousand Oaks: Sage Publication Inc.</w:t>
      </w:r>
    </w:p>
    <w:p w14:paraId="3450568B"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Tashakkori, A. and Teddlie, C. (2010) ‘Putting the Human Back in ‘‘Human Research Methodology’’: The Researcher in Mixed Methods Research’, </w:t>
      </w:r>
      <w:r w:rsidRPr="00D66A9C">
        <w:rPr>
          <w:rFonts w:ascii="Calibri" w:hAnsi="Calibri" w:cs="Calibri"/>
          <w:i/>
          <w:iCs/>
          <w:color w:val="0D0D0D" w:themeColor="text1" w:themeTint="F2"/>
        </w:rPr>
        <w:t>Journal of Mixed Methods Research</w:t>
      </w:r>
      <w:r w:rsidRPr="00D66A9C">
        <w:rPr>
          <w:rFonts w:ascii="Calibri" w:hAnsi="Calibri" w:cs="Calibri"/>
          <w:color w:val="0D0D0D" w:themeColor="text1" w:themeTint="F2"/>
        </w:rPr>
        <w:t>, </w:t>
      </w:r>
      <w:r w:rsidRPr="00D66A9C">
        <w:rPr>
          <w:rFonts w:ascii="Calibri" w:hAnsi="Calibri" w:cs="Calibri"/>
          <w:i/>
          <w:iCs/>
          <w:color w:val="0D0D0D" w:themeColor="text1" w:themeTint="F2"/>
        </w:rPr>
        <w:t>4</w:t>
      </w:r>
      <w:r w:rsidRPr="00D66A9C">
        <w:rPr>
          <w:rFonts w:ascii="Calibri" w:hAnsi="Calibri" w:cs="Calibri"/>
          <w:color w:val="0D0D0D" w:themeColor="text1" w:themeTint="F2"/>
        </w:rPr>
        <w:t>(4), pp. 271-277. https://doi.org/10.1177/1558689810382532.</w:t>
      </w:r>
    </w:p>
    <w:p w14:paraId="0914E239"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University and College Admissions Service (2024) </w:t>
      </w:r>
      <w:r w:rsidRPr="00D66A9C">
        <w:rPr>
          <w:rFonts w:ascii="Calibri" w:hAnsi="Calibri" w:cs="Calibri"/>
          <w:i/>
          <w:iCs/>
          <w:color w:val="0D0D0D" w:themeColor="text1" w:themeTint="F2"/>
        </w:rPr>
        <w:t xml:space="preserve">UCAS End of Cycle Report: Chapter 2 – Nursing: Summary of applicants and acceptances.  </w:t>
      </w:r>
      <w:r w:rsidRPr="00D66A9C">
        <w:rPr>
          <w:rFonts w:ascii="Calibri" w:hAnsi="Calibri" w:cs="Calibri"/>
          <w:color w:val="0D0D0D" w:themeColor="text1" w:themeTint="F2"/>
        </w:rPr>
        <w:t>Cheltenham: UCAS.</w:t>
      </w:r>
    </w:p>
    <w:p w14:paraId="01376261" w14:textId="77777777" w:rsidR="0029251A" w:rsidRPr="00D66A9C" w:rsidRDefault="0029251A" w:rsidP="0029251A">
      <w:pPr>
        <w:spacing w:line="276" w:lineRule="auto"/>
        <w:rPr>
          <w:rFonts w:ascii="Calibri" w:hAnsi="Calibri" w:cs="Calibri"/>
          <w:color w:val="0D0D0D" w:themeColor="text1" w:themeTint="F2"/>
        </w:rPr>
      </w:pPr>
      <w:r w:rsidRPr="00981A41">
        <w:rPr>
          <w:rFonts w:ascii="Calibri" w:hAnsi="Calibri" w:cs="Calibri"/>
          <w:color w:val="0D0D0D" w:themeColor="text1" w:themeTint="F2"/>
        </w:rPr>
        <w:t>Vanover</w:t>
      </w:r>
      <w:r w:rsidRPr="00D66A9C">
        <w:rPr>
          <w:rFonts w:ascii="Calibri" w:hAnsi="Calibri" w:cs="Calibri"/>
          <w:color w:val="0D0D0D" w:themeColor="text1" w:themeTint="F2"/>
        </w:rPr>
        <w:t xml:space="preserve">, C. (2021) </w:t>
      </w:r>
      <w:r w:rsidRPr="00981A41">
        <w:rPr>
          <w:rFonts w:ascii="Calibri" w:hAnsi="Calibri" w:cs="Calibri"/>
          <w:i/>
          <w:iCs/>
          <w:color w:val="0D0D0D" w:themeColor="text1" w:themeTint="F2"/>
        </w:rPr>
        <w:t>Analyzing and interpreting qualitative data: After the interview</w:t>
      </w:r>
      <w:r w:rsidRPr="00D66A9C">
        <w:rPr>
          <w:rFonts w:ascii="Calibri" w:hAnsi="Calibri" w:cs="Calibri"/>
          <w:color w:val="0D0D0D" w:themeColor="text1" w:themeTint="F2"/>
        </w:rPr>
        <w:t xml:space="preserve">. Thousand Oaks: </w:t>
      </w:r>
      <w:r w:rsidRPr="00981A41">
        <w:rPr>
          <w:rFonts w:ascii="Calibri" w:hAnsi="Calibri" w:cs="Calibri"/>
          <w:color w:val="0D0D0D" w:themeColor="text1" w:themeTint="F2"/>
        </w:rPr>
        <w:t>Sage Publications</w:t>
      </w:r>
      <w:r w:rsidRPr="00D66A9C">
        <w:rPr>
          <w:rFonts w:ascii="Calibri" w:hAnsi="Calibri" w:cs="Calibri"/>
          <w:color w:val="0D0D0D" w:themeColor="text1" w:themeTint="F2"/>
        </w:rPr>
        <w:t xml:space="preserve"> Inc.</w:t>
      </w:r>
    </w:p>
    <w:p w14:paraId="44C5C328"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Walter M. (2009) </w:t>
      </w:r>
      <w:r w:rsidRPr="00D66A9C">
        <w:rPr>
          <w:rFonts w:ascii="Calibri" w:hAnsi="Calibri" w:cs="Calibri"/>
          <w:i/>
          <w:iCs/>
          <w:color w:val="0D0D0D" w:themeColor="text1" w:themeTint="F2"/>
        </w:rPr>
        <w:t>Participatory action research</w:t>
      </w:r>
      <w:r w:rsidRPr="00D66A9C">
        <w:rPr>
          <w:rFonts w:ascii="Calibri" w:hAnsi="Calibri" w:cs="Calibri"/>
          <w:color w:val="0D0D0D" w:themeColor="text1" w:themeTint="F2"/>
        </w:rPr>
        <w:t xml:space="preserve">. In Bryman A. (Ed.) (2016) </w:t>
      </w:r>
      <w:r w:rsidRPr="00D66A9C">
        <w:rPr>
          <w:rFonts w:ascii="Calibri" w:hAnsi="Calibri" w:cs="Calibri"/>
          <w:i/>
          <w:iCs/>
          <w:color w:val="0D0D0D" w:themeColor="text1" w:themeTint="F2"/>
        </w:rPr>
        <w:t>Social research methods</w:t>
      </w:r>
      <w:r w:rsidRPr="00D66A9C">
        <w:rPr>
          <w:rFonts w:ascii="Calibri" w:hAnsi="Calibri" w:cs="Calibri"/>
          <w:color w:val="0D0D0D" w:themeColor="text1" w:themeTint="F2"/>
        </w:rPr>
        <w:t>. The Falmer Press.</w:t>
      </w:r>
    </w:p>
    <w:p w14:paraId="71DCBDE8"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Williams, C. L. (1993) ‘Hidden advantages for men in nursing’, </w:t>
      </w:r>
      <w:r w:rsidRPr="00D66A9C">
        <w:rPr>
          <w:rFonts w:ascii="Calibri" w:hAnsi="Calibri" w:cs="Calibri"/>
          <w:i/>
          <w:iCs/>
          <w:color w:val="0D0D0D" w:themeColor="text1" w:themeTint="F2"/>
        </w:rPr>
        <w:t xml:space="preserve">Nursing Administration Quarterly, </w:t>
      </w:r>
      <w:r w:rsidRPr="00D66A9C">
        <w:rPr>
          <w:rFonts w:ascii="Calibri" w:hAnsi="Calibri" w:cs="Calibri"/>
          <w:color w:val="0D0D0D" w:themeColor="text1" w:themeTint="F2"/>
        </w:rPr>
        <w:t>19(2), pp. 63-70.</w:t>
      </w:r>
    </w:p>
    <w:p w14:paraId="3C6E538F"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Wiltshire</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G.</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Ronkainen</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N. (2021) </w:t>
      </w:r>
      <w:r w:rsidRPr="00D66A9C">
        <w:rPr>
          <w:rFonts w:ascii="Calibri" w:hAnsi="Calibri" w:cs="Calibri"/>
          <w:color w:val="0D0D0D" w:themeColor="text1" w:themeTint="F2"/>
        </w:rPr>
        <w:t>‘</w:t>
      </w:r>
      <w:r w:rsidRPr="00D66A9C">
        <w:rPr>
          <w:rFonts w:ascii="Calibri" w:hAnsi="Calibri" w:cs="Calibri"/>
          <w:color w:val="0D0D0D" w:themeColor="text1" w:themeTint="F2"/>
        </w:rPr>
        <w:t>A realist approach to thematic analysis: Making sense of qualitative data through experiential, inferential and dispositional themes</w:t>
      </w:r>
      <w:r w:rsidRPr="00D66A9C">
        <w:rPr>
          <w:rFonts w:ascii="Calibri" w:hAnsi="Calibri" w:cs="Calibri"/>
          <w:color w:val="0D0D0D" w:themeColor="text1" w:themeTint="F2"/>
        </w:rPr>
        <w:t>’,</w:t>
      </w:r>
      <w:r w:rsidRPr="00D66A9C">
        <w:rPr>
          <w:rFonts w:ascii="Calibri" w:hAnsi="Calibri" w:cs="Calibri"/>
          <w:color w:val="0D0D0D" w:themeColor="text1" w:themeTint="F2"/>
        </w:rPr>
        <w:t> </w:t>
      </w:r>
      <w:r w:rsidRPr="00D66A9C">
        <w:rPr>
          <w:rFonts w:ascii="Calibri" w:hAnsi="Calibri" w:cs="Calibri"/>
          <w:i/>
          <w:iCs/>
          <w:color w:val="0D0D0D" w:themeColor="text1" w:themeTint="F2"/>
        </w:rPr>
        <w:t>Journal of Critical Realism</w:t>
      </w:r>
      <w:r w:rsidRPr="00D66A9C">
        <w:rPr>
          <w:rFonts w:ascii="Calibri" w:hAnsi="Calibri" w:cs="Calibri"/>
          <w:color w:val="0D0D0D" w:themeColor="text1" w:themeTint="F2"/>
        </w:rPr>
        <w:t>, 20(2), 159–180.</w:t>
      </w:r>
    </w:p>
    <w:p w14:paraId="6F886C8A"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 xml:space="preserve">World Health Organization (2024) </w:t>
      </w:r>
      <w:r w:rsidRPr="00D66A9C">
        <w:rPr>
          <w:rFonts w:ascii="Calibri" w:hAnsi="Calibri" w:cs="Calibri"/>
          <w:i/>
          <w:iCs/>
          <w:color w:val="0D0D0D" w:themeColor="text1" w:themeTint="F2"/>
        </w:rPr>
        <w:t>Nursing and Midwifery: Key facts</w:t>
      </w:r>
      <w:r w:rsidRPr="00D66A9C">
        <w:rPr>
          <w:rFonts w:ascii="Calibri" w:hAnsi="Calibri" w:cs="Calibri"/>
          <w:color w:val="0D0D0D" w:themeColor="text1" w:themeTint="F2"/>
        </w:rPr>
        <w:t>. Available at https://www.who.int/news-room/fact-sheets/detail/nursing-and-midwifery. (Accessed on 19th March 2025).</w:t>
      </w:r>
    </w:p>
    <w:p w14:paraId="5FB8D0EF" w14:textId="77777777" w:rsidR="0029251A" w:rsidRPr="00D66A9C" w:rsidRDefault="0029251A" w:rsidP="0029251A">
      <w:pPr>
        <w:spacing w:line="276" w:lineRule="auto"/>
        <w:rPr>
          <w:rFonts w:ascii="Calibri" w:hAnsi="Calibri" w:cs="Calibri"/>
          <w:color w:val="0D0D0D" w:themeColor="text1" w:themeTint="F2"/>
        </w:rPr>
      </w:pPr>
      <w:r w:rsidRPr="006B3877">
        <w:rPr>
          <w:rFonts w:ascii="Calibri" w:hAnsi="Calibri" w:cs="Calibri"/>
          <w:color w:val="0D0D0D" w:themeColor="text1" w:themeTint="F2"/>
        </w:rPr>
        <w:t>Wright,</w:t>
      </w:r>
      <w:r w:rsidRPr="00D66A9C">
        <w:rPr>
          <w:rFonts w:ascii="Calibri" w:hAnsi="Calibri" w:cs="Calibri"/>
          <w:color w:val="0D0D0D" w:themeColor="text1" w:themeTint="F2"/>
        </w:rPr>
        <w:t xml:space="preserve"> K. B. (2005)</w:t>
      </w:r>
      <w:r w:rsidRPr="006B3877">
        <w:rPr>
          <w:rFonts w:ascii="Calibri" w:hAnsi="Calibri" w:cs="Calibri"/>
          <w:color w:val="0D0D0D" w:themeColor="text1" w:themeTint="F2"/>
        </w:rPr>
        <w:t xml:space="preserve"> </w:t>
      </w:r>
      <w:r w:rsidRPr="00D66A9C">
        <w:rPr>
          <w:rFonts w:ascii="Calibri" w:hAnsi="Calibri" w:cs="Calibri"/>
          <w:color w:val="0D0D0D" w:themeColor="text1" w:themeTint="F2"/>
        </w:rPr>
        <w:t>‘</w:t>
      </w:r>
      <w:r w:rsidRPr="006B3877">
        <w:rPr>
          <w:rFonts w:ascii="Calibri" w:hAnsi="Calibri" w:cs="Calibri"/>
          <w:color w:val="0D0D0D" w:themeColor="text1" w:themeTint="F2"/>
        </w:rPr>
        <w:t>Researching Internet-Based Populations: Advantages and Disadvantages of Online Survey Research, Online Questionnaire Authoring Software Packages, and Web Survey Services</w:t>
      </w:r>
      <w:r w:rsidRPr="00D66A9C">
        <w:rPr>
          <w:rFonts w:ascii="Calibri" w:hAnsi="Calibri" w:cs="Calibri"/>
          <w:color w:val="0D0D0D" w:themeColor="text1" w:themeTint="F2"/>
        </w:rPr>
        <w:t>’,</w:t>
      </w:r>
      <w:r w:rsidRPr="006B3877">
        <w:rPr>
          <w:rFonts w:ascii="Calibri" w:hAnsi="Calibri" w:cs="Calibri"/>
          <w:color w:val="0D0D0D" w:themeColor="text1" w:themeTint="F2"/>
        </w:rPr>
        <w:t> </w:t>
      </w:r>
      <w:r w:rsidRPr="006B3877">
        <w:rPr>
          <w:rFonts w:ascii="Calibri" w:hAnsi="Calibri" w:cs="Calibri"/>
          <w:i/>
          <w:iCs/>
          <w:color w:val="0D0D0D" w:themeColor="text1" w:themeTint="F2"/>
        </w:rPr>
        <w:t>Journal of Computer-Mediated Communication</w:t>
      </w:r>
      <w:r w:rsidRPr="006B3877">
        <w:rPr>
          <w:rFonts w:ascii="Calibri" w:hAnsi="Calibri" w:cs="Calibri"/>
          <w:color w:val="0D0D0D" w:themeColor="text1" w:themeTint="F2"/>
        </w:rPr>
        <w:t>, 10</w:t>
      </w:r>
      <w:r w:rsidRPr="00D66A9C">
        <w:rPr>
          <w:rFonts w:ascii="Calibri" w:hAnsi="Calibri" w:cs="Calibri"/>
          <w:color w:val="0D0D0D" w:themeColor="text1" w:themeTint="F2"/>
        </w:rPr>
        <w:t>(</w:t>
      </w:r>
      <w:r w:rsidRPr="006B3877">
        <w:rPr>
          <w:rFonts w:ascii="Calibri" w:hAnsi="Calibri" w:cs="Calibri"/>
          <w:color w:val="0D0D0D" w:themeColor="text1" w:themeTint="F2"/>
        </w:rPr>
        <w:t>3</w:t>
      </w:r>
      <w:r w:rsidRPr="00D66A9C">
        <w:rPr>
          <w:rFonts w:ascii="Calibri" w:hAnsi="Calibri" w:cs="Calibri"/>
          <w:color w:val="0D0D0D" w:themeColor="text1" w:themeTint="F2"/>
        </w:rPr>
        <w:t xml:space="preserve">).  </w:t>
      </w:r>
      <w:r w:rsidRPr="006B3877">
        <w:rPr>
          <w:rFonts w:ascii="Calibri" w:hAnsi="Calibri" w:cs="Calibri"/>
          <w:color w:val="0D0D0D" w:themeColor="text1" w:themeTint="F2"/>
        </w:rPr>
        <w:t> https://doi.org/10.1111/j.1083-6101.2005.tb00259.x</w:t>
      </w:r>
    </w:p>
    <w:p w14:paraId="503442C1"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Xu</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W.</w:t>
      </w:r>
      <w:r w:rsidRPr="00D66A9C">
        <w:rPr>
          <w:rFonts w:ascii="Calibri" w:hAnsi="Calibri" w:cs="Calibri"/>
          <w:color w:val="0D0D0D" w:themeColor="text1" w:themeTint="F2"/>
        </w:rPr>
        <w:t xml:space="preserve"> and</w:t>
      </w:r>
      <w:r w:rsidRPr="00D66A9C">
        <w:rPr>
          <w:rFonts w:ascii="Calibri" w:hAnsi="Calibri" w:cs="Calibri"/>
          <w:color w:val="0D0D0D" w:themeColor="text1" w:themeTint="F2"/>
        </w:rPr>
        <w:t xml:space="preserve"> Zammit</w:t>
      </w:r>
      <w:r w:rsidRPr="00D66A9C">
        <w:rPr>
          <w:rFonts w:ascii="Calibri" w:hAnsi="Calibri" w:cs="Calibri"/>
          <w:color w:val="0D0D0D" w:themeColor="text1" w:themeTint="F2"/>
        </w:rPr>
        <w:t>,</w:t>
      </w:r>
      <w:r w:rsidRPr="00D66A9C">
        <w:rPr>
          <w:rFonts w:ascii="Calibri" w:hAnsi="Calibri" w:cs="Calibri"/>
          <w:color w:val="0D0D0D" w:themeColor="text1" w:themeTint="F2"/>
        </w:rPr>
        <w:t xml:space="preserve"> K. (2020) </w:t>
      </w:r>
      <w:r w:rsidRPr="00D66A9C">
        <w:rPr>
          <w:rFonts w:ascii="Calibri" w:hAnsi="Calibri" w:cs="Calibri"/>
          <w:color w:val="0D0D0D" w:themeColor="text1" w:themeTint="F2"/>
        </w:rPr>
        <w:t>‘</w:t>
      </w:r>
      <w:r w:rsidRPr="00D66A9C">
        <w:rPr>
          <w:rFonts w:ascii="Calibri" w:hAnsi="Calibri" w:cs="Calibri"/>
          <w:color w:val="0D0D0D" w:themeColor="text1" w:themeTint="F2"/>
        </w:rPr>
        <w:t>Applying thematic analysis to education: A hybrid approach to interpreting data in practitioner research</w:t>
      </w:r>
      <w:r w:rsidRPr="00D66A9C">
        <w:rPr>
          <w:rFonts w:ascii="Calibri" w:hAnsi="Calibri" w:cs="Calibri"/>
          <w:color w:val="0D0D0D" w:themeColor="text1" w:themeTint="F2"/>
        </w:rPr>
        <w:t>’,</w:t>
      </w:r>
      <w:r w:rsidRPr="00D66A9C">
        <w:rPr>
          <w:rFonts w:ascii="Calibri" w:hAnsi="Calibri" w:cs="Calibri"/>
          <w:color w:val="0D0D0D" w:themeColor="text1" w:themeTint="F2"/>
        </w:rPr>
        <w:t> </w:t>
      </w:r>
      <w:r w:rsidRPr="00D66A9C">
        <w:rPr>
          <w:rFonts w:ascii="Calibri" w:hAnsi="Calibri" w:cs="Calibri"/>
          <w:i/>
          <w:iCs/>
          <w:color w:val="0D0D0D" w:themeColor="text1" w:themeTint="F2"/>
        </w:rPr>
        <w:t>International Journal of Qualitative Methods</w:t>
      </w:r>
      <w:r w:rsidRPr="00D66A9C">
        <w:rPr>
          <w:rFonts w:ascii="Calibri" w:hAnsi="Calibri" w:cs="Calibri"/>
          <w:color w:val="0D0D0D" w:themeColor="text1" w:themeTint="F2"/>
        </w:rPr>
        <w:t>, 19, 1609406920918810</w:t>
      </w:r>
      <w:r w:rsidRPr="00D66A9C">
        <w:rPr>
          <w:rFonts w:ascii="Calibri" w:hAnsi="Calibri" w:cs="Calibri"/>
          <w:color w:val="0D0D0D" w:themeColor="text1" w:themeTint="F2"/>
        </w:rPr>
        <w:t>.</w:t>
      </w:r>
    </w:p>
    <w:p w14:paraId="7FF1CF75" w14:textId="77777777" w:rsidR="0029251A" w:rsidRPr="00D66A9C" w:rsidRDefault="0029251A" w:rsidP="0029251A">
      <w:pPr>
        <w:spacing w:line="276" w:lineRule="auto"/>
        <w:rPr>
          <w:rFonts w:ascii="Calibri" w:hAnsi="Calibri" w:cs="Calibri"/>
          <w:color w:val="0D0D0D" w:themeColor="text1" w:themeTint="F2"/>
        </w:rPr>
      </w:pPr>
      <w:r w:rsidRPr="00D66A9C">
        <w:rPr>
          <w:rFonts w:ascii="Calibri" w:hAnsi="Calibri" w:cs="Calibri"/>
          <w:color w:val="0D0D0D" w:themeColor="text1" w:themeTint="F2"/>
        </w:rPr>
        <w:t>Zanail, Z. (2007) ‘Case study as a research method’, Journal of Kemanusiaan, (9), pp. 1-6.</w:t>
      </w:r>
    </w:p>
    <w:p w14:paraId="49373DA8" w14:textId="079223BF" w:rsidR="00195525" w:rsidRPr="004F1953" w:rsidRDefault="00195525" w:rsidP="004F1953">
      <w:pPr>
        <w:spacing w:line="276" w:lineRule="auto"/>
        <w:rPr>
          <w:rFonts w:ascii="Calibri" w:hAnsi="Calibri" w:cs="Calibri"/>
          <w:color w:val="0D0D0D" w:themeColor="text1" w:themeTint="F2"/>
        </w:rPr>
      </w:pPr>
    </w:p>
    <w:p w14:paraId="6C2AF4BB" w14:textId="77777777" w:rsidR="006B4D57" w:rsidRDefault="006B4D57" w:rsidP="006B3877">
      <w:pPr>
        <w:spacing w:line="276" w:lineRule="auto"/>
        <w:rPr>
          <w:rFonts w:ascii="Calibri" w:hAnsi="Calibri" w:cs="Calibri"/>
          <w:color w:val="0D0D0D" w:themeColor="text1" w:themeTint="F2"/>
        </w:rPr>
      </w:pPr>
    </w:p>
    <w:p w14:paraId="77ACA57C" w14:textId="77777777" w:rsidR="00632A7A" w:rsidRPr="006B3877" w:rsidRDefault="00632A7A" w:rsidP="006B3877">
      <w:pPr>
        <w:spacing w:line="276" w:lineRule="auto"/>
        <w:rPr>
          <w:rFonts w:ascii="Calibri" w:hAnsi="Calibri" w:cs="Calibri"/>
          <w:color w:val="0D0D0D" w:themeColor="text1" w:themeTint="F2"/>
        </w:rPr>
      </w:pPr>
    </w:p>
    <w:p w14:paraId="573B68B3" w14:textId="77777777" w:rsidR="006B3877" w:rsidRPr="006B3877" w:rsidRDefault="006B3877" w:rsidP="006B3877">
      <w:pPr>
        <w:spacing w:line="276" w:lineRule="auto"/>
        <w:rPr>
          <w:rFonts w:ascii="Calibri" w:hAnsi="Calibri" w:cs="Calibri"/>
          <w:vanish/>
          <w:color w:val="0D0D0D" w:themeColor="text1" w:themeTint="F2"/>
        </w:rPr>
      </w:pPr>
      <w:r w:rsidRPr="006B3877">
        <w:rPr>
          <w:rFonts w:ascii="Calibri" w:hAnsi="Calibri" w:cs="Calibri"/>
          <w:vanish/>
          <w:color w:val="0D0D0D" w:themeColor="text1" w:themeTint="F2"/>
        </w:rPr>
        <w:t>Top of Form</w:t>
      </w:r>
    </w:p>
    <w:p w14:paraId="427087A1" w14:textId="24A4C5B4" w:rsidR="009943D6" w:rsidRPr="006B3877" w:rsidRDefault="006B3877" w:rsidP="006B3877">
      <w:pPr>
        <w:spacing w:line="276" w:lineRule="auto"/>
        <w:rPr>
          <w:rFonts w:ascii="Calibri" w:hAnsi="Calibri" w:cs="Calibri"/>
          <w:color w:val="0D0D0D" w:themeColor="text1" w:themeTint="F2"/>
        </w:rPr>
      </w:pPr>
      <w:r w:rsidRPr="006B3877">
        <w:rPr>
          <w:rFonts w:ascii="Calibri" w:hAnsi="Calibri" w:cs="Calibri"/>
          <w:vanish/>
          <w:color w:val="0D0D0D" w:themeColor="text1" w:themeTint="F2"/>
        </w:rPr>
        <w:t>Bottom of Form</w:t>
      </w:r>
    </w:p>
    <w:p w14:paraId="6AFA870F" w14:textId="77777777" w:rsidR="006B3877" w:rsidRDefault="006B3877" w:rsidP="008378CC">
      <w:pPr>
        <w:spacing w:line="276" w:lineRule="auto"/>
        <w:rPr>
          <w:rFonts w:ascii="Calibri" w:hAnsi="Calibri" w:cs="Calibri"/>
          <w:color w:val="0D0D0D" w:themeColor="text1" w:themeTint="F2"/>
        </w:rPr>
      </w:pPr>
    </w:p>
    <w:p w14:paraId="41412B12" w14:textId="77777777" w:rsidR="0072689D" w:rsidRDefault="0072689D" w:rsidP="008378CC">
      <w:pPr>
        <w:spacing w:line="276" w:lineRule="auto"/>
        <w:rPr>
          <w:rFonts w:ascii="Calibri" w:hAnsi="Calibri" w:cs="Calibri"/>
          <w:color w:val="0D0D0D" w:themeColor="text1" w:themeTint="F2"/>
        </w:rPr>
      </w:pPr>
    </w:p>
    <w:p w14:paraId="374BB935" w14:textId="77777777" w:rsidR="004A0244" w:rsidRDefault="004A0244" w:rsidP="008378CC">
      <w:pPr>
        <w:spacing w:line="276" w:lineRule="auto"/>
        <w:rPr>
          <w:rFonts w:ascii="Calibri" w:hAnsi="Calibri" w:cs="Calibri"/>
          <w:color w:val="0D0D0D" w:themeColor="text1" w:themeTint="F2"/>
        </w:rPr>
      </w:pPr>
    </w:p>
    <w:p w14:paraId="78AE179A" w14:textId="77777777" w:rsidR="002C3E3C" w:rsidRDefault="002C3E3C" w:rsidP="008378CC">
      <w:pPr>
        <w:spacing w:line="276" w:lineRule="auto"/>
        <w:rPr>
          <w:rFonts w:ascii="Calibri" w:hAnsi="Calibri" w:cs="Calibri"/>
          <w:color w:val="0D0D0D" w:themeColor="text1" w:themeTint="F2"/>
        </w:rPr>
      </w:pPr>
    </w:p>
    <w:p w14:paraId="29FD8763" w14:textId="77777777" w:rsidR="003C0FAB" w:rsidRDefault="003C0FAB" w:rsidP="008378CC">
      <w:pPr>
        <w:spacing w:line="276" w:lineRule="auto"/>
        <w:rPr>
          <w:rFonts w:ascii="Calibri" w:hAnsi="Calibri" w:cs="Calibri"/>
          <w:color w:val="0D0D0D" w:themeColor="text1" w:themeTint="F2"/>
        </w:rPr>
      </w:pPr>
    </w:p>
    <w:p w14:paraId="3FBEA495" w14:textId="77777777" w:rsidR="00D860A8" w:rsidRPr="008378CC" w:rsidRDefault="00D860A8" w:rsidP="008378CC">
      <w:pPr>
        <w:spacing w:line="276" w:lineRule="auto"/>
        <w:rPr>
          <w:rFonts w:ascii="Calibri" w:hAnsi="Calibri" w:cs="Calibri"/>
          <w:color w:val="0D0D0D" w:themeColor="text1" w:themeTint="F2"/>
        </w:rPr>
      </w:pPr>
    </w:p>
    <w:p w14:paraId="199E24FE" w14:textId="4369DAB8" w:rsidR="008960F4" w:rsidRDefault="008960F4" w:rsidP="007E50A9">
      <w:pPr>
        <w:spacing w:line="276" w:lineRule="auto"/>
        <w:rPr>
          <w:rFonts w:ascii="Calibri" w:hAnsi="Calibri" w:cs="Calibri"/>
          <w:color w:val="0D0D0D" w:themeColor="text1" w:themeTint="F2"/>
        </w:rPr>
      </w:pPr>
    </w:p>
    <w:p w14:paraId="7ADD3D60" w14:textId="77777777" w:rsidR="009045D1" w:rsidRDefault="009045D1" w:rsidP="007E50A9">
      <w:pPr>
        <w:spacing w:line="276" w:lineRule="auto"/>
        <w:rPr>
          <w:rFonts w:ascii="Calibri" w:hAnsi="Calibri" w:cs="Calibri"/>
          <w:color w:val="0D0D0D" w:themeColor="text1" w:themeTint="F2"/>
        </w:rPr>
      </w:pPr>
    </w:p>
    <w:p w14:paraId="5E07C4F2" w14:textId="77777777" w:rsidR="001215B8" w:rsidRDefault="001215B8" w:rsidP="007E50A9">
      <w:pPr>
        <w:spacing w:line="276" w:lineRule="auto"/>
        <w:rPr>
          <w:rFonts w:ascii="Calibri" w:hAnsi="Calibri" w:cs="Calibri"/>
          <w:color w:val="0D0D0D" w:themeColor="text1" w:themeTint="F2"/>
        </w:rPr>
      </w:pPr>
    </w:p>
    <w:p w14:paraId="15564CFB" w14:textId="77777777" w:rsidR="001215B8" w:rsidRDefault="001215B8" w:rsidP="007E50A9">
      <w:pPr>
        <w:spacing w:line="276" w:lineRule="auto"/>
        <w:rPr>
          <w:rFonts w:ascii="Calibri" w:hAnsi="Calibri" w:cs="Calibri"/>
          <w:color w:val="0D0D0D" w:themeColor="text1" w:themeTint="F2"/>
        </w:rPr>
      </w:pPr>
    </w:p>
    <w:p w14:paraId="0ED706FD" w14:textId="77777777" w:rsidR="00562B68" w:rsidRPr="007E50A9" w:rsidRDefault="00562B68" w:rsidP="007E50A9">
      <w:pPr>
        <w:spacing w:line="276" w:lineRule="auto"/>
        <w:rPr>
          <w:rFonts w:ascii="Calibri" w:hAnsi="Calibri" w:cs="Calibri"/>
          <w:color w:val="0D0D0D" w:themeColor="text1" w:themeTint="F2"/>
        </w:rPr>
      </w:pPr>
    </w:p>
    <w:p w14:paraId="77D05AF7" w14:textId="77777777" w:rsidR="007E50A9" w:rsidRPr="00DA5A9D" w:rsidRDefault="007E50A9" w:rsidP="00DA5A9D">
      <w:pPr>
        <w:spacing w:line="276" w:lineRule="auto"/>
        <w:rPr>
          <w:rFonts w:ascii="Calibri" w:hAnsi="Calibri" w:cs="Calibri"/>
          <w:color w:val="0D0D0D" w:themeColor="text1" w:themeTint="F2"/>
        </w:rPr>
      </w:pPr>
    </w:p>
    <w:p w14:paraId="50D8CB15" w14:textId="77777777" w:rsidR="00DA5A9D" w:rsidRPr="00981A41" w:rsidRDefault="00DA5A9D" w:rsidP="00981A41">
      <w:pPr>
        <w:spacing w:line="276" w:lineRule="auto"/>
        <w:rPr>
          <w:rFonts w:ascii="Calibri" w:hAnsi="Calibri" w:cs="Calibri"/>
          <w:color w:val="0D0D0D" w:themeColor="text1" w:themeTint="F2"/>
        </w:rPr>
      </w:pPr>
    </w:p>
    <w:p w14:paraId="3AA52F71" w14:textId="77777777" w:rsidR="00981A41" w:rsidRDefault="00981A41" w:rsidP="005956FF">
      <w:pPr>
        <w:spacing w:line="276" w:lineRule="auto"/>
        <w:rPr>
          <w:rFonts w:ascii="Calibri" w:hAnsi="Calibri" w:cs="Calibri"/>
          <w:color w:val="0D0D0D" w:themeColor="text1" w:themeTint="F2"/>
        </w:rPr>
      </w:pPr>
    </w:p>
    <w:p w14:paraId="45CE0A2C" w14:textId="77777777" w:rsidR="00EF7012" w:rsidRPr="005956FF" w:rsidRDefault="00EF7012" w:rsidP="005956FF">
      <w:pPr>
        <w:spacing w:line="276" w:lineRule="auto"/>
        <w:rPr>
          <w:rFonts w:ascii="Calibri" w:hAnsi="Calibri" w:cs="Calibri"/>
          <w:color w:val="0D0D0D" w:themeColor="text1" w:themeTint="F2"/>
        </w:rPr>
      </w:pPr>
    </w:p>
    <w:p w14:paraId="1A292C12" w14:textId="77777777" w:rsidR="005956FF" w:rsidRDefault="005956FF" w:rsidP="00F01784">
      <w:pPr>
        <w:spacing w:line="276" w:lineRule="auto"/>
        <w:rPr>
          <w:rFonts w:ascii="Calibri" w:hAnsi="Calibri" w:cs="Calibri"/>
          <w:color w:val="0D0D0D" w:themeColor="text1" w:themeTint="F2"/>
        </w:rPr>
      </w:pPr>
    </w:p>
    <w:p w14:paraId="36E4DB0B" w14:textId="77777777" w:rsidR="00D61A5B" w:rsidRDefault="00D61A5B" w:rsidP="000E4583">
      <w:pPr>
        <w:spacing w:line="276" w:lineRule="auto"/>
        <w:rPr>
          <w:rFonts w:ascii="Calibri" w:hAnsi="Calibri" w:cs="Calibri"/>
          <w:color w:val="0D0D0D" w:themeColor="text1" w:themeTint="F2"/>
        </w:rPr>
      </w:pPr>
    </w:p>
    <w:p w14:paraId="4E39AD0E" w14:textId="77777777" w:rsidR="000A0FBE" w:rsidRDefault="000A0FBE" w:rsidP="000E4583">
      <w:pPr>
        <w:spacing w:line="276" w:lineRule="auto"/>
        <w:rPr>
          <w:rFonts w:ascii="Calibri" w:hAnsi="Calibri" w:cs="Calibri"/>
          <w:color w:val="0D0D0D" w:themeColor="text1" w:themeTint="F2"/>
        </w:rPr>
      </w:pPr>
    </w:p>
    <w:p w14:paraId="1DC63FBE" w14:textId="05C3990E" w:rsidR="00660E03" w:rsidRPr="000E4583" w:rsidRDefault="00660E03" w:rsidP="000E4583">
      <w:pPr>
        <w:spacing w:line="276" w:lineRule="auto"/>
        <w:rPr>
          <w:rFonts w:ascii="Calibri" w:hAnsi="Calibri" w:cs="Calibri"/>
          <w:color w:val="0D0D0D" w:themeColor="text1" w:themeTint="F2"/>
        </w:rPr>
      </w:pPr>
    </w:p>
    <w:p w14:paraId="30F2CCCC" w14:textId="17FA1A4B" w:rsidR="00655970" w:rsidRPr="003A7D44" w:rsidRDefault="00655970" w:rsidP="008470D5">
      <w:pPr>
        <w:spacing w:line="276" w:lineRule="auto"/>
        <w:rPr>
          <w:rFonts w:ascii="Calibri" w:hAnsi="Calibri" w:cs="Calibri"/>
          <w:color w:val="0D0D0D" w:themeColor="text1" w:themeTint="F2"/>
        </w:rPr>
      </w:pPr>
    </w:p>
    <w:p w14:paraId="6DF9C354" w14:textId="77777777" w:rsidR="004E35F6" w:rsidRDefault="004E35F6" w:rsidP="00D22D70">
      <w:pPr>
        <w:spacing w:line="276" w:lineRule="auto"/>
        <w:rPr>
          <w:rFonts w:ascii="Calibri" w:hAnsi="Calibri" w:cs="Calibri"/>
          <w:color w:val="0D0D0D" w:themeColor="text1" w:themeTint="F2"/>
        </w:rPr>
      </w:pPr>
    </w:p>
    <w:p w14:paraId="46F5CD4B" w14:textId="77777777" w:rsidR="001364F5" w:rsidRDefault="001364F5" w:rsidP="00D22D70">
      <w:pPr>
        <w:spacing w:line="276" w:lineRule="auto"/>
        <w:rPr>
          <w:rFonts w:ascii="Calibri" w:hAnsi="Calibri" w:cs="Calibri"/>
          <w:color w:val="0D0D0D" w:themeColor="text1" w:themeTint="F2"/>
        </w:rPr>
      </w:pPr>
    </w:p>
    <w:p w14:paraId="481B7126" w14:textId="77777777" w:rsidR="00617E67" w:rsidRDefault="00617E67" w:rsidP="00D22D70">
      <w:pPr>
        <w:spacing w:line="276" w:lineRule="auto"/>
        <w:rPr>
          <w:rFonts w:ascii="Calibri" w:hAnsi="Calibri" w:cs="Calibri"/>
          <w:color w:val="0D0D0D" w:themeColor="text1" w:themeTint="F2"/>
        </w:rPr>
      </w:pPr>
    </w:p>
    <w:p w14:paraId="1AEBD94A" w14:textId="77777777" w:rsidR="0045130E" w:rsidRDefault="0045130E" w:rsidP="00D22D70">
      <w:pPr>
        <w:spacing w:line="276" w:lineRule="auto"/>
        <w:rPr>
          <w:rFonts w:ascii="Calibri" w:hAnsi="Calibri" w:cs="Calibri"/>
          <w:color w:val="0D0D0D" w:themeColor="text1" w:themeTint="F2"/>
        </w:rPr>
      </w:pPr>
    </w:p>
    <w:p w14:paraId="7F01CABA" w14:textId="77777777" w:rsidR="00271DA6" w:rsidRPr="00D22D70" w:rsidRDefault="00271DA6" w:rsidP="00D22D70">
      <w:pPr>
        <w:spacing w:line="276" w:lineRule="auto"/>
        <w:rPr>
          <w:rFonts w:ascii="Calibri" w:hAnsi="Calibri" w:cs="Calibri"/>
          <w:color w:val="0D0D0D" w:themeColor="text1" w:themeTint="F2"/>
        </w:rPr>
      </w:pPr>
    </w:p>
    <w:p w14:paraId="576C2470" w14:textId="77777777" w:rsidR="00D22D70" w:rsidRPr="00A35BC4" w:rsidRDefault="00D22D70" w:rsidP="006C754A">
      <w:pPr>
        <w:spacing w:line="276" w:lineRule="auto"/>
        <w:rPr>
          <w:rFonts w:ascii="Calibri" w:hAnsi="Calibri" w:cs="Calibri"/>
          <w:color w:val="0D0D0D" w:themeColor="text1" w:themeTint="F2"/>
        </w:rPr>
      </w:pPr>
    </w:p>
    <w:p w14:paraId="4AAC0C54" w14:textId="77777777" w:rsidR="00A35BC4" w:rsidRPr="003A7D44" w:rsidRDefault="00A35BC4" w:rsidP="00955F2E">
      <w:pPr>
        <w:spacing w:line="276" w:lineRule="auto"/>
        <w:rPr>
          <w:rFonts w:ascii="Calibri" w:hAnsi="Calibri" w:cs="Calibri"/>
          <w:color w:val="0D0D0D" w:themeColor="text1" w:themeTint="F2"/>
        </w:rPr>
      </w:pPr>
    </w:p>
    <w:p w14:paraId="6F40EE15" w14:textId="77777777" w:rsidR="00256F3C" w:rsidRPr="00E100FA" w:rsidRDefault="00256F3C" w:rsidP="00E100FA">
      <w:pPr>
        <w:spacing w:line="276" w:lineRule="auto"/>
        <w:rPr>
          <w:rFonts w:ascii="Calibri" w:eastAsia="DengXian" w:hAnsi="Calibri" w:cs="Calibri"/>
          <w:kern w:val="0"/>
          <w14:ligatures w14:val="none"/>
        </w:rPr>
      </w:pPr>
    </w:p>
    <w:p w14:paraId="794E33E1" w14:textId="77777777" w:rsidR="00E100FA" w:rsidRPr="003A7D44" w:rsidRDefault="00E100FA" w:rsidP="00FE7AD1">
      <w:pPr>
        <w:spacing w:line="276" w:lineRule="auto"/>
        <w:rPr>
          <w:rFonts w:ascii="Calibri" w:hAnsi="Calibri" w:cs="Calibri"/>
          <w:color w:val="0D0D0D" w:themeColor="text1" w:themeTint="F2"/>
        </w:rPr>
      </w:pPr>
    </w:p>
    <w:p w14:paraId="523705E3" w14:textId="77777777" w:rsidR="00EA1DB7" w:rsidRDefault="00EA1DB7" w:rsidP="004C2362">
      <w:pPr>
        <w:rPr>
          <w:rFonts w:ascii="Calibri" w:hAnsi="Calibri" w:cs="Calibri"/>
        </w:rPr>
      </w:pPr>
    </w:p>
    <w:p w14:paraId="56955967" w14:textId="77777777" w:rsidR="00EA1DB7" w:rsidRDefault="00EA1DB7" w:rsidP="004C2362">
      <w:pPr>
        <w:rPr>
          <w:rFonts w:ascii="Calibri" w:hAnsi="Calibri" w:cs="Calibri"/>
        </w:rPr>
      </w:pPr>
    </w:p>
    <w:p w14:paraId="4FD9F13B" w14:textId="77777777" w:rsidR="00EA1DB7" w:rsidRDefault="00EA1DB7" w:rsidP="004C2362">
      <w:pPr>
        <w:rPr>
          <w:rFonts w:ascii="Calibri" w:hAnsi="Calibri" w:cs="Calibri"/>
        </w:rPr>
      </w:pPr>
    </w:p>
    <w:p w14:paraId="10DFA566" w14:textId="77777777" w:rsidR="00EA1DB7" w:rsidRDefault="00EA1DB7" w:rsidP="004C2362">
      <w:pPr>
        <w:rPr>
          <w:rFonts w:ascii="Calibri" w:hAnsi="Calibri" w:cs="Calibri"/>
        </w:rPr>
      </w:pPr>
    </w:p>
    <w:p w14:paraId="161FA96C" w14:textId="77777777" w:rsidR="00EA1DB7" w:rsidRDefault="00EA1DB7" w:rsidP="004C2362">
      <w:pPr>
        <w:rPr>
          <w:rFonts w:ascii="Calibri" w:hAnsi="Calibri" w:cs="Calibri"/>
        </w:rPr>
      </w:pPr>
    </w:p>
    <w:p w14:paraId="14FDD558" w14:textId="77777777" w:rsidR="00EA1DB7" w:rsidRDefault="00EA1DB7" w:rsidP="004C2362">
      <w:pPr>
        <w:rPr>
          <w:rFonts w:ascii="Calibri" w:hAnsi="Calibri" w:cs="Calibri"/>
        </w:rPr>
      </w:pPr>
    </w:p>
    <w:p w14:paraId="16B6673F" w14:textId="77777777" w:rsidR="00EA1DB7" w:rsidRDefault="00EA1DB7" w:rsidP="004C2362">
      <w:pPr>
        <w:rPr>
          <w:rFonts w:ascii="Calibri" w:hAnsi="Calibri" w:cs="Calibri"/>
        </w:rPr>
      </w:pPr>
    </w:p>
    <w:p w14:paraId="143E2EC5" w14:textId="77777777" w:rsidR="00EA1DB7" w:rsidRDefault="00EA1DB7" w:rsidP="004C2362">
      <w:pPr>
        <w:rPr>
          <w:rFonts w:ascii="Calibri" w:hAnsi="Calibri" w:cs="Calibri"/>
        </w:rPr>
      </w:pPr>
    </w:p>
    <w:p w14:paraId="5E2A3914" w14:textId="77777777" w:rsidR="00EA1DB7" w:rsidRDefault="00EA1DB7" w:rsidP="004C2362">
      <w:pPr>
        <w:rPr>
          <w:rFonts w:ascii="Calibri" w:hAnsi="Calibri" w:cs="Calibri"/>
        </w:rPr>
      </w:pPr>
    </w:p>
    <w:p w14:paraId="6E721A64" w14:textId="77777777" w:rsidR="00EA1DB7" w:rsidRDefault="00EA1DB7" w:rsidP="004C2362">
      <w:pPr>
        <w:rPr>
          <w:rFonts w:ascii="Calibri" w:hAnsi="Calibri" w:cs="Calibri"/>
        </w:rPr>
      </w:pPr>
    </w:p>
    <w:p w14:paraId="7196E189" w14:textId="77777777" w:rsidR="00EA1DB7" w:rsidRDefault="00EA1DB7" w:rsidP="004C2362">
      <w:pPr>
        <w:rPr>
          <w:rFonts w:ascii="Calibri" w:hAnsi="Calibri" w:cs="Calibri"/>
        </w:rPr>
      </w:pPr>
    </w:p>
    <w:p w14:paraId="630675E4" w14:textId="77777777" w:rsidR="00EA1DB7" w:rsidRDefault="00EA1DB7" w:rsidP="004C2362">
      <w:pPr>
        <w:rPr>
          <w:rFonts w:ascii="Calibri" w:hAnsi="Calibri" w:cs="Calibri"/>
        </w:rPr>
      </w:pPr>
    </w:p>
    <w:p w14:paraId="4570E0DA" w14:textId="77777777" w:rsidR="00EA1DB7" w:rsidRDefault="00EA1DB7" w:rsidP="004C2362">
      <w:pPr>
        <w:rPr>
          <w:rFonts w:ascii="Calibri" w:hAnsi="Calibri" w:cs="Calibri"/>
        </w:rPr>
      </w:pPr>
    </w:p>
    <w:p w14:paraId="398022FB" w14:textId="77777777" w:rsidR="00EA1DB7" w:rsidRDefault="00EA1DB7" w:rsidP="004C2362">
      <w:pPr>
        <w:rPr>
          <w:rFonts w:ascii="Calibri" w:hAnsi="Calibri" w:cs="Calibri"/>
        </w:rPr>
      </w:pPr>
    </w:p>
    <w:p w14:paraId="183A33EA" w14:textId="77777777" w:rsidR="00EA1DB7" w:rsidRDefault="00EA1DB7" w:rsidP="004C2362">
      <w:pPr>
        <w:rPr>
          <w:rFonts w:ascii="Calibri" w:hAnsi="Calibri" w:cs="Calibri"/>
        </w:rPr>
      </w:pPr>
    </w:p>
    <w:p w14:paraId="1C6F0B48" w14:textId="77777777" w:rsidR="00EA1DB7" w:rsidRDefault="00EA1DB7" w:rsidP="004C2362">
      <w:pPr>
        <w:rPr>
          <w:rFonts w:ascii="Calibri" w:hAnsi="Calibri" w:cs="Calibri"/>
        </w:rPr>
      </w:pPr>
    </w:p>
    <w:p w14:paraId="0158CA72" w14:textId="0BE64844" w:rsidR="004C2362" w:rsidRPr="00C00E85" w:rsidRDefault="004C2362" w:rsidP="004C2362">
      <w:pPr>
        <w:rPr>
          <w:rFonts w:ascii="Calibri" w:hAnsi="Calibri" w:cs="Calibri"/>
          <w:color w:val="FF0000"/>
        </w:rPr>
      </w:pPr>
      <w:r w:rsidRPr="00C00E85">
        <w:rPr>
          <w:rFonts w:ascii="Calibri" w:hAnsi="Calibri" w:cs="Calibri"/>
          <w:color w:val="FF0000"/>
        </w:rPr>
        <w:t>Barrett, D. and Younas, A. (2024) ‘Induction, deduction and abduction’, Journal of Evidence-Based Nursing, 27, pp. 6-7.</w:t>
      </w:r>
    </w:p>
    <w:p w14:paraId="465B1982" w14:textId="77777777" w:rsidR="004C2362" w:rsidRPr="00C00E85" w:rsidRDefault="004C2362" w:rsidP="004C2362">
      <w:pPr>
        <w:rPr>
          <w:rFonts w:ascii="Calibri" w:hAnsi="Calibri" w:cs="Calibri"/>
          <w:color w:val="FF0000"/>
        </w:rPr>
      </w:pPr>
      <w:r w:rsidRPr="00C00E85">
        <w:rPr>
          <w:rFonts w:ascii="Calibri" w:hAnsi="Calibri" w:cs="Calibri"/>
          <w:color w:val="FF0000"/>
        </w:rPr>
        <w:t xml:space="preserve">Dube, B., Nkomo, D. and Thokweng, M. (2024) ‘Pragmatism: An Essential Philosophy for Mixed Methods Research in Education’, </w:t>
      </w:r>
      <w:r w:rsidRPr="00C00E85">
        <w:rPr>
          <w:rFonts w:ascii="Calibri" w:hAnsi="Calibri" w:cs="Calibri"/>
          <w:i/>
          <w:iCs/>
          <w:color w:val="FF0000"/>
        </w:rPr>
        <w:t>International Journal of Research and Innovation in Social Science</w:t>
      </w:r>
      <w:r w:rsidRPr="00C00E85">
        <w:rPr>
          <w:rFonts w:ascii="Calibri" w:hAnsi="Calibri" w:cs="Calibri"/>
          <w:color w:val="FF0000"/>
        </w:rPr>
        <w:t>. DOI:10.47772/IJRISS.2024.803073</w:t>
      </w:r>
    </w:p>
    <w:p w14:paraId="2FEE5C82" w14:textId="77777777" w:rsidR="004C2362" w:rsidRPr="00C00E85" w:rsidRDefault="004C2362" w:rsidP="004C2362">
      <w:pPr>
        <w:rPr>
          <w:rFonts w:ascii="Calibri" w:hAnsi="Calibri" w:cs="Calibri"/>
          <w:color w:val="FF0000"/>
        </w:rPr>
      </w:pPr>
      <w:r w:rsidRPr="00C00E85">
        <w:rPr>
          <w:rFonts w:ascii="Calibri" w:hAnsi="Calibri" w:cs="Calibri"/>
          <w:color w:val="FF0000"/>
        </w:rPr>
        <w:t xml:space="preserve">Elander, K. and Cronje, J. C. (2016) ‘Paradigms revisited: a quantitative investigation into a model to integrate objectivism and constructivism in instructional design’, </w:t>
      </w:r>
      <w:r w:rsidRPr="00C00E85">
        <w:rPr>
          <w:rFonts w:ascii="Calibri" w:hAnsi="Calibri" w:cs="Calibri"/>
          <w:i/>
          <w:iCs/>
          <w:color w:val="FF0000"/>
        </w:rPr>
        <w:t>Educational Technology Research And Development</w:t>
      </w:r>
      <w:r w:rsidRPr="00C00E85">
        <w:rPr>
          <w:rFonts w:ascii="Calibri" w:hAnsi="Calibri" w:cs="Calibri"/>
          <w:color w:val="FF0000"/>
        </w:rPr>
        <w:t>, 64(3), pp. 389–405.</w:t>
      </w:r>
    </w:p>
    <w:p w14:paraId="665FA2B8" w14:textId="77777777" w:rsidR="004C2362" w:rsidRPr="00C00E85" w:rsidRDefault="004C2362" w:rsidP="004C2362">
      <w:pPr>
        <w:rPr>
          <w:rFonts w:ascii="Calibri" w:hAnsi="Calibri" w:cs="Calibri"/>
          <w:color w:val="FF0000"/>
        </w:rPr>
      </w:pPr>
      <w:r w:rsidRPr="00C00E85">
        <w:rPr>
          <w:rFonts w:ascii="Calibri" w:hAnsi="Calibri" w:cs="Calibri"/>
          <w:color w:val="FF0000"/>
        </w:rPr>
        <w:t xml:space="preserve">Elgeddawy, M. and Abouraia, M. (2024) ‘Pragmatism as a Research Paradigm’, </w:t>
      </w:r>
      <w:r w:rsidRPr="00C00E85">
        <w:rPr>
          <w:rFonts w:ascii="Calibri" w:hAnsi="Calibri" w:cs="Calibri"/>
          <w:i/>
          <w:iCs/>
          <w:color w:val="FF0000"/>
        </w:rPr>
        <w:t>European Conference on Research Methodology for Business and Management Studies</w:t>
      </w:r>
      <w:r w:rsidRPr="00C00E85">
        <w:rPr>
          <w:rFonts w:ascii="Calibri" w:hAnsi="Calibri" w:cs="Calibri"/>
          <w:color w:val="FF0000"/>
        </w:rPr>
        <w:t>, 23(1), pp. 71-74. DOI:10.34190/ecrm.23.1.2444.</w:t>
      </w:r>
    </w:p>
    <w:p w14:paraId="7DF24F39" w14:textId="77777777" w:rsidR="004C2362" w:rsidRPr="00C00E85" w:rsidRDefault="004C2362" w:rsidP="004C2362">
      <w:pPr>
        <w:rPr>
          <w:rFonts w:ascii="Calibri" w:hAnsi="Calibri" w:cs="Calibri"/>
          <w:color w:val="FF0000"/>
        </w:rPr>
      </w:pPr>
      <w:r w:rsidRPr="00C00E85">
        <w:rPr>
          <w:rFonts w:ascii="Calibri" w:hAnsi="Calibri" w:cs="Calibri"/>
          <w:color w:val="FF0000"/>
        </w:rPr>
        <w:t xml:space="preserve">Flaubert, J. L., Le Menestrel, S., Williams, D. R. and Wakefield, M. K. (2023) </w:t>
      </w:r>
      <w:r w:rsidRPr="00C00E85">
        <w:rPr>
          <w:rFonts w:ascii="Calibri" w:hAnsi="Calibri" w:cs="Calibri"/>
          <w:i/>
          <w:iCs/>
          <w:color w:val="FF0000"/>
        </w:rPr>
        <w:t xml:space="preserve">The Future of Nursing 2020-2030: Charting a Path to Achieve Health Equity. </w:t>
      </w:r>
      <w:r w:rsidRPr="00C00E85">
        <w:rPr>
          <w:rFonts w:ascii="Calibri" w:hAnsi="Calibri" w:cs="Calibri"/>
          <w:color w:val="FF0000"/>
        </w:rPr>
        <w:t>Washington: National Academies Press.</w:t>
      </w:r>
    </w:p>
    <w:p w14:paraId="53D62A81" w14:textId="77777777" w:rsidR="004C2362" w:rsidRPr="00C00E85" w:rsidRDefault="004C2362" w:rsidP="004C2362">
      <w:pPr>
        <w:rPr>
          <w:rFonts w:ascii="Calibri" w:hAnsi="Calibri" w:cs="Calibri"/>
          <w:color w:val="FF0000"/>
        </w:rPr>
      </w:pPr>
      <w:r w:rsidRPr="00C00E85">
        <w:rPr>
          <w:rFonts w:ascii="Calibri" w:hAnsi="Calibri" w:cs="Calibri"/>
          <w:color w:val="FF0000"/>
        </w:rPr>
        <w:lastRenderedPageBreak/>
        <w:t>Barrett, D. and Younas, A. (2024) ‘Induction, deduction and abduction’, Journal of Evidence-Based Nursing, 27, pp. 6-7.</w:t>
      </w:r>
    </w:p>
    <w:p w14:paraId="5A2966CF" w14:textId="77777777" w:rsidR="004C2362" w:rsidRPr="00C00E85" w:rsidRDefault="004C2362" w:rsidP="004C2362">
      <w:pPr>
        <w:rPr>
          <w:rFonts w:ascii="Calibri" w:hAnsi="Calibri" w:cs="Calibri"/>
          <w:color w:val="FF0000"/>
        </w:rPr>
      </w:pPr>
      <w:r w:rsidRPr="00C00E85">
        <w:rPr>
          <w:rFonts w:ascii="Calibri" w:hAnsi="Calibri" w:cs="Calibri"/>
          <w:color w:val="FF0000"/>
        </w:rPr>
        <w:t>Foster, C. (2024) ‘Methodological pragmatism in educational research: from qualitative-quantitative to exploratory- confirmatory distinctions’, International Journal of Research and Method in Education, 47(1), pp. 419-429.</w:t>
      </w:r>
    </w:p>
    <w:p w14:paraId="015A0C23" w14:textId="77777777" w:rsidR="004C2362" w:rsidRPr="00C00E85" w:rsidRDefault="004C2362" w:rsidP="004C2362">
      <w:pPr>
        <w:rPr>
          <w:rFonts w:ascii="Calibri" w:hAnsi="Calibri" w:cs="Calibri"/>
          <w:color w:val="FF0000"/>
        </w:rPr>
      </w:pPr>
      <w:r w:rsidRPr="00C00E85">
        <w:rPr>
          <w:rFonts w:ascii="Calibri" w:hAnsi="Calibri" w:cs="Calibri"/>
          <w:color w:val="FF0000"/>
        </w:rPr>
        <w:t>Anderson et al</w:t>
      </w:r>
    </w:p>
    <w:p w14:paraId="769054A2" w14:textId="77777777" w:rsidR="004C2362" w:rsidRPr="00C00E85" w:rsidRDefault="004C2362" w:rsidP="004C2362">
      <w:pPr>
        <w:rPr>
          <w:rFonts w:ascii="Calibri" w:hAnsi="Calibri" w:cs="Calibri"/>
          <w:color w:val="FF0000"/>
        </w:rPr>
      </w:pPr>
      <w:r w:rsidRPr="00C00E85">
        <w:rPr>
          <w:rFonts w:ascii="Calibri" w:hAnsi="Calibri" w:cs="Calibri"/>
          <w:color w:val="FF0000"/>
        </w:rPr>
        <w:t>Naeem, M., Ozuem, W., Howell, K., and Ranfagni, S. (2023) ‘A Step-by-Step Process of Thematic Analysis to Develop a Conceptual Model in Qualitative Research’, </w:t>
      </w:r>
      <w:r w:rsidRPr="00C00E85">
        <w:rPr>
          <w:rFonts w:ascii="Calibri" w:hAnsi="Calibri" w:cs="Calibri"/>
          <w:i/>
          <w:iCs/>
          <w:color w:val="FF0000"/>
        </w:rPr>
        <w:t>International Journal of Qualitative Methods</w:t>
      </w:r>
      <w:r w:rsidRPr="00C00E85">
        <w:rPr>
          <w:rFonts w:ascii="Calibri" w:hAnsi="Calibri" w:cs="Calibri"/>
          <w:color w:val="FF0000"/>
        </w:rPr>
        <w:t>, </w:t>
      </w:r>
      <w:r w:rsidRPr="00C00E85">
        <w:rPr>
          <w:rFonts w:ascii="Calibri" w:hAnsi="Calibri" w:cs="Calibri"/>
          <w:i/>
          <w:iCs/>
          <w:color w:val="FF0000"/>
        </w:rPr>
        <w:t>22</w:t>
      </w:r>
      <w:r w:rsidRPr="00C00E85">
        <w:rPr>
          <w:rFonts w:ascii="Calibri" w:hAnsi="Calibri" w:cs="Calibri"/>
          <w:color w:val="FF0000"/>
        </w:rPr>
        <w:t>. Available at: https://doi.org/10.1177/16094069231205789</w:t>
      </w:r>
    </w:p>
    <w:p w14:paraId="1A0BB45B" w14:textId="77777777" w:rsidR="004C2362" w:rsidRPr="00BB55C2" w:rsidRDefault="004C2362" w:rsidP="004C2362">
      <w:pPr>
        <w:rPr>
          <w:rFonts w:ascii="Calibri" w:hAnsi="Calibri" w:cs="Calibri"/>
        </w:rPr>
      </w:pPr>
    </w:p>
    <w:p w14:paraId="4629A774" w14:textId="77777777" w:rsidR="00350DD4" w:rsidRPr="00350DD4" w:rsidRDefault="00350DD4" w:rsidP="00350DD4">
      <w:pPr>
        <w:rPr>
          <w:rFonts w:ascii="Calibri" w:hAnsi="Calibri" w:cs="Calibri"/>
          <w:color w:val="FF0000"/>
        </w:rPr>
      </w:pPr>
      <w:r w:rsidRPr="00350DD4">
        <w:rPr>
          <w:rFonts w:ascii="Calibri" w:hAnsi="Calibri" w:cs="Calibri"/>
          <w:color w:val="FF0000"/>
        </w:rPr>
        <w:t>Creswell: Known for his work on research design and mixed methods.</w:t>
      </w:r>
    </w:p>
    <w:p w14:paraId="4709EE3F" w14:textId="223FAC2D" w:rsidR="00350DD4" w:rsidRPr="00350DD4" w:rsidRDefault="00350DD4" w:rsidP="00350DD4">
      <w:pPr>
        <w:rPr>
          <w:rFonts w:ascii="Calibri" w:hAnsi="Calibri" w:cs="Calibri"/>
          <w:color w:val="FF0000"/>
        </w:rPr>
      </w:pPr>
      <w:r w:rsidRPr="00350DD4">
        <w:rPr>
          <w:rFonts w:ascii="Calibri" w:hAnsi="Calibri" w:cs="Calibri"/>
          <w:color w:val="FF0000"/>
        </w:rPr>
        <w:t xml:space="preserve">Tashakkori </w:t>
      </w:r>
      <w:r w:rsidR="00B84C4E">
        <w:rPr>
          <w:rFonts w:ascii="Calibri" w:hAnsi="Calibri" w:cs="Calibri"/>
          <w:color w:val="FF0000"/>
        </w:rPr>
        <w:t>and</w:t>
      </w:r>
      <w:r w:rsidRPr="00350DD4">
        <w:rPr>
          <w:rFonts w:ascii="Calibri" w:hAnsi="Calibri" w:cs="Calibri"/>
          <w:color w:val="FF0000"/>
        </w:rPr>
        <w:t xml:space="preserve"> Teddlie: Also key figures in mixed methods research.</w:t>
      </w:r>
    </w:p>
    <w:p w14:paraId="6305D04F" w14:textId="77777777" w:rsidR="00350DD4" w:rsidRPr="00350DD4" w:rsidRDefault="00350DD4" w:rsidP="00350DD4">
      <w:pPr>
        <w:rPr>
          <w:rFonts w:ascii="Calibri" w:hAnsi="Calibri" w:cs="Calibri"/>
          <w:color w:val="FF0000"/>
        </w:rPr>
      </w:pPr>
      <w:r w:rsidRPr="00350DD4">
        <w:rPr>
          <w:rFonts w:ascii="Calibri" w:hAnsi="Calibri" w:cs="Calibri"/>
          <w:color w:val="FF0000"/>
        </w:rPr>
        <w:t>Morgan: Contributions to pragmatic philosophy in research.</w:t>
      </w:r>
    </w:p>
    <w:p w14:paraId="71155657" w14:textId="77777777" w:rsidR="00350DD4" w:rsidRPr="00350DD4" w:rsidRDefault="00350DD4" w:rsidP="00350DD4">
      <w:pPr>
        <w:rPr>
          <w:rFonts w:ascii="Calibri" w:hAnsi="Calibri" w:cs="Calibri"/>
          <w:color w:val="FF0000"/>
        </w:rPr>
      </w:pPr>
      <w:r w:rsidRPr="00350DD4">
        <w:rPr>
          <w:rFonts w:ascii="Calibri" w:hAnsi="Calibri" w:cs="Calibri"/>
          <w:color w:val="FF0000"/>
        </w:rPr>
        <w:t>Bryman: Author of widely used social research methods textbooks.</w:t>
      </w:r>
    </w:p>
    <w:p w14:paraId="5A9E3A2B" w14:textId="0ECE5FE3" w:rsidR="00350DD4" w:rsidRPr="00350DD4" w:rsidRDefault="00350DD4" w:rsidP="00350DD4">
      <w:pPr>
        <w:rPr>
          <w:rFonts w:ascii="Calibri" w:hAnsi="Calibri" w:cs="Calibri"/>
          <w:color w:val="FF0000"/>
        </w:rPr>
      </w:pPr>
      <w:r w:rsidRPr="00350DD4">
        <w:rPr>
          <w:rFonts w:ascii="Calibri" w:hAnsi="Calibri" w:cs="Calibri"/>
          <w:color w:val="FF0000"/>
        </w:rPr>
        <w:t xml:space="preserve">Braun </w:t>
      </w:r>
      <w:r w:rsidR="00B84C4E">
        <w:rPr>
          <w:rFonts w:ascii="Calibri" w:hAnsi="Calibri" w:cs="Calibri"/>
          <w:color w:val="FF0000"/>
        </w:rPr>
        <w:t>and</w:t>
      </w:r>
      <w:r w:rsidRPr="00350DD4">
        <w:rPr>
          <w:rFonts w:ascii="Calibri" w:hAnsi="Calibri" w:cs="Calibri"/>
          <w:color w:val="FF0000"/>
        </w:rPr>
        <w:t xml:space="preserve"> Clarke: Foundational work on thematic analysis.</w:t>
      </w:r>
    </w:p>
    <w:p w14:paraId="032A797D" w14:textId="77777777" w:rsidR="00350DD4" w:rsidRPr="00350DD4" w:rsidRDefault="00350DD4" w:rsidP="00350DD4">
      <w:pPr>
        <w:rPr>
          <w:rFonts w:ascii="Calibri" w:hAnsi="Calibri" w:cs="Calibri"/>
          <w:color w:val="FF0000"/>
        </w:rPr>
      </w:pPr>
      <w:r w:rsidRPr="00350DD4">
        <w:rPr>
          <w:rFonts w:ascii="Calibri" w:hAnsi="Calibri" w:cs="Calibri"/>
          <w:color w:val="FF0000"/>
        </w:rPr>
        <w:t>Patton: Expertise in qualitative research methods.</w:t>
      </w:r>
    </w:p>
    <w:p w14:paraId="0F83592D" w14:textId="48597765" w:rsidR="00350DD4" w:rsidRPr="00350DD4" w:rsidRDefault="00350DD4" w:rsidP="00350DD4">
      <w:pPr>
        <w:rPr>
          <w:rFonts w:ascii="Calibri" w:hAnsi="Calibri" w:cs="Calibri"/>
          <w:color w:val="FF0000"/>
        </w:rPr>
      </w:pPr>
      <w:r w:rsidRPr="00350DD4">
        <w:rPr>
          <w:rFonts w:ascii="Calibri" w:hAnsi="Calibri" w:cs="Calibri"/>
          <w:color w:val="FF0000"/>
        </w:rPr>
        <w:t xml:space="preserve">Brinkmann </w:t>
      </w:r>
      <w:r w:rsidR="00B84C4E">
        <w:rPr>
          <w:rFonts w:ascii="Calibri" w:hAnsi="Calibri" w:cs="Calibri"/>
          <w:color w:val="FF0000"/>
        </w:rPr>
        <w:t>and</w:t>
      </w:r>
      <w:r w:rsidRPr="00350DD4">
        <w:rPr>
          <w:rFonts w:ascii="Calibri" w:hAnsi="Calibri" w:cs="Calibri"/>
          <w:color w:val="FF0000"/>
        </w:rPr>
        <w:t xml:space="preserve"> Kvale: Influential work on qualitative interviewing.</w:t>
      </w:r>
    </w:p>
    <w:p w14:paraId="3D00BFA2" w14:textId="77777777" w:rsidR="00350DD4" w:rsidRPr="00350DD4" w:rsidRDefault="00350DD4" w:rsidP="00350DD4">
      <w:pPr>
        <w:rPr>
          <w:rFonts w:ascii="Calibri" w:hAnsi="Calibri" w:cs="Calibri"/>
          <w:color w:val="FF0000"/>
        </w:rPr>
      </w:pPr>
      <w:r w:rsidRPr="00350DD4">
        <w:rPr>
          <w:rFonts w:ascii="Calibri" w:hAnsi="Calibri" w:cs="Calibri"/>
          <w:color w:val="FF0000"/>
        </w:rPr>
        <w:t>Field: Author of statistics textbooks for social sciences.</w:t>
      </w:r>
    </w:p>
    <w:p w14:paraId="60C481BE" w14:textId="77777777" w:rsidR="00350DD4" w:rsidRPr="00350DD4" w:rsidRDefault="00350DD4" w:rsidP="00350DD4">
      <w:pPr>
        <w:rPr>
          <w:rFonts w:ascii="Calibri" w:hAnsi="Calibri" w:cs="Calibri"/>
          <w:color w:val="FF0000"/>
        </w:rPr>
      </w:pPr>
      <w:r w:rsidRPr="00350DD4">
        <w:rPr>
          <w:rFonts w:ascii="Calibri" w:hAnsi="Calibri" w:cs="Calibri"/>
          <w:color w:val="FF0000"/>
        </w:rPr>
        <w:t>Pallant: Another author of SPSS guides for social scientists.</w:t>
      </w:r>
    </w:p>
    <w:p w14:paraId="6DB23255" w14:textId="3ECA79B8" w:rsidR="00350DD4" w:rsidRPr="00350DD4" w:rsidRDefault="00350DD4" w:rsidP="00350DD4">
      <w:pPr>
        <w:rPr>
          <w:rFonts w:ascii="Calibri" w:hAnsi="Calibri" w:cs="Calibri"/>
          <w:color w:val="FF0000"/>
        </w:rPr>
      </w:pPr>
      <w:r w:rsidRPr="00350DD4">
        <w:rPr>
          <w:rFonts w:ascii="Calibri" w:hAnsi="Calibri" w:cs="Calibri"/>
          <w:color w:val="FF0000"/>
        </w:rPr>
        <w:t xml:space="preserve">Lincoln </w:t>
      </w:r>
      <w:r w:rsidR="00B84C4E">
        <w:rPr>
          <w:rFonts w:ascii="Calibri" w:hAnsi="Calibri" w:cs="Calibri"/>
          <w:color w:val="FF0000"/>
        </w:rPr>
        <w:t>and</w:t>
      </w:r>
      <w:r w:rsidRPr="00350DD4">
        <w:rPr>
          <w:rFonts w:ascii="Calibri" w:hAnsi="Calibri" w:cs="Calibri"/>
          <w:color w:val="FF0000"/>
        </w:rPr>
        <w:t xml:space="preserve"> Guba: Seminal work on trustworthiness in qualitative research.</w:t>
      </w:r>
    </w:p>
    <w:p w14:paraId="6841DEB0" w14:textId="06325F03" w:rsidR="00350DD4" w:rsidRPr="00350DD4" w:rsidRDefault="00350DD4" w:rsidP="00350DD4">
      <w:pPr>
        <w:rPr>
          <w:rFonts w:ascii="Calibri" w:hAnsi="Calibri" w:cs="Calibri"/>
          <w:color w:val="FF0000"/>
        </w:rPr>
      </w:pPr>
      <w:r w:rsidRPr="00350DD4">
        <w:rPr>
          <w:rFonts w:ascii="Calibri" w:hAnsi="Calibri" w:cs="Calibri"/>
          <w:color w:val="FF0000"/>
        </w:rPr>
        <w:t xml:space="preserve">Berger </w:t>
      </w:r>
      <w:r w:rsidR="00B84C4E">
        <w:rPr>
          <w:rFonts w:ascii="Calibri" w:hAnsi="Calibri" w:cs="Calibri"/>
          <w:color w:val="FF0000"/>
        </w:rPr>
        <w:t>and</w:t>
      </w:r>
      <w:r w:rsidRPr="00350DD4">
        <w:rPr>
          <w:rFonts w:ascii="Calibri" w:hAnsi="Calibri" w:cs="Calibri"/>
          <w:color w:val="FF0000"/>
        </w:rPr>
        <w:t xml:space="preserve"> Luckmann: Classic text on social construction of reality.</w:t>
      </w:r>
    </w:p>
    <w:p w14:paraId="4208F0DC" w14:textId="77777777" w:rsidR="00350DD4" w:rsidRPr="00350DD4" w:rsidRDefault="00350DD4" w:rsidP="00350DD4">
      <w:pPr>
        <w:rPr>
          <w:rFonts w:ascii="Calibri" w:hAnsi="Calibri" w:cs="Calibri"/>
          <w:color w:val="FF0000"/>
        </w:rPr>
      </w:pPr>
      <w:r w:rsidRPr="00350DD4">
        <w:rPr>
          <w:rFonts w:ascii="Calibri" w:hAnsi="Calibri" w:cs="Calibri"/>
          <w:color w:val="FF0000"/>
        </w:rPr>
        <w:t>Williams: Research on men in nursing and gender stereotypes.</w:t>
      </w:r>
    </w:p>
    <w:p w14:paraId="6C0D097A" w14:textId="77777777" w:rsidR="00350DD4" w:rsidRPr="00350DD4" w:rsidRDefault="00350DD4" w:rsidP="00350DD4">
      <w:pPr>
        <w:rPr>
          <w:rFonts w:ascii="Calibri" w:hAnsi="Calibri" w:cs="Calibri"/>
          <w:color w:val="FF0000"/>
        </w:rPr>
      </w:pPr>
      <w:r w:rsidRPr="00350DD4">
        <w:rPr>
          <w:rFonts w:ascii="Calibri" w:hAnsi="Calibri" w:cs="Calibri"/>
          <w:color w:val="FF0000"/>
        </w:rPr>
        <w:t>Evans: Work on representations of nursing and gender.</w:t>
      </w:r>
    </w:p>
    <w:p w14:paraId="4B317A31" w14:textId="50A77812" w:rsidR="00350DD4" w:rsidRPr="00350DD4" w:rsidRDefault="00350DD4" w:rsidP="00350DD4">
      <w:pPr>
        <w:rPr>
          <w:rFonts w:ascii="Calibri" w:hAnsi="Calibri" w:cs="Calibri"/>
          <w:color w:val="FF0000"/>
        </w:rPr>
      </w:pPr>
      <w:r w:rsidRPr="00350DD4">
        <w:rPr>
          <w:rFonts w:ascii="Calibri" w:hAnsi="Calibri" w:cs="Calibri"/>
          <w:color w:val="FF0000"/>
        </w:rPr>
        <w:t xml:space="preserve">Dwyer </w:t>
      </w:r>
      <w:r w:rsidR="00B84C4E">
        <w:rPr>
          <w:rFonts w:ascii="Calibri" w:hAnsi="Calibri" w:cs="Calibri"/>
          <w:color w:val="FF0000"/>
        </w:rPr>
        <w:t>and</w:t>
      </w:r>
      <w:r w:rsidRPr="00350DD4">
        <w:rPr>
          <w:rFonts w:ascii="Calibri" w:hAnsi="Calibri" w:cs="Calibri"/>
          <w:color w:val="FF0000"/>
        </w:rPr>
        <w:t xml:space="preserve"> Buckle: Articles on researcher positionality.</w:t>
      </w:r>
    </w:p>
    <w:p w14:paraId="442980CB" w14:textId="77777777" w:rsidR="00350DD4" w:rsidRPr="00350DD4" w:rsidRDefault="00350DD4" w:rsidP="00350DD4">
      <w:pPr>
        <w:rPr>
          <w:rFonts w:ascii="Calibri" w:hAnsi="Calibri" w:cs="Calibri"/>
          <w:color w:val="FF0000"/>
        </w:rPr>
      </w:pPr>
      <w:r w:rsidRPr="00350DD4">
        <w:rPr>
          <w:rFonts w:ascii="Calibri" w:hAnsi="Calibri" w:cs="Calibri"/>
          <w:color w:val="FF0000"/>
        </w:rPr>
        <w:t>Finlay: Writings on reflexivity in research.</w:t>
      </w:r>
    </w:p>
    <w:p w14:paraId="073EC12B" w14:textId="40EB88E3" w:rsidR="00350DD4" w:rsidRPr="00350DD4" w:rsidRDefault="00350DD4" w:rsidP="00350DD4">
      <w:pPr>
        <w:rPr>
          <w:rFonts w:ascii="Calibri" w:hAnsi="Calibri" w:cs="Calibri"/>
          <w:color w:val="FF0000"/>
        </w:rPr>
      </w:pPr>
      <w:r w:rsidRPr="00350DD4">
        <w:rPr>
          <w:rFonts w:ascii="Calibri" w:hAnsi="Calibri" w:cs="Calibri"/>
          <w:color w:val="FF0000"/>
        </w:rPr>
        <w:t xml:space="preserve">Sue </w:t>
      </w:r>
      <w:r w:rsidR="00B84C4E">
        <w:rPr>
          <w:rFonts w:ascii="Calibri" w:hAnsi="Calibri" w:cs="Calibri"/>
          <w:color w:val="FF0000"/>
        </w:rPr>
        <w:t>and</w:t>
      </w:r>
      <w:r w:rsidRPr="00350DD4">
        <w:rPr>
          <w:rFonts w:ascii="Calibri" w:hAnsi="Calibri" w:cs="Calibri"/>
          <w:color w:val="FF0000"/>
        </w:rPr>
        <w:t xml:space="preserve"> Ritter: Books on conducting online surveys.</w:t>
      </w:r>
    </w:p>
    <w:p w14:paraId="0D8544CC" w14:textId="77777777" w:rsidR="00350DD4" w:rsidRPr="00350DD4" w:rsidRDefault="00350DD4" w:rsidP="00350DD4">
      <w:pPr>
        <w:rPr>
          <w:rFonts w:ascii="Calibri" w:hAnsi="Calibri" w:cs="Calibri"/>
          <w:color w:val="FF0000"/>
        </w:rPr>
      </w:pPr>
      <w:r w:rsidRPr="00350DD4">
        <w:rPr>
          <w:rFonts w:ascii="Calibri" w:hAnsi="Calibri" w:cs="Calibri"/>
          <w:color w:val="FF0000"/>
        </w:rPr>
        <w:t>Fink: Works on designing and evaluating surveys.</w:t>
      </w:r>
    </w:p>
    <w:p w14:paraId="4CAD0619" w14:textId="77777777" w:rsidR="00350DD4" w:rsidRPr="00350DD4" w:rsidRDefault="00350DD4" w:rsidP="00350DD4">
      <w:pPr>
        <w:rPr>
          <w:rFonts w:ascii="Calibri" w:hAnsi="Calibri" w:cs="Calibri"/>
          <w:color w:val="FF0000"/>
        </w:rPr>
      </w:pPr>
      <w:r w:rsidRPr="00350DD4">
        <w:rPr>
          <w:rFonts w:ascii="Calibri" w:hAnsi="Calibri" w:cs="Calibri"/>
          <w:color w:val="FF0000"/>
        </w:rPr>
        <w:t>Poland: Discussion of transcription in qualitative research.</w:t>
      </w:r>
    </w:p>
    <w:p w14:paraId="24CFCB92" w14:textId="46BED51C" w:rsidR="00350DD4" w:rsidRPr="00350DD4" w:rsidRDefault="00350DD4" w:rsidP="00350DD4">
      <w:pPr>
        <w:rPr>
          <w:rFonts w:ascii="Calibri" w:hAnsi="Calibri" w:cs="Calibri"/>
          <w:color w:val="FF0000"/>
        </w:rPr>
      </w:pPr>
      <w:r w:rsidRPr="00350DD4">
        <w:rPr>
          <w:rFonts w:ascii="Calibri" w:hAnsi="Calibri" w:cs="Calibri"/>
          <w:color w:val="FF0000"/>
        </w:rPr>
        <w:t xml:space="preserve">Lapadat </w:t>
      </w:r>
      <w:r w:rsidR="00B84C4E">
        <w:rPr>
          <w:rFonts w:ascii="Calibri" w:hAnsi="Calibri" w:cs="Calibri"/>
          <w:color w:val="FF0000"/>
        </w:rPr>
        <w:t>and</w:t>
      </w:r>
      <w:r w:rsidRPr="00350DD4">
        <w:rPr>
          <w:rFonts w:ascii="Calibri" w:hAnsi="Calibri" w:cs="Calibri"/>
          <w:color w:val="FF0000"/>
        </w:rPr>
        <w:t xml:space="preserve"> Mishler: Article on the complexities of transcription.</w:t>
      </w:r>
    </w:p>
    <w:p w14:paraId="52C15563" w14:textId="77777777" w:rsidR="00350DD4" w:rsidRPr="00350DD4" w:rsidRDefault="00350DD4" w:rsidP="00350DD4">
      <w:pPr>
        <w:rPr>
          <w:rFonts w:ascii="Calibri" w:hAnsi="Calibri" w:cs="Calibri"/>
          <w:color w:val="FF0000"/>
        </w:rPr>
      </w:pPr>
      <w:r w:rsidRPr="00350DD4">
        <w:rPr>
          <w:rFonts w:ascii="Calibri" w:hAnsi="Calibri" w:cs="Calibri"/>
          <w:color w:val="FF0000"/>
        </w:rPr>
        <w:lastRenderedPageBreak/>
        <w:t>Bird: Commentary on the time-intensive nature of transcription.</w:t>
      </w:r>
    </w:p>
    <w:p w14:paraId="5DF59D64" w14:textId="77777777" w:rsidR="00350DD4" w:rsidRPr="00350DD4" w:rsidRDefault="00350DD4" w:rsidP="00350DD4">
      <w:pPr>
        <w:rPr>
          <w:rFonts w:ascii="Calibri" w:hAnsi="Calibri" w:cs="Calibri"/>
          <w:color w:val="FF0000"/>
        </w:rPr>
      </w:pPr>
      <w:r w:rsidRPr="00350DD4">
        <w:rPr>
          <w:rFonts w:ascii="Calibri" w:hAnsi="Calibri" w:cs="Calibri"/>
          <w:color w:val="FF0000"/>
        </w:rPr>
        <w:t>Boyatzis: Framework for thematic analysis.</w:t>
      </w:r>
    </w:p>
    <w:p w14:paraId="32A3EAC8" w14:textId="77777777" w:rsidR="00350DD4" w:rsidRPr="00350DD4" w:rsidRDefault="00350DD4" w:rsidP="00350DD4">
      <w:pPr>
        <w:rPr>
          <w:rFonts w:ascii="Calibri" w:hAnsi="Calibri" w:cs="Calibri"/>
          <w:color w:val="FF0000"/>
        </w:rPr>
      </w:pPr>
      <w:r w:rsidRPr="00350DD4">
        <w:rPr>
          <w:rFonts w:ascii="Calibri" w:hAnsi="Calibri" w:cs="Calibri"/>
          <w:color w:val="FF0000"/>
        </w:rPr>
        <w:t>Punch: Books on social research methods.</w:t>
      </w:r>
    </w:p>
    <w:p w14:paraId="5572D23F" w14:textId="77777777" w:rsidR="00350DD4" w:rsidRPr="00350DD4" w:rsidRDefault="00350DD4" w:rsidP="00350DD4">
      <w:pPr>
        <w:rPr>
          <w:rFonts w:ascii="Calibri" w:hAnsi="Calibri" w:cs="Calibri"/>
          <w:color w:val="FF0000"/>
        </w:rPr>
      </w:pPr>
      <w:r w:rsidRPr="00350DD4">
        <w:rPr>
          <w:rFonts w:ascii="Calibri" w:hAnsi="Calibri" w:cs="Calibri"/>
          <w:color w:val="FF0000"/>
        </w:rPr>
        <w:t>British Educational Research Association (BERA): Ethical guidelines for educational research.</w:t>
      </w:r>
    </w:p>
    <w:p w14:paraId="30F8A1B1" w14:textId="77777777" w:rsidR="00350DD4" w:rsidRPr="00350DD4" w:rsidRDefault="00350DD4" w:rsidP="00350DD4">
      <w:pPr>
        <w:rPr>
          <w:rFonts w:ascii="Calibri" w:hAnsi="Calibri" w:cs="Calibri"/>
          <w:color w:val="FF0000"/>
        </w:rPr>
      </w:pPr>
      <w:r w:rsidRPr="00350DD4">
        <w:rPr>
          <w:rFonts w:ascii="Calibri" w:hAnsi="Calibri" w:cs="Calibri"/>
          <w:color w:val="FF0000"/>
        </w:rPr>
        <w:t>Mercer: Discussion of insider/outsider perspectives in research.</w:t>
      </w:r>
    </w:p>
    <w:p w14:paraId="4E12BC7B" w14:textId="5011B54C" w:rsidR="004C2362" w:rsidRPr="00AE3C29" w:rsidRDefault="00350DD4" w:rsidP="00350DD4">
      <w:pPr>
        <w:rPr>
          <w:rFonts w:ascii="Calibri" w:hAnsi="Calibri" w:cs="Calibri"/>
          <w:color w:val="FF0000"/>
        </w:rPr>
      </w:pPr>
      <w:r w:rsidRPr="00350DD4">
        <w:rPr>
          <w:rFonts w:ascii="Calibri" w:hAnsi="Calibri" w:cs="Calibri"/>
          <w:color w:val="FF0000"/>
        </w:rPr>
        <w:t xml:space="preserve">Tufford </w:t>
      </w:r>
      <w:r w:rsidR="00B84C4E">
        <w:rPr>
          <w:rFonts w:ascii="Calibri" w:hAnsi="Calibri" w:cs="Calibri"/>
          <w:color w:val="FF0000"/>
        </w:rPr>
        <w:t>and</w:t>
      </w:r>
      <w:r w:rsidRPr="00350DD4">
        <w:rPr>
          <w:rFonts w:ascii="Calibri" w:hAnsi="Calibri" w:cs="Calibri"/>
          <w:color w:val="FF0000"/>
        </w:rPr>
        <w:t xml:space="preserve"> Newman: Article on bracketing in qualitative research</w:t>
      </w:r>
      <w:r w:rsidR="004C2362" w:rsidRPr="00AE3C29">
        <w:rPr>
          <w:rFonts w:ascii="Calibri" w:hAnsi="Calibri" w:cs="Calibri"/>
          <w:color w:val="FF0000"/>
        </w:rPr>
        <w:br w:type="page"/>
      </w:r>
    </w:p>
    <w:p w14:paraId="1E6B0D19" w14:textId="77777777" w:rsidR="001D7863" w:rsidRDefault="001D7863"/>
    <w:sectPr w:rsidR="001D7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C40C2"/>
    <w:multiLevelType w:val="hybridMultilevel"/>
    <w:tmpl w:val="0B8C596A"/>
    <w:lvl w:ilvl="0" w:tplc="C7EE6AD8">
      <w:start w:val="1"/>
      <w:numFmt w:val="bullet"/>
      <w:lvlText w:val="•"/>
      <w:lvlJc w:val="left"/>
      <w:pPr>
        <w:tabs>
          <w:tab w:val="num" w:pos="720"/>
        </w:tabs>
        <w:ind w:left="720" w:hanging="360"/>
      </w:pPr>
      <w:rPr>
        <w:rFonts w:ascii="Arial" w:hAnsi="Arial" w:hint="default"/>
      </w:rPr>
    </w:lvl>
    <w:lvl w:ilvl="1" w:tplc="39AA827E" w:tentative="1">
      <w:start w:val="1"/>
      <w:numFmt w:val="bullet"/>
      <w:lvlText w:val="•"/>
      <w:lvlJc w:val="left"/>
      <w:pPr>
        <w:tabs>
          <w:tab w:val="num" w:pos="1440"/>
        </w:tabs>
        <w:ind w:left="1440" w:hanging="360"/>
      </w:pPr>
      <w:rPr>
        <w:rFonts w:ascii="Arial" w:hAnsi="Arial" w:hint="default"/>
      </w:rPr>
    </w:lvl>
    <w:lvl w:ilvl="2" w:tplc="A086B8E6" w:tentative="1">
      <w:start w:val="1"/>
      <w:numFmt w:val="bullet"/>
      <w:lvlText w:val="•"/>
      <w:lvlJc w:val="left"/>
      <w:pPr>
        <w:tabs>
          <w:tab w:val="num" w:pos="2160"/>
        </w:tabs>
        <w:ind w:left="2160" w:hanging="360"/>
      </w:pPr>
      <w:rPr>
        <w:rFonts w:ascii="Arial" w:hAnsi="Arial" w:hint="default"/>
      </w:rPr>
    </w:lvl>
    <w:lvl w:ilvl="3" w:tplc="E65C1A50" w:tentative="1">
      <w:start w:val="1"/>
      <w:numFmt w:val="bullet"/>
      <w:lvlText w:val="•"/>
      <w:lvlJc w:val="left"/>
      <w:pPr>
        <w:tabs>
          <w:tab w:val="num" w:pos="2880"/>
        </w:tabs>
        <w:ind w:left="2880" w:hanging="360"/>
      </w:pPr>
      <w:rPr>
        <w:rFonts w:ascii="Arial" w:hAnsi="Arial" w:hint="default"/>
      </w:rPr>
    </w:lvl>
    <w:lvl w:ilvl="4" w:tplc="E480A41C" w:tentative="1">
      <w:start w:val="1"/>
      <w:numFmt w:val="bullet"/>
      <w:lvlText w:val="•"/>
      <w:lvlJc w:val="left"/>
      <w:pPr>
        <w:tabs>
          <w:tab w:val="num" w:pos="3600"/>
        </w:tabs>
        <w:ind w:left="3600" w:hanging="360"/>
      </w:pPr>
      <w:rPr>
        <w:rFonts w:ascii="Arial" w:hAnsi="Arial" w:hint="default"/>
      </w:rPr>
    </w:lvl>
    <w:lvl w:ilvl="5" w:tplc="4CDAA3FA" w:tentative="1">
      <w:start w:val="1"/>
      <w:numFmt w:val="bullet"/>
      <w:lvlText w:val="•"/>
      <w:lvlJc w:val="left"/>
      <w:pPr>
        <w:tabs>
          <w:tab w:val="num" w:pos="4320"/>
        </w:tabs>
        <w:ind w:left="4320" w:hanging="360"/>
      </w:pPr>
      <w:rPr>
        <w:rFonts w:ascii="Arial" w:hAnsi="Arial" w:hint="default"/>
      </w:rPr>
    </w:lvl>
    <w:lvl w:ilvl="6" w:tplc="235E2288" w:tentative="1">
      <w:start w:val="1"/>
      <w:numFmt w:val="bullet"/>
      <w:lvlText w:val="•"/>
      <w:lvlJc w:val="left"/>
      <w:pPr>
        <w:tabs>
          <w:tab w:val="num" w:pos="5040"/>
        </w:tabs>
        <w:ind w:left="5040" w:hanging="360"/>
      </w:pPr>
      <w:rPr>
        <w:rFonts w:ascii="Arial" w:hAnsi="Arial" w:hint="default"/>
      </w:rPr>
    </w:lvl>
    <w:lvl w:ilvl="7" w:tplc="32CE6F8C" w:tentative="1">
      <w:start w:val="1"/>
      <w:numFmt w:val="bullet"/>
      <w:lvlText w:val="•"/>
      <w:lvlJc w:val="left"/>
      <w:pPr>
        <w:tabs>
          <w:tab w:val="num" w:pos="5760"/>
        </w:tabs>
        <w:ind w:left="5760" w:hanging="360"/>
      </w:pPr>
      <w:rPr>
        <w:rFonts w:ascii="Arial" w:hAnsi="Arial" w:hint="default"/>
      </w:rPr>
    </w:lvl>
    <w:lvl w:ilvl="8" w:tplc="DC36B534" w:tentative="1">
      <w:start w:val="1"/>
      <w:numFmt w:val="bullet"/>
      <w:lvlText w:val="•"/>
      <w:lvlJc w:val="left"/>
      <w:pPr>
        <w:tabs>
          <w:tab w:val="num" w:pos="6480"/>
        </w:tabs>
        <w:ind w:left="6480" w:hanging="360"/>
      </w:pPr>
      <w:rPr>
        <w:rFonts w:ascii="Arial" w:hAnsi="Arial" w:hint="default"/>
      </w:rPr>
    </w:lvl>
  </w:abstractNum>
  <w:num w:numId="1" w16cid:durableId="279067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362"/>
    <w:rsid w:val="00001045"/>
    <w:rsid w:val="00004A2F"/>
    <w:rsid w:val="0001121A"/>
    <w:rsid w:val="00011252"/>
    <w:rsid w:val="00014857"/>
    <w:rsid w:val="00022C9D"/>
    <w:rsid w:val="000265A1"/>
    <w:rsid w:val="0003441A"/>
    <w:rsid w:val="00037A6B"/>
    <w:rsid w:val="00040A78"/>
    <w:rsid w:val="000421E0"/>
    <w:rsid w:val="000520E8"/>
    <w:rsid w:val="0007064F"/>
    <w:rsid w:val="0007180A"/>
    <w:rsid w:val="00082FBE"/>
    <w:rsid w:val="00090B52"/>
    <w:rsid w:val="000915B8"/>
    <w:rsid w:val="0009186E"/>
    <w:rsid w:val="000A0FBE"/>
    <w:rsid w:val="000A31D3"/>
    <w:rsid w:val="000A52A6"/>
    <w:rsid w:val="000A6D79"/>
    <w:rsid w:val="000A7FD9"/>
    <w:rsid w:val="000D1DCF"/>
    <w:rsid w:val="000D71AD"/>
    <w:rsid w:val="000E1678"/>
    <w:rsid w:val="000E3C8A"/>
    <w:rsid w:val="000E4583"/>
    <w:rsid w:val="000F072E"/>
    <w:rsid w:val="000F228D"/>
    <w:rsid w:val="000F288F"/>
    <w:rsid w:val="000F4C2C"/>
    <w:rsid w:val="0010380E"/>
    <w:rsid w:val="00104473"/>
    <w:rsid w:val="00107A1C"/>
    <w:rsid w:val="00112975"/>
    <w:rsid w:val="00112B55"/>
    <w:rsid w:val="001215B8"/>
    <w:rsid w:val="001218B0"/>
    <w:rsid w:val="00123F49"/>
    <w:rsid w:val="00124F97"/>
    <w:rsid w:val="001252D5"/>
    <w:rsid w:val="001263C4"/>
    <w:rsid w:val="00131A89"/>
    <w:rsid w:val="00131F00"/>
    <w:rsid w:val="00132187"/>
    <w:rsid w:val="001351F7"/>
    <w:rsid w:val="001364F5"/>
    <w:rsid w:val="00152DB1"/>
    <w:rsid w:val="00153849"/>
    <w:rsid w:val="00154FB5"/>
    <w:rsid w:val="001566FE"/>
    <w:rsid w:val="00160A5B"/>
    <w:rsid w:val="00160F57"/>
    <w:rsid w:val="00162084"/>
    <w:rsid w:val="001631C1"/>
    <w:rsid w:val="00167781"/>
    <w:rsid w:val="00171727"/>
    <w:rsid w:val="0018075C"/>
    <w:rsid w:val="00180903"/>
    <w:rsid w:val="00180B4D"/>
    <w:rsid w:val="001861CF"/>
    <w:rsid w:val="001933C4"/>
    <w:rsid w:val="00194174"/>
    <w:rsid w:val="00195525"/>
    <w:rsid w:val="001A541B"/>
    <w:rsid w:val="001B6A4E"/>
    <w:rsid w:val="001B7345"/>
    <w:rsid w:val="001D014E"/>
    <w:rsid w:val="001D1F4F"/>
    <w:rsid w:val="001D515D"/>
    <w:rsid w:val="001D7863"/>
    <w:rsid w:val="001E1136"/>
    <w:rsid w:val="001E1CB7"/>
    <w:rsid w:val="001E2E1D"/>
    <w:rsid w:val="001F6C18"/>
    <w:rsid w:val="001F7CF3"/>
    <w:rsid w:val="00201CB5"/>
    <w:rsid w:val="0020454A"/>
    <w:rsid w:val="00205E71"/>
    <w:rsid w:val="00212157"/>
    <w:rsid w:val="00213F72"/>
    <w:rsid w:val="00216C1A"/>
    <w:rsid w:val="00221D15"/>
    <w:rsid w:val="00226B91"/>
    <w:rsid w:val="00247EFE"/>
    <w:rsid w:val="00250943"/>
    <w:rsid w:val="0025376D"/>
    <w:rsid w:val="00256F3C"/>
    <w:rsid w:val="00264336"/>
    <w:rsid w:val="00270D22"/>
    <w:rsid w:val="00271D42"/>
    <w:rsid w:val="00271DA6"/>
    <w:rsid w:val="002725D6"/>
    <w:rsid w:val="0027665A"/>
    <w:rsid w:val="00285C42"/>
    <w:rsid w:val="0029251A"/>
    <w:rsid w:val="002933CC"/>
    <w:rsid w:val="00295C0C"/>
    <w:rsid w:val="002A0BDB"/>
    <w:rsid w:val="002A1AC1"/>
    <w:rsid w:val="002A616F"/>
    <w:rsid w:val="002B6D73"/>
    <w:rsid w:val="002C07A8"/>
    <w:rsid w:val="002C3E3C"/>
    <w:rsid w:val="002C6542"/>
    <w:rsid w:val="002D204E"/>
    <w:rsid w:val="002D2594"/>
    <w:rsid w:val="002F1E14"/>
    <w:rsid w:val="002F6CC3"/>
    <w:rsid w:val="002F7FF9"/>
    <w:rsid w:val="003174A9"/>
    <w:rsid w:val="00327779"/>
    <w:rsid w:val="003374B4"/>
    <w:rsid w:val="00342D83"/>
    <w:rsid w:val="0034324D"/>
    <w:rsid w:val="003506C4"/>
    <w:rsid w:val="00350DD4"/>
    <w:rsid w:val="0035208A"/>
    <w:rsid w:val="003728C9"/>
    <w:rsid w:val="00387658"/>
    <w:rsid w:val="00390A41"/>
    <w:rsid w:val="0039675D"/>
    <w:rsid w:val="003A367E"/>
    <w:rsid w:val="003B06DA"/>
    <w:rsid w:val="003B6C2E"/>
    <w:rsid w:val="003C0132"/>
    <w:rsid w:val="003C0FAB"/>
    <w:rsid w:val="003C6E2A"/>
    <w:rsid w:val="003D6040"/>
    <w:rsid w:val="003F6F9A"/>
    <w:rsid w:val="003F778D"/>
    <w:rsid w:val="004030C0"/>
    <w:rsid w:val="004036A6"/>
    <w:rsid w:val="0040753E"/>
    <w:rsid w:val="00415C62"/>
    <w:rsid w:val="00421444"/>
    <w:rsid w:val="00423CF8"/>
    <w:rsid w:val="00427635"/>
    <w:rsid w:val="0043211F"/>
    <w:rsid w:val="004435AA"/>
    <w:rsid w:val="00445BC7"/>
    <w:rsid w:val="004475FF"/>
    <w:rsid w:val="0045130E"/>
    <w:rsid w:val="00456549"/>
    <w:rsid w:val="00457288"/>
    <w:rsid w:val="0045782B"/>
    <w:rsid w:val="0045796D"/>
    <w:rsid w:val="004618AE"/>
    <w:rsid w:val="00461D57"/>
    <w:rsid w:val="00465765"/>
    <w:rsid w:val="00466739"/>
    <w:rsid w:val="004717DB"/>
    <w:rsid w:val="004769BF"/>
    <w:rsid w:val="00480611"/>
    <w:rsid w:val="004813A3"/>
    <w:rsid w:val="00483954"/>
    <w:rsid w:val="00483BA7"/>
    <w:rsid w:val="00486981"/>
    <w:rsid w:val="004A0244"/>
    <w:rsid w:val="004A2940"/>
    <w:rsid w:val="004A5FA6"/>
    <w:rsid w:val="004A7B99"/>
    <w:rsid w:val="004B14B0"/>
    <w:rsid w:val="004C12F3"/>
    <w:rsid w:val="004C204B"/>
    <w:rsid w:val="004C2362"/>
    <w:rsid w:val="004D32B0"/>
    <w:rsid w:val="004D6BCF"/>
    <w:rsid w:val="004E35F6"/>
    <w:rsid w:val="004E5728"/>
    <w:rsid w:val="004F1953"/>
    <w:rsid w:val="004F6F63"/>
    <w:rsid w:val="00500A6A"/>
    <w:rsid w:val="0050144A"/>
    <w:rsid w:val="005123C1"/>
    <w:rsid w:val="00521136"/>
    <w:rsid w:val="0052307D"/>
    <w:rsid w:val="0052339E"/>
    <w:rsid w:val="00523A62"/>
    <w:rsid w:val="0054040C"/>
    <w:rsid w:val="005457B4"/>
    <w:rsid w:val="00545E2F"/>
    <w:rsid w:val="00554226"/>
    <w:rsid w:val="00556B4C"/>
    <w:rsid w:val="005620B6"/>
    <w:rsid w:val="00562B68"/>
    <w:rsid w:val="005749C1"/>
    <w:rsid w:val="005753E5"/>
    <w:rsid w:val="00576E91"/>
    <w:rsid w:val="0058704D"/>
    <w:rsid w:val="00587CF6"/>
    <w:rsid w:val="005956FF"/>
    <w:rsid w:val="005A16AB"/>
    <w:rsid w:val="005A776D"/>
    <w:rsid w:val="005B35E2"/>
    <w:rsid w:val="005B6B80"/>
    <w:rsid w:val="005B72B5"/>
    <w:rsid w:val="005C068C"/>
    <w:rsid w:val="005C1407"/>
    <w:rsid w:val="005C22C5"/>
    <w:rsid w:val="005C35E1"/>
    <w:rsid w:val="005C6846"/>
    <w:rsid w:val="005D6839"/>
    <w:rsid w:val="005E2A8B"/>
    <w:rsid w:val="005F1272"/>
    <w:rsid w:val="005F2C7B"/>
    <w:rsid w:val="005F300D"/>
    <w:rsid w:val="005F7198"/>
    <w:rsid w:val="006070D8"/>
    <w:rsid w:val="006162A7"/>
    <w:rsid w:val="00617E67"/>
    <w:rsid w:val="00623B33"/>
    <w:rsid w:val="00625AED"/>
    <w:rsid w:val="00632A7A"/>
    <w:rsid w:val="00634569"/>
    <w:rsid w:val="00654C5F"/>
    <w:rsid w:val="00655970"/>
    <w:rsid w:val="006575C3"/>
    <w:rsid w:val="00660C82"/>
    <w:rsid w:val="00660E03"/>
    <w:rsid w:val="00663BA1"/>
    <w:rsid w:val="00663F04"/>
    <w:rsid w:val="006661CD"/>
    <w:rsid w:val="00670E82"/>
    <w:rsid w:val="00670FEB"/>
    <w:rsid w:val="006753DA"/>
    <w:rsid w:val="006762EF"/>
    <w:rsid w:val="0067690F"/>
    <w:rsid w:val="0068538A"/>
    <w:rsid w:val="00691D15"/>
    <w:rsid w:val="00692CA2"/>
    <w:rsid w:val="006938CD"/>
    <w:rsid w:val="006A04F1"/>
    <w:rsid w:val="006A0B3F"/>
    <w:rsid w:val="006A0C58"/>
    <w:rsid w:val="006A28FE"/>
    <w:rsid w:val="006A458F"/>
    <w:rsid w:val="006A4CA7"/>
    <w:rsid w:val="006B3877"/>
    <w:rsid w:val="006B4D57"/>
    <w:rsid w:val="006C122B"/>
    <w:rsid w:val="006C231E"/>
    <w:rsid w:val="006C42FD"/>
    <w:rsid w:val="006C754A"/>
    <w:rsid w:val="006D0D67"/>
    <w:rsid w:val="006D576B"/>
    <w:rsid w:val="00701A6B"/>
    <w:rsid w:val="0070271C"/>
    <w:rsid w:val="007060FB"/>
    <w:rsid w:val="00713480"/>
    <w:rsid w:val="00715307"/>
    <w:rsid w:val="00717CD3"/>
    <w:rsid w:val="00720C93"/>
    <w:rsid w:val="0072313A"/>
    <w:rsid w:val="0072689D"/>
    <w:rsid w:val="007305F9"/>
    <w:rsid w:val="0073260B"/>
    <w:rsid w:val="007356E9"/>
    <w:rsid w:val="0074464B"/>
    <w:rsid w:val="007478C3"/>
    <w:rsid w:val="007514DC"/>
    <w:rsid w:val="0075349C"/>
    <w:rsid w:val="00762704"/>
    <w:rsid w:val="00764C2B"/>
    <w:rsid w:val="00765CAA"/>
    <w:rsid w:val="00771DE0"/>
    <w:rsid w:val="00780358"/>
    <w:rsid w:val="0079380B"/>
    <w:rsid w:val="00795CFC"/>
    <w:rsid w:val="007B0DE1"/>
    <w:rsid w:val="007B2CBF"/>
    <w:rsid w:val="007C0B38"/>
    <w:rsid w:val="007C4FF0"/>
    <w:rsid w:val="007D2F75"/>
    <w:rsid w:val="007D56A3"/>
    <w:rsid w:val="007D6A41"/>
    <w:rsid w:val="007D6E17"/>
    <w:rsid w:val="007E385D"/>
    <w:rsid w:val="007E5013"/>
    <w:rsid w:val="007E50A9"/>
    <w:rsid w:val="007F7060"/>
    <w:rsid w:val="008026F2"/>
    <w:rsid w:val="00802D2D"/>
    <w:rsid w:val="00816BAE"/>
    <w:rsid w:val="00817AA0"/>
    <w:rsid w:val="0082318B"/>
    <w:rsid w:val="00837342"/>
    <w:rsid w:val="008378CC"/>
    <w:rsid w:val="008470D5"/>
    <w:rsid w:val="00850E2A"/>
    <w:rsid w:val="00853068"/>
    <w:rsid w:val="00854B1A"/>
    <w:rsid w:val="008560CD"/>
    <w:rsid w:val="00856515"/>
    <w:rsid w:val="00856881"/>
    <w:rsid w:val="0086185A"/>
    <w:rsid w:val="00864993"/>
    <w:rsid w:val="008660B1"/>
    <w:rsid w:val="00866E40"/>
    <w:rsid w:val="00870EDF"/>
    <w:rsid w:val="00874B44"/>
    <w:rsid w:val="008900CF"/>
    <w:rsid w:val="008908AD"/>
    <w:rsid w:val="008925B7"/>
    <w:rsid w:val="008960F4"/>
    <w:rsid w:val="008A08F4"/>
    <w:rsid w:val="008A5BAF"/>
    <w:rsid w:val="008A66B8"/>
    <w:rsid w:val="008B4420"/>
    <w:rsid w:val="008B74F0"/>
    <w:rsid w:val="008C2EB1"/>
    <w:rsid w:val="008C4427"/>
    <w:rsid w:val="008D5546"/>
    <w:rsid w:val="008F41B3"/>
    <w:rsid w:val="008F4BA9"/>
    <w:rsid w:val="009021BD"/>
    <w:rsid w:val="009031AD"/>
    <w:rsid w:val="009045D1"/>
    <w:rsid w:val="0092163E"/>
    <w:rsid w:val="0092276A"/>
    <w:rsid w:val="00932D23"/>
    <w:rsid w:val="00941BA1"/>
    <w:rsid w:val="009432F9"/>
    <w:rsid w:val="009438CB"/>
    <w:rsid w:val="00945C5D"/>
    <w:rsid w:val="00947384"/>
    <w:rsid w:val="00955F2E"/>
    <w:rsid w:val="00956427"/>
    <w:rsid w:val="00974BBB"/>
    <w:rsid w:val="00981A41"/>
    <w:rsid w:val="00982C9C"/>
    <w:rsid w:val="009832AD"/>
    <w:rsid w:val="0098578A"/>
    <w:rsid w:val="0099177C"/>
    <w:rsid w:val="00992B85"/>
    <w:rsid w:val="00993122"/>
    <w:rsid w:val="009943D6"/>
    <w:rsid w:val="009A7CEA"/>
    <w:rsid w:val="009B2B89"/>
    <w:rsid w:val="009D243E"/>
    <w:rsid w:val="009D297D"/>
    <w:rsid w:val="009E0F41"/>
    <w:rsid w:val="00A05418"/>
    <w:rsid w:val="00A147C7"/>
    <w:rsid w:val="00A15409"/>
    <w:rsid w:val="00A227E8"/>
    <w:rsid w:val="00A23B8D"/>
    <w:rsid w:val="00A25922"/>
    <w:rsid w:val="00A332E5"/>
    <w:rsid w:val="00A341F5"/>
    <w:rsid w:val="00A35BC4"/>
    <w:rsid w:val="00A407B2"/>
    <w:rsid w:val="00A4298F"/>
    <w:rsid w:val="00A43786"/>
    <w:rsid w:val="00A50DCE"/>
    <w:rsid w:val="00A53BB7"/>
    <w:rsid w:val="00A577BA"/>
    <w:rsid w:val="00A678A8"/>
    <w:rsid w:val="00A6792B"/>
    <w:rsid w:val="00A706B4"/>
    <w:rsid w:val="00A7418A"/>
    <w:rsid w:val="00A7463C"/>
    <w:rsid w:val="00A754D5"/>
    <w:rsid w:val="00A82926"/>
    <w:rsid w:val="00A87929"/>
    <w:rsid w:val="00A904F3"/>
    <w:rsid w:val="00AA03A7"/>
    <w:rsid w:val="00AB757E"/>
    <w:rsid w:val="00AC3CF8"/>
    <w:rsid w:val="00AC7279"/>
    <w:rsid w:val="00AD25B7"/>
    <w:rsid w:val="00AD6208"/>
    <w:rsid w:val="00AD664C"/>
    <w:rsid w:val="00AD6A93"/>
    <w:rsid w:val="00AE5EBB"/>
    <w:rsid w:val="00AE61CF"/>
    <w:rsid w:val="00AF019E"/>
    <w:rsid w:val="00AF182D"/>
    <w:rsid w:val="00B028AA"/>
    <w:rsid w:val="00B11A63"/>
    <w:rsid w:val="00B20B96"/>
    <w:rsid w:val="00B218CB"/>
    <w:rsid w:val="00B25516"/>
    <w:rsid w:val="00B34124"/>
    <w:rsid w:val="00B34908"/>
    <w:rsid w:val="00B35C91"/>
    <w:rsid w:val="00B40294"/>
    <w:rsid w:val="00B40D69"/>
    <w:rsid w:val="00B44ECD"/>
    <w:rsid w:val="00B5235D"/>
    <w:rsid w:val="00B52ED7"/>
    <w:rsid w:val="00B5395A"/>
    <w:rsid w:val="00B5470E"/>
    <w:rsid w:val="00B55590"/>
    <w:rsid w:val="00B566F1"/>
    <w:rsid w:val="00B57C8C"/>
    <w:rsid w:val="00B60B9E"/>
    <w:rsid w:val="00B65944"/>
    <w:rsid w:val="00B65AAB"/>
    <w:rsid w:val="00B65F13"/>
    <w:rsid w:val="00B74542"/>
    <w:rsid w:val="00B77E2D"/>
    <w:rsid w:val="00B84C4E"/>
    <w:rsid w:val="00B87981"/>
    <w:rsid w:val="00B930F7"/>
    <w:rsid w:val="00B9759C"/>
    <w:rsid w:val="00BA1B50"/>
    <w:rsid w:val="00BA7096"/>
    <w:rsid w:val="00BA7973"/>
    <w:rsid w:val="00BB728E"/>
    <w:rsid w:val="00BC1AEE"/>
    <w:rsid w:val="00BD2EEF"/>
    <w:rsid w:val="00BD6592"/>
    <w:rsid w:val="00BF23AA"/>
    <w:rsid w:val="00BF2C0C"/>
    <w:rsid w:val="00BF3C94"/>
    <w:rsid w:val="00BF52FB"/>
    <w:rsid w:val="00C00E85"/>
    <w:rsid w:val="00C06504"/>
    <w:rsid w:val="00C12F22"/>
    <w:rsid w:val="00C16ECF"/>
    <w:rsid w:val="00C2651D"/>
    <w:rsid w:val="00C270A4"/>
    <w:rsid w:val="00C30A4F"/>
    <w:rsid w:val="00C3101D"/>
    <w:rsid w:val="00C32D2D"/>
    <w:rsid w:val="00C41AA1"/>
    <w:rsid w:val="00C4207E"/>
    <w:rsid w:val="00C42475"/>
    <w:rsid w:val="00C450EF"/>
    <w:rsid w:val="00C504C5"/>
    <w:rsid w:val="00C51F84"/>
    <w:rsid w:val="00C5429B"/>
    <w:rsid w:val="00C5736A"/>
    <w:rsid w:val="00C57883"/>
    <w:rsid w:val="00C6138B"/>
    <w:rsid w:val="00C726AF"/>
    <w:rsid w:val="00C839F2"/>
    <w:rsid w:val="00C966DB"/>
    <w:rsid w:val="00CA0F94"/>
    <w:rsid w:val="00CA1662"/>
    <w:rsid w:val="00CA719C"/>
    <w:rsid w:val="00CB5888"/>
    <w:rsid w:val="00CC7369"/>
    <w:rsid w:val="00CE7224"/>
    <w:rsid w:val="00CF1350"/>
    <w:rsid w:val="00CF473F"/>
    <w:rsid w:val="00CF5B1E"/>
    <w:rsid w:val="00D0584C"/>
    <w:rsid w:val="00D110A3"/>
    <w:rsid w:val="00D1232E"/>
    <w:rsid w:val="00D17D2A"/>
    <w:rsid w:val="00D212DC"/>
    <w:rsid w:val="00D22D70"/>
    <w:rsid w:val="00D349D3"/>
    <w:rsid w:val="00D41774"/>
    <w:rsid w:val="00D45EA1"/>
    <w:rsid w:val="00D45FDA"/>
    <w:rsid w:val="00D4742D"/>
    <w:rsid w:val="00D51D0D"/>
    <w:rsid w:val="00D6001A"/>
    <w:rsid w:val="00D61A5B"/>
    <w:rsid w:val="00D66A9C"/>
    <w:rsid w:val="00D73DCB"/>
    <w:rsid w:val="00D818E2"/>
    <w:rsid w:val="00D82C84"/>
    <w:rsid w:val="00D860A8"/>
    <w:rsid w:val="00D86AEB"/>
    <w:rsid w:val="00DA5A9D"/>
    <w:rsid w:val="00DA5D1A"/>
    <w:rsid w:val="00DB2ADB"/>
    <w:rsid w:val="00DC1D66"/>
    <w:rsid w:val="00DE4A28"/>
    <w:rsid w:val="00DE62F2"/>
    <w:rsid w:val="00DF207F"/>
    <w:rsid w:val="00DF4053"/>
    <w:rsid w:val="00E014C3"/>
    <w:rsid w:val="00E100FA"/>
    <w:rsid w:val="00E1671F"/>
    <w:rsid w:val="00E20183"/>
    <w:rsid w:val="00E20A15"/>
    <w:rsid w:val="00E233BC"/>
    <w:rsid w:val="00E2738B"/>
    <w:rsid w:val="00E27F80"/>
    <w:rsid w:val="00E301D5"/>
    <w:rsid w:val="00E335F3"/>
    <w:rsid w:val="00E37037"/>
    <w:rsid w:val="00E5405C"/>
    <w:rsid w:val="00E735D2"/>
    <w:rsid w:val="00E739A2"/>
    <w:rsid w:val="00E9188C"/>
    <w:rsid w:val="00E93D57"/>
    <w:rsid w:val="00E93EAF"/>
    <w:rsid w:val="00E94444"/>
    <w:rsid w:val="00E97917"/>
    <w:rsid w:val="00EA0DEC"/>
    <w:rsid w:val="00EA1DB7"/>
    <w:rsid w:val="00EB024C"/>
    <w:rsid w:val="00EC02A0"/>
    <w:rsid w:val="00EC2FC3"/>
    <w:rsid w:val="00ED13CF"/>
    <w:rsid w:val="00ED5016"/>
    <w:rsid w:val="00EE5A2F"/>
    <w:rsid w:val="00EE6ACF"/>
    <w:rsid w:val="00EF3912"/>
    <w:rsid w:val="00EF6436"/>
    <w:rsid w:val="00EF7012"/>
    <w:rsid w:val="00F01784"/>
    <w:rsid w:val="00F0399C"/>
    <w:rsid w:val="00F063C5"/>
    <w:rsid w:val="00F06897"/>
    <w:rsid w:val="00F06FCD"/>
    <w:rsid w:val="00F12C3B"/>
    <w:rsid w:val="00F14668"/>
    <w:rsid w:val="00F17450"/>
    <w:rsid w:val="00F24D3D"/>
    <w:rsid w:val="00F25B38"/>
    <w:rsid w:val="00F30A4B"/>
    <w:rsid w:val="00F36F18"/>
    <w:rsid w:val="00F40EEF"/>
    <w:rsid w:val="00F468A3"/>
    <w:rsid w:val="00F50370"/>
    <w:rsid w:val="00F50831"/>
    <w:rsid w:val="00F57276"/>
    <w:rsid w:val="00F608E1"/>
    <w:rsid w:val="00F60BC2"/>
    <w:rsid w:val="00F747AB"/>
    <w:rsid w:val="00F800F5"/>
    <w:rsid w:val="00F96C40"/>
    <w:rsid w:val="00F9710E"/>
    <w:rsid w:val="00FA03F8"/>
    <w:rsid w:val="00FB0B37"/>
    <w:rsid w:val="00FB34AB"/>
    <w:rsid w:val="00FC1F78"/>
    <w:rsid w:val="00FC4A0A"/>
    <w:rsid w:val="00FC5594"/>
    <w:rsid w:val="00FC5701"/>
    <w:rsid w:val="00FC6CE7"/>
    <w:rsid w:val="00FD160E"/>
    <w:rsid w:val="00FD7E10"/>
    <w:rsid w:val="00FE5CD5"/>
    <w:rsid w:val="00FE5DFB"/>
    <w:rsid w:val="00FE7A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25326"/>
  <w15:chartTrackingRefBased/>
  <w15:docId w15:val="{D7A34B75-F427-4391-BD64-A19F5ECFD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362"/>
  </w:style>
  <w:style w:type="paragraph" w:styleId="Heading1">
    <w:name w:val="heading 1"/>
    <w:basedOn w:val="Normal"/>
    <w:next w:val="Normal"/>
    <w:link w:val="Heading1Char"/>
    <w:uiPriority w:val="9"/>
    <w:qFormat/>
    <w:rsid w:val="004C2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362"/>
    <w:rPr>
      <w:rFonts w:eastAsiaTheme="majorEastAsia" w:cstheme="majorBidi"/>
      <w:color w:val="272727" w:themeColor="text1" w:themeTint="D8"/>
    </w:rPr>
  </w:style>
  <w:style w:type="paragraph" w:styleId="Title">
    <w:name w:val="Title"/>
    <w:basedOn w:val="Normal"/>
    <w:next w:val="Normal"/>
    <w:link w:val="TitleChar"/>
    <w:uiPriority w:val="10"/>
    <w:qFormat/>
    <w:rsid w:val="004C2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362"/>
    <w:pPr>
      <w:spacing w:before="160"/>
      <w:jc w:val="center"/>
    </w:pPr>
    <w:rPr>
      <w:i/>
      <w:iCs/>
      <w:color w:val="404040" w:themeColor="text1" w:themeTint="BF"/>
    </w:rPr>
  </w:style>
  <w:style w:type="character" w:customStyle="1" w:styleId="QuoteChar">
    <w:name w:val="Quote Char"/>
    <w:basedOn w:val="DefaultParagraphFont"/>
    <w:link w:val="Quote"/>
    <w:uiPriority w:val="29"/>
    <w:rsid w:val="004C2362"/>
    <w:rPr>
      <w:i/>
      <w:iCs/>
      <w:color w:val="404040" w:themeColor="text1" w:themeTint="BF"/>
    </w:rPr>
  </w:style>
  <w:style w:type="paragraph" w:styleId="ListParagraph">
    <w:name w:val="List Paragraph"/>
    <w:basedOn w:val="Normal"/>
    <w:uiPriority w:val="34"/>
    <w:qFormat/>
    <w:rsid w:val="004C2362"/>
    <w:pPr>
      <w:ind w:left="720"/>
      <w:contextualSpacing/>
    </w:pPr>
  </w:style>
  <w:style w:type="character" w:styleId="IntenseEmphasis">
    <w:name w:val="Intense Emphasis"/>
    <w:basedOn w:val="DefaultParagraphFont"/>
    <w:uiPriority w:val="21"/>
    <w:qFormat/>
    <w:rsid w:val="004C2362"/>
    <w:rPr>
      <w:i/>
      <w:iCs/>
      <w:color w:val="0F4761" w:themeColor="accent1" w:themeShade="BF"/>
    </w:rPr>
  </w:style>
  <w:style w:type="paragraph" w:styleId="IntenseQuote">
    <w:name w:val="Intense Quote"/>
    <w:basedOn w:val="Normal"/>
    <w:next w:val="Normal"/>
    <w:link w:val="IntenseQuoteChar"/>
    <w:uiPriority w:val="30"/>
    <w:qFormat/>
    <w:rsid w:val="004C2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362"/>
    <w:rPr>
      <w:i/>
      <w:iCs/>
      <w:color w:val="0F4761" w:themeColor="accent1" w:themeShade="BF"/>
    </w:rPr>
  </w:style>
  <w:style w:type="character" w:styleId="IntenseReference">
    <w:name w:val="Intense Reference"/>
    <w:basedOn w:val="DefaultParagraphFont"/>
    <w:uiPriority w:val="32"/>
    <w:qFormat/>
    <w:rsid w:val="004C2362"/>
    <w:rPr>
      <w:b/>
      <w:bCs/>
      <w:smallCaps/>
      <w:color w:val="0F4761" w:themeColor="accent1" w:themeShade="BF"/>
      <w:spacing w:val="5"/>
    </w:rPr>
  </w:style>
  <w:style w:type="character" w:styleId="Hyperlink">
    <w:name w:val="Hyperlink"/>
    <w:basedOn w:val="DefaultParagraphFont"/>
    <w:uiPriority w:val="99"/>
    <w:unhideWhenUsed/>
    <w:rsid w:val="00FC4A0A"/>
    <w:rPr>
      <w:color w:val="467886" w:themeColor="hyperlink"/>
      <w:u w:val="single"/>
    </w:rPr>
  </w:style>
  <w:style w:type="character" w:styleId="UnresolvedMention">
    <w:name w:val="Unresolved Mention"/>
    <w:basedOn w:val="DefaultParagraphFont"/>
    <w:uiPriority w:val="99"/>
    <w:semiHidden/>
    <w:unhideWhenUsed/>
    <w:rsid w:val="00FC4A0A"/>
    <w:rPr>
      <w:color w:val="605E5C"/>
      <w:shd w:val="clear" w:color="auto" w:fill="E1DFDD"/>
    </w:rPr>
  </w:style>
  <w:style w:type="paragraph" w:styleId="NoSpacing">
    <w:name w:val="No Spacing"/>
    <w:uiPriority w:val="1"/>
    <w:qFormat/>
    <w:rsid w:val="00D17D2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49816">
      <w:bodyDiv w:val="1"/>
      <w:marLeft w:val="0"/>
      <w:marRight w:val="0"/>
      <w:marTop w:val="0"/>
      <w:marBottom w:val="0"/>
      <w:divBdr>
        <w:top w:val="none" w:sz="0" w:space="0" w:color="auto"/>
        <w:left w:val="none" w:sz="0" w:space="0" w:color="auto"/>
        <w:bottom w:val="none" w:sz="0" w:space="0" w:color="auto"/>
        <w:right w:val="none" w:sz="0" w:space="0" w:color="auto"/>
      </w:divBdr>
    </w:div>
    <w:div w:id="55931789">
      <w:bodyDiv w:val="1"/>
      <w:marLeft w:val="0"/>
      <w:marRight w:val="0"/>
      <w:marTop w:val="0"/>
      <w:marBottom w:val="0"/>
      <w:divBdr>
        <w:top w:val="none" w:sz="0" w:space="0" w:color="auto"/>
        <w:left w:val="none" w:sz="0" w:space="0" w:color="auto"/>
        <w:bottom w:val="none" w:sz="0" w:space="0" w:color="auto"/>
        <w:right w:val="none" w:sz="0" w:space="0" w:color="auto"/>
      </w:divBdr>
      <w:divsChild>
        <w:div w:id="932083010">
          <w:marLeft w:val="0"/>
          <w:marRight w:val="0"/>
          <w:marTop w:val="0"/>
          <w:marBottom w:val="120"/>
          <w:divBdr>
            <w:top w:val="none" w:sz="0" w:space="0" w:color="auto"/>
            <w:left w:val="none" w:sz="0" w:space="0" w:color="auto"/>
            <w:bottom w:val="none" w:sz="0" w:space="0" w:color="auto"/>
            <w:right w:val="none" w:sz="0" w:space="0" w:color="auto"/>
          </w:divBdr>
          <w:divsChild>
            <w:div w:id="142356625">
              <w:marLeft w:val="0"/>
              <w:marRight w:val="0"/>
              <w:marTop w:val="0"/>
              <w:marBottom w:val="0"/>
              <w:divBdr>
                <w:top w:val="none" w:sz="0" w:space="0" w:color="auto"/>
                <w:left w:val="none" w:sz="0" w:space="0" w:color="auto"/>
                <w:bottom w:val="none" w:sz="0" w:space="0" w:color="auto"/>
                <w:right w:val="none" w:sz="0" w:space="0" w:color="auto"/>
              </w:divBdr>
              <w:divsChild>
                <w:div w:id="508061500">
                  <w:marLeft w:val="0"/>
                  <w:marRight w:val="0"/>
                  <w:marTop w:val="0"/>
                  <w:marBottom w:val="0"/>
                  <w:divBdr>
                    <w:top w:val="none" w:sz="0" w:space="0" w:color="auto"/>
                    <w:left w:val="none" w:sz="0" w:space="0" w:color="auto"/>
                    <w:bottom w:val="none" w:sz="0" w:space="0" w:color="auto"/>
                    <w:right w:val="none" w:sz="0" w:space="0" w:color="auto"/>
                  </w:divBdr>
                  <w:divsChild>
                    <w:div w:id="3386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27728">
      <w:bodyDiv w:val="1"/>
      <w:marLeft w:val="0"/>
      <w:marRight w:val="0"/>
      <w:marTop w:val="0"/>
      <w:marBottom w:val="0"/>
      <w:divBdr>
        <w:top w:val="none" w:sz="0" w:space="0" w:color="auto"/>
        <w:left w:val="none" w:sz="0" w:space="0" w:color="auto"/>
        <w:bottom w:val="none" w:sz="0" w:space="0" w:color="auto"/>
        <w:right w:val="none" w:sz="0" w:space="0" w:color="auto"/>
      </w:divBdr>
      <w:divsChild>
        <w:div w:id="1636371127">
          <w:marLeft w:val="0"/>
          <w:marRight w:val="0"/>
          <w:marTop w:val="0"/>
          <w:marBottom w:val="0"/>
          <w:divBdr>
            <w:top w:val="none" w:sz="0" w:space="0" w:color="auto"/>
            <w:left w:val="none" w:sz="0" w:space="0" w:color="auto"/>
            <w:bottom w:val="none" w:sz="0" w:space="0" w:color="auto"/>
            <w:right w:val="none" w:sz="0" w:space="0" w:color="auto"/>
          </w:divBdr>
          <w:divsChild>
            <w:div w:id="1117748582">
              <w:marLeft w:val="0"/>
              <w:marRight w:val="0"/>
              <w:marTop w:val="0"/>
              <w:marBottom w:val="0"/>
              <w:divBdr>
                <w:top w:val="none" w:sz="0" w:space="0" w:color="auto"/>
                <w:left w:val="none" w:sz="0" w:space="0" w:color="auto"/>
                <w:bottom w:val="none" w:sz="0" w:space="0" w:color="auto"/>
                <w:right w:val="none" w:sz="0" w:space="0" w:color="auto"/>
              </w:divBdr>
              <w:divsChild>
                <w:div w:id="684523929">
                  <w:marLeft w:val="0"/>
                  <w:marRight w:val="0"/>
                  <w:marTop w:val="0"/>
                  <w:marBottom w:val="0"/>
                  <w:divBdr>
                    <w:top w:val="none" w:sz="0" w:space="0" w:color="auto"/>
                    <w:left w:val="none" w:sz="0" w:space="0" w:color="auto"/>
                    <w:bottom w:val="none" w:sz="0" w:space="0" w:color="auto"/>
                    <w:right w:val="none" w:sz="0" w:space="0" w:color="auto"/>
                  </w:divBdr>
                  <w:divsChild>
                    <w:div w:id="1612055968">
                      <w:marLeft w:val="0"/>
                      <w:marRight w:val="0"/>
                      <w:marTop w:val="0"/>
                      <w:marBottom w:val="0"/>
                      <w:divBdr>
                        <w:top w:val="none" w:sz="0" w:space="0" w:color="auto"/>
                        <w:left w:val="none" w:sz="0" w:space="0" w:color="auto"/>
                        <w:bottom w:val="none" w:sz="0" w:space="0" w:color="auto"/>
                        <w:right w:val="none" w:sz="0" w:space="0" w:color="auto"/>
                      </w:divBdr>
                      <w:divsChild>
                        <w:div w:id="1527478783">
                          <w:marLeft w:val="0"/>
                          <w:marRight w:val="0"/>
                          <w:marTop w:val="0"/>
                          <w:marBottom w:val="0"/>
                          <w:divBdr>
                            <w:top w:val="none" w:sz="0" w:space="0" w:color="auto"/>
                            <w:left w:val="none" w:sz="0" w:space="0" w:color="auto"/>
                            <w:bottom w:val="none" w:sz="0" w:space="0" w:color="auto"/>
                            <w:right w:val="none" w:sz="0" w:space="0" w:color="auto"/>
                          </w:divBdr>
                          <w:divsChild>
                            <w:div w:id="314069794">
                              <w:marLeft w:val="0"/>
                              <w:marRight w:val="0"/>
                              <w:marTop w:val="0"/>
                              <w:marBottom w:val="0"/>
                              <w:divBdr>
                                <w:top w:val="none" w:sz="0" w:space="0" w:color="auto"/>
                                <w:left w:val="none" w:sz="0" w:space="0" w:color="auto"/>
                                <w:bottom w:val="none" w:sz="0" w:space="0" w:color="auto"/>
                                <w:right w:val="none" w:sz="0" w:space="0" w:color="auto"/>
                              </w:divBdr>
                              <w:divsChild>
                                <w:div w:id="560991068">
                                  <w:marLeft w:val="0"/>
                                  <w:marRight w:val="0"/>
                                  <w:marTop w:val="0"/>
                                  <w:marBottom w:val="0"/>
                                  <w:divBdr>
                                    <w:top w:val="none" w:sz="0" w:space="0" w:color="auto"/>
                                    <w:left w:val="none" w:sz="0" w:space="0" w:color="auto"/>
                                    <w:bottom w:val="none" w:sz="0" w:space="0" w:color="auto"/>
                                    <w:right w:val="none" w:sz="0" w:space="0" w:color="auto"/>
                                  </w:divBdr>
                                  <w:divsChild>
                                    <w:div w:id="817696710">
                                      <w:marLeft w:val="0"/>
                                      <w:marRight w:val="0"/>
                                      <w:marTop w:val="0"/>
                                      <w:marBottom w:val="0"/>
                                      <w:divBdr>
                                        <w:top w:val="none" w:sz="0" w:space="0" w:color="auto"/>
                                        <w:left w:val="none" w:sz="0" w:space="0" w:color="auto"/>
                                        <w:bottom w:val="none" w:sz="0" w:space="0" w:color="auto"/>
                                        <w:right w:val="none" w:sz="0" w:space="0" w:color="auto"/>
                                      </w:divBdr>
                                      <w:divsChild>
                                        <w:div w:id="80277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815663">
                                  <w:marLeft w:val="0"/>
                                  <w:marRight w:val="0"/>
                                  <w:marTop w:val="0"/>
                                  <w:marBottom w:val="0"/>
                                  <w:divBdr>
                                    <w:top w:val="none" w:sz="0" w:space="0" w:color="auto"/>
                                    <w:left w:val="none" w:sz="0" w:space="0" w:color="auto"/>
                                    <w:bottom w:val="none" w:sz="0" w:space="0" w:color="auto"/>
                                    <w:right w:val="none" w:sz="0" w:space="0" w:color="auto"/>
                                  </w:divBdr>
                                  <w:divsChild>
                                    <w:div w:id="1772699955">
                                      <w:marLeft w:val="0"/>
                                      <w:marRight w:val="0"/>
                                      <w:marTop w:val="0"/>
                                      <w:marBottom w:val="0"/>
                                      <w:divBdr>
                                        <w:top w:val="none" w:sz="0" w:space="0" w:color="auto"/>
                                        <w:left w:val="none" w:sz="0" w:space="0" w:color="auto"/>
                                        <w:bottom w:val="none" w:sz="0" w:space="0" w:color="auto"/>
                                        <w:right w:val="none" w:sz="0" w:space="0" w:color="auto"/>
                                      </w:divBdr>
                                      <w:divsChild>
                                        <w:div w:id="22985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2911559">
                      <w:marLeft w:val="0"/>
                      <w:marRight w:val="0"/>
                      <w:marTop w:val="0"/>
                      <w:marBottom w:val="0"/>
                      <w:divBdr>
                        <w:top w:val="none" w:sz="0" w:space="0" w:color="auto"/>
                        <w:left w:val="none" w:sz="0" w:space="0" w:color="auto"/>
                        <w:bottom w:val="none" w:sz="0" w:space="0" w:color="auto"/>
                        <w:right w:val="none" w:sz="0" w:space="0" w:color="auto"/>
                      </w:divBdr>
                      <w:divsChild>
                        <w:div w:id="1797260320">
                          <w:marLeft w:val="0"/>
                          <w:marRight w:val="0"/>
                          <w:marTop w:val="0"/>
                          <w:marBottom w:val="0"/>
                          <w:divBdr>
                            <w:top w:val="none" w:sz="0" w:space="0" w:color="auto"/>
                            <w:left w:val="none" w:sz="0" w:space="0" w:color="auto"/>
                            <w:bottom w:val="none" w:sz="0" w:space="0" w:color="auto"/>
                            <w:right w:val="none" w:sz="0" w:space="0" w:color="auto"/>
                          </w:divBdr>
                          <w:divsChild>
                            <w:div w:id="1197618789">
                              <w:marLeft w:val="0"/>
                              <w:marRight w:val="0"/>
                              <w:marTop w:val="0"/>
                              <w:marBottom w:val="0"/>
                              <w:divBdr>
                                <w:top w:val="none" w:sz="0" w:space="0" w:color="auto"/>
                                <w:left w:val="none" w:sz="0" w:space="0" w:color="auto"/>
                                <w:bottom w:val="none" w:sz="0" w:space="0" w:color="auto"/>
                                <w:right w:val="none" w:sz="0" w:space="0" w:color="auto"/>
                              </w:divBdr>
                              <w:divsChild>
                                <w:div w:id="614094739">
                                  <w:marLeft w:val="0"/>
                                  <w:marRight w:val="0"/>
                                  <w:marTop w:val="0"/>
                                  <w:marBottom w:val="0"/>
                                  <w:divBdr>
                                    <w:top w:val="none" w:sz="0" w:space="0" w:color="auto"/>
                                    <w:left w:val="none" w:sz="0" w:space="0" w:color="auto"/>
                                    <w:bottom w:val="none" w:sz="0" w:space="0" w:color="auto"/>
                                    <w:right w:val="none" w:sz="0" w:space="0" w:color="auto"/>
                                  </w:divBdr>
                                  <w:divsChild>
                                    <w:div w:id="619413250">
                                      <w:marLeft w:val="0"/>
                                      <w:marRight w:val="0"/>
                                      <w:marTop w:val="0"/>
                                      <w:marBottom w:val="0"/>
                                      <w:divBdr>
                                        <w:top w:val="none" w:sz="0" w:space="0" w:color="auto"/>
                                        <w:left w:val="none" w:sz="0" w:space="0" w:color="auto"/>
                                        <w:bottom w:val="none" w:sz="0" w:space="0" w:color="auto"/>
                                        <w:right w:val="none" w:sz="0" w:space="0" w:color="auto"/>
                                      </w:divBdr>
                                      <w:divsChild>
                                        <w:div w:id="52128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353282">
                                  <w:marLeft w:val="0"/>
                                  <w:marRight w:val="0"/>
                                  <w:marTop w:val="0"/>
                                  <w:marBottom w:val="0"/>
                                  <w:divBdr>
                                    <w:top w:val="none" w:sz="0" w:space="0" w:color="auto"/>
                                    <w:left w:val="none" w:sz="0" w:space="0" w:color="auto"/>
                                    <w:bottom w:val="none" w:sz="0" w:space="0" w:color="auto"/>
                                    <w:right w:val="none" w:sz="0" w:space="0" w:color="auto"/>
                                  </w:divBdr>
                                  <w:divsChild>
                                    <w:div w:id="1450469258">
                                      <w:marLeft w:val="0"/>
                                      <w:marRight w:val="0"/>
                                      <w:marTop w:val="0"/>
                                      <w:marBottom w:val="0"/>
                                      <w:divBdr>
                                        <w:top w:val="none" w:sz="0" w:space="0" w:color="auto"/>
                                        <w:left w:val="none" w:sz="0" w:space="0" w:color="auto"/>
                                        <w:bottom w:val="none" w:sz="0" w:space="0" w:color="auto"/>
                                        <w:right w:val="none" w:sz="0" w:space="0" w:color="auto"/>
                                      </w:divBdr>
                                      <w:divsChild>
                                        <w:div w:id="197663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921395">
      <w:bodyDiv w:val="1"/>
      <w:marLeft w:val="0"/>
      <w:marRight w:val="0"/>
      <w:marTop w:val="0"/>
      <w:marBottom w:val="0"/>
      <w:divBdr>
        <w:top w:val="none" w:sz="0" w:space="0" w:color="auto"/>
        <w:left w:val="none" w:sz="0" w:space="0" w:color="auto"/>
        <w:bottom w:val="none" w:sz="0" w:space="0" w:color="auto"/>
        <w:right w:val="none" w:sz="0" w:space="0" w:color="auto"/>
      </w:divBdr>
    </w:div>
    <w:div w:id="150560709">
      <w:bodyDiv w:val="1"/>
      <w:marLeft w:val="0"/>
      <w:marRight w:val="0"/>
      <w:marTop w:val="0"/>
      <w:marBottom w:val="0"/>
      <w:divBdr>
        <w:top w:val="none" w:sz="0" w:space="0" w:color="auto"/>
        <w:left w:val="none" w:sz="0" w:space="0" w:color="auto"/>
        <w:bottom w:val="none" w:sz="0" w:space="0" w:color="auto"/>
        <w:right w:val="none" w:sz="0" w:space="0" w:color="auto"/>
      </w:divBdr>
      <w:divsChild>
        <w:div w:id="582374889">
          <w:marLeft w:val="0"/>
          <w:marRight w:val="0"/>
          <w:marTop w:val="0"/>
          <w:marBottom w:val="0"/>
          <w:divBdr>
            <w:top w:val="none" w:sz="0" w:space="0" w:color="auto"/>
            <w:left w:val="none" w:sz="0" w:space="0" w:color="auto"/>
            <w:bottom w:val="none" w:sz="0" w:space="0" w:color="auto"/>
            <w:right w:val="none" w:sz="0" w:space="0" w:color="auto"/>
          </w:divBdr>
        </w:div>
        <w:div w:id="1865753846">
          <w:marLeft w:val="0"/>
          <w:marRight w:val="0"/>
          <w:marTop w:val="0"/>
          <w:marBottom w:val="0"/>
          <w:divBdr>
            <w:top w:val="none" w:sz="0" w:space="0" w:color="auto"/>
            <w:left w:val="none" w:sz="0" w:space="0" w:color="auto"/>
            <w:bottom w:val="none" w:sz="0" w:space="0" w:color="auto"/>
            <w:right w:val="none" w:sz="0" w:space="0" w:color="auto"/>
          </w:divBdr>
        </w:div>
      </w:divsChild>
    </w:div>
    <w:div w:id="162087857">
      <w:bodyDiv w:val="1"/>
      <w:marLeft w:val="0"/>
      <w:marRight w:val="0"/>
      <w:marTop w:val="0"/>
      <w:marBottom w:val="0"/>
      <w:divBdr>
        <w:top w:val="none" w:sz="0" w:space="0" w:color="auto"/>
        <w:left w:val="none" w:sz="0" w:space="0" w:color="auto"/>
        <w:bottom w:val="none" w:sz="0" w:space="0" w:color="auto"/>
        <w:right w:val="none" w:sz="0" w:space="0" w:color="auto"/>
      </w:divBdr>
      <w:divsChild>
        <w:div w:id="2142067392">
          <w:marLeft w:val="0"/>
          <w:marRight w:val="0"/>
          <w:marTop w:val="0"/>
          <w:marBottom w:val="0"/>
          <w:divBdr>
            <w:top w:val="none" w:sz="0" w:space="0" w:color="auto"/>
            <w:left w:val="none" w:sz="0" w:space="0" w:color="auto"/>
            <w:bottom w:val="none" w:sz="0" w:space="0" w:color="auto"/>
            <w:right w:val="none" w:sz="0" w:space="0" w:color="auto"/>
          </w:divBdr>
          <w:divsChild>
            <w:div w:id="1489981122">
              <w:marLeft w:val="0"/>
              <w:marRight w:val="0"/>
              <w:marTop w:val="0"/>
              <w:marBottom w:val="0"/>
              <w:divBdr>
                <w:top w:val="none" w:sz="0" w:space="0" w:color="auto"/>
                <w:left w:val="none" w:sz="0" w:space="0" w:color="auto"/>
                <w:bottom w:val="none" w:sz="0" w:space="0" w:color="auto"/>
                <w:right w:val="none" w:sz="0" w:space="0" w:color="auto"/>
              </w:divBdr>
              <w:divsChild>
                <w:div w:id="190191069">
                  <w:marLeft w:val="0"/>
                  <w:marRight w:val="0"/>
                  <w:marTop w:val="0"/>
                  <w:marBottom w:val="0"/>
                  <w:divBdr>
                    <w:top w:val="none" w:sz="0" w:space="0" w:color="auto"/>
                    <w:left w:val="none" w:sz="0" w:space="0" w:color="auto"/>
                    <w:bottom w:val="none" w:sz="0" w:space="0" w:color="auto"/>
                    <w:right w:val="none" w:sz="0" w:space="0" w:color="auto"/>
                  </w:divBdr>
                  <w:divsChild>
                    <w:div w:id="636573676">
                      <w:marLeft w:val="0"/>
                      <w:marRight w:val="0"/>
                      <w:marTop w:val="0"/>
                      <w:marBottom w:val="0"/>
                      <w:divBdr>
                        <w:top w:val="none" w:sz="0" w:space="0" w:color="auto"/>
                        <w:left w:val="none" w:sz="0" w:space="0" w:color="auto"/>
                        <w:bottom w:val="none" w:sz="0" w:space="0" w:color="auto"/>
                        <w:right w:val="none" w:sz="0" w:space="0" w:color="auto"/>
                      </w:divBdr>
                      <w:divsChild>
                        <w:div w:id="524713260">
                          <w:marLeft w:val="0"/>
                          <w:marRight w:val="0"/>
                          <w:marTop w:val="0"/>
                          <w:marBottom w:val="0"/>
                          <w:divBdr>
                            <w:top w:val="none" w:sz="0" w:space="0" w:color="auto"/>
                            <w:left w:val="none" w:sz="0" w:space="0" w:color="auto"/>
                            <w:bottom w:val="none" w:sz="0" w:space="0" w:color="auto"/>
                            <w:right w:val="none" w:sz="0" w:space="0" w:color="auto"/>
                          </w:divBdr>
                          <w:divsChild>
                            <w:div w:id="139427262">
                              <w:marLeft w:val="0"/>
                              <w:marRight w:val="0"/>
                              <w:marTop w:val="0"/>
                              <w:marBottom w:val="0"/>
                              <w:divBdr>
                                <w:top w:val="none" w:sz="0" w:space="0" w:color="auto"/>
                                <w:left w:val="none" w:sz="0" w:space="0" w:color="auto"/>
                                <w:bottom w:val="none" w:sz="0" w:space="0" w:color="auto"/>
                                <w:right w:val="none" w:sz="0" w:space="0" w:color="auto"/>
                              </w:divBdr>
                              <w:divsChild>
                                <w:div w:id="2066756101">
                                  <w:marLeft w:val="0"/>
                                  <w:marRight w:val="0"/>
                                  <w:marTop w:val="0"/>
                                  <w:marBottom w:val="0"/>
                                  <w:divBdr>
                                    <w:top w:val="none" w:sz="0" w:space="0" w:color="auto"/>
                                    <w:left w:val="none" w:sz="0" w:space="0" w:color="auto"/>
                                    <w:bottom w:val="none" w:sz="0" w:space="0" w:color="auto"/>
                                    <w:right w:val="none" w:sz="0" w:space="0" w:color="auto"/>
                                  </w:divBdr>
                                  <w:divsChild>
                                    <w:div w:id="181837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1576642">
          <w:marLeft w:val="0"/>
          <w:marRight w:val="0"/>
          <w:marTop w:val="0"/>
          <w:marBottom w:val="0"/>
          <w:divBdr>
            <w:top w:val="none" w:sz="0" w:space="0" w:color="auto"/>
            <w:left w:val="none" w:sz="0" w:space="0" w:color="auto"/>
            <w:bottom w:val="none" w:sz="0" w:space="0" w:color="auto"/>
            <w:right w:val="none" w:sz="0" w:space="0" w:color="auto"/>
          </w:divBdr>
        </w:div>
        <w:div w:id="1083574967">
          <w:marLeft w:val="0"/>
          <w:marRight w:val="0"/>
          <w:marTop w:val="0"/>
          <w:marBottom w:val="0"/>
          <w:divBdr>
            <w:top w:val="none" w:sz="0" w:space="0" w:color="auto"/>
            <w:left w:val="none" w:sz="0" w:space="0" w:color="auto"/>
            <w:bottom w:val="none" w:sz="0" w:space="0" w:color="auto"/>
            <w:right w:val="none" w:sz="0" w:space="0" w:color="auto"/>
          </w:divBdr>
        </w:div>
      </w:divsChild>
    </w:div>
    <w:div w:id="182131782">
      <w:bodyDiv w:val="1"/>
      <w:marLeft w:val="0"/>
      <w:marRight w:val="0"/>
      <w:marTop w:val="0"/>
      <w:marBottom w:val="0"/>
      <w:divBdr>
        <w:top w:val="none" w:sz="0" w:space="0" w:color="auto"/>
        <w:left w:val="none" w:sz="0" w:space="0" w:color="auto"/>
        <w:bottom w:val="none" w:sz="0" w:space="0" w:color="auto"/>
        <w:right w:val="none" w:sz="0" w:space="0" w:color="auto"/>
      </w:divBdr>
    </w:div>
    <w:div w:id="194849301">
      <w:bodyDiv w:val="1"/>
      <w:marLeft w:val="0"/>
      <w:marRight w:val="0"/>
      <w:marTop w:val="0"/>
      <w:marBottom w:val="0"/>
      <w:divBdr>
        <w:top w:val="none" w:sz="0" w:space="0" w:color="auto"/>
        <w:left w:val="none" w:sz="0" w:space="0" w:color="auto"/>
        <w:bottom w:val="none" w:sz="0" w:space="0" w:color="auto"/>
        <w:right w:val="none" w:sz="0" w:space="0" w:color="auto"/>
      </w:divBdr>
    </w:div>
    <w:div w:id="206335502">
      <w:bodyDiv w:val="1"/>
      <w:marLeft w:val="0"/>
      <w:marRight w:val="0"/>
      <w:marTop w:val="0"/>
      <w:marBottom w:val="0"/>
      <w:divBdr>
        <w:top w:val="none" w:sz="0" w:space="0" w:color="auto"/>
        <w:left w:val="none" w:sz="0" w:space="0" w:color="auto"/>
        <w:bottom w:val="none" w:sz="0" w:space="0" w:color="auto"/>
        <w:right w:val="none" w:sz="0" w:space="0" w:color="auto"/>
      </w:divBdr>
      <w:divsChild>
        <w:div w:id="1108357966">
          <w:marLeft w:val="0"/>
          <w:marRight w:val="0"/>
          <w:marTop w:val="0"/>
          <w:marBottom w:val="0"/>
          <w:divBdr>
            <w:top w:val="none" w:sz="0" w:space="0" w:color="auto"/>
            <w:left w:val="none" w:sz="0" w:space="0" w:color="auto"/>
            <w:bottom w:val="none" w:sz="0" w:space="0" w:color="auto"/>
            <w:right w:val="none" w:sz="0" w:space="0" w:color="auto"/>
          </w:divBdr>
        </w:div>
        <w:div w:id="1487479263">
          <w:marLeft w:val="0"/>
          <w:marRight w:val="0"/>
          <w:marTop w:val="0"/>
          <w:marBottom w:val="0"/>
          <w:divBdr>
            <w:top w:val="none" w:sz="0" w:space="0" w:color="auto"/>
            <w:left w:val="none" w:sz="0" w:space="0" w:color="auto"/>
            <w:bottom w:val="none" w:sz="0" w:space="0" w:color="auto"/>
            <w:right w:val="none" w:sz="0" w:space="0" w:color="auto"/>
          </w:divBdr>
        </w:div>
      </w:divsChild>
    </w:div>
    <w:div w:id="291594433">
      <w:bodyDiv w:val="1"/>
      <w:marLeft w:val="0"/>
      <w:marRight w:val="0"/>
      <w:marTop w:val="0"/>
      <w:marBottom w:val="0"/>
      <w:divBdr>
        <w:top w:val="none" w:sz="0" w:space="0" w:color="auto"/>
        <w:left w:val="none" w:sz="0" w:space="0" w:color="auto"/>
        <w:bottom w:val="none" w:sz="0" w:space="0" w:color="auto"/>
        <w:right w:val="none" w:sz="0" w:space="0" w:color="auto"/>
      </w:divBdr>
    </w:div>
    <w:div w:id="295256752">
      <w:bodyDiv w:val="1"/>
      <w:marLeft w:val="0"/>
      <w:marRight w:val="0"/>
      <w:marTop w:val="0"/>
      <w:marBottom w:val="0"/>
      <w:divBdr>
        <w:top w:val="none" w:sz="0" w:space="0" w:color="auto"/>
        <w:left w:val="none" w:sz="0" w:space="0" w:color="auto"/>
        <w:bottom w:val="none" w:sz="0" w:space="0" w:color="auto"/>
        <w:right w:val="none" w:sz="0" w:space="0" w:color="auto"/>
      </w:divBdr>
      <w:divsChild>
        <w:div w:id="165754272">
          <w:marLeft w:val="0"/>
          <w:marRight w:val="0"/>
          <w:marTop w:val="0"/>
          <w:marBottom w:val="0"/>
          <w:divBdr>
            <w:top w:val="none" w:sz="0" w:space="0" w:color="auto"/>
            <w:left w:val="none" w:sz="0" w:space="0" w:color="auto"/>
            <w:bottom w:val="none" w:sz="0" w:space="0" w:color="auto"/>
            <w:right w:val="none" w:sz="0" w:space="0" w:color="auto"/>
          </w:divBdr>
          <w:divsChild>
            <w:div w:id="857237992">
              <w:marLeft w:val="0"/>
              <w:marRight w:val="0"/>
              <w:marTop w:val="0"/>
              <w:marBottom w:val="0"/>
              <w:divBdr>
                <w:top w:val="none" w:sz="0" w:space="0" w:color="auto"/>
                <w:left w:val="none" w:sz="0" w:space="0" w:color="auto"/>
                <w:bottom w:val="none" w:sz="0" w:space="0" w:color="auto"/>
                <w:right w:val="none" w:sz="0" w:space="0" w:color="auto"/>
              </w:divBdr>
              <w:divsChild>
                <w:div w:id="746028906">
                  <w:marLeft w:val="0"/>
                  <w:marRight w:val="0"/>
                  <w:marTop w:val="0"/>
                  <w:marBottom w:val="0"/>
                  <w:divBdr>
                    <w:top w:val="none" w:sz="0" w:space="0" w:color="auto"/>
                    <w:left w:val="none" w:sz="0" w:space="0" w:color="auto"/>
                    <w:bottom w:val="none" w:sz="0" w:space="0" w:color="auto"/>
                    <w:right w:val="none" w:sz="0" w:space="0" w:color="auto"/>
                  </w:divBdr>
                  <w:divsChild>
                    <w:div w:id="551423612">
                      <w:marLeft w:val="0"/>
                      <w:marRight w:val="0"/>
                      <w:marTop w:val="0"/>
                      <w:marBottom w:val="0"/>
                      <w:divBdr>
                        <w:top w:val="none" w:sz="0" w:space="0" w:color="auto"/>
                        <w:left w:val="none" w:sz="0" w:space="0" w:color="auto"/>
                        <w:bottom w:val="none" w:sz="0" w:space="0" w:color="auto"/>
                        <w:right w:val="none" w:sz="0" w:space="0" w:color="auto"/>
                      </w:divBdr>
                      <w:divsChild>
                        <w:div w:id="2036419386">
                          <w:marLeft w:val="0"/>
                          <w:marRight w:val="0"/>
                          <w:marTop w:val="0"/>
                          <w:marBottom w:val="0"/>
                          <w:divBdr>
                            <w:top w:val="none" w:sz="0" w:space="0" w:color="auto"/>
                            <w:left w:val="none" w:sz="0" w:space="0" w:color="auto"/>
                            <w:bottom w:val="none" w:sz="0" w:space="0" w:color="auto"/>
                            <w:right w:val="none" w:sz="0" w:space="0" w:color="auto"/>
                          </w:divBdr>
                          <w:divsChild>
                            <w:div w:id="200871913">
                              <w:marLeft w:val="0"/>
                              <w:marRight w:val="0"/>
                              <w:marTop w:val="0"/>
                              <w:marBottom w:val="0"/>
                              <w:divBdr>
                                <w:top w:val="none" w:sz="0" w:space="0" w:color="auto"/>
                                <w:left w:val="none" w:sz="0" w:space="0" w:color="auto"/>
                                <w:bottom w:val="none" w:sz="0" w:space="0" w:color="auto"/>
                                <w:right w:val="none" w:sz="0" w:space="0" w:color="auto"/>
                              </w:divBdr>
                              <w:divsChild>
                                <w:div w:id="1011104425">
                                  <w:marLeft w:val="0"/>
                                  <w:marRight w:val="0"/>
                                  <w:marTop w:val="0"/>
                                  <w:marBottom w:val="0"/>
                                  <w:divBdr>
                                    <w:top w:val="none" w:sz="0" w:space="0" w:color="auto"/>
                                    <w:left w:val="none" w:sz="0" w:space="0" w:color="auto"/>
                                    <w:bottom w:val="none" w:sz="0" w:space="0" w:color="auto"/>
                                    <w:right w:val="none" w:sz="0" w:space="0" w:color="auto"/>
                                  </w:divBdr>
                                  <w:divsChild>
                                    <w:div w:id="18824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4281749">
          <w:marLeft w:val="0"/>
          <w:marRight w:val="0"/>
          <w:marTop w:val="0"/>
          <w:marBottom w:val="0"/>
          <w:divBdr>
            <w:top w:val="none" w:sz="0" w:space="0" w:color="auto"/>
            <w:left w:val="none" w:sz="0" w:space="0" w:color="auto"/>
            <w:bottom w:val="none" w:sz="0" w:space="0" w:color="auto"/>
            <w:right w:val="none" w:sz="0" w:space="0" w:color="auto"/>
          </w:divBdr>
        </w:div>
        <w:div w:id="1132097881">
          <w:marLeft w:val="0"/>
          <w:marRight w:val="0"/>
          <w:marTop w:val="0"/>
          <w:marBottom w:val="0"/>
          <w:divBdr>
            <w:top w:val="none" w:sz="0" w:space="0" w:color="auto"/>
            <w:left w:val="none" w:sz="0" w:space="0" w:color="auto"/>
            <w:bottom w:val="none" w:sz="0" w:space="0" w:color="auto"/>
            <w:right w:val="none" w:sz="0" w:space="0" w:color="auto"/>
          </w:divBdr>
        </w:div>
      </w:divsChild>
    </w:div>
    <w:div w:id="313461079">
      <w:bodyDiv w:val="1"/>
      <w:marLeft w:val="0"/>
      <w:marRight w:val="0"/>
      <w:marTop w:val="0"/>
      <w:marBottom w:val="0"/>
      <w:divBdr>
        <w:top w:val="none" w:sz="0" w:space="0" w:color="auto"/>
        <w:left w:val="none" w:sz="0" w:space="0" w:color="auto"/>
        <w:bottom w:val="none" w:sz="0" w:space="0" w:color="auto"/>
        <w:right w:val="none" w:sz="0" w:space="0" w:color="auto"/>
      </w:divBdr>
    </w:div>
    <w:div w:id="320426740">
      <w:bodyDiv w:val="1"/>
      <w:marLeft w:val="0"/>
      <w:marRight w:val="0"/>
      <w:marTop w:val="0"/>
      <w:marBottom w:val="0"/>
      <w:divBdr>
        <w:top w:val="none" w:sz="0" w:space="0" w:color="auto"/>
        <w:left w:val="none" w:sz="0" w:space="0" w:color="auto"/>
        <w:bottom w:val="none" w:sz="0" w:space="0" w:color="auto"/>
        <w:right w:val="none" w:sz="0" w:space="0" w:color="auto"/>
      </w:divBdr>
    </w:div>
    <w:div w:id="342710814">
      <w:bodyDiv w:val="1"/>
      <w:marLeft w:val="0"/>
      <w:marRight w:val="0"/>
      <w:marTop w:val="0"/>
      <w:marBottom w:val="0"/>
      <w:divBdr>
        <w:top w:val="none" w:sz="0" w:space="0" w:color="auto"/>
        <w:left w:val="none" w:sz="0" w:space="0" w:color="auto"/>
        <w:bottom w:val="none" w:sz="0" w:space="0" w:color="auto"/>
        <w:right w:val="none" w:sz="0" w:space="0" w:color="auto"/>
      </w:divBdr>
      <w:divsChild>
        <w:div w:id="1568490045">
          <w:marLeft w:val="0"/>
          <w:marRight w:val="0"/>
          <w:marTop w:val="0"/>
          <w:marBottom w:val="0"/>
          <w:divBdr>
            <w:top w:val="none" w:sz="0" w:space="0" w:color="auto"/>
            <w:left w:val="none" w:sz="0" w:space="0" w:color="auto"/>
            <w:bottom w:val="none" w:sz="0" w:space="0" w:color="auto"/>
            <w:right w:val="none" w:sz="0" w:space="0" w:color="auto"/>
          </w:divBdr>
        </w:div>
        <w:div w:id="1118180137">
          <w:marLeft w:val="0"/>
          <w:marRight w:val="0"/>
          <w:marTop w:val="0"/>
          <w:marBottom w:val="0"/>
          <w:divBdr>
            <w:top w:val="none" w:sz="0" w:space="0" w:color="auto"/>
            <w:left w:val="none" w:sz="0" w:space="0" w:color="auto"/>
            <w:bottom w:val="none" w:sz="0" w:space="0" w:color="auto"/>
            <w:right w:val="none" w:sz="0" w:space="0" w:color="auto"/>
          </w:divBdr>
        </w:div>
      </w:divsChild>
    </w:div>
    <w:div w:id="353583076">
      <w:bodyDiv w:val="1"/>
      <w:marLeft w:val="0"/>
      <w:marRight w:val="0"/>
      <w:marTop w:val="0"/>
      <w:marBottom w:val="0"/>
      <w:divBdr>
        <w:top w:val="none" w:sz="0" w:space="0" w:color="auto"/>
        <w:left w:val="none" w:sz="0" w:space="0" w:color="auto"/>
        <w:bottom w:val="none" w:sz="0" w:space="0" w:color="auto"/>
        <w:right w:val="none" w:sz="0" w:space="0" w:color="auto"/>
      </w:divBdr>
      <w:divsChild>
        <w:div w:id="99839358">
          <w:marLeft w:val="360"/>
          <w:marRight w:val="0"/>
          <w:marTop w:val="200"/>
          <w:marBottom w:val="160"/>
          <w:divBdr>
            <w:top w:val="none" w:sz="0" w:space="0" w:color="auto"/>
            <w:left w:val="none" w:sz="0" w:space="0" w:color="auto"/>
            <w:bottom w:val="none" w:sz="0" w:space="0" w:color="auto"/>
            <w:right w:val="none" w:sz="0" w:space="0" w:color="auto"/>
          </w:divBdr>
        </w:div>
      </w:divsChild>
    </w:div>
    <w:div w:id="398097361">
      <w:bodyDiv w:val="1"/>
      <w:marLeft w:val="0"/>
      <w:marRight w:val="0"/>
      <w:marTop w:val="0"/>
      <w:marBottom w:val="0"/>
      <w:divBdr>
        <w:top w:val="none" w:sz="0" w:space="0" w:color="auto"/>
        <w:left w:val="none" w:sz="0" w:space="0" w:color="auto"/>
        <w:bottom w:val="none" w:sz="0" w:space="0" w:color="auto"/>
        <w:right w:val="none" w:sz="0" w:space="0" w:color="auto"/>
      </w:divBdr>
      <w:divsChild>
        <w:div w:id="1199471994">
          <w:marLeft w:val="0"/>
          <w:marRight w:val="0"/>
          <w:marTop w:val="0"/>
          <w:marBottom w:val="0"/>
          <w:divBdr>
            <w:top w:val="none" w:sz="0" w:space="0" w:color="auto"/>
            <w:left w:val="none" w:sz="0" w:space="0" w:color="auto"/>
            <w:bottom w:val="none" w:sz="0" w:space="0" w:color="auto"/>
            <w:right w:val="none" w:sz="0" w:space="0" w:color="auto"/>
          </w:divBdr>
        </w:div>
        <w:div w:id="1858932057">
          <w:marLeft w:val="0"/>
          <w:marRight w:val="0"/>
          <w:marTop w:val="0"/>
          <w:marBottom w:val="0"/>
          <w:divBdr>
            <w:top w:val="none" w:sz="0" w:space="0" w:color="auto"/>
            <w:left w:val="none" w:sz="0" w:space="0" w:color="auto"/>
            <w:bottom w:val="none" w:sz="0" w:space="0" w:color="auto"/>
            <w:right w:val="none" w:sz="0" w:space="0" w:color="auto"/>
          </w:divBdr>
        </w:div>
      </w:divsChild>
    </w:div>
    <w:div w:id="407388755">
      <w:bodyDiv w:val="1"/>
      <w:marLeft w:val="0"/>
      <w:marRight w:val="0"/>
      <w:marTop w:val="0"/>
      <w:marBottom w:val="0"/>
      <w:divBdr>
        <w:top w:val="none" w:sz="0" w:space="0" w:color="auto"/>
        <w:left w:val="none" w:sz="0" w:space="0" w:color="auto"/>
        <w:bottom w:val="none" w:sz="0" w:space="0" w:color="auto"/>
        <w:right w:val="none" w:sz="0" w:space="0" w:color="auto"/>
      </w:divBdr>
      <w:divsChild>
        <w:div w:id="1952931117">
          <w:marLeft w:val="0"/>
          <w:marRight w:val="0"/>
          <w:marTop w:val="0"/>
          <w:marBottom w:val="0"/>
          <w:divBdr>
            <w:top w:val="none" w:sz="0" w:space="0" w:color="auto"/>
            <w:left w:val="none" w:sz="0" w:space="0" w:color="auto"/>
            <w:bottom w:val="none" w:sz="0" w:space="0" w:color="auto"/>
            <w:right w:val="none" w:sz="0" w:space="0" w:color="auto"/>
          </w:divBdr>
          <w:divsChild>
            <w:div w:id="2055421462">
              <w:marLeft w:val="0"/>
              <w:marRight w:val="0"/>
              <w:marTop w:val="0"/>
              <w:marBottom w:val="0"/>
              <w:divBdr>
                <w:top w:val="none" w:sz="0" w:space="0" w:color="auto"/>
                <w:left w:val="none" w:sz="0" w:space="0" w:color="auto"/>
                <w:bottom w:val="none" w:sz="0" w:space="0" w:color="auto"/>
                <w:right w:val="none" w:sz="0" w:space="0" w:color="auto"/>
              </w:divBdr>
              <w:divsChild>
                <w:div w:id="1135492287">
                  <w:marLeft w:val="0"/>
                  <w:marRight w:val="0"/>
                  <w:marTop w:val="0"/>
                  <w:marBottom w:val="0"/>
                  <w:divBdr>
                    <w:top w:val="none" w:sz="0" w:space="0" w:color="auto"/>
                    <w:left w:val="none" w:sz="0" w:space="0" w:color="auto"/>
                    <w:bottom w:val="none" w:sz="0" w:space="0" w:color="auto"/>
                    <w:right w:val="none" w:sz="0" w:space="0" w:color="auto"/>
                  </w:divBdr>
                  <w:divsChild>
                    <w:div w:id="1817645339">
                      <w:marLeft w:val="0"/>
                      <w:marRight w:val="0"/>
                      <w:marTop w:val="0"/>
                      <w:marBottom w:val="0"/>
                      <w:divBdr>
                        <w:top w:val="none" w:sz="0" w:space="0" w:color="auto"/>
                        <w:left w:val="none" w:sz="0" w:space="0" w:color="auto"/>
                        <w:bottom w:val="none" w:sz="0" w:space="0" w:color="auto"/>
                        <w:right w:val="none" w:sz="0" w:space="0" w:color="auto"/>
                      </w:divBdr>
                      <w:divsChild>
                        <w:div w:id="1438207765">
                          <w:marLeft w:val="0"/>
                          <w:marRight w:val="0"/>
                          <w:marTop w:val="0"/>
                          <w:marBottom w:val="0"/>
                          <w:divBdr>
                            <w:top w:val="none" w:sz="0" w:space="0" w:color="auto"/>
                            <w:left w:val="none" w:sz="0" w:space="0" w:color="auto"/>
                            <w:bottom w:val="none" w:sz="0" w:space="0" w:color="auto"/>
                            <w:right w:val="none" w:sz="0" w:space="0" w:color="auto"/>
                          </w:divBdr>
                          <w:divsChild>
                            <w:div w:id="239870917">
                              <w:marLeft w:val="0"/>
                              <w:marRight w:val="0"/>
                              <w:marTop w:val="0"/>
                              <w:marBottom w:val="0"/>
                              <w:divBdr>
                                <w:top w:val="none" w:sz="0" w:space="0" w:color="auto"/>
                                <w:left w:val="none" w:sz="0" w:space="0" w:color="auto"/>
                                <w:bottom w:val="none" w:sz="0" w:space="0" w:color="auto"/>
                                <w:right w:val="none" w:sz="0" w:space="0" w:color="auto"/>
                              </w:divBdr>
                              <w:divsChild>
                                <w:div w:id="1454591265">
                                  <w:marLeft w:val="0"/>
                                  <w:marRight w:val="0"/>
                                  <w:marTop w:val="0"/>
                                  <w:marBottom w:val="0"/>
                                  <w:divBdr>
                                    <w:top w:val="none" w:sz="0" w:space="0" w:color="auto"/>
                                    <w:left w:val="none" w:sz="0" w:space="0" w:color="auto"/>
                                    <w:bottom w:val="none" w:sz="0" w:space="0" w:color="auto"/>
                                    <w:right w:val="none" w:sz="0" w:space="0" w:color="auto"/>
                                  </w:divBdr>
                                  <w:divsChild>
                                    <w:div w:id="1791388235">
                                      <w:marLeft w:val="0"/>
                                      <w:marRight w:val="0"/>
                                      <w:marTop w:val="0"/>
                                      <w:marBottom w:val="0"/>
                                      <w:divBdr>
                                        <w:top w:val="none" w:sz="0" w:space="0" w:color="auto"/>
                                        <w:left w:val="none" w:sz="0" w:space="0" w:color="auto"/>
                                        <w:bottom w:val="none" w:sz="0" w:space="0" w:color="auto"/>
                                        <w:right w:val="none" w:sz="0" w:space="0" w:color="auto"/>
                                      </w:divBdr>
                                      <w:divsChild>
                                        <w:div w:id="193593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664299">
                                  <w:marLeft w:val="0"/>
                                  <w:marRight w:val="0"/>
                                  <w:marTop w:val="0"/>
                                  <w:marBottom w:val="0"/>
                                  <w:divBdr>
                                    <w:top w:val="none" w:sz="0" w:space="0" w:color="auto"/>
                                    <w:left w:val="none" w:sz="0" w:space="0" w:color="auto"/>
                                    <w:bottom w:val="none" w:sz="0" w:space="0" w:color="auto"/>
                                    <w:right w:val="none" w:sz="0" w:space="0" w:color="auto"/>
                                  </w:divBdr>
                                  <w:divsChild>
                                    <w:div w:id="132959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061250">
      <w:bodyDiv w:val="1"/>
      <w:marLeft w:val="0"/>
      <w:marRight w:val="0"/>
      <w:marTop w:val="0"/>
      <w:marBottom w:val="0"/>
      <w:divBdr>
        <w:top w:val="none" w:sz="0" w:space="0" w:color="auto"/>
        <w:left w:val="none" w:sz="0" w:space="0" w:color="auto"/>
        <w:bottom w:val="none" w:sz="0" w:space="0" w:color="auto"/>
        <w:right w:val="none" w:sz="0" w:space="0" w:color="auto"/>
      </w:divBdr>
    </w:div>
    <w:div w:id="437142228">
      <w:bodyDiv w:val="1"/>
      <w:marLeft w:val="0"/>
      <w:marRight w:val="0"/>
      <w:marTop w:val="0"/>
      <w:marBottom w:val="0"/>
      <w:divBdr>
        <w:top w:val="none" w:sz="0" w:space="0" w:color="auto"/>
        <w:left w:val="none" w:sz="0" w:space="0" w:color="auto"/>
        <w:bottom w:val="none" w:sz="0" w:space="0" w:color="auto"/>
        <w:right w:val="none" w:sz="0" w:space="0" w:color="auto"/>
      </w:divBdr>
    </w:div>
    <w:div w:id="501775352">
      <w:bodyDiv w:val="1"/>
      <w:marLeft w:val="0"/>
      <w:marRight w:val="0"/>
      <w:marTop w:val="0"/>
      <w:marBottom w:val="0"/>
      <w:divBdr>
        <w:top w:val="none" w:sz="0" w:space="0" w:color="auto"/>
        <w:left w:val="none" w:sz="0" w:space="0" w:color="auto"/>
        <w:bottom w:val="none" w:sz="0" w:space="0" w:color="auto"/>
        <w:right w:val="none" w:sz="0" w:space="0" w:color="auto"/>
      </w:divBdr>
      <w:divsChild>
        <w:div w:id="1809275769">
          <w:marLeft w:val="0"/>
          <w:marRight w:val="0"/>
          <w:marTop w:val="0"/>
          <w:marBottom w:val="0"/>
          <w:divBdr>
            <w:top w:val="none" w:sz="0" w:space="0" w:color="auto"/>
            <w:left w:val="none" w:sz="0" w:space="0" w:color="auto"/>
            <w:bottom w:val="none" w:sz="0" w:space="0" w:color="auto"/>
            <w:right w:val="none" w:sz="0" w:space="0" w:color="auto"/>
          </w:divBdr>
        </w:div>
        <w:div w:id="1399278458">
          <w:marLeft w:val="0"/>
          <w:marRight w:val="0"/>
          <w:marTop w:val="0"/>
          <w:marBottom w:val="0"/>
          <w:divBdr>
            <w:top w:val="none" w:sz="0" w:space="0" w:color="auto"/>
            <w:left w:val="none" w:sz="0" w:space="0" w:color="auto"/>
            <w:bottom w:val="none" w:sz="0" w:space="0" w:color="auto"/>
            <w:right w:val="none" w:sz="0" w:space="0" w:color="auto"/>
          </w:divBdr>
        </w:div>
      </w:divsChild>
    </w:div>
    <w:div w:id="523135455">
      <w:bodyDiv w:val="1"/>
      <w:marLeft w:val="0"/>
      <w:marRight w:val="0"/>
      <w:marTop w:val="0"/>
      <w:marBottom w:val="0"/>
      <w:divBdr>
        <w:top w:val="none" w:sz="0" w:space="0" w:color="auto"/>
        <w:left w:val="none" w:sz="0" w:space="0" w:color="auto"/>
        <w:bottom w:val="none" w:sz="0" w:space="0" w:color="auto"/>
        <w:right w:val="none" w:sz="0" w:space="0" w:color="auto"/>
      </w:divBdr>
      <w:divsChild>
        <w:div w:id="723531667">
          <w:marLeft w:val="0"/>
          <w:marRight w:val="0"/>
          <w:marTop w:val="0"/>
          <w:marBottom w:val="0"/>
          <w:divBdr>
            <w:top w:val="none" w:sz="0" w:space="0" w:color="auto"/>
            <w:left w:val="none" w:sz="0" w:space="0" w:color="auto"/>
            <w:bottom w:val="none" w:sz="0" w:space="0" w:color="auto"/>
            <w:right w:val="none" w:sz="0" w:space="0" w:color="auto"/>
          </w:divBdr>
          <w:divsChild>
            <w:div w:id="1937322112">
              <w:marLeft w:val="0"/>
              <w:marRight w:val="0"/>
              <w:marTop w:val="0"/>
              <w:marBottom w:val="0"/>
              <w:divBdr>
                <w:top w:val="none" w:sz="0" w:space="0" w:color="auto"/>
                <w:left w:val="none" w:sz="0" w:space="0" w:color="auto"/>
                <w:bottom w:val="none" w:sz="0" w:space="0" w:color="auto"/>
                <w:right w:val="none" w:sz="0" w:space="0" w:color="auto"/>
              </w:divBdr>
              <w:divsChild>
                <w:div w:id="854732523">
                  <w:marLeft w:val="0"/>
                  <w:marRight w:val="0"/>
                  <w:marTop w:val="0"/>
                  <w:marBottom w:val="0"/>
                  <w:divBdr>
                    <w:top w:val="none" w:sz="0" w:space="0" w:color="auto"/>
                    <w:left w:val="none" w:sz="0" w:space="0" w:color="auto"/>
                    <w:bottom w:val="none" w:sz="0" w:space="0" w:color="auto"/>
                    <w:right w:val="none" w:sz="0" w:space="0" w:color="auto"/>
                  </w:divBdr>
                  <w:divsChild>
                    <w:div w:id="210653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57070">
          <w:marLeft w:val="0"/>
          <w:marRight w:val="0"/>
          <w:marTop w:val="0"/>
          <w:marBottom w:val="0"/>
          <w:divBdr>
            <w:top w:val="none" w:sz="0" w:space="0" w:color="auto"/>
            <w:left w:val="none" w:sz="0" w:space="0" w:color="auto"/>
            <w:bottom w:val="none" w:sz="0" w:space="0" w:color="auto"/>
            <w:right w:val="none" w:sz="0" w:space="0" w:color="auto"/>
          </w:divBdr>
          <w:divsChild>
            <w:div w:id="152182206">
              <w:marLeft w:val="0"/>
              <w:marRight w:val="0"/>
              <w:marTop w:val="0"/>
              <w:marBottom w:val="0"/>
              <w:divBdr>
                <w:top w:val="none" w:sz="0" w:space="0" w:color="auto"/>
                <w:left w:val="none" w:sz="0" w:space="0" w:color="auto"/>
                <w:bottom w:val="none" w:sz="0" w:space="0" w:color="auto"/>
                <w:right w:val="none" w:sz="0" w:space="0" w:color="auto"/>
              </w:divBdr>
            </w:div>
            <w:div w:id="55509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49594">
      <w:bodyDiv w:val="1"/>
      <w:marLeft w:val="0"/>
      <w:marRight w:val="0"/>
      <w:marTop w:val="0"/>
      <w:marBottom w:val="0"/>
      <w:divBdr>
        <w:top w:val="none" w:sz="0" w:space="0" w:color="auto"/>
        <w:left w:val="none" w:sz="0" w:space="0" w:color="auto"/>
        <w:bottom w:val="none" w:sz="0" w:space="0" w:color="auto"/>
        <w:right w:val="none" w:sz="0" w:space="0" w:color="auto"/>
      </w:divBdr>
      <w:divsChild>
        <w:div w:id="681979084">
          <w:marLeft w:val="0"/>
          <w:marRight w:val="0"/>
          <w:marTop w:val="0"/>
          <w:marBottom w:val="120"/>
          <w:divBdr>
            <w:top w:val="none" w:sz="0" w:space="0" w:color="auto"/>
            <w:left w:val="none" w:sz="0" w:space="0" w:color="auto"/>
            <w:bottom w:val="none" w:sz="0" w:space="0" w:color="auto"/>
            <w:right w:val="none" w:sz="0" w:space="0" w:color="auto"/>
          </w:divBdr>
        </w:div>
      </w:divsChild>
    </w:div>
    <w:div w:id="579027297">
      <w:bodyDiv w:val="1"/>
      <w:marLeft w:val="0"/>
      <w:marRight w:val="0"/>
      <w:marTop w:val="0"/>
      <w:marBottom w:val="0"/>
      <w:divBdr>
        <w:top w:val="none" w:sz="0" w:space="0" w:color="auto"/>
        <w:left w:val="none" w:sz="0" w:space="0" w:color="auto"/>
        <w:bottom w:val="none" w:sz="0" w:space="0" w:color="auto"/>
        <w:right w:val="none" w:sz="0" w:space="0" w:color="auto"/>
      </w:divBdr>
    </w:div>
    <w:div w:id="598291081">
      <w:bodyDiv w:val="1"/>
      <w:marLeft w:val="0"/>
      <w:marRight w:val="0"/>
      <w:marTop w:val="0"/>
      <w:marBottom w:val="0"/>
      <w:divBdr>
        <w:top w:val="none" w:sz="0" w:space="0" w:color="auto"/>
        <w:left w:val="none" w:sz="0" w:space="0" w:color="auto"/>
        <w:bottom w:val="none" w:sz="0" w:space="0" w:color="auto"/>
        <w:right w:val="none" w:sz="0" w:space="0" w:color="auto"/>
      </w:divBdr>
      <w:divsChild>
        <w:div w:id="1202284845">
          <w:marLeft w:val="0"/>
          <w:marRight w:val="0"/>
          <w:marTop w:val="0"/>
          <w:marBottom w:val="0"/>
          <w:divBdr>
            <w:top w:val="none" w:sz="0" w:space="0" w:color="auto"/>
            <w:left w:val="none" w:sz="0" w:space="0" w:color="auto"/>
            <w:bottom w:val="none" w:sz="0" w:space="0" w:color="auto"/>
            <w:right w:val="none" w:sz="0" w:space="0" w:color="auto"/>
          </w:divBdr>
          <w:divsChild>
            <w:div w:id="1687101641">
              <w:marLeft w:val="0"/>
              <w:marRight w:val="0"/>
              <w:marTop w:val="0"/>
              <w:marBottom w:val="0"/>
              <w:divBdr>
                <w:top w:val="none" w:sz="0" w:space="0" w:color="auto"/>
                <w:left w:val="none" w:sz="0" w:space="0" w:color="auto"/>
                <w:bottom w:val="none" w:sz="0" w:space="0" w:color="auto"/>
                <w:right w:val="none" w:sz="0" w:space="0" w:color="auto"/>
              </w:divBdr>
              <w:divsChild>
                <w:div w:id="1784492095">
                  <w:marLeft w:val="0"/>
                  <w:marRight w:val="0"/>
                  <w:marTop w:val="0"/>
                  <w:marBottom w:val="0"/>
                  <w:divBdr>
                    <w:top w:val="none" w:sz="0" w:space="0" w:color="auto"/>
                    <w:left w:val="none" w:sz="0" w:space="0" w:color="auto"/>
                    <w:bottom w:val="none" w:sz="0" w:space="0" w:color="auto"/>
                    <w:right w:val="none" w:sz="0" w:space="0" w:color="auto"/>
                  </w:divBdr>
                  <w:divsChild>
                    <w:div w:id="84439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019028">
          <w:marLeft w:val="0"/>
          <w:marRight w:val="0"/>
          <w:marTop w:val="0"/>
          <w:marBottom w:val="0"/>
          <w:divBdr>
            <w:top w:val="none" w:sz="0" w:space="0" w:color="auto"/>
            <w:left w:val="none" w:sz="0" w:space="0" w:color="auto"/>
            <w:bottom w:val="none" w:sz="0" w:space="0" w:color="auto"/>
            <w:right w:val="none" w:sz="0" w:space="0" w:color="auto"/>
          </w:divBdr>
          <w:divsChild>
            <w:div w:id="427694533">
              <w:marLeft w:val="0"/>
              <w:marRight w:val="0"/>
              <w:marTop w:val="0"/>
              <w:marBottom w:val="0"/>
              <w:divBdr>
                <w:top w:val="none" w:sz="0" w:space="0" w:color="auto"/>
                <w:left w:val="none" w:sz="0" w:space="0" w:color="auto"/>
                <w:bottom w:val="none" w:sz="0" w:space="0" w:color="auto"/>
                <w:right w:val="none" w:sz="0" w:space="0" w:color="auto"/>
              </w:divBdr>
            </w:div>
            <w:div w:id="98115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075354">
      <w:bodyDiv w:val="1"/>
      <w:marLeft w:val="0"/>
      <w:marRight w:val="0"/>
      <w:marTop w:val="0"/>
      <w:marBottom w:val="0"/>
      <w:divBdr>
        <w:top w:val="none" w:sz="0" w:space="0" w:color="auto"/>
        <w:left w:val="none" w:sz="0" w:space="0" w:color="auto"/>
        <w:bottom w:val="none" w:sz="0" w:space="0" w:color="auto"/>
        <w:right w:val="none" w:sz="0" w:space="0" w:color="auto"/>
      </w:divBdr>
    </w:div>
    <w:div w:id="622662161">
      <w:bodyDiv w:val="1"/>
      <w:marLeft w:val="0"/>
      <w:marRight w:val="0"/>
      <w:marTop w:val="0"/>
      <w:marBottom w:val="0"/>
      <w:divBdr>
        <w:top w:val="none" w:sz="0" w:space="0" w:color="auto"/>
        <w:left w:val="none" w:sz="0" w:space="0" w:color="auto"/>
        <w:bottom w:val="none" w:sz="0" w:space="0" w:color="auto"/>
        <w:right w:val="none" w:sz="0" w:space="0" w:color="auto"/>
      </w:divBdr>
      <w:divsChild>
        <w:div w:id="147285281">
          <w:marLeft w:val="-75"/>
          <w:marRight w:val="0"/>
          <w:marTop w:val="0"/>
          <w:marBottom w:val="0"/>
          <w:divBdr>
            <w:top w:val="none" w:sz="0" w:space="0" w:color="auto"/>
            <w:left w:val="none" w:sz="0" w:space="0" w:color="auto"/>
            <w:bottom w:val="none" w:sz="0" w:space="0" w:color="auto"/>
            <w:right w:val="none" w:sz="0" w:space="0" w:color="auto"/>
          </w:divBdr>
          <w:divsChild>
            <w:div w:id="1448935859">
              <w:marLeft w:val="0"/>
              <w:marRight w:val="0"/>
              <w:marTop w:val="0"/>
              <w:marBottom w:val="0"/>
              <w:divBdr>
                <w:top w:val="none" w:sz="0" w:space="0" w:color="auto"/>
                <w:left w:val="none" w:sz="0" w:space="0" w:color="auto"/>
                <w:bottom w:val="none" w:sz="0" w:space="0" w:color="auto"/>
                <w:right w:val="none" w:sz="0" w:space="0" w:color="auto"/>
              </w:divBdr>
            </w:div>
            <w:div w:id="17630021">
              <w:marLeft w:val="0"/>
              <w:marRight w:val="0"/>
              <w:marTop w:val="0"/>
              <w:marBottom w:val="0"/>
              <w:divBdr>
                <w:top w:val="none" w:sz="0" w:space="0" w:color="auto"/>
                <w:left w:val="none" w:sz="0" w:space="0" w:color="auto"/>
                <w:bottom w:val="none" w:sz="0" w:space="0" w:color="auto"/>
                <w:right w:val="none" w:sz="0" w:space="0" w:color="auto"/>
              </w:divBdr>
              <w:divsChild>
                <w:div w:id="44127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633156">
          <w:marLeft w:val="0"/>
          <w:marRight w:val="0"/>
          <w:marTop w:val="0"/>
          <w:marBottom w:val="75"/>
          <w:divBdr>
            <w:top w:val="none" w:sz="0" w:space="0" w:color="auto"/>
            <w:left w:val="none" w:sz="0" w:space="0" w:color="auto"/>
            <w:bottom w:val="none" w:sz="0" w:space="0" w:color="auto"/>
            <w:right w:val="none" w:sz="0" w:space="0" w:color="auto"/>
          </w:divBdr>
        </w:div>
        <w:div w:id="771247727">
          <w:marLeft w:val="0"/>
          <w:marRight w:val="0"/>
          <w:marTop w:val="0"/>
          <w:marBottom w:val="75"/>
          <w:divBdr>
            <w:top w:val="none" w:sz="0" w:space="0" w:color="auto"/>
            <w:left w:val="none" w:sz="0" w:space="0" w:color="auto"/>
            <w:bottom w:val="none" w:sz="0" w:space="0" w:color="auto"/>
            <w:right w:val="none" w:sz="0" w:space="0" w:color="auto"/>
          </w:divBdr>
        </w:div>
      </w:divsChild>
    </w:div>
    <w:div w:id="701977045">
      <w:bodyDiv w:val="1"/>
      <w:marLeft w:val="0"/>
      <w:marRight w:val="0"/>
      <w:marTop w:val="0"/>
      <w:marBottom w:val="0"/>
      <w:divBdr>
        <w:top w:val="none" w:sz="0" w:space="0" w:color="auto"/>
        <w:left w:val="none" w:sz="0" w:space="0" w:color="auto"/>
        <w:bottom w:val="none" w:sz="0" w:space="0" w:color="auto"/>
        <w:right w:val="none" w:sz="0" w:space="0" w:color="auto"/>
      </w:divBdr>
      <w:divsChild>
        <w:div w:id="1367632854">
          <w:marLeft w:val="0"/>
          <w:marRight w:val="0"/>
          <w:marTop w:val="0"/>
          <w:marBottom w:val="0"/>
          <w:divBdr>
            <w:top w:val="none" w:sz="0" w:space="0" w:color="auto"/>
            <w:left w:val="none" w:sz="0" w:space="0" w:color="auto"/>
            <w:bottom w:val="none" w:sz="0" w:space="0" w:color="auto"/>
            <w:right w:val="none" w:sz="0" w:space="0" w:color="auto"/>
          </w:divBdr>
          <w:divsChild>
            <w:div w:id="2081247049">
              <w:marLeft w:val="0"/>
              <w:marRight w:val="0"/>
              <w:marTop w:val="0"/>
              <w:marBottom w:val="0"/>
              <w:divBdr>
                <w:top w:val="none" w:sz="0" w:space="0" w:color="auto"/>
                <w:left w:val="none" w:sz="0" w:space="0" w:color="auto"/>
                <w:bottom w:val="none" w:sz="0" w:space="0" w:color="auto"/>
                <w:right w:val="none" w:sz="0" w:space="0" w:color="auto"/>
              </w:divBdr>
              <w:divsChild>
                <w:div w:id="911620457">
                  <w:marLeft w:val="0"/>
                  <w:marRight w:val="0"/>
                  <w:marTop w:val="0"/>
                  <w:marBottom w:val="0"/>
                  <w:divBdr>
                    <w:top w:val="none" w:sz="0" w:space="0" w:color="auto"/>
                    <w:left w:val="none" w:sz="0" w:space="0" w:color="auto"/>
                    <w:bottom w:val="none" w:sz="0" w:space="0" w:color="auto"/>
                    <w:right w:val="none" w:sz="0" w:space="0" w:color="auto"/>
                  </w:divBdr>
                  <w:divsChild>
                    <w:div w:id="497497667">
                      <w:marLeft w:val="0"/>
                      <w:marRight w:val="0"/>
                      <w:marTop w:val="0"/>
                      <w:marBottom w:val="0"/>
                      <w:divBdr>
                        <w:top w:val="none" w:sz="0" w:space="0" w:color="auto"/>
                        <w:left w:val="none" w:sz="0" w:space="0" w:color="auto"/>
                        <w:bottom w:val="none" w:sz="0" w:space="0" w:color="auto"/>
                        <w:right w:val="none" w:sz="0" w:space="0" w:color="auto"/>
                      </w:divBdr>
                      <w:divsChild>
                        <w:div w:id="1864056113">
                          <w:marLeft w:val="0"/>
                          <w:marRight w:val="0"/>
                          <w:marTop w:val="0"/>
                          <w:marBottom w:val="0"/>
                          <w:divBdr>
                            <w:top w:val="none" w:sz="0" w:space="0" w:color="auto"/>
                            <w:left w:val="none" w:sz="0" w:space="0" w:color="auto"/>
                            <w:bottom w:val="none" w:sz="0" w:space="0" w:color="auto"/>
                            <w:right w:val="none" w:sz="0" w:space="0" w:color="auto"/>
                          </w:divBdr>
                          <w:divsChild>
                            <w:div w:id="1481969154">
                              <w:marLeft w:val="0"/>
                              <w:marRight w:val="0"/>
                              <w:marTop w:val="0"/>
                              <w:marBottom w:val="0"/>
                              <w:divBdr>
                                <w:top w:val="none" w:sz="0" w:space="0" w:color="auto"/>
                                <w:left w:val="none" w:sz="0" w:space="0" w:color="auto"/>
                                <w:bottom w:val="none" w:sz="0" w:space="0" w:color="auto"/>
                                <w:right w:val="none" w:sz="0" w:space="0" w:color="auto"/>
                              </w:divBdr>
                              <w:divsChild>
                                <w:div w:id="870147135">
                                  <w:marLeft w:val="0"/>
                                  <w:marRight w:val="0"/>
                                  <w:marTop w:val="0"/>
                                  <w:marBottom w:val="0"/>
                                  <w:divBdr>
                                    <w:top w:val="none" w:sz="0" w:space="0" w:color="auto"/>
                                    <w:left w:val="none" w:sz="0" w:space="0" w:color="auto"/>
                                    <w:bottom w:val="none" w:sz="0" w:space="0" w:color="auto"/>
                                    <w:right w:val="none" w:sz="0" w:space="0" w:color="auto"/>
                                  </w:divBdr>
                                  <w:divsChild>
                                    <w:div w:id="463087396">
                                      <w:marLeft w:val="0"/>
                                      <w:marRight w:val="0"/>
                                      <w:marTop w:val="0"/>
                                      <w:marBottom w:val="0"/>
                                      <w:divBdr>
                                        <w:top w:val="none" w:sz="0" w:space="0" w:color="auto"/>
                                        <w:left w:val="none" w:sz="0" w:space="0" w:color="auto"/>
                                        <w:bottom w:val="none" w:sz="0" w:space="0" w:color="auto"/>
                                        <w:right w:val="none" w:sz="0" w:space="0" w:color="auto"/>
                                      </w:divBdr>
                                      <w:divsChild>
                                        <w:div w:id="116774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758815">
                                  <w:marLeft w:val="0"/>
                                  <w:marRight w:val="0"/>
                                  <w:marTop w:val="0"/>
                                  <w:marBottom w:val="0"/>
                                  <w:divBdr>
                                    <w:top w:val="none" w:sz="0" w:space="0" w:color="auto"/>
                                    <w:left w:val="none" w:sz="0" w:space="0" w:color="auto"/>
                                    <w:bottom w:val="none" w:sz="0" w:space="0" w:color="auto"/>
                                    <w:right w:val="none" w:sz="0" w:space="0" w:color="auto"/>
                                  </w:divBdr>
                                  <w:divsChild>
                                    <w:div w:id="131067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256427">
      <w:bodyDiv w:val="1"/>
      <w:marLeft w:val="0"/>
      <w:marRight w:val="0"/>
      <w:marTop w:val="0"/>
      <w:marBottom w:val="0"/>
      <w:divBdr>
        <w:top w:val="none" w:sz="0" w:space="0" w:color="auto"/>
        <w:left w:val="none" w:sz="0" w:space="0" w:color="auto"/>
        <w:bottom w:val="none" w:sz="0" w:space="0" w:color="auto"/>
        <w:right w:val="none" w:sz="0" w:space="0" w:color="auto"/>
      </w:divBdr>
      <w:divsChild>
        <w:div w:id="1424180961">
          <w:marLeft w:val="0"/>
          <w:marRight w:val="0"/>
          <w:marTop w:val="0"/>
          <w:marBottom w:val="0"/>
          <w:divBdr>
            <w:top w:val="none" w:sz="0" w:space="0" w:color="auto"/>
            <w:left w:val="none" w:sz="0" w:space="0" w:color="auto"/>
            <w:bottom w:val="none" w:sz="0" w:space="0" w:color="auto"/>
            <w:right w:val="none" w:sz="0" w:space="0" w:color="auto"/>
          </w:divBdr>
        </w:div>
        <w:div w:id="1392390916">
          <w:marLeft w:val="0"/>
          <w:marRight w:val="0"/>
          <w:marTop w:val="0"/>
          <w:marBottom w:val="0"/>
          <w:divBdr>
            <w:top w:val="none" w:sz="0" w:space="0" w:color="auto"/>
            <w:left w:val="none" w:sz="0" w:space="0" w:color="auto"/>
            <w:bottom w:val="none" w:sz="0" w:space="0" w:color="auto"/>
            <w:right w:val="none" w:sz="0" w:space="0" w:color="auto"/>
          </w:divBdr>
        </w:div>
      </w:divsChild>
    </w:div>
    <w:div w:id="812791498">
      <w:bodyDiv w:val="1"/>
      <w:marLeft w:val="0"/>
      <w:marRight w:val="0"/>
      <w:marTop w:val="0"/>
      <w:marBottom w:val="0"/>
      <w:divBdr>
        <w:top w:val="none" w:sz="0" w:space="0" w:color="auto"/>
        <w:left w:val="none" w:sz="0" w:space="0" w:color="auto"/>
        <w:bottom w:val="none" w:sz="0" w:space="0" w:color="auto"/>
        <w:right w:val="none" w:sz="0" w:space="0" w:color="auto"/>
      </w:divBdr>
      <w:divsChild>
        <w:div w:id="100957150">
          <w:marLeft w:val="0"/>
          <w:marRight w:val="0"/>
          <w:marTop w:val="0"/>
          <w:marBottom w:val="0"/>
          <w:divBdr>
            <w:top w:val="none" w:sz="0" w:space="0" w:color="auto"/>
            <w:left w:val="none" w:sz="0" w:space="0" w:color="auto"/>
            <w:bottom w:val="none" w:sz="0" w:space="0" w:color="auto"/>
            <w:right w:val="none" w:sz="0" w:space="0" w:color="auto"/>
          </w:divBdr>
          <w:divsChild>
            <w:div w:id="155536236">
              <w:marLeft w:val="0"/>
              <w:marRight w:val="0"/>
              <w:marTop w:val="0"/>
              <w:marBottom w:val="0"/>
              <w:divBdr>
                <w:top w:val="none" w:sz="0" w:space="0" w:color="auto"/>
                <w:left w:val="none" w:sz="0" w:space="0" w:color="auto"/>
                <w:bottom w:val="none" w:sz="0" w:space="0" w:color="auto"/>
                <w:right w:val="none" w:sz="0" w:space="0" w:color="auto"/>
              </w:divBdr>
              <w:divsChild>
                <w:div w:id="1115252380">
                  <w:marLeft w:val="0"/>
                  <w:marRight w:val="0"/>
                  <w:marTop w:val="0"/>
                  <w:marBottom w:val="0"/>
                  <w:divBdr>
                    <w:top w:val="none" w:sz="0" w:space="0" w:color="auto"/>
                    <w:left w:val="none" w:sz="0" w:space="0" w:color="auto"/>
                    <w:bottom w:val="none" w:sz="0" w:space="0" w:color="auto"/>
                    <w:right w:val="none" w:sz="0" w:space="0" w:color="auto"/>
                  </w:divBdr>
                  <w:divsChild>
                    <w:div w:id="1251432854">
                      <w:marLeft w:val="0"/>
                      <w:marRight w:val="0"/>
                      <w:marTop w:val="0"/>
                      <w:marBottom w:val="0"/>
                      <w:divBdr>
                        <w:top w:val="none" w:sz="0" w:space="0" w:color="auto"/>
                        <w:left w:val="none" w:sz="0" w:space="0" w:color="auto"/>
                        <w:bottom w:val="none" w:sz="0" w:space="0" w:color="auto"/>
                        <w:right w:val="none" w:sz="0" w:space="0" w:color="auto"/>
                      </w:divBdr>
                      <w:divsChild>
                        <w:div w:id="929896585">
                          <w:marLeft w:val="0"/>
                          <w:marRight w:val="0"/>
                          <w:marTop w:val="0"/>
                          <w:marBottom w:val="0"/>
                          <w:divBdr>
                            <w:top w:val="none" w:sz="0" w:space="0" w:color="auto"/>
                            <w:left w:val="none" w:sz="0" w:space="0" w:color="auto"/>
                            <w:bottom w:val="none" w:sz="0" w:space="0" w:color="auto"/>
                            <w:right w:val="none" w:sz="0" w:space="0" w:color="auto"/>
                          </w:divBdr>
                          <w:divsChild>
                            <w:div w:id="1880822763">
                              <w:marLeft w:val="0"/>
                              <w:marRight w:val="0"/>
                              <w:marTop w:val="0"/>
                              <w:marBottom w:val="0"/>
                              <w:divBdr>
                                <w:top w:val="none" w:sz="0" w:space="0" w:color="auto"/>
                                <w:left w:val="none" w:sz="0" w:space="0" w:color="auto"/>
                                <w:bottom w:val="none" w:sz="0" w:space="0" w:color="auto"/>
                                <w:right w:val="none" w:sz="0" w:space="0" w:color="auto"/>
                              </w:divBdr>
                              <w:divsChild>
                                <w:div w:id="1235123625">
                                  <w:marLeft w:val="0"/>
                                  <w:marRight w:val="0"/>
                                  <w:marTop w:val="0"/>
                                  <w:marBottom w:val="0"/>
                                  <w:divBdr>
                                    <w:top w:val="none" w:sz="0" w:space="0" w:color="auto"/>
                                    <w:left w:val="none" w:sz="0" w:space="0" w:color="auto"/>
                                    <w:bottom w:val="none" w:sz="0" w:space="0" w:color="auto"/>
                                    <w:right w:val="none" w:sz="0" w:space="0" w:color="auto"/>
                                  </w:divBdr>
                                  <w:divsChild>
                                    <w:div w:id="1972975768">
                                      <w:marLeft w:val="0"/>
                                      <w:marRight w:val="0"/>
                                      <w:marTop w:val="0"/>
                                      <w:marBottom w:val="0"/>
                                      <w:divBdr>
                                        <w:top w:val="none" w:sz="0" w:space="0" w:color="auto"/>
                                        <w:left w:val="none" w:sz="0" w:space="0" w:color="auto"/>
                                        <w:bottom w:val="none" w:sz="0" w:space="0" w:color="auto"/>
                                        <w:right w:val="none" w:sz="0" w:space="0" w:color="auto"/>
                                      </w:divBdr>
                                      <w:divsChild>
                                        <w:div w:id="158055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706894">
                                  <w:marLeft w:val="0"/>
                                  <w:marRight w:val="0"/>
                                  <w:marTop w:val="0"/>
                                  <w:marBottom w:val="0"/>
                                  <w:divBdr>
                                    <w:top w:val="none" w:sz="0" w:space="0" w:color="auto"/>
                                    <w:left w:val="none" w:sz="0" w:space="0" w:color="auto"/>
                                    <w:bottom w:val="none" w:sz="0" w:space="0" w:color="auto"/>
                                    <w:right w:val="none" w:sz="0" w:space="0" w:color="auto"/>
                                  </w:divBdr>
                                  <w:divsChild>
                                    <w:div w:id="92673540">
                                      <w:marLeft w:val="0"/>
                                      <w:marRight w:val="0"/>
                                      <w:marTop w:val="0"/>
                                      <w:marBottom w:val="0"/>
                                      <w:divBdr>
                                        <w:top w:val="none" w:sz="0" w:space="0" w:color="auto"/>
                                        <w:left w:val="none" w:sz="0" w:space="0" w:color="auto"/>
                                        <w:bottom w:val="none" w:sz="0" w:space="0" w:color="auto"/>
                                        <w:right w:val="none" w:sz="0" w:space="0" w:color="auto"/>
                                      </w:divBdr>
                                      <w:divsChild>
                                        <w:div w:id="103870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3282346">
                      <w:marLeft w:val="0"/>
                      <w:marRight w:val="0"/>
                      <w:marTop w:val="0"/>
                      <w:marBottom w:val="0"/>
                      <w:divBdr>
                        <w:top w:val="none" w:sz="0" w:space="0" w:color="auto"/>
                        <w:left w:val="none" w:sz="0" w:space="0" w:color="auto"/>
                        <w:bottom w:val="none" w:sz="0" w:space="0" w:color="auto"/>
                        <w:right w:val="none" w:sz="0" w:space="0" w:color="auto"/>
                      </w:divBdr>
                      <w:divsChild>
                        <w:div w:id="1807889682">
                          <w:marLeft w:val="0"/>
                          <w:marRight w:val="0"/>
                          <w:marTop w:val="0"/>
                          <w:marBottom w:val="0"/>
                          <w:divBdr>
                            <w:top w:val="none" w:sz="0" w:space="0" w:color="auto"/>
                            <w:left w:val="none" w:sz="0" w:space="0" w:color="auto"/>
                            <w:bottom w:val="none" w:sz="0" w:space="0" w:color="auto"/>
                            <w:right w:val="none" w:sz="0" w:space="0" w:color="auto"/>
                          </w:divBdr>
                          <w:divsChild>
                            <w:div w:id="1287128664">
                              <w:marLeft w:val="0"/>
                              <w:marRight w:val="0"/>
                              <w:marTop w:val="0"/>
                              <w:marBottom w:val="0"/>
                              <w:divBdr>
                                <w:top w:val="none" w:sz="0" w:space="0" w:color="auto"/>
                                <w:left w:val="none" w:sz="0" w:space="0" w:color="auto"/>
                                <w:bottom w:val="none" w:sz="0" w:space="0" w:color="auto"/>
                                <w:right w:val="none" w:sz="0" w:space="0" w:color="auto"/>
                              </w:divBdr>
                              <w:divsChild>
                                <w:div w:id="1070619051">
                                  <w:marLeft w:val="0"/>
                                  <w:marRight w:val="0"/>
                                  <w:marTop w:val="0"/>
                                  <w:marBottom w:val="0"/>
                                  <w:divBdr>
                                    <w:top w:val="none" w:sz="0" w:space="0" w:color="auto"/>
                                    <w:left w:val="none" w:sz="0" w:space="0" w:color="auto"/>
                                    <w:bottom w:val="none" w:sz="0" w:space="0" w:color="auto"/>
                                    <w:right w:val="none" w:sz="0" w:space="0" w:color="auto"/>
                                  </w:divBdr>
                                  <w:divsChild>
                                    <w:div w:id="1123110472">
                                      <w:marLeft w:val="0"/>
                                      <w:marRight w:val="0"/>
                                      <w:marTop w:val="0"/>
                                      <w:marBottom w:val="0"/>
                                      <w:divBdr>
                                        <w:top w:val="none" w:sz="0" w:space="0" w:color="auto"/>
                                        <w:left w:val="none" w:sz="0" w:space="0" w:color="auto"/>
                                        <w:bottom w:val="none" w:sz="0" w:space="0" w:color="auto"/>
                                        <w:right w:val="none" w:sz="0" w:space="0" w:color="auto"/>
                                      </w:divBdr>
                                      <w:divsChild>
                                        <w:div w:id="124580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907993">
                                  <w:marLeft w:val="0"/>
                                  <w:marRight w:val="0"/>
                                  <w:marTop w:val="0"/>
                                  <w:marBottom w:val="0"/>
                                  <w:divBdr>
                                    <w:top w:val="none" w:sz="0" w:space="0" w:color="auto"/>
                                    <w:left w:val="none" w:sz="0" w:space="0" w:color="auto"/>
                                    <w:bottom w:val="none" w:sz="0" w:space="0" w:color="auto"/>
                                    <w:right w:val="none" w:sz="0" w:space="0" w:color="auto"/>
                                  </w:divBdr>
                                  <w:divsChild>
                                    <w:div w:id="229460937">
                                      <w:marLeft w:val="0"/>
                                      <w:marRight w:val="0"/>
                                      <w:marTop w:val="0"/>
                                      <w:marBottom w:val="0"/>
                                      <w:divBdr>
                                        <w:top w:val="none" w:sz="0" w:space="0" w:color="auto"/>
                                        <w:left w:val="none" w:sz="0" w:space="0" w:color="auto"/>
                                        <w:bottom w:val="none" w:sz="0" w:space="0" w:color="auto"/>
                                        <w:right w:val="none" w:sz="0" w:space="0" w:color="auto"/>
                                      </w:divBdr>
                                      <w:divsChild>
                                        <w:div w:id="182061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8786997">
      <w:bodyDiv w:val="1"/>
      <w:marLeft w:val="0"/>
      <w:marRight w:val="0"/>
      <w:marTop w:val="0"/>
      <w:marBottom w:val="0"/>
      <w:divBdr>
        <w:top w:val="none" w:sz="0" w:space="0" w:color="auto"/>
        <w:left w:val="none" w:sz="0" w:space="0" w:color="auto"/>
        <w:bottom w:val="none" w:sz="0" w:space="0" w:color="auto"/>
        <w:right w:val="none" w:sz="0" w:space="0" w:color="auto"/>
      </w:divBdr>
      <w:divsChild>
        <w:div w:id="881795629">
          <w:marLeft w:val="0"/>
          <w:marRight w:val="0"/>
          <w:marTop w:val="0"/>
          <w:marBottom w:val="0"/>
          <w:divBdr>
            <w:top w:val="none" w:sz="0" w:space="0" w:color="auto"/>
            <w:left w:val="none" w:sz="0" w:space="0" w:color="auto"/>
            <w:bottom w:val="none" w:sz="0" w:space="0" w:color="auto"/>
            <w:right w:val="none" w:sz="0" w:space="0" w:color="auto"/>
          </w:divBdr>
          <w:divsChild>
            <w:div w:id="1616015583">
              <w:marLeft w:val="0"/>
              <w:marRight w:val="0"/>
              <w:marTop w:val="0"/>
              <w:marBottom w:val="0"/>
              <w:divBdr>
                <w:top w:val="none" w:sz="0" w:space="0" w:color="auto"/>
                <w:left w:val="none" w:sz="0" w:space="0" w:color="auto"/>
                <w:bottom w:val="none" w:sz="0" w:space="0" w:color="auto"/>
                <w:right w:val="none" w:sz="0" w:space="0" w:color="auto"/>
              </w:divBdr>
              <w:divsChild>
                <w:div w:id="2137481619">
                  <w:marLeft w:val="0"/>
                  <w:marRight w:val="0"/>
                  <w:marTop w:val="0"/>
                  <w:marBottom w:val="0"/>
                  <w:divBdr>
                    <w:top w:val="none" w:sz="0" w:space="0" w:color="auto"/>
                    <w:left w:val="none" w:sz="0" w:space="0" w:color="auto"/>
                    <w:bottom w:val="none" w:sz="0" w:space="0" w:color="auto"/>
                    <w:right w:val="none" w:sz="0" w:space="0" w:color="auto"/>
                  </w:divBdr>
                  <w:divsChild>
                    <w:div w:id="197506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708358">
      <w:bodyDiv w:val="1"/>
      <w:marLeft w:val="0"/>
      <w:marRight w:val="0"/>
      <w:marTop w:val="0"/>
      <w:marBottom w:val="0"/>
      <w:divBdr>
        <w:top w:val="none" w:sz="0" w:space="0" w:color="auto"/>
        <w:left w:val="none" w:sz="0" w:space="0" w:color="auto"/>
        <w:bottom w:val="none" w:sz="0" w:space="0" w:color="auto"/>
        <w:right w:val="none" w:sz="0" w:space="0" w:color="auto"/>
      </w:divBdr>
    </w:div>
    <w:div w:id="945844259">
      <w:bodyDiv w:val="1"/>
      <w:marLeft w:val="0"/>
      <w:marRight w:val="0"/>
      <w:marTop w:val="0"/>
      <w:marBottom w:val="0"/>
      <w:divBdr>
        <w:top w:val="none" w:sz="0" w:space="0" w:color="auto"/>
        <w:left w:val="none" w:sz="0" w:space="0" w:color="auto"/>
        <w:bottom w:val="none" w:sz="0" w:space="0" w:color="auto"/>
        <w:right w:val="none" w:sz="0" w:space="0" w:color="auto"/>
      </w:divBdr>
    </w:div>
    <w:div w:id="1008293010">
      <w:bodyDiv w:val="1"/>
      <w:marLeft w:val="0"/>
      <w:marRight w:val="0"/>
      <w:marTop w:val="0"/>
      <w:marBottom w:val="0"/>
      <w:divBdr>
        <w:top w:val="none" w:sz="0" w:space="0" w:color="auto"/>
        <w:left w:val="none" w:sz="0" w:space="0" w:color="auto"/>
        <w:bottom w:val="none" w:sz="0" w:space="0" w:color="auto"/>
        <w:right w:val="none" w:sz="0" w:space="0" w:color="auto"/>
      </w:divBdr>
      <w:divsChild>
        <w:div w:id="1049644494">
          <w:marLeft w:val="0"/>
          <w:marRight w:val="0"/>
          <w:marTop w:val="0"/>
          <w:marBottom w:val="0"/>
          <w:divBdr>
            <w:top w:val="none" w:sz="0" w:space="0" w:color="auto"/>
            <w:left w:val="none" w:sz="0" w:space="0" w:color="auto"/>
            <w:bottom w:val="none" w:sz="0" w:space="0" w:color="auto"/>
            <w:right w:val="none" w:sz="0" w:space="0" w:color="auto"/>
          </w:divBdr>
        </w:div>
        <w:div w:id="1801419412">
          <w:marLeft w:val="0"/>
          <w:marRight w:val="0"/>
          <w:marTop w:val="0"/>
          <w:marBottom w:val="0"/>
          <w:divBdr>
            <w:top w:val="none" w:sz="0" w:space="0" w:color="auto"/>
            <w:left w:val="none" w:sz="0" w:space="0" w:color="auto"/>
            <w:bottom w:val="none" w:sz="0" w:space="0" w:color="auto"/>
            <w:right w:val="none" w:sz="0" w:space="0" w:color="auto"/>
          </w:divBdr>
        </w:div>
      </w:divsChild>
    </w:div>
    <w:div w:id="1031035289">
      <w:bodyDiv w:val="1"/>
      <w:marLeft w:val="0"/>
      <w:marRight w:val="0"/>
      <w:marTop w:val="0"/>
      <w:marBottom w:val="0"/>
      <w:divBdr>
        <w:top w:val="none" w:sz="0" w:space="0" w:color="auto"/>
        <w:left w:val="none" w:sz="0" w:space="0" w:color="auto"/>
        <w:bottom w:val="none" w:sz="0" w:space="0" w:color="auto"/>
        <w:right w:val="none" w:sz="0" w:space="0" w:color="auto"/>
      </w:divBdr>
      <w:divsChild>
        <w:div w:id="1267234374">
          <w:marLeft w:val="0"/>
          <w:marRight w:val="0"/>
          <w:marTop w:val="0"/>
          <w:marBottom w:val="0"/>
          <w:divBdr>
            <w:top w:val="none" w:sz="0" w:space="0" w:color="auto"/>
            <w:left w:val="none" w:sz="0" w:space="0" w:color="auto"/>
            <w:bottom w:val="none" w:sz="0" w:space="0" w:color="auto"/>
            <w:right w:val="none" w:sz="0" w:space="0" w:color="auto"/>
          </w:divBdr>
        </w:div>
        <w:div w:id="376979278">
          <w:marLeft w:val="0"/>
          <w:marRight w:val="0"/>
          <w:marTop w:val="0"/>
          <w:marBottom w:val="0"/>
          <w:divBdr>
            <w:top w:val="none" w:sz="0" w:space="0" w:color="auto"/>
            <w:left w:val="none" w:sz="0" w:space="0" w:color="auto"/>
            <w:bottom w:val="none" w:sz="0" w:space="0" w:color="auto"/>
            <w:right w:val="none" w:sz="0" w:space="0" w:color="auto"/>
          </w:divBdr>
        </w:div>
      </w:divsChild>
    </w:div>
    <w:div w:id="1035228385">
      <w:bodyDiv w:val="1"/>
      <w:marLeft w:val="0"/>
      <w:marRight w:val="0"/>
      <w:marTop w:val="0"/>
      <w:marBottom w:val="0"/>
      <w:divBdr>
        <w:top w:val="none" w:sz="0" w:space="0" w:color="auto"/>
        <w:left w:val="none" w:sz="0" w:space="0" w:color="auto"/>
        <w:bottom w:val="none" w:sz="0" w:space="0" w:color="auto"/>
        <w:right w:val="none" w:sz="0" w:space="0" w:color="auto"/>
      </w:divBdr>
      <w:divsChild>
        <w:div w:id="1744134562">
          <w:marLeft w:val="-75"/>
          <w:marRight w:val="0"/>
          <w:marTop w:val="0"/>
          <w:marBottom w:val="0"/>
          <w:divBdr>
            <w:top w:val="none" w:sz="0" w:space="0" w:color="auto"/>
            <w:left w:val="none" w:sz="0" w:space="0" w:color="auto"/>
            <w:bottom w:val="none" w:sz="0" w:space="0" w:color="auto"/>
            <w:right w:val="none" w:sz="0" w:space="0" w:color="auto"/>
          </w:divBdr>
          <w:divsChild>
            <w:div w:id="1153525754">
              <w:marLeft w:val="0"/>
              <w:marRight w:val="0"/>
              <w:marTop w:val="0"/>
              <w:marBottom w:val="0"/>
              <w:divBdr>
                <w:top w:val="none" w:sz="0" w:space="0" w:color="auto"/>
                <w:left w:val="none" w:sz="0" w:space="0" w:color="auto"/>
                <w:bottom w:val="none" w:sz="0" w:space="0" w:color="auto"/>
                <w:right w:val="none" w:sz="0" w:space="0" w:color="auto"/>
              </w:divBdr>
            </w:div>
            <w:div w:id="1519541033">
              <w:marLeft w:val="0"/>
              <w:marRight w:val="0"/>
              <w:marTop w:val="0"/>
              <w:marBottom w:val="0"/>
              <w:divBdr>
                <w:top w:val="none" w:sz="0" w:space="0" w:color="auto"/>
                <w:left w:val="none" w:sz="0" w:space="0" w:color="auto"/>
                <w:bottom w:val="none" w:sz="0" w:space="0" w:color="auto"/>
                <w:right w:val="none" w:sz="0" w:space="0" w:color="auto"/>
              </w:divBdr>
              <w:divsChild>
                <w:div w:id="143015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095308">
          <w:marLeft w:val="0"/>
          <w:marRight w:val="0"/>
          <w:marTop w:val="0"/>
          <w:marBottom w:val="75"/>
          <w:divBdr>
            <w:top w:val="none" w:sz="0" w:space="0" w:color="auto"/>
            <w:left w:val="none" w:sz="0" w:space="0" w:color="auto"/>
            <w:bottom w:val="none" w:sz="0" w:space="0" w:color="auto"/>
            <w:right w:val="none" w:sz="0" w:space="0" w:color="auto"/>
          </w:divBdr>
        </w:div>
        <w:div w:id="1358774198">
          <w:marLeft w:val="0"/>
          <w:marRight w:val="0"/>
          <w:marTop w:val="0"/>
          <w:marBottom w:val="75"/>
          <w:divBdr>
            <w:top w:val="none" w:sz="0" w:space="0" w:color="auto"/>
            <w:left w:val="none" w:sz="0" w:space="0" w:color="auto"/>
            <w:bottom w:val="none" w:sz="0" w:space="0" w:color="auto"/>
            <w:right w:val="none" w:sz="0" w:space="0" w:color="auto"/>
          </w:divBdr>
        </w:div>
      </w:divsChild>
    </w:div>
    <w:div w:id="1041399205">
      <w:bodyDiv w:val="1"/>
      <w:marLeft w:val="0"/>
      <w:marRight w:val="0"/>
      <w:marTop w:val="0"/>
      <w:marBottom w:val="0"/>
      <w:divBdr>
        <w:top w:val="none" w:sz="0" w:space="0" w:color="auto"/>
        <w:left w:val="none" w:sz="0" w:space="0" w:color="auto"/>
        <w:bottom w:val="none" w:sz="0" w:space="0" w:color="auto"/>
        <w:right w:val="none" w:sz="0" w:space="0" w:color="auto"/>
      </w:divBdr>
      <w:divsChild>
        <w:div w:id="1120955199">
          <w:marLeft w:val="0"/>
          <w:marRight w:val="0"/>
          <w:marTop w:val="0"/>
          <w:marBottom w:val="0"/>
          <w:divBdr>
            <w:top w:val="none" w:sz="0" w:space="0" w:color="auto"/>
            <w:left w:val="none" w:sz="0" w:space="0" w:color="auto"/>
            <w:bottom w:val="none" w:sz="0" w:space="0" w:color="auto"/>
            <w:right w:val="none" w:sz="0" w:space="0" w:color="auto"/>
          </w:divBdr>
        </w:div>
        <w:div w:id="667353">
          <w:marLeft w:val="0"/>
          <w:marRight w:val="0"/>
          <w:marTop w:val="0"/>
          <w:marBottom w:val="0"/>
          <w:divBdr>
            <w:top w:val="none" w:sz="0" w:space="0" w:color="auto"/>
            <w:left w:val="none" w:sz="0" w:space="0" w:color="auto"/>
            <w:bottom w:val="none" w:sz="0" w:space="0" w:color="auto"/>
            <w:right w:val="none" w:sz="0" w:space="0" w:color="auto"/>
          </w:divBdr>
        </w:div>
      </w:divsChild>
    </w:div>
    <w:div w:id="1079331172">
      <w:bodyDiv w:val="1"/>
      <w:marLeft w:val="0"/>
      <w:marRight w:val="0"/>
      <w:marTop w:val="0"/>
      <w:marBottom w:val="0"/>
      <w:divBdr>
        <w:top w:val="none" w:sz="0" w:space="0" w:color="auto"/>
        <w:left w:val="none" w:sz="0" w:space="0" w:color="auto"/>
        <w:bottom w:val="none" w:sz="0" w:space="0" w:color="auto"/>
        <w:right w:val="none" w:sz="0" w:space="0" w:color="auto"/>
      </w:divBdr>
      <w:divsChild>
        <w:div w:id="1817642079">
          <w:marLeft w:val="0"/>
          <w:marRight w:val="0"/>
          <w:marTop w:val="0"/>
          <w:marBottom w:val="75"/>
          <w:divBdr>
            <w:top w:val="none" w:sz="0" w:space="0" w:color="auto"/>
            <w:left w:val="none" w:sz="0" w:space="0" w:color="auto"/>
            <w:bottom w:val="none" w:sz="0" w:space="0" w:color="auto"/>
            <w:right w:val="none" w:sz="0" w:space="0" w:color="auto"/>
          </w:divBdr>
        </w:div>
        <w:div w:id="882402019">
          <w:marLeft w:val="0"/>
          <w:marRight w:val="0"/>
          <w:marTop w:val="0"/>
          <w:marBottom w:val="75"/>
          <w:divBdr>
            <w:top w:val="none" w:sz="0" w:space="0" w:color="auto"/>
            <w:left w:val="none" w:sz="0" w:space="0" w:color="auto"/>
            <w:bottom w:val="none" w:sz="0" w:space="0" w:color="auto"/>
            <w:right w:val="none" w:sz="0" w:space="0" w:color="auto"/>
          </w:divBdr>
        </w:div>
      </w:divsChild>
    </w:div>
    <w:div w:id="1123306765">
      <w:bodyDiv w:val="1"/>
      <w:marLeft w:val="0"/>
      <w:marRight w:val="0"/>
      <w:marTop w:val="0"/>
      <w:marBottom w:val="0"/>
      <w:divBdr>
        <w:top w:val="none" w:sz="0" w:space="0" w:color="auto"/>
        <w:left w:val="none" w:sz="0" w:space="0" w:color="auto"/>
        <w:bottom w:val="none" w:sz="0" w:space="0" w:color="auto"/>
        <w:right w:val="none" w:sz="0" w:space="0" w:color="auto"/>
      </w:divBdr>
      <w:divsChild>
        <w:div w:id="1149857578">
          <w:marLeft w:val="360"/>
          <w:marRight w:val="0"/>
          <w:marTop w:val="200"/>
          <w:marBottom w:val="160"/>
          <w:divBdr>
            <w:top w:val="none" w:sz="0" w:space="0" w:color="auto"/>
            <w:left w:val="none" w:sz="0" w:space="0" w:color="auto"/>
            <w:bottom w:val="none" w:sz="0" w:space="0" w:color="auto"/>
            <w:right w:val="none" w:sz="0" w:space="0" w:color="auto"/>
          </w:divBdr>
        </w:div>
      </w:divsChild>
    </w:div>
    <w:div w:id="1149131098">
      <w:bodyDiv w:val="1"/>
      <w:marLeft w:val="0"/>
      <w:marRight w:val="0"/>
      <w:marTop w:val="0"/>
      <w:marBottom w:val="0"/>
      <w:divBdr>
        <w:top w:val="none" w:sz="0" w:space="0" w:color="auto"/>
        <w:left w:val="none" w:sz="0" w:space="0" w:color="auto"/>
        <w:bottom w:val="none" w:sz="0" w:space="0" w:color="auto"/>
        <w:right w:val="none" w:sz="0" w:space="0" w:color="auto"/>
      </w:divBdr>
      <w:divsChild>
        <w:div w:id="904339113">
          <w:marLeft w:val="0"/>
          <w:marRight w:val="0"/>
          <w:marTop w:val="0"/>
          <w:marBottom w:val="120"/>
          <w:divBdr>
            <w:top w:val="none" w:sz="0" w:space="0" w:color="auto"/>
            <w:left w:val="none" w:sz="0" w:space="0" w:color="auto"/>
            <w:bottom w:val="none" w:sz="0" w:space="0" w:color="auto"/>
            <w:right w:val="none" w:sz="0" w:space="0" w:color="auto"/>
          </w:divBdr>
          <w:divsChild>
            <w:div w:id="1218080961">
              <w:marLeft w:val="0"/>
              <w:marRight w:val="0"/>
              <w:marTop w:val="0"/>
              <w:marBottom w:val="0"/>
              <w:divBdr>
                <w:top w:val="none" w:sz="0" w:space="0" w:color="auto"/>
                <w:left w:val="none" w:sz="0" w:space="0" w:color="auto"/>
                <w:bottom w:val="none" w:sz="0" w:space="0" w:color="auto"/>
                <w:right w:val="none" w:sz="0" w:space="0" w:color="auto"/>
              </w:divBdr>
              <w:divsChild>
                <w:div w:id="989138947">
                  <w:marLeft w:val="0"/>
                  <w:marRight w:val="0"/>
                  <w:marTop w:val="0"/>
                  <w:marBottom w:val="0"/>
                  <w:divBdr>
                    <w:top w:val="none" w:sz="0" w:space="0" w:color="auto"/>
                    <w:left w:val="none" w:sz="0" w:space="0" w:color="auto"/>
                    <w:bottom w:val="none" w:sz="0" w:space="0" w:color="auto"/>
                    <w:right w:val="none" w:sz="0" w:space="0" w:color="auto"/>
                  </w:divBdr>
                  <w:divsChild>
                    <w:div w:id="185650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582563">
      <w:bodyDiv w:val="1"/>
      <w:marLeft w:val="0"/>
      <w:marRight w:val="0"/>
      <w:marTop w:val="0"/>
      <w:marBottom w:val="0"/>
      <w:divBdr>
        <w:top w:val="none" w:sz="0" w:space="0" w:color="auto"/>
        <w:left w:val="none" w:sz="0" w:space="0" w:color="auto"/>
        <w:bottom w:val="none" w:sz="0" w:space="0" w:color="auto"/>
        <w:right w:val="none" w:sz="0" w:space="0" w:color="auto"/>
      </w:divBdr>
      <w:divsChild>
        <w:div w:id="129055310">
          <w:marLeft w:val="0"/>
          <w:marRight w:val="0"/>
          <w:marTop w:val="0"/>
          <w:marBottom w:val="0"/>
          <w:divBdr>
            <w:top w:val="none" w:sz="0" w:space="0" w:color="auto"/>
            <w:left w:val="none" w:sz="0" w:space="0" w:color="auto"/>
            <w:bottom w:val="none" w:sz="0" w:space="0" w:color="auto"/>
            <w:right w:val="none" w:sz="0" w:space="0" w:color="auto"/>
          </w:divBdr>
        </w:div>
        <w:div w:id="1426225185">
          <w:marLeft w:val="0"/>
          <w:marRight w:val="0"/>
          <w:marTop w:val="0"/>
          <w:marBottom w:val="0"/>
          <w:divBdr>
            <w:top w:val="none" w:sz="0" w:space="0" w:color="auto"/>
            <w:left w:val="none" w:sz="0" w:space="0" w:color="auto"/>
            <w:bottom w:val="none" w:sz="0" w:space="0" w:color="auto"/>
            <w:right w:val="none" w:sz="0" w:space="0" w:color="auto"/>
          </w:divBdr>
        </w:div>
      </w:divsChild>
    </w:div>
    <w:div w:id="1185510564">
      <w:bodyDiv w:val="1"/>
      <w:marLeft w:val="0"/>
      <w:marRight w:val="0"/>
      <w:marTop w:val="0"/>
      <w:marBottom w:val="0"/>
      <w:divBdr>
        <w:top w:val="none" w:sz="0" w:space="0" w:color="auto"/>
        <w:left w:val="none" w:sz="0" w:space="0" w:color="auto"/>
        <w:bottom w:val="none" w:sz="0" w:space="0" w:color="auto"/>
        <w:right w:val="none" w:sz="0" w:space="0" w:color="auto"/>
      </w:divBdr>
      <w:divsChild>
        <w:div w:id="1607343306">
          <w:marLeft w:val="0"/>
          <w:marRight w:val="0"/>
          <w:marTop w:val="0"/>
          <w:marBottom w:val="0"/>
          <w:divBdr>
            <w:top w:val="none" w:sz="0" w:space="0" w:color="auto"/>
            <w:left w:val="none" w:sz="0" w:space="0" w:color="auto"/>
            <w:bottom w:val="none" w:sz="0" w:space="0" w:color="auto"/>
            <w:right w:val="none" w:sz="0" w:space="0" w:color="auto"/>
          </w:divBdr>
        </w:div>
        <w:div w:id="2127457253">
          <w:marLeft w:val="0"/>
          <w:marRight w:val="0"/>
          <w:marTop w:val="0"/>
          <w:marBottom w:val="0"/>
          <w:divBdr>
            <w:top w:val="none" w:sz="0" w:space="0" w:color="auto"/>
            <w:left w:val="none" w:sz="0" w:space="0" w:color="auto"/>
            <w:bottom w:val="none" w:sz="0" w:space="0" w:color="auto"/>
            <w:right w:val="none" w:sz="0" w:space="0" w:color="auto"/>
          </w:divBdr>
        </w:div>
      </w:divsChild>
    </w:div>
    <w:div w:id="1196384475">
      <w:bodyDiv w:val="1"/>
      <w:marLeft w:val="0"/>
      <w:marRight w:val="0"/>
      <w:marTop w:val="0"/>
      <w:marBottom w:val="0"/>
      <w:divBdr>
        <w:top w:val="none" w:sz="0" w:space="0" w:color="auto"/>
        <w:left w:val="none" w:sz="0" w:space="0" w:color="auto"/>
        <w:bottom w:val="none" w:sz="0" w:space="0" w:color="auto"/>
        <w:right w:val="none" w:sz="0" w:space="0" w:color="auto"/>
      </w:divBdr>
      <w:divsChild>
        <w:div w:id="627273460">
          <w:marLeft w:val="0"/>
          <w:marRight w:val="0"/>
          <w:marTop w:val="0"/>
          <w:marBottom w:val="0"/>
          <w:divBdr>
            <w:top w:val="none" w:sz="0" w:space="0" w:color="auto"/>
            <w:left w:val="none" w:sz="0" w:space="0" w:color="auto"/>
            <w:bottom w:val="none" w:sz="0" w:space="0" w:color="auto"/>
            <w:right w:val="none" w:sz="0" w:space="0" w:color="auto"/>
          </w:divBdr>
        </w:div>
        <w:div w:id="870646642">
          <w:marLeft w:val="0"/>
          <w:marRight w:val="0"/>
          <w:marTop w:val="0"/>
          <w:marBottom w:val="0"/>
          <w:divBdr>
            <w:top w:val="none" w:sz="0" w:space="0" w:color="auto"/>
            <w:left w:val="none" w:sz="0" w:space="0" w:color="auto"/>
            <w:bottom w:val="none" w:sz="0" w:space="0" w:color="auto"/>
            <w:right w:val="none" w:sz="0" w:space="0" w:color="auto"/>
          </w:divBdr>
        </w:div>
      </w:divsChild>
    </w:div>
    <w:div w:id="1426414516">
      <w:bodyDiv w:val="1"/>
      <w:marLeft w:val="0"/>
      <w:marRight w:val="0"/>
      <w:marTop w:val="0"/>
      <w:marBottom w:val="0"/>
      <w:divBdr>
        <w:top w:val="none" w:sz="0" w:space="0" w:color="auto"/>
        <w:left w:val="none" w:sz="0" w:space="0" w:color="auto"/>
        <w:bottom w:val="none" w:sz="0" w:space="0" w:color="auto"/>
        <w:right w:val="none" w:sz="0" w:space="0" w:color="auto"/>
      </w:divBdr>
      <w:divsChild>
        <w:div w:id="1893736826">
          <w:marLeft w:val="0"/>
          <w:marRight w:val="0"/>
          <w:marTop w:val="0"/>
          <w:marBottom w:val="0"/>
          <w:divBdr>
            <w:top w:val="none" w:sz="0" w:space="0" w:color="auto"/>
            <w:left w:val="none" w:sz="0" w:space="0" w:color="auto"/>
            <w:bottom w:val="none" w:sz="0" w:space="0" w:color="auto"/>
            <w:right w:val="none" w:sz="0" w:space="0" w:color="auto"/>
          </w:divBdr>
          <w:divsChild>
            <w:div w:id="1890607591">
              <w:marLeft w:val="0"/>
              <w:marRight w:val="0"/>
              <w:marTop w:val="0"/>
              <w:marBottom w:val="0"/>
              <w:divBdr>
                <w:top w:val="none" w:sz="0" w:space="0" w:color="auto"/>
                <w:left w:val="none" w:sz="0" w:space="0" w:color="auto"/>
                <w:bottom w:val="none" w:sz="0" w:space="0" w:color="auto"/>
                <w:right w:val="none" w:sz="0" w:space="0" w:color="auto"/>
              </w:divBdr>
              <w:divsChild>
                <w:div w:id="1478373672">
                  <w:marLeft w:val="0"/>
                  <w:marRight w:val="0"/>
                  <w:marTop w:val="0"/>
                  <w:marBottom w:val="0"/>
                  <w:divBdr>
                    <w:top w:val="none" w:sz="0" w:space="0" w:color="auto"/>
                    <w:left w:val="none" w:sz="0" w:space="0" w:color="auto"/>
                    <w:bottom w:val="none" w:sz="0" w:space="0" w:color="auto"/>
                    <w:right w:val="none" w:sz="0" w:space="0" w:color="auto"/>
                  </w:divBdr>
                  <w:divsChild>
                    <w:div w:id="80165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671172">
      <w:bodyDiv w:val="1"/>
      <w:marLeft w:val="0"/>
      <w:marRight w:val="0"/>
      <w:marTop w:val="0"/>
      <w:marBottom w:val="0"/>
      <w:divBdr>
        <w:top w:val="none" w:sz="0" w:space="0" w:color="auto"/>
        <w:left w:val="none" w:sz="0" w:space="0" w:color="auto"/>
        <w:bottom w:val="none" w:sz="0" w:space="0" w:color="auto"/>
        <w:right w:val="none" w:sz="0" w:space="0" w:color="auto"/>
      </w:divBdr>
      <w:divsChild>
        <w:div w:id="1054961529">
          <w:marLeft w:val="0"/>
          <w:marRight w:val="0"/>
          <w:marTop w:val="0"/>
          <w:marBottom w:val="0"/>
          <w:divBdr>
            <w:top w:val="none" w:sz="0" w:space="0" w:color="auto"/>
            <w:left w:val="none" w:sz="0" w:space="0" w:color="auto"/>
            <w:bottom w:val="none" w:sz="0" w:space="0" w:color="auto"/>
            <w:right w:val="none" w:sz="0" w:space="0" w:color="auto"/>
          </w:divBdr>
        </w:div>
        <w:div w:id="285743888">
          <w:marLeft w:val="0"/>
          <w:marRight w:val="0"/>
          <w:marTop w:val="0"/>
          <w:marBottom w:val="0"/>
          <w:divBdr>
            <w:top w:val="none" w:sz="0" w:space="0" w:color="auto"/>
            <w:left w:val="none" w:sz="0" w:space="0" w:color="auto"/>
            <w:bottom w:val="none" w:sz="0" w:space="0" w:color="auto"/>
            <w:right w:val="none" w:sz="0" w:space="0" w:color="auto"/>
          </w:divBdr>
        </w:div>
      </w:divsChild>
    </w:div>
    <w:div w:id="1483346631">
      <w:bodyDiv w:val="1"/>
      <w:marLeft w:val="0"/>
      <w:marRight w:val="0"/>
      <w:marTop w:val="0"/>
      <w:marBottom w:val="0"/>
      <w:divBdr>
        <w:top w:val="none" w:sz="0" w:space="0" w:color="auto"/>
        <w:left w:val="none" w:sz="0" w:space="0" w:color="auto"/>
        <w:bottom w:val="none" w:sz="0" w:space="0" w:color="auto"/>
        <w:right w:val="none" w:sz="0" w:space="0" w:color="auto"/>
      </w:divBdr>
    </w:div>
    <w:div w:id="1486051403">
      <w:bodyDiv w:val="1"/>
      <w:marLeft w:val="0"/>
      <w:marRight w:val="0"/>
      <w:marTop w:val="0"/>
      <w:marBottom w:val="0"/>
      <w:divBdr>
        <w:top w:val="none" w:sz="0" w:space="0" w:color="auto"/>
        <w:left w:val="none" w:sz="0" w:space="0" w:color="auto"/>
        <w:bottom w:val="none" w:sz="0" w:space="0" w:color="auto"/>
        <w:right w:val="none" w:sz="0" w:space="0" w:color="auto"/>
      </w:divBdr>
    </w:div>
    <w:div w:id="1520781033">
      <w:bodyDiv w:val="1"/>
      <w:marLeft w:val="0"/>
      <w:marRight w:val="0"/>
      <w:marTop w:val="0"/>
      <w:marBottom w:val="0"/>
      <w:divBdr>
        <w:top w:val="none" w:sz="0" w:space="0" w:color="auto"/>
        <w:left w:val="none" w:sz="0" w:space="0" w:color="auto"/>
        <w:bottom w:val="none" w:sz="0" w:space="0" w:color="auto"/>
        <w:right w:val="none" w:sz="0" w:space="0" w:color="auto"/>
      </w:divBdr>
      <w:divsChild>
        <w:div w:id="2057124504">
          <w:marLeft w:val="0"/>
          <w:marRight w:val="0"/>
          <w:marTop w:val="0"/>
          <w:marBottom w:val="75"/>
          <w:divBdr>
            <w:top w:val="none" w:sz="0" w:space="0" w:color="auto"/>
            <w:left w:val="none" w:sz="0" w:space="0" w:color="auto"/>
            <w:bottom w:val="none" w:sz="0" w:space="0" w:color="auto"/>
            <w:right w:val="none" w:sz="0" w:space="0" w:color="auto"/>
          </w:divBdr>
        </w:div>
        <w:div w:id="1788309771">
          <w:marLeft w:val="0"/>
          <w:marRight w:val="0"/>
          <w:marTop w:val="0"/>
          <w:marBottom w:val="75"/>
          <w:divBdr>
            <w:top w:val="none" w:sz="0" w:space="0" w:color="auto"/>
            <w:left w:val="none" w:sz="0" w:space="0" w:color="auto"/>
            <w:bottom w:val="none" w:sz="0" w:space="0" w:color="auto"/>
            <w:right w:val="none" w:sz="0" w:space="0" w:color="auto"/>
          </w:divBdr>
        </w:div>
      </w:divsChild>
    </w:div>
    <w:div w:id="1549490590">
      <w:bodyDiv w:val="1"/>
      <w:marLeft w:val="0"/>
      <w:marRight w:val="0"/>
      <w:marTop w:val="0"/>
      <w:marBottom w:val="0"/>
      <w:divBdr>
        <w:top w:val="none" w:sz="0" w:space="0" w:color="auto"/>
        <w:left w:val="none" w:sz="0" w:space="0" w:color="auto"/>
        <w:bottom w:val="none" w:sz="0" w:space="0" w:color="auto"/>
        <w:right w:val="none" w:sz="0" w:space="0" w:color="auto"/>
      </w:divBdr>
    </w:div>
    <w:div w:id="1551726582">
      <w:bodyDiv w:val="1"/>
      <w:marLeft w:val="0"/>
      <w:marRight w:val="0"/>
      <w:marTop w:val="0"/>
      <w:marBottom w:val="0"/>
      <w:divBdr>
        <w:top w:val="none" w:sz="0" w:space="0" w:color="auto"/>
        <w:left w:val="none" w:sz="0" w:space="0" w:color="auto"/>
        <w:bottom w:val="none" w:sz="0" w:space="0" w:color="auto"/>
        <w:right w:val="none" w:sz="0" w:space="0" w:color="auto"/>
      </w:divBdr>
      <w:divsChild>
        <w:div w:id="793258602">
          <w:marLeft w:val="0"/>
          <w:marRight w:val="0"/>
          <w:marTop w:val="0"/>
          <w:marBottom w:val="0"/>
          <w:divBdr>
            <w:top w:val="none" w:sz="0" w:space="0" w:color="auto"/>
            <w:left w:val="none" w:sz="0" w:space="0" w:color="auto"/>
            <w:bottom w:val="none" w:sz="0" w:space="0" w:color="auto"/>
            <w:right w:val="none" w:sz="0" w:space="0" w:color="auto"/>
          </w:divBdr>
        </w:div>
        <w:div w:id="1278836270">
          <w:marLeft w:val="0"/>
          <w:marRight w:val="0"/>
          <w:marTop w:val="0"/>
          <w:marBottom w:val="0"/>
          <w:divBdr>
            <w:top w:val="none" w:sz="0" w:space="0" w:color="auto"/>
            <w:left w:val="none" w:sz="0" w:space="0" w:color="auto"/>
            <w:bottom w:val="none" w:sz="0" w:space="0" w:color="auto"/>
            <w:right w:val="none" w:sz="0" w:space="0" w:color="auto"/>
          </w:divBdr>
        </w:div>
      </w:divsChild>
    </w:div>
    <w:div w:id="1596597455">
      <w:bodyDiv w:val="1"/>
      <w:marLeft w:val="0"/>
      <w:marRight w:val="0"/>
      <w:marTop w:val="0"/>
      <w:marBottom w:val="0"/>
      <w:divBdr>
        <w:top w:val="none" w:sz="0" w:space="0" w:color="auto"/>
        <w:left w:val="none" w:sz="0" w:space="0" w:color="auto"/>
        <w:bottom w:val="none" w:sz="0" w:space="0" w:color="auto"/>
        <w:right w:val="none" w:sz="0" w:space="0" w:color="auto"/>
      </w:divBdr>
      <w:divsChild>
        <w:div w:id="1196117237">
          <w:marLeft w:val="0"/>
          <w:marRight w:val="0"/>
          <w:marTop w:val="0"/>
          <w:marBottom w:val="0"/>
          <w:divBdr>
            <w:top w:val="none" w:sz="0" w:space="0" w:color="auto"/>
            <w:left w:val="none" w:sz="0" w:space="0" w:color="auto"/>
            <w:bottom w:val="none" w:sz="0" w:space="0" w:color="auto"/>
            <w:right w:val="none" w:sz="0" w:space="0" w:color="auto"/>
          </w:divBdr>
        </w:div>
        <w:div w:id="1866288746">
          <w:marLeft w:val="0"/>
          <w:marRight w:val="0"/>
          <w:marTop w:val="0"/>
          <w:marBottom w:val="0"/>
          <w:divBdr>
            <w:top w:val="none" w:sz="0" w:space="0" w:color="auto"/>
            <w:left w:val="none" w:sz="0" w:space="0" w:color="auto"/>
            <w:bottom w:val="none" w:sz="0" w:space="0" w:color="auto"/>
            <w:right w:val="none" w:sz="0" w:space="0" w:color="auto"/>
          </w:divBdr>
        </w:div>
      </w:divsChild>
    </w:div>
    <w:div w:id="1651641118">
      <w:bodyDiv w:val="1"/>
      <w:marLeft w:val="0"/>
      <w:marRight w:val="0"/>
      <w:marTop w:val="0"/>
      <w:marBottom w:val="0"/>
      <w:divBdr>
        <w:top w:val="none" w:sz="0" w:space="0" w:color="auto"/>
        <w:left w:val="none" w:sz="0" w:space="0" w:color="auto"/>
        <w:bottom w:val="none" w:sz="0" w:space="0" w:color="auto"/>
        <w:right w:val="none" w:sz="0" w:space="0" w:color="auto"/>
      </w:divBdr>
      <w:divsChild>
        <w:div w:id="1203634770">
          <w:marLeft w:val="0"/>
          <w:marRight w:val="0"/>
          <w:marTop w:val="0"/>
          <w:marBottom w:val="0"/>
          <w:divBdr>
            <w:top w:val="none" w:sz="0" w:space="0" w:color="auto"/>
            <w:left w:val="none" w:sz="0" w:space="0" w:color="auto"/>
            <w:bottom w:val="none" w:sz="0" w:space="0" w:color="auto"/>
            <w:right w:val="none" w:sz="0" w:space="0" w:color="auto"/>
          </w:divBdr>
        </w:div>
        <w:div w:id="484198998">
          <w:marLeft w:val="0"/>
          <w:marRight w:val="0"/>
          <w:marTop w:val="0"/>
          <w:marBottom w:val="0"/>
          <w:divBdr>
            <w:top w:val="none" w:sz="0" w:space="0" w:color="auto"/>
            <w:left w:val="none" w:sz="0" w:space="0" w:color="auto"/>
            <w:bottom w:val="none" w:sz="0" w:space="0" w:color="auto"/>
            <w:right w:val="none" w:sz="0" w:space="0" w:color="auto"/>
          </w:divBdr>
        </w:div>
      </w:divsChild>
    </w:div>
    <w:div w:id="1697384476">
      <w:bodyDiv w:val="1"/>
      <w:marLeft w:val="0"/>
      <w:marRight w:val="0"/>
      <w:marTop w:val="0"/>
      <w:marBottom w:val="0"/>
      <w:divBdr>
        <w:top w:val="none" w:sz="0" w:space="0" w:color="auto"/>
        <w:left w:val="none" w:sz="0" w:space="0" w:color="auto"/>
        <w:bottom w:val="none" w:sz="0" w:space="0" w:color="auto"/>
        <w:right w:val="none" w:sz="0" w:space="0" w:color="auto"/>
      </w:divBdr>
    </w:div>
    <w:div w:id="1722829935">
      <w:bodyDiv w:val="1"/>
      <w:marLeft w:val="0"/>
      <w:marRight w:val="0"/>
      <w:marTop w:val="0"/>
      <w:marBottom w:val="0"/>
      <w:divBdr>
        <w:top w:val="none" w:sz="0" w:space="0" w:color="auto"/>
        <w:left w:val="none" w:sz="0" w:space="0" w:color="auto"/>
        <w:bottom w:val="none" w:sz="0" w:space="0" w:color="auto"/>
        <w:right w:val="none" w:sz="0" w:space="0" w:color="auto"/>
      </w:divBdr>
      <w:divsChild>
        <w:div w:id="271516174">
          <w:marLeft w:val="0"/>
          <w:marRight w:val="0"/>
          <w:marTop w:val="0"/>
          <w:marBottom w:val="0"/>
          <w:divBdr>
            <w:top w:val="none" w:sz="0" w:space="0" w:color="auto"/>
            <w:left w:val="none" w:sz="0" w:space="0" w:color="auto"/>
            <w:bottom w:val="none" w:sz="0" w:space="0" w:color="auto"/>
            <w:right w:val="none" w:sz="0" w:space="0" w:color="auto"/>
          </w:divBdr>
          <w:divsChild>
            <w:div w:id="1308823423">
              <w:marLeft w:val="0"/>
              <w:marRight w:val="0"/>
              <w:marTop w:val="0"/>
              <w:marBottom w:val="0"/>
              <w:divBdr>
                <w:top w:val="none" w:sz="0" w:space="0" w:color="auto"/>
                <w:left w:val="none" w:sz="0" w:space="0" w:color="auto"/>
                <w:bottom w:val="none" w:sz="0" w:space="0" w:color="auto"/>
                <w:right w:val="none" w:sz="0" w:space="0" w:color="auto"/>
              </w:divBdr>
              <w:divsChild>
                <w:div w:id="939143016">
                  <w:marLeft w:val="0"/>
                  <w:marRight w:val="0"/>
                  <w:marTop w:val="0"/>
                  <w:marBottom w:val="0"/>
                  <w:divBdr>
                    <w:top w:val="none" w:sz="0" w:space="0" w:color="auto"/>
                    <w:left w:val="none" w:sz="0" w:space="0" w:color="auto"/>
                    <w:bottom w:val="none" w:sz="0" w:space="0" w:color="auto"/>
                    <w:right w:val="none" w:sz="0" w:space="0" w:color="auto"/>
                  </w:divBdr>
                  <w:divsChild>
                    <w:div w:id="273907442">
                      <w:marLeft w:val="0"/>
                      <w:marRight w:val="0"/>
                      <w:marTop w:val="0"/>
                      <w:marBottom w:val="0"/>
                      <w:divBdr>
                        <w:top w:val="none" w:sz="0" w:space="0" w:color="auto"/>
                        <w:left w:val="none" w:sz="0" w:space="0" w:color="auto"/>
                        <w:bottom w:val="none" w:sz="0" w:space="0" w:color="auto"/>
                        <w:right w:val="none" w:sz="0" w:space="0" w:color="auto"/>
                      </w:divBdr>
                      <w:divsChild>
                        <w:div w:id="1446926136">
                          <w:marLeft w:val="0"/>
                          <w:marRight w:val="0"/>
                          <w:marTop w:val="0"/>
                          <w:marBottom w:val="0"/>
                          <w:divBdr>
                            <w:top w:val="none" w:sz="0" w:space="0" w:color="auto"/>
                            <w:left w:val="none" w:sz="0" w:space="0" w:color="auto"/>
                            <w:bottom w:val="none" w:sz="0" w:space="0" w:color="auto"/>
                            <w:right w:val="none" w:sz="0" w:space="0" w:color="auto"/>
                          </w:divBdr>
                          <w:divsChild>
                            <w:div w:id="86273801">
                              <w:marLeft w:val="0"/>
                              <w:marRight w:val="0"/>
                              <w:marTop w:val="0"/>
                              <w:marBottom w:val="0"/>
                              <w:divBdr>
                                <w:top w:val="none" w:sz="0" w:space="0" w:color="auto"/>
                                <w:left w:val="none" w:sz="0" w:space="0" w:color="auto"/>
                                <w:bottom w:val="none" w:sz="0" w:space="0" w:color="auto"/>
                                <w:right w:val="none" w:sz="0" w:space="0" w:color="auto"/>
                              </w:divBdr>
                              <w:divsChild>
                                <w:div w:id="535697134">
                                  <w:marLeft w:val="0"/>
                                  <w:marRight w:val="0"/>
                                  <w:marTop w:val="0"/>
                                  <w:marBottom w:val="0"/>
                                  <w:divBdr>
                                    <w:top w:val="none" w:sz="0" w:space="0" w:color="auto"/>
                                    <w:left w:val="none" w:sz="0" w:space="0" w:color="auto"/>
                                    <w:bottom w:val="none" w:sz="0" w:space="0" w:color="auto"/>
                                    <w:right w:val="none" w:sz="0" w:space="0" w:color="auto"/>
                                  </w:divBdr>
                                  <w:divsChild>
                                    <w:div w:id="1834375989">
                                      <w:marLeft w:val="0"/>
                                      <w:marRight w:val="0"/>
                                      <w:marTop w:val="0"/>
                                      <w:marBottom w:val="0"/>
                                      <w:divBdr>
                                        <w:top w:val="none" w:sz="0" w:space="0" w:color="auto"/>
                                        <w:left w:val="none" w:sz="0" w:space="0" w:color="auto"/>
                                        <w:bottom w:val="none" w:sz="0" w:space="0" w:color="auto"/>
                                        <w:right w:val="none" w:sz="0" w:space="0" w:color="auto"/>
                                      </w:divBdr>
                                      <w:divsChild>
                                        <w:div w:id="132782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84076">
                                  <w:marLeft w:val="0"/>
                                  <w:marRight w:val="0"/>
                                  <w:marTop w:val="0"/>
                                  <w:marBottom w:val="0"/>
                                  <w:divBdr>
                                    <w:top w:val="none" w:sz="0" w:space="0" w:color="auto"/>
                                    <w:left w:val="none" w:sz="0" w:space="0" w:color="auto"/>
                                    <w:bottom w:val="none" w:sz="0" w:space="0" w:color="auto"/>
                                    <w:right w:val="none" w:sz="0" w:space="0" w:color="auto"/>
                                  </w:divBdr>
                                  <w:divsChild>
                                    <w:div w:id="74823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6952620">
      <w:bodyDiv w:val="1"/>
      <w:marLeft w:val="0"/>
      <w:marRight w:val="0"/>
      <w:marTop w:val="0"/>
      <w:marBottom w:val="0"/>
      <w:divBdr>
        <w:top w:val="none" w:sz="0" w:space="0" w:color="auto"/>
        <w:left w:val="none" w:sz="0" w:space="0" w:color="auto"/>
        <w:bottom w:val="none" w:sz="0" w:space="0" w:color="auto"/>
        <w:right w:val="none" w:sz="0" w:space="0" w:color="auto"/>
      </w:divBdr>
    </w:div>
    <w:div w:id="1757432836">
      <w:bodyDiv w:val="1"/>
      <w:marLeft w:val="0"/>
      <w:marRight w:val="0"/>
      <w:marTop w:val="0"/>
      <w:marBottom w:val="0"/>
      <w:divBdr>
        <w:top w:val="none" w:sz="0" w:space="0" w:color="auto"/>
        <w:left w:val="none" w:sz="0" w:space="0" w:color="auto"/>
        <w:bottom w:val="none" w:sz="0" w:space="0" w:color="auto"/>
        <w:right w:val="none" w:sz="0" w:space="0" w:color="auto"/>
      </w:divBdr>
    </w:div>
    <w:div w:id="1770271441">
      <w:bodyDiv w:val="1"/>
      <w:marLeft w:val="0"/>
      <w:marRight w:val="0"/>
      <w:marTop w:val="0"/>
      <w:marBottom w:val="0"/>
      <w:divBdr>
        <w:top w:val="none" w:sz="0" w:space="0" w:color="auto"/>
        <w:left w:val="none" w:sz="0" w:space="0" w:color="auto"/>
        <w:bottom w:val="none" w:sz="0" w:space="0" w:color="auto"/>
        <w:right w:val="none" w:sz="0" w:space="0" w:color="auto"/>
      </w:divBdr>
      <w:divsChild>
        <w:div w:id="918683891">
          <w:marLeft w:val="0"/>
          <w:marRight w:val="0"/>
          <w:marTop w:val="0"/>
          <w:marBottom w:val="0"/>
          <w:divBdr>
            <w:top w:val="none" w:sz="0" w:space="0" w:color="auto"/>
            <w:left w:val="none" w:sz="0" w:space="0" w:color="auto"/>
            <w:bottom w:val="none" w:sz="0" w:space="0" w:color="auto"/>
            <w:right w:val="none" w:sz="0" w:space="0" w:color="auto"/>
          </w:divBdr>
        </w:div>
        <w:div w:id="1741438396">
          <w:marLeft w:val="0"/>
          <w:marRight w:val="0"/>
          <w:marTop w:val="0"/>
          <w:marBottom w:val="0"/>
          <w:divBdr>
            <w:top w:val="none" w:sz="0" w:space="0" w:color="auto"/>
            <w:left w:val="none" w:sz="0" w:space="0" w:color="auto"/>
            <w:bottom w:val="none" w:sz="0" w:space="0" w:color="auto"/>
            <w:right w:val="none" w:sz="0" w:space="0" w:color="auto"/>
          </w:divBdr>
        </w:div>
      </w:divsChild>
    </w:div>
    <w:div w:id="1804033367">
      <w:bodyDiv w:val="1"/>
      <w:marLeft w:val="0"/>
      <w:marRight w:val="0"/>
      <w:marTop w:val="0"/>
      <w:marBottom w:val="0"/>
      <w:divBdr>
        <w:top w:val="none" w:sz="0" w:space="0" w:color="auto"/>
        <w:left w:val="none" w:sz="0" w:space="0" w:color="auto"/>
        <w:bottom w:val="none" w:sz="0" w:space="0" w:color="auto"/>
        <w:right w:val="none" w:sz="0" w:space="0" w:color="auto"/>
      </w:divBdr>
    </w:div>
    <w:div w:id="1819297548">
      <w:bodyDiv w:val="1"/>
      <w:marLeft w:val="0"/>
      <w:marRight w:val="0"/>
      <w:marTop w:val="0"/>
      <w:marBottom w:val="0"/>
      <w:divBdr>
        <w:top w:val="none" w:sz="0" w:space="0" w:color="auto"/>
        <w:left w:val="none" w:sz="0" w:space="0" w:color="auto"/>
        <w:bottom w:val="none" w:sz="0" w:space="0" w:color="auto"/>
        <w:right w:val="none" w:sz="0" w:space="0" w:color="auto"/>
      </w:divBdr>
      <w:divsChild>
        <w:div w:id="1466853079">
          <w:marLeft w:val="0"/>
          <w:marRight w:val="0"/>
          <w:marTop w:val="0"/>
          <w:marBottom w:val="0"/>
          <w:divBdr>
            <w:top w:val="none" w:sz="0" w:space="0" w:color="auto"/>
            <w:left w:val="none" w:sz="0" w:space="0" w:color="auto"/>
            <w:bottom w:val="none" w:sz="0" w:space="0" w:color="auto"/>
            <w:right w:val="none" w:sz="0" w:space="0" w:color="auto"/>
          </w:divBdr>
        </w:div>
        <w:div w:id="1663582709">
          <w:marLeft w:val="0"/>
          <w:marRight w:val="0"/>
          <w:marTop w:val="0"/>
          <w:marBottom w:val="0"/>
          <w:divBdr>
            <w:top w:val="none" w:sz="0" w:space="0" w:color="auto"/>
            <w:left w:val="none" w:sz="0" w:space="0" w:color="auto"/>
            <w:bottom w:val="none" w:sz="0" w:space="0" w:color="auto"/>
            <w:right w:val="none" w:sz="0" w:space="0" w:color="auto"/>
          </w:divBdr>
        </w:div>
      </w:divsChild>
    </w:div>
    <w:div w:id="1832528182">
      <w:bodyDiv w:val="1"/>
      <w:marLeft w:val="0"/>
      <w:marRight w:val="0"/>
      <w:marTop w:val="0"/>
      <w:marBottom w:val="0"/>
      <w:divBdr>
        <w:top w:val="none" w:sz="0" w:space="0" w:color="auto"/>
        <w:left w:val="none" w:sz="0" w:space="0" w:color="auto"/>
        <w:bottom w:val="none" w:sz="0" w:space="0" w:color="auto"/>
        <w:right w:val="none" w:sz="0" w:space="0" w:color="auto"/>
      </w:divBdr>
    </w:div>
    <w:div w:id="1846356751">
      <w:bodyDiv w:val="1"/>
      <w:marLeft w:val="0"/>
      <w:marRight w:val="0"/>
      <w:marTop w:val="0"/>
      <w:marBottom w:val="0"/>
      <w:divBdr>
        <w:top w:val="none" w:sz="0" w:space="0" w:color="auto"/>
        <w:left w:val="none" w:sz="0" w:space="0" w:color="auto"/>
        <w:bottom w:val="none" w:sz="0" w:space="0" w:color="auto"/>
        <w:right w:val="none" w:sz="0" w:space="0" w:color="auto"/>
      </w:divBdr>
    </w:div>
    <w:div w:id="1858226052">
      <w:bodyDiv w:val="1"/>
      <w:marLeft w:val="0"/>
      <w:marRight w:val="0"/>
      <w:marTop w:val="0"/>
      <w:marBottom w:val="0"/>
      <w:divBdr>
        <w:top w:val="none" w:sz="0" w:space="0" w:color="auto"/>
        <w:left w:val="none" w:sz="0" w:space="0" w:color="auto"/>
        <w:bottom w:val="none" w:sz="0" w:space="0" w:color="auto"/>
        <w:right w:val="none" w:sz="0" w:space="0" w:color="auto"/>
      </w:divBdr>
      <w:divsChild>
        <w:div w:id="1608611625">
          <w:marLeft w:val="0"/>
          <w:marRight w:val="0"/>
          <w:marTop w:val="0"/>
          <w:marBottom w:val="0"/>
          <w:divBdr>
            <w:top w:val="none" w:sz="0" w:space="0" w:color="auto"/>
            <w:left w:val="none" w:sz="0" w:space="0" w:color="auto"/>
            <w:bottom w:val="none" w:sz="0" w:space="0" w:color="auto"/>
            <w:right w:val="none" w:sz="0" w:space="0" w:color="auto"/>
          </w:divBdr>
        </w:div>
        <w:div w:id="456533858">
          <w:marLeft w:val="0"/>
          <w:marRight w:val="0"/>
          <w:marTop w:val="0"/>
          <w:marBottom w:val="0"/>
          <w:divBdr>
            <w:top w:val="none" w:sz="0" w:space="0" w:color="auto"/>
            <w:left w:val="none" w:sz="0" w:space="0" w:color="auto"/>
            <w:bottom w:val="none" w:sz="0" w:space="0" w:color="auto"/>
            <w:right w:val="none" w:sz="0" w:space="0" w:color="auto"/>
          </w:divBdr>
        </w:div>
      </w:divsChild>
    </w:div>
    <w:div w:id="1879778900">
      <w:bodyDiv w:val="1"/>
      <w:marLeft w:val="0"/>
      <w:marRight w:val="0"/>
      <w:marTop w:val="0"/>
      <w:marBottom w:val="0"/>
      <w:divBdr>
        <w:top w:val="none" w:sz="0" w:space="0" w:color="auto"/>
        <w:left w:val="none" w:sz="0" w:space="0" w:color="auto"/>
        <w:bottom w:val="none" w:sz="0" w:space="0" w:color="auto"/>
        <w:right w:val="none" w:sz="0" w:space="0" w:color="auto"/>
      </w:divBdr>
    </w:div>
    <w:div w:id="1911764443">
      <w:bodyDiv w:val="1"/>
      <w:marLeft w:val="0"/>
      <w:marRight w:val="0"/>
      <w:marTop w:val="0"/>
      <w:marBottom w:val="0"/>
      <w:divBdr>
        <w:top w:val="none" w:sz="0" w:space="0" w:color="auto"/>
        <w:left w:val="none" w:sz="0" w:space="0" w:color="auto"/>
        <w:bottom w:val="none" w:sz="0" w:space="0" w:color="auto"/>
        <w:right w:val="none" w:sz="0" w:space="0" w:color="auto"/>
      </w:divBdr>
    </w:div>
    <w:div w:id="1958943845">
      <w:bodyDiv w:val="1"/>
      <w:marLeft w:val="0"/>
      <w:marRight w:val="0"/>
      <w:marTop w:val="0"/>
      <w:marBottom w:val="0"/>
      <w:divBdr>
        <w:top w:val="none" w:sz="0" w:space="0" w:color="auto"/>
        <w:left w:val="none" w:sz="0" w:space="0" w:color="auto"/>
        <w:bottom w:val="none" w:sz="0" w:space="0" w:color="auto"/>
        <w:right w:val="none" w:sz="0" w:space="0" w:color="auto"/>
      </w:divBdr>
      <w:divsChild>
        <w:div w:id="115489899">
          <w:marLeft w:val="360"/>
          <w:marRight w:val="0"/>
          <w:marTop w:val="200"/>
          <w:marBottom w:val="160"/>
          <w:divBdr>
            <w:top w:val="none" w:sz="0" w:space="0" w:color="auto"/>
            <w:left w:val="none" w:sz="0" w:space="0" w:color="auto"/>
            <w:bottom w:val="none" w:sz="0" w:space="0" w:color="auto"/>
            <w:right w:val="none" w:sz="0" w:space="0" w:color="auto"/>
          </w:divBdr>
        </w:div>
      </w:divsChild>
    </w:div>
    <w:div w:id="2087414347">
      <w:bodyDiv w:val="1"/>
      <w:marLeft w:val="0"/>
      <w:marRight w:val="0"/>
      <w:marTop w:val="0"/>
      <w:marBottom w:val="0"/>
      <w:divBdr>
        <w:top w:val="none" w:sz="0" w:space="0" w:color="auto"/>
        <w:left w:val="none" w:sz="0" w:space="0" w:color="auto"/>
        <w:bottom w:val="none" w:sz="0" w:space="0" w:color="auto"/>
        <w:right w:val="none" w:sz="0" w:space="0" w:color="auto"/>
      </w:divBdr>
      <w:divsChild>
        <w:div w:id="127356907">
          <w:marLeft w:val="0"/>
          <w:marRight w:val="0"/>
          <w:marTop w:val="0"/>
          <w:marBottom w:val="0"/>
          <w:divBdr>
            <w:top w:val="none" w:sz="0" w:space="0" w:color="auto"/>
            <w:left w:val="none" w:sz="0" w:space="0" w:color="auto"/>
            <w:bottom w:val="none" w:sz="0" w:space="0" w:color="auto"/>
            <w:right w:val="none" w:sz="0" w:space="0" w:color="auto"/>
          </w:divBdr>
          <w:divsChild>
            <w:div w:id="864098479">
              <w:marLeft w:val="0"/>
              <w:marRight w:val="0"/>
              <w:marTop w:val="0"/>
              <w:marBottom w:val="0"/>
              <w:divBdr>
                <w:top w:val="none" w:sz="0" w:space="0" w:color="auto"/>
                <w:left w:val="none" w:sz="0" w:space="0" w:color="auto"/>
                <w:bottom w:val="none" w:sz="0" w:space="0" w:color="auto"/>
                <w:right w:val="none" w:sz="0" w:space="0" w:color="auto"/>
              </w:divBdr>
              <w:divsChild>
                <w:div w:id="1835800659">
                  <w:marLeft w:val="0"/>
                  <w:marRight w:val="0"/>
                  <w:marTop w:val="0"/>
                  <w:marBottom w:val="0"/>
                  <w:divBdr>
                    <w:top w:val="none" w:sz="0" w:space="0" w:color="auto"/>
                    <w:left w:val="none" w:sz="0" w:space="0" w:color="auto"/>
                    <w:bottom w:val="none" w:sz="0" w:space="0" w:color="auto"/>
                    <w:right w:val="none" w:sz="0" w:space="0" w:color="auto"/>
                  </w:divBdr>
                  <w:divsChild>
                    <w:div w:id="1663969032">
                      <w:marLeft w:val="0"/>
                      <w:marRight w:val="0"/>
                      <w:marTop w:val="0"/>
                      <w:marBottom w:val="0"/>
                      <w:divBdr>
                        <w:top w:val="none" w:sz="0" w:space="0" w:color="auto"/>
                        <w:left w:val="none" w:sz="0" w:space="0" w:color="auto"/>
                        <w:bottom w:val="none" w:sz="0" w:space="0" w:color="auto"/>
                        <w:right w:val="none" w:sz="0" w:space="0" w:color="auto"/>
                      </w:divBdr>
                      <w:divsChild>
                        <w:div w:id="1221864213">
                          <w:marLeft w:val="0"/>
                          <w:marRight w:val="0"/>
                          <w:marTop w:val="0"/>
                          <w:marBottom w:val="0"/>
                          <w:divBdr>
                            <w:top w:val="none" w:sz="0" w:space="0" w:color="auto"/>
                            <w:left w:val="none" w:sz="0" w:space="0" w:color="auto"/>
                            <w:bottom w:val="none" w:sz="0" w:space="0" w:color="auto"/>
                            <w:right w:val="none" w:sz="0" w:space="0" w:color="auto"/>
                          </w:divBdr>
                          <w:divsChild>
                            <w:div w:id="1814709445">
                              <w:marLeft w:val="0"/>
                              <w:marRight w:val="0"/>
                              <w:marTop w:val="0"/>
                              <w:marBottom w:val="0"/>
                              <w:divBdr>
                                <w:top w:val="none" w:sz="0" w:space="0" w:color="auto"/>
                                <w:left w:val="none" w:sz="0" w:space="0" w:color="auto"/>
                                <w:bottom w:val="none" w:sz="0" w:space="0" w:color="auto"/>
                                <w:right w:val="none" w:sz="0" w:space="0" w:color="auto"/>
                              </w:divBdr>
                              <w:divsChild>
                                <w:div w:id="1775901020">
                                  <w:marLeft w:val="0"/>
                                  <w:marRight w:val="0"/>
                                  <w:marTop w:val="0"/>
                                  <w:marBottom w:val="0"/>
                                  <w:divBdr>
                                    <w:top w:val="none" w:sz="0" w:space="0" w:color="auto"/>
                                    <w:left w:val="none" w:sz="0" w:space="0" w:color="auto"/>
                                    <w:bottom w:val="none" w:sz="0" w:space="0" w:color="auto"/>
                                    <w:right w:val="none" w:sz="0" w:space="0" w:color="auto"/>
                                  </w:divBdr>
                                  <w:divsChild>
                                    <w:div w:id="1748451892">
                                      <w:marLeft w:val="0"/>
                                      <w:marRight w:val="0"/>
                                      <w:marTop w:val="0"/>
                                      <w:marBottom w:val="0"/>
                                      <w:divBdr>
                                        <w:top w:val="none" w:sz="0" w:space="0" w:color="auto"/>
                                        <w:left w:val="none" w:sz="0" w:space="0" w:color="auto"/>
                                        <w:bottom w:val="none" w:sz="0" w:space="0" w:color="auto"/>
                                        <w:right w:val="none" w:sz="0" w:space="0" w:color="auto"/>
                                      </w:divBdr>
                                      <w:divsChild>
                                        <w:div w:id="23240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26470">
                                  <w:marLeft w:val="0"/>
                                  <w:marRight w:val="0"/>
                                  <w:marTop w:val="0"/>
                                  <w:marBottom w:val="0"/>
                                  <w:divBdr>
                                    <w:top w:val="none" w:sz="0" w:space="0" w:color="auto"/>
                                    <w:left w:val="none" w:sz="0" w:space="0" w:color="auto"/>
                                    <w:bottom w:val="none" w:sz="0" w:space="0" w:color="auto"/>
                                    <w:right w:val="none" w:sz="0" w:space="0" w:color="auto"/>
                                  </w:divBdr>
                                  <w:divsChild>
                                    <w:div w:id="47199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4273019">
      <w:bodyDiv w:val="1"/>
      <w:marLeft w:val="0"/>
      <w:marRight w:val="0"/>
      <w:marTop w:val="0"/>
      <w:marBottom w:val="0"/>
      <w:divBdr>
        <w:top w:val="none" w:sz="0" w:space="0" w:color="auto"/>
        <w:left w:val="none" w:sz="0" w:space="0" w:color="auto"/>
        <w:bottom w:val="none" w:sz="0" w:space="0" w:color="auto"/>
        <w:right w:val="none" w:sz="0" w:space="0" w:color="auto"/>
      </w:divBdr>
      <w:divsChild>
        <w:div w:id="426968247">
          <w:marLeft w:val="0"/>
          <w:marRight w:val="0"/>
          <w:marTop w:val="0"/>
          <w:marBottom w:val="120"/>
          <w:divBdr>
            <w:top w:val="none" w:sz="0" w:space="0" w:color="auto"/>
            <w:left w:val="none" w:sz="0" w:space="0" w:color="auto"/>
            <w:bottom w:val="none" w:sz="0" w:space="0" w:color="auto"/>
            <w:right w:val="none" w:sz="0" w:space="0" w:color="auto"/>
          </w:divBdr>
        </w:div>
      </w:divsChild>
    </w:div>
    <w:div w:id="2129665363">
      <w:bodyDiv w:val="1"/>
      <w:marLeft w:val="0"/>
      <w:marRight w:val="0"/>
      <w:marTop w:val="0"/>
      <w:marBottom w:val="0"/>
      <w:divBdr>
        <w:top w:val="none" w:sz="0" w:space="0" w:color="auto"/>
        <w:left w:val="none" w:sz="0" w:space="0" w:color="auto"/>
        <w:bottom w:val="none" w:sz="0" w:space="0" w:color="auto"/>
        <w:right w:val="none" w:sz="0" w:space="0" w:color="auto"/>
      </w:divBdr>
      <w:divsChild>
        <w:div w:id="2104104590">
          <w:marLeft w:val="0"/>
          <w:marRight w:val="0"/>
          <w:marTop w:val="0"/>
          <w:marBottom w:val="0"/>
          <w:divBdr>
            <w:top w:val="none" w:sz="0" w:space="0" w:color="auto"/>
            <w:left w:val="none" w:sz="0" w:space="0" w:color="auto"/>
            <w:bottom w:val="none" w:sz="0" w:space="0" w:color="auto"/>
            <w:right w:val="none" w:sz="0" w:space="0" w:color="auto"/>
          </w:divBdr>
        </w:div>
        <w:div w:id="16896725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3390/socsci809025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2349</TotalTime>
  <Pages>23</Pages>
  <Words>6307</Words>
  <Characters>35955</Characters>
  <Application>Microsoft Office Word</Application>
  <DocSecurity>0</DocSecurity>
  <Lines>299</Lines>
  <Paragraphs>84</Paragraphs>
  <ScaleCrop>false</ScaleCrop>
  <Company>WORD COUNT – 3,489</Company>
  <LinksUpToDate>false</LinksUpToDate>
  <CharactersWithSpaces>42178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ECDE7012                            Assessment Component 2</dc:title>
  <dc:subject/>
  <dc:creator>Donna Morgan - 1051704</dc:creator>
  <cp:keywords/>
  <dc:description/>
  <cp:lastModifiedBy>Donna Morgan</cp:lastModifiedBy>
  <cp:revision>538</cp:revision>
  <dcterms:created xsi:type="dcterms:W3CDTF">2025-04-27T21:24:00Z</dcterms:created>
  <dcterms:modified xsi:type="dcterms:W3CDTF">2025-04-30T19:41:00Z</dcterms:modified>
</cp:coreProperties>
</file>