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17BB3" w14:textId="77777777" w:rsidR="00DA17A4" w:rsidRDefault="00DA17A4">
      <w:r>
        <w:t xml:space="preserve">GUIDE TO WRITING AN ANNOTATED BIBLIOGRAPHY WHAT IS AN ANNOTATED BIBLIOGRAPHY? </w:t>
      </w:r>
    </w:p>
    <w:p w14:paraId="5DEDC69A" w14:textId="228EE12F" w:rsidR="00DA17A4" w:rsidRPr="00EB6A8F" w:rsidRDefault="00DA17A4">
      <w:pPr>
        <w:rPr>
          <w:rFonts w:cstheme="minorHAnsi"/>
          <w:sz w:val="24"/>
          <w:szCs w:val="24"/>
        </w:rPr>
      </w:pPr>
      <w:r w:rsidRPr="00EB6A8F">
        <w:rPr>
          <w:rFonts w:cstheme="minorHAnsi"/>
          <w:sz w:val="24"/>
          <w:szCs w:val="24"/>
        </w:rPr>
        <w:t xml:space="preserve">An annotated bibliography is a list of citations, which can include books, journal articles and documents. Each citation is usually followed by a very brief description of the text and more importantly, a critical evaluation. </w:t>
      </w:r>
    </w:p>
    <w:p w14:paraId="34557B5D" w14:textId="77777777" w:rsidR="00DA17A4" w:rsidRPr="00EB6A8F" w:rsidRDefault="00DA17A4">
      <w:pPr>
        <w:rPr>
          <w:rFonts w:cstheme="minorHAnsi"/>
          <w:sz w:val="24"/>
          <w:szCs w:val="24"/>
        </w:rPr>
      </w:pPr>
      <w:r w:rsidRPr="00EB6A8F">
        <w:rPr>
          <w:rFonts w:cstheme="minorHAnsi"/>
          <w:sz w:val="24"/>
          <w:szCs w:val="24"/>
        </w:rPr>
        <w:t xml:space="preserve">This is often referred to as the annotation and should be </w:t>
      </w:r>
      <w:r w:rsidRPr="00430E84">
        <w:rPr>
          <w:rFonts w:cstheme="minorHAnsi"/>
          <w:b/>
          <w:bCs/>
          <w:sz w:val="24"/>
          <w:szCs w:val="24"/>
          <w:u w:val="single"/>
        </w:rPr>
        <w:t>between 100-200 words per citation</w:t>
      </w:r>
      <w:r w:rsidRPr="00EB6A8F">
        <w:rPr>
          <w:rFonts w:cstheme="minorHAnsi"/>
          <w:sz w:val="24"/>
          <w:szCs w:val="24"/>
        </w:rPr>
        <w:t xml:space="preserve">.   as detailed in your assignment brief. </w:t>
      </w:r>
    </w:p>
    <w:p w14:paraId="6401968C" w14:textId="77777777" w:rsidR="00DA17A4" w:rsidRPr="00EB6A8F" w:rsidRDefault="00DA17A4">
      <w:pPr>
        <w:rPr>
          <w:rFonts w:cstheme="minorHAnsi"/>
          <w:sz w:val="24"/>
          <w:szCs w:val="24"/>
        </w:rPr>
      </w:pPr>
      <w:r w:rsidRPr="00EB6A8F">
        <w:rPr>
          <w:rFonts w:cstheme="minorHAnsi"/>
          <w:sz w:val="24"/>
          <w:szCs w:val="24"/>
        </w:rPr>
        <w:t xml:space="preserve">The purpose of an annotated bibliography is to highlight the importance, accuracy and credibility of each cited source. </w:t>
      </w:r>
    </w:p>
    <w:p w14:paraId="1A252954" w14:textId="0DEF1F9B" w:rsidR="00DA17A4" w:rsidRPr="00EB6A8F" w:rsidRDefault="00DA17A4">
      <w:pPr>
        <w:rPr>
          <w:rFonts w:cstheme="minorHAnsi"/>
          <w:sz w:val="24"/>
          <w:szCs w:val="24"/>
        </w:rPr>
      </w:pPr>
      <w:r w:rsidRPr="00EB6A8F">
        <w:rPr>
          <w:rFonts w:cstheme="minorHAnsi"/>
          <w:sz w:val="24"/>
          <w:szCs w:val="24"/>
        </w:rPr>
        <w:t>An annotated bibliography may be set for an assignment in order to inform the reader</w:t>
      </w:r>
      <w:r w:rsidR="008B7A74">
        <w:rPr>
          <w:rFonts w:cstheme="minorHAnsi"/>
          <w:sz w:val="24"/>
          <w:szCs w:val="24"/>
        </w:rPr>
        <w:t>s</w:t>
      </w:r>
      <w:r w:rsidRPr="00EB6A8F">
        <w:rPr>
          <w:rFonts w:cstheme="minorHAnsi"/>
          <w:sz w:val="24"/>
          <w:szCs w:val="24"/>
        </w:rPr>
        <w:t xml:space="preserve"> (in this case</w:t>
      </w:r>
      <w:r w:rsidR="008B7A74">
        <w:rPr>
          <w:rFonts w:cstheme="minorHAnsi"/>
          <w:sz w:val="24"/>
          <w:szCs w:val="24"/>
        </w:rPr>
        <w:t xml:space="preserve"> for </w:t>
      </w:r>
      <w:r w:rsidR="002C500E">
        <w:rPr>
          <w:rFonts w:cstheme="minorHAnsi"/>
          <w:sz w:val="24"/>
          <w:szCs w:val="24"/>
        </w:rPr>
        <w:t>DBA candidate</w:t>
      </w:r>
      <w:r w:rsidRPr="00EB6A8F">
        <w:rPr>
          <w:rFonts w:cstheme="minorHAnsi"/>
          <w:sz w:val="24"/>
          <w:szCs w:val="24"/>
        </w:rPr>
        <w:t xml:space="preserve">) to choose sources that are relevant to your assignment topic. </w:t>
      </w:r>
    </w:p>
    <w:p w14:paraId="100480AF" w14:textId="77777777" w:rsidR="00DA17A4" w:rsidRPr="00EB6A8F" w:rsidRDefault="00DA17A4">
      <w:pPr>
        <w:rPr>
          <w:rFonts w:cstheme="minorHAnsi"/>
          <w:sz w:val="24"/>
          <w:szCs w:val="24"/>
        </w:rPr>
      </w:pPr>
      <w:r w:rsidRPr="00EB6A8F">
        <w:rPr>
          <w:rFonts w:cstheme="minorHAnsi"/>
          <w:sz w:val="24"/>
          <w:szCs w:val="24"/>
        </w:rPr>
        <w:t xml:space="preserve">This can also be used independently to identify key reading to support your understanding of a topic, which can then be drawn upon when completing your summative assessment. </w:t>
      </w:r>
    </w:p>
    <w:p w14:paraId="41573BB2" w14:textId="4A99F979" w:rsidR="00DA17A4" w:rsidRPr="00EB6A8F" w:rsidRDefault="00DA17A4">
      <w:pPr>
        <w:rPr>
          <w:rFonts w:cstheme="minorHAnsi"/>
          <w:sz w:val="24"/>
          <w:szCs w:val="24"/>
        </w:rPr>
      </w:pPr>
      <w:r w:rsidRPr="00EB6A8F">
        <w:rPr>
          <w:rFonts w:cstheme="minorHAnsi"/>
          <w:sz w:val="24"/>
          <w:szCs w:val="24"/>
        </w:rPr>
        <w:t xml:space="preserve">Writing an annotated bibliography will be beneficial to gain skills in organising data and developing a critical stance regarding published literature. </w:t>
      </w:r>
    </w:p>
    <w:p w14:paraId="137BB0C3" w14:textId="77777777" w:rsidR="00DA17A4" w:rsidRPr="00EB6A8F" w:rsidRDefault="00DA17A4" w:rsidP="00142635">
      <w:pPr>
        <w:spacing w:after="0" w:line="240" w:lineRule="auto"/>
        <w:rPr>
          <w:rFonts w:cstheme="minorHAnsi"/>
          <w:sz w:val="24"/>
          <w:szCs w:val="24"/>
        </w:rPr>
      </w:pPr>
      <w:r w:rsidRPr="00EB6A8F">
        <w:rPr>
          <w:rFonts w:cstheme="minorHAnsi"/>
          <w:sz w:val="24"/>
          <w:szCs w:val="24"/>
        </w:rPr>
        <w:t>THINGS TO THINK ABOUT: All of the sources cited will need to be correctly referenced using Harvard referencing System.</w:t>
      </w:r>
    </w:p>
    <w:p w14:paraId="7B556B8A" w14:textId="77777777" w:rsidR="00142635" w:rsidRDefault="00142635" w:rsidP="00142635">
      <w:pPr>
        <w:spacing w:after="0" w:line="240" w:lineRule="auto"/>
        <w:rPr>
          <w:rFonts w:cstheme="minorHAnsi"/>
          <w:sz w:val="24"/>
          <w:szCs w:val="24"/>
        </w:rPr>
      </w:pPr>
    </w:p>
    <w:p w14:paraId="4E611EEC" w14:textId="72BA9790" w:rsidR="00DA17A4" w:rsidRPr="00EB6A8F" w:rsidRDefault="00DA17A4" w:rsidP="00142635">
      <w:pPr>
        <w:spacing w:after="0" w:line="240" w:lineRule="auto"/>
        <w:rPr>
          <w:rFonts w:cstheme="minorHAnsi"/>
          <w:sz w:val="24"/>
          <w:szCs w:val="24"/>
        </w:rPr>
      </w:pPr>
      <w:r w:rsidRPr="00EB6A8F">
        <w:rPr>
          <w:rFonts w:cstheme="minorHAnsi"/>
          <w:sz w:val="24"/>
          <w:szCs w:val="24"/>
        </w:rPr>
        <w:t xml:space="preserve">The following information will need to be included in the annotation for each source: </w:t>
      </w:r>
    </w:p>
    <w:p w14:paraId="45FD6221" w14:textId="77777777" w:rsidR="00DA17A4"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Summary – what is it about? </w:t>
      </w:r>
    </w:p>
    <w:p w14:paraId="54DB68D7" w14:textId="77777777" w:rsidR="009766BD"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What is the author’s purpose, aim or research question? </w:t>
      </w:r>
    </w:p>
    <w:p w14:paraId="0E8C2831" w14:textId="6344BAFE" w:rsidR="00DA17A4"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w:t>
      </w:r>
      <w:r w:rsidR="009766BD" w:rsidRPr="00EB6A8F">
        <w:rPr>
          <w:rFonts w:cstheme="minorHAnsi"/>
          <w:sz w:val="24"/>
          <w:szCs w:val="24"/>
        </w:rPr>
        <w:t xml:space="preserve"> </w:t>
      </w:r>
      <w:r w:rsidRPr="00EB6A8F">
        <w:rPr>
          <w:rFonts w:cstheme="minorHAnsi"/>
          <w:sz w:val="24"/>
          <w:szCs w:val="24"/>
        </w:rPr>
        <w:t xml:space="preserve">What is the main argument, finding or conclusion </w:t>
      </w:r>
    </w:p>
    <w:p w14:paraId="29751261" w14:textId="77777777" w:rsidR="00DA17A4"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Evaluation – what do you think about the text? </w:t>
      </w:r>
    </w:p>
    <w:p w14:paraId="6BAB03CD" w14:textId="77777777" w:rsidR="00DA17A4"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Who is it written for? (e.g. the general public, health professionals, academic staff?) </w:t>
      </w:r>
    </w:p>
    <w:p w14:paraId="7BCCD482" w14:textId="77777777" w:rsidR="00DA17A4"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What do you think are the main strengths? </w:t>
      </w:r>
    </w:p>
    <w:p w14:paraId="7DF148B7" w14:textId="77777777" w:rsidR="00DA17A4"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Are there any weaknesses or flaws with the research? </w:t>
      </w:r>
    </w:p>
    <w:p w14:paraId="42F76AAA" w14:textId="2C7F7F1B" w:rsidR="00DA17A4"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Reflection – how might you use it? </w:t>
      </w:r>
    </w:p>
    <w:p w14:paraId="41223CA3" w14:textId="77777777" w:rsidR="00DA17A4"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Has the text helped you understand something more in depth? </w:t>
      </w:r>
    </w:p>
    <w:p w14:paraId="2D092081" w14:textId="77777777" w:rsidR="00DA17A4"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How useful is the research? </w:t>
      </w:r>
    </w:p>
    <w:p w14:paraId="310FD3C2" w14:textId="77777777" w:rsidR="00DA17A4" w:rsidRPr="00EB6A8F" w:rsidRDefault="00DA17A4" w:rsidP="00142635">
      <w:pPr>
        <w:spacing w:after="0" w:line="240" w:lineRule="auto"/>
        <w:ind w:left="720"/>
        <w:rPr>
          <w:rFonts w:cstheme="minorHAnsi"/>
          <w:sz w:val="24"/>
          <w:szCs w:val="24"/>
        </w:rPr>
      </w:pPr>
      <w:r w:rsidRPr="00EB6A8F">
        <w:rPr>
          <w:rFonts w:cstheme="minorHAnsi"/>
          <w:sz w:val="24"/>
          <w:szCs w:val="24"/>
        </w:rPr>
        <w:sym w:font="Symbol" w:char="F0B7"/>
      </w:r>
      <w:r w:rsidRPr="00EB6A8F">
        <w:rPr>
          <w:rFonts w:cstheme="minorHAnsi"/>
          <w:sz w:val="24"/>
          <w:szCs w:val="24"/>
        </w:rPr>
        <w:t xml:space="preserve"> How might you refer to it?</w:t>
      </w:r>
    </w:p>
    <w:p w14:paraId="42751A3A" w14:textId="77777777" w:rsidR="009766BD" w:rsidRPr="00EB6A8F" w:rsidRDefault="009766BD">
      <w:pPr>
        <w:rPr>
          <w:rFonts w:cstheme="minorHAnsi"/>
          <w:sz w:val="24"/>
          <w:szCs w:val="24"/>
        </w:rPr>
      </w:pPr>
    </w:p>
    <w:p w14:paraId="0412FE3A" w14:textId="7ADED9A9" w:rsidR="00DA17A4" w:rsidRPr="00EB6A8F" w:rsidRDefault="00DA17A4">
      <w:pPr>
        <w:rPr>
          <w:rFonts w:cstheme="minorHAnsi"/>
          <w:sz w:val="24"/>
          <w:szCs w:val="24"/>
        </w:rPr>
      </w:pPr>
      <w:r w:rsidRPr="00EB6A8F">
        <w:rPr>
          <w:rFonts w:cstheme="minorHAnsi"/>
          <w:sz w:val="24"/>
          <w:szCs w:val="24"/>
        </w:rPr>
        <w:t xml:space="preserve">EXAMPLES: The summary </w:t>
      </w:r>
      <w:r w:rsidR="009766BD" w:rsidRPr="00EB6A8F">
        <w:rPr>
          <w:rFonts w:cstheme="minorHAnsi"/>
          <w:sz w:val="24"/>
          <w:szCs w:val="24"/>
        </w:rPr>
        <w:t>b</w:t>
      </w:r>
      <w:r w:rsidRPr="00EB6A8F">
        <w:rPr>
          <w:rFonts w:cstheme="minorHAnsi"/>
          <w:sz w:val="24"/>
          <w:szCs w:val="24"/>
        </w:rPr>
        <w:t xml:space="preserve">elow shows an example of an annotated bibliography entry containing </w:t>
      </w:r>
      <w:r w:rsidR="007F748E" w:rsidRPr="00EB6A8F">
        <w:rPr>
          <w:rFonts w:cstheme="minorHAnsi"/>
          <w:sz w:val="24"/>
          <w:szCs w:val="24"/>
        </w:rPr>
        <w:t>few</w:t>
      </w:r>
      <w:r w:rsidRPr="00EB6A8F">
        <w:rPr>
          <w:rFonts w:cstheme="minorHAnsi"/>
          <w:sz w:val="24"/>
          <w:szCs w:val="24"/>
        </w:rPr>
        <w:t xml:space="preserve"> words: </w:t>
      </w:r>
    </w:p>
    <w:p w14:paraId="7B57173B" w14:textId="475284AA" w:rsidR="00B67EFB" w:rsidRPr="00EB6A8F" w:rsidRDefault="00B67EFB" w:rsidP="00B67EFB">
      <w:pPr>
        <w:pStyle w:val="NormalWeb"/>
        <w:shd w:val="clear" w:color="auto" w:fill="FFFFFF"/>
        <w:spacing w:before="0" w:beforeAutospacing="0" w:after="150" w:afterAutospacing="0"/>
        <w:rPr>
          <w:rFonts w:asciiTheme="minorHAnsi" w:hAnsiTheme="minorHAnsi" w:cstheme="minorHAnsi"/>
          <w:color w:val="171717"/>
        </w:rPr>
      </w:pPr>
      <w:r w:rsidRPr="00EB6A8F">
        <w:rPr>
          <w:rStyle w:val="Strong"/>
          <w:rFonts w:asciiTheme="minorHAnsi" w:hAnsiTheme="minorHAnsi" w:cstheme="minorHAnsi"/>
          <w:color w:val="171717"/>
        </w:rPr>
        <w:t>Alexander, R. J</w:t>
      </w:r>
      <w:r w:rsidRPr="00EB6A8F">
        <w:rPr>
          <w:rFonts w:asciiTheme="minorHAnsi" w:hAnsiTheme="minorHAnsi" w:cstheme="minorHAnsi"/>
          <w:color w:val="171717"/>
        </w:rPr>
        <w:t>. (2008) </w:t>
      </w:r>
      <w:r w:rsidRPr="00EB6A8F">
        <w:rPr>
          <w:rStyle w:val="Emphasis"/>
          <w:rFonts w:asciiTheme="minorHAnsi" w:hAnsiTheme="minorHAnsi" w:cstheme="minorHAnsi"/>
          <w:color w:val="171717"/>
        </w:rPr>
        <w:t>Towards Dialogic Teaching. Rethinking Classroom Talk</w:t>
      </w:r>
      <w:r w:rsidRPr="00EB6A8F">
        <w:rPr>
          <w:rFonts w:asciiTheme="minorHAnsi" w:hAnsiTheme="minorHAnsi" w:cstheme="minorHAnsi"/>
          <w:color w:val="171717"/>
        </w:rPr>
        <w:t xml:space="preserve"> (4th edition),York: </w:t>
      </w:r>
      <w:proofErr w:type="spellStart"/>
      <w:r w:rsidRPr="00EB6A8F">
        <w:rPr>
          <w:rFonts w:asciiTheme="minorHAnsi" w:hAnsiTheme="minorHAnsi" w:cstheme="minorHAnsi"/>
          <w:color w:val="171717"/>
        </w:rPr>
        <w:t>Dialogos</w:t>
      </w:r>
      <w:proofErr w:type="spellEnd"/>
      <w:r w:rsidRPr="00EB6A8F">
        <w:rPr>
          <w:rFonts w:asciiTheme="minorHAnsi" w:hAnsiTheme="minorHAnsi" w:cstheme="minorHAnsi"/>
          <w:color w:val="171717"/>
        </w:rPr>
        <w:t>, UK.</w:t>
      </w:r>
      <w:r w:rsidRPr="00EB6A8F">
        <w:rPr>
          <w:rFonts w:asciiTheme="minorHAnsi" w:hAnsiTheme="minorHAnsi" w:cstheme="minorHAnsi"/>
          <w:color w:val="171717"/>
        </w:rPr>
        <w:br/>
        <w:t xml:space="preserve">This succinct booklet represents an overview of theoretical and empirical research into classroom talk. In the words of the blurb it, ‘presents the case for dialogic teaching not as another transient educational fad, but as the necessary outcome of decades of research on language, thinking, learning and teaching, by scholars working in diverse disciplines and cultures. The publication then sets out the principles on which dialogic teaching is based, </w:t>
      </w:r>
      <w:r w:rsidRPr="00EB6A8F">
        <w:rPr>
          <w:rFonts w:asciiTheme="minorHAnsi" w:hAnsiTheme="minorHAnsi" w:cstheme="minorHAnsi"/>
          <w:color w:val="171717"/>
        </w:rPr>
        <w:lastRenderedPageBreak/>
        <w:t>identifies specific classroom indicators to guide the development and evaluation of professional practice, reports interim findings from classroom-based development projects, and offers suggestions for further reading and support’.</w:t>
      </w:r>
    </w:p>
    <w:p w14:paraId="57231EDB" w14:textId="77777777" w:rsidR="00B67EFB" w:rsidRPr="00EB6A8F" w:rsidRDefault="00B67EFB" w:rsidP="00B67EFB">
      <w:pPr>
        <w:pStyle w:val="NormalWeb"/>
        <w:shd w:val="clear" w:color="auto" w:fill="FFFFFF"/>
        <w:spacing w:before="0" w:beforeAutospacing="0" w:after="150" w:afterAutospacing="0"/>
        <w:rPr>
          <w:rFonts w:asciiTheme="minorHAnsi" w:hAnsiTheme="minorHAnsi" w:cstheme="minorHAnsi"/>
          <w:color w:val="171717"/>
        </w:rPr>
      </w:pPr>
      <w:r w:rsidRPr="00EB6A8F">
        <w:rPr>
          <w:rStyle w:val="Strong"/>
          <w:rFonts w:asciiTheme="minorHAnsi" w:hAnsiTheme="minorHAnsi" w:cstheme="minorHAnsi"/>
          <w:color w:val="171717"/>
        </w:rPr>
        <w:t>Alexander, R.J. </w:t>
      </w:r>
      <w:r w:rsidRPr="00EB6A8F">
        <w:rPr>
          <w:rFonts w:asciiTheme="minorHAnsi" w:hAnsiTheme="minorHAnsi" w:cstheme="minorHAnsi"/>
          <w:color w:val="171717"/>
        </w:rPr>
        <w:t>(2008) </w:t>
      </w:r>
      <w:r w:rsidRPr="00EB6A8F">
        <w:rPr>
          <w:rStyle w:val="Emphasis"/>
          <w:rFonts w:asciiTheme="minorHAnsi" w:hAnsiTheme="minorHAnsi" w:cstheme="minorHAnsi"/>
          <w:color w:val="171717"/>
        </w:rPr>
        <w:t>Essays on Pedagogy</w:t>
      </w:r>
      <w:r w:rsidRPr="00EB6A8F">
        <w:rPr>
          <w:rFonts w:asciiTheme="minorHAnsi" w:hAnsiTheme="minorHAnsi" w:cstheme="minorHAnsi"/>
          <w:color w:val="171717"/>
        </w:rPr>
        <w:t>, Abingdon, Routledge.</w:t>
      </w:r>
      <w:r w:rsidRPr="00EB6A8F">
        <w:rPr>
          <w:rFonts w:asciiTheme="minorHAnsi" w:hAnsiTheme="minorHAnsi" w:cstheme="minorHAnsi"/>
          <w:color w:val="171717"/>
        </w:rPr>
        <w:br/>
        <w:t>What is unusual about this book is that it places classroom talk in the wider contexts of pedagogy, curriculum and educational aims and values. The book makes a case for dialogism as an underpinning principle for all educational activity, demanding that we look outwards from the school as well as inwards at classroom processes. It is underpinned by a strong international perspective which draws on the author's comparative research on culture, pedagogy and classroom discourse.</w:t>
      </w:r>
    </w:p>
    <w:p w14:paraId="7159454B" w14:textId="77777777" w:rsidR="00B67EFB" w:rsidRPr="00EB6A8F" w:rsidRDefault="00B67EFB" w:rsidP="00B67EFB">
      <w:pPr>
        <w:pStyle w:val="NormalWeb"/>
        <w:shd w:val="clear" w:color="auto" w:fill="FFFFFF"/>
        <w:spacing w:before="0" w:beforeAutospacing="0" w:after="150" w:afterAutospacing="0"/>
        <w:rPr>
          <w:rFonts w:asciiTheme="minorHAnsi" w:hAnsiTheme="minorHAnsi" w:cstheme="minorHAnsi"/>
          <w:color w:val="171717"/>
        </w:rPr>
      </w:pPr>
      <w:r w:rsidRPr="00EB6A8F">
        <w:rPr>
          <w:rStyle w:val="Strong"/>
          <w:rFonts w:asciiTheme="minorHAnsi" w:hAnsiTheme="minorHAnsi" w:cstheme="minorHAnsi"/>
          <w:color w:val="171717"/>
        </w:rPr>
        <w:t>Mercer, N.</w:t>
      </w:r>
      <w:r w:rsidRPr="00EB6A8F">
        <w:rPr>
          <w:rFonts w:asciiTheme="minorHAnsi" w:hAnsiTheme="minorHAnsi" w:cstheme="minorHAnsi"/>
          <w:color w:val="171717"/>
        </w:rPr>
        <w:t> (1995) </w:t>
      </w:r>
      <w:r w:rsidRPr="00EB6A8F">
        <w:rPr>
          <w:rStyle w:val="Emphasis"/>
          <w:rFonts w:asciiTheme="minorHAnsi" w:hAnsiTheme="minorHAnsi" w:cstheme="minorHAnsi"/>
          <w:color w:val="171717"/>
        </w:rPr>
        <w:t>The guided construction of knowledge: talk amongst teachers and learners</w:t>
      </w:r>
      <w:r w:rsidRPr="00EB6A8F">
        <w:rPr>
          <w:rFonts w:asciiTheme="minorHAnsi" w:hAnsiTheme="minorHAnsi" w:cstheme="minorHAnsi"/>
          <w:color w:val="171717"/>
        </w:rPr>
        <w:t>, Abingdon &amp; New York: Routledge</w:t>
      </w:r>
      <w:r w:rsidRPr="00EB6A8F">
        <w:rPr>
          <w:rFonts w:asciiTheme="minorHAnsi" w:hAnsiTheme="minorHAnsi" w:cstheme="minorHAnsi"/>
          <w:color w:val="171717"/>
        </w:rPr>
        <w:br/>
        <w:t>Mercer introduces readers to the notion of knowledge as not only an ‘individual mental possession’ but a ‘joint possession’ that can be created ‘though joint mental effort’ and shared (p.1). Combining teaching and learning, he coins the phrase ‘the guided construction of knowledge’ a process mediated by language which he describes as ‘a social mode of thinking’.</w:t>
      </w:r>
    </w:p>
    <w:p w14:paraId="08C43161" w14:textId="77777777" w:rsidR="00B67EFB" w:rsidRPr="00EB6A8F" w:rsidRDefault="00B67EFB" w:rsidP="00B67EFB">
      <w:pPr>
        <w:pStyle w:val="NormalWeb"/>
        <w:shd w:val="clear" w:color="auto" w:fill="FFFFFF"/>
        <w:spacing w:before="0" w:beforeAutospacing="0" w:after="150" w:afterAutospacing="0"/>
        <w:rPr>
          <w:rFonts w:asciiTheme="minorHAnsi" w:hAnsiTheme="minorHAnsi" w:cstheme="minorHAnsi"/>
          <w:color w:val="171717"/>
        </w:rPr>
      </w:pPr>
      <w:r w:rsidRPr="00EB6A8F">
        <w:rPr>
          <w:rStyle w:val="Strong"/>
          <w:rFonts w:asciiTheme="minorHAnsi" w:hAnsiTheme="minorHAnsi" w:cstheme="minorHAnsi"/>
          <w:color w:val="171717"/>
        </w:rPr>
        <w:t>Mercer, N.</w:t>
      </w:r>
      <w:r w:rsidRPr="00EB6A8F">
        <w:rPr>
          <w:rFonts w:asciiTheme="minorHAnsi" w:hAnsiTheme="minorHAnsi" w:cstheme="minorHAnsi"/>
          <w:color w:val="171717"/>
        </w:rPr>
        <w:t> (2000) </w:t>
      </w:r>
      <w:r w:rsidRPr="00EB6A8F">
        <w:rPr>
          <w:rStyle w:val="Emphasis"/>
          <w:rFonts w:asciiTheme="minorHAnsi" w:hAnsiTheme="minorHAnsi" w:cstheme="minorHAnsi"/>
          <w:color w:val="171717"/>
        </w:rPr>
        <w:t>Words and Minds</w:t>
      </w:r>
      <w:r w:rsidRPr="00EB6A8F">
        <w:rPr>
          <w:rFonts w:asciiTheme="minorHAnsi" w:hAnsiTheme="minorHAnsi" w:cstheme="minorHAnsi"/>
          <w:color w:val="171717"/>
        </w:rPr>
        <w:t>, London: Routledge.</w:t>
      </w:r>
      <w:r w:rsidRPr="00EB6A8F">
        <w:rPr>
          <w:rFonts w:asciiTheme="minorHAnsi" w:hAnsiTheme="minorHAnsi" w:cstheme="minorHAnsi"/>
          <w:color w:val="171717"/>
        </w:rPr>
        <w:br/>
        <w:t>This book explores the function of language in different contexts, including schools. Guy Cook describes it as ‘a clear and exciting introduction to language as a vehicle for collaborative thought, and an authoritative survey of research taking this view. [...] it is full of original and exciting insights of its own, making it one of the most important books on discourse analysis to have been published in the last decade’.</w:t>
      </w:r>
    </w:p>
    <w:p w14:paraId="50DFCCC4" w14:textId="77D00C70" w:rsidR="009766BD" w:rsidRPr="00EB6A8F" w:rsidRDefault="009766BD">
      <w:pPr>
        <w:rPr>
          <w:rFonts w:cstheme="minorHAnsi"/>
          <w:sz w:val="24"/>
          <w:szCs w:val="24"/>
        </w:rPr>
      </w:pPr>
      <w:r w:rsidRPr="00EB6A8F">
        <w:rPr>
          <w:rFonts w:cstheme="minorHAnsi"/>
          <w:b/>
          <w:bCs/>
          <w:sz w:val="24"/>
          <w:szCs w:val="24"/>
        </w:rPr>
        <w:t>Trevor, C.O., Lansford, B. and Black, J.W.</w:t>
      </w:r>
      <w:r w:rsidRPr="00EB6A8F">
        <w:rPr>
          <w:rFonts w:cstheme="minorHAnsi"/>
          <w:sz w:val="24"/>
          <w:szCs w:val="24"/>
        </w:rPr>
        <w:t xml:space="preserve"> (2014) Employee turnover and job performance: monitoring the influences of salary growth and promotion. Journal of Armchair Psychology, 113(1), pp.56-64. </w:t>
      </w:r>
    </w:p>
    <w:p w14:paraId="64347CDC" w14:textId="45313A45" w:rsidR="009766BD" w:rsidRPr="00EB6A8F" w:rsidRDefault="009766BD" w:rsidP="009766BD">
      <w:pPr>
        <w:rPr>
          <w:rFonts w:cstheme="minorHAnsi"/>
          <w:sz w:val="24"/>
          <w:szCs w:val="24"/>
        </w:rPr>
      </w:pPr>
      <w:r w:rsidRPr="00EB6A8F">
        <w:rPr>
          <w:rFonts w:cstheme="minorHAnsi"/>
          <w:sz w:val="24"/>
          <w:szCs w:val="24"/>
        </w:rPr>
        <w:t xml:space="preserve">In this article, the authors review the influences of pay and job opportunities in respect to job performance, turnover rates and employee motivation. The authors use data gained through organisational surveys of blue-chip companies to try to identify the main causes of employee turnover and whether it is linked to salary growth.  Their research focuses on assessing a range of pay structures such as pay for performance and organisational reward schemes. </w:t>
      </w:r>
    </w:p>
    <w:p w14:paraId="56F21BE8" w14:textId="77777777" w:rsidR="009766BD" w:rsidRPr="00EB6A8F" w:rsidRDefault="009766BD">
      <w:pPr>
        <w:rPr>
          <w:rFonts w:cstheme="minorHAnsi"/>
          <w:sz w:val="24"/>
          <w:szCs w:val="24"/>
        </w:rPr>
      </w:pPr>
      <w:r w:rsidRPr="00EB6A8F">
        <w:rPr>
          <w:rFonts w:cstheme="minorHAnsi"/>
          <w:sz w:val="24"/>
          <w:szCs w:val="24"/>
        </w:rPr>
        <w:t xml:space="preserve">The article is useful to my research topic, as Trevor et al. suggest that there are numerous reasons for employee turnover and variances in employee motivation and performance. Their findings and conclusions highlight the correlation between high staff turnover, poor performance levels and low staff morale. </w:t>
      </w:r>
    </w:p>
    <w:p w14:paraId="1022E223" w14:textId="02CED2C7" w:rsidR="00DA0F13" w:rsidRPr="00EB6A8F" w:rsidRDefault="009766BD" w:rsidP="006B5628">
      <w:pPr>
        <w:rPr>
          <w:rFonts w:cstheme="minorHAnsi"/>
          <w:sz w:val="24"/>
          <w:szCs w:val="24"/>
        </w:rPr>
      </w:pPr>
      <w:r w:rsidRPr="00EB6A8F">
        <w:rPr>
          <w:rFonts w:cstheme="minorHAnsi"/>
          <w:sz w:val="24"/>
          <w:szCs w:val="24"/>
        </w:rPr>
        <w:t>The main limitation of the article is that the survey sample was restricted to mid-level management, thus the authors indicate that further, more extensive, research needs to be undertaken</w:t>
      </w:r>
      <w:r w:rsidRPr="00EB6A8F">
        <w:rPr>
          <w:rFonts w:cstheme="minorHAnsi"/>
          <w:sz w:val="24"/>
          <w:szCs w:val="24"/>
        </w:rPr>
        <w:pgNum/>
      </w:r>
      <w:r w:rsidRPr="00EB6A8F">
        <w:rPr>
          <w:rFonts w:cstheme="minorHAnsi"/>
          <w:sz w:val="24"/>
          <w:szCs w:val="24"/>
        </w:rPr>
        <w:t xml:space="preserve"> to develop a more in-depth understanding of employee turnover and job performance. This article will not form the basis of my research; however it will be useful supplementary information for my research on pay structures.</w:t>
      </w:r>
    </w:p>
    <w:p w14:paraId="3B03684C" w14:textId="28F8E64D" w:rsidR="00EB6A8F" w:rsidRPr="00EB6A8F" w:rsidRDefault="00DA0F13" w:rsidP="00EB6A8F">
      <w:pPr>
        <w:rPr>
          <w:rFonts w:cstheme="minorHAnsi"/>
          <w:sz w:val="24"/>
          <w:szCs w:val="24"/>
        </w:rPr>
      </w:pPr>
      <w:r w:rsidRPr="00EB6A8F">
        <w:rPr>
          <w:rFonts w:cstheme="minorHAnsi"/>
          <w:sz w:val="24"/>
          <w:szCs w:val="24"/>
        </w:rPr>
        <w:lastRenderedPageBreak/>
        <w:t xml:space="preserve">Please see further “Annotated </w:t>
      </w:r>
      <w:proofErr w:type="spellStart"/>
      <w:r w:rsidRPr="00EB6A8F">
        <w:rPr>
          <w:rFonts w:cstheme="minorHAnsi"/>
          <w:sz w:val="24"/>
          <w:szCs w:val="24"/>
        </w:rPr>
        <w:t>bibliogrphs</w:t>
      </w:r>
      <w:proofErr w:type="spellEnd"/>
      <w:r w:rsidRPr="00EB6A8F">
        <w:rPr>
          <w:rFonts w:cstheme="minorHAnsi"/>
          <w:sz w:val="24"/>
          <w:szCs w:val="24"/>
        </w:rPr>
        <w:t xml:space="preserve"> and resources from the link below:</w:t>
      </w:r>
      <w:r w:rsidR="00EB6A8F" w:rsidRPr="00EB6A8F">
        <w:rPr>
          <w:rFonts w:cstheme="minorHAnsi"/>
          <w:sz w:val="24"/>
          <w:szCs w:val="24"/>
        </w:rPr>
        <w:t xml:space="preserve"> </w:t>
      </w:r>
      <w:hyperlink r:id="rId6" w:history="1">
        <w:r w:rsidR="00EB6A8F" w:rsidRPr="00EB6A8F">
          <w:rPr>
            <w:rStyle w:val="Hyperlink"/>
            <w:rFonts w:cstheme="minorHAnsi"/>
            <w:sz w:val="24"/>
            <w:szCs w:val="24"/>
          </w:rPr>
          <w:t>https://www.cambridgeinternational.org/Images/505308-annotated-bibliography-and-other-resources.pd</w:t>
        </w:r>
        <w:r w:rsidR="00EB6A8F" w:rsidRPr="00EB6A8F">
          <w:rPr>
            <w:rStyle w:val="Hyperlink"/>
            <w:rFonts w:cstheme="minorHAnsi"/>
            <w:sz w:val="24"/>
            <w:szCs w:val="24"/>
          </w:rPr>
          <w:t>f</w:t>
        </w:r>
      </w:hyperlink>
    </w:p>
    <w:p w14:paraId="25FF5C10" w14:textId="77777777" w:rsidR="00EB6A8F" w:rsidRPr="00EB6A8F" w:rsidRDefault="00EB6A8F" w:rsidP="00EB6A8F">
      <w:pPr>
        <w:rPr>
          <w:rFonts w:cstheme="minorHAnsi"/>
          <w:sz w:val="24"/>
          <w:szCs w:val="24"/>
        </w:rPr>
      </w:pPr>
    </w:p>
    <w:p w14:paraId="69E8CA70" w14:textId="77777777" w:rsidR="006B5628" w:rsidRPr="00EB6A8F" w:rsidRDefault="006B5628" w:rsidP="006B5628">
      <w:pPr>
        <w:rPr>
          <w:rFonts w:cstheme="minorHAnsi"/>
          <w:sz w:val="24"/>
          <w:szCs w:val="24"/>
        </w:rPr>
      </w:pPr>
    </w:p>
    <w:p w14:paraId="5220FD5D" w14:textId="77777777" w:rsidR="00DA0F13" w:rsidRPr="00EB6A8F" w:rsidRDefault="00DA0F13" w:rsidP="00DA0F13">
      <w:pPr>
        <w:rPr>
          <w:rFonts w:cstheme="minorHAnsi"/>
          <w:sz w:val="24"/>
          <w:szCs w:val="24"/>
        </w:rPr>
      </w:pPr>
    </w:p>
    <w:p w14:paraId="75E21B52" w14:textId="77777777" w:rsidR="00DA0F13" w:rsidRPr="00EB6A8F" w:rsidRDefault="00DA0F13">
      <w:pPr>
        <w:rPr>
          <w:rFonts w:cstheme="minorHAnsi"/>
          <w:sz w:val="24"/>
          <w:szCs w:val="24"/>
        </w:rPr>
      </w:pPr>
    </w:p>
    <w:sectPr w:rsidR="00DA0F13" w:rsidRPr="00EB6A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FA2A2" w14:textId="77777777" w:rsidR="00B67EFB" w:rsidRDefault="00B67EFB" w:rsidP="00B67EFB">
      <w:pPr>
        <w:spacing w:after="0" w:line="240" w:lineRule="auto"/>
      </w:pPr>
      <w:r>
        <w:separator/>
      </w:r>
    </w:p>
  </w:endnote>
  <w:endnote w:type="continuationSeparator" w:id="0">
    <w:p w14:paraId="162F1882" w14:textId="77777777" w:rsidR="00B67EFB" w:rsidRDefault="00B67EFB" w:rsidP="00B67E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20FA8" w14:textId="77777777" w:rsidR="00B67EFB" w:rsidRDefault="00B67EFB" w:rsidP="00B67EFB">
      <w:pPr>
        <w:spacing w:after="0" w:line="240" w:lineRule="auto"/>
      </w:pPr>
      <w:r>
        <w:separator/>
      </w:r>
    </w:p>
  </w:footnote>
  <w:footnote w:type="continuationSeparator" w:id="0">
    <w:p w14:paraId="5B3BD1C9" w14:textId="77777777" w:rsidR="00B67EFB" w:rsidRDefault="00B67EFB" w:rsidP="00B67E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7A4"/>
    <w:rsid w:val="000736CA"/>
    <w:rsid w:val="00142635"/>
    <w:rsid w:val="002A18B8"/>
    <w:rsid w:val="002C500E"/>
    <w:rsid w:val="00430E84"/>
    <w:rsid w:val="00572624"/>
    <w:rsid w:val="006B5628"/>
    <w:rsid w:val="00794CF4"/>
    <w:rsid w:val="007C10A7"/>
    <w:rsid w:val="007F748E"/>
    <w:rsid w:val="008B7A74"/>
    <w:rsid w:val="009766BD"/>
    <w:rsid w:val="009F3FF5"/>
    <w:rsid w:val="00A271B8"/>
    <w:rsid w:val="00B67EFB"/>
    <w:rsid w:val="00CE06D6"/>
    <w:rsid w:val="00D65A9C"/>
    <w:rsid w:val="00DA0F13"/>
    <w:rsid w:val="00DA17A4"/>
    <w:rsid w:val="00E70AEA"/>
    <w:rsid w:val="00EB6A8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1E535A"/>
  <w15:chartTrackingRefBased/>
  <w15:docId w15:val="{E2E551FF-B096-41EE-81EA-A95A2A031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7E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EFB"/>
  </w:style>
  <w:style w:type="paragraph" w:styleId="Footer">
    <w:name w:val="footer"/>
    <w:basedOn w:val="Normal"/>
    <w:link w:val="FooterChar"/>
    <w:uiPriority w:val="99"/>
    <w:unhideWhenUsed/>
    <w:rsid w:val="00B67E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EFB"/>
  </w:style>
  <w:style w:type="paragraph" w:styleId="NormalWeb">
    <w:name w:val="Normal (Web)"/>
    <w:basedOn w:val="Normal"/>
    <w:uiPriority w:val="99"/>
    <w:semiHidden/>
    <w:unhideWhenUsed/>
    <w:rsid w:val="00B67EF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67EFB"/>
    <w:rPr>
      <w:b/>
      <w:bCs/>
    </w:rPr>
  </w:style>
  <w:style w:type="character" w:styleId="Emphasis">
    <w:name w:val="Emphasis"/>
    <w:basedOn w:val="DefaultParagraphFont"/>
    <w:uiPriority w:val="20"/>
    <w:qFormat/>
    <w:rsid w:val="00B67EFB"/>
    <w:rPr>
      <w:i/>
      <w:iCs/>
    </w:rPr>
  </w:style>
  <w:style w:type="character" w:styleId="Hyperlink">
    <w:name w:val="Hyperlink"/>
    <w:basedOn w:val="DefaultParagraphFont"/>
    <w:uiPriority w:val="99"/>
    <w:unhideWhenUsed/>
    <w:rsid w:val="00EB6A8F"/>
    <w:rPr>
      <w:color w:val="0563C1" w:themeColor="hyperlink"/>
      <w:u w:val="single"/>
    </w:rPr>
  </w:style>
  <w:style w:type="character" w:styleId="UnresolvedMention">
    <w:name w:val="Unresolved Mention"/>
    <w:basedOn w:val="DefaultParagraphFont"/>
    <w:uiPriority w:val="99"/>
    <w:semiHidden/>
    <w:unhideWhenUsed/>
    <w:rsid w:val="00EB6A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57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ambridgeinternational.org/Images/505308-annotated-bibliography-and-other-resources.pdf"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883</Words>
  <Characters>5034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Amare Desta</dc:creator>
  <cp:keywords/>
  <dc:description/>
  <cp:lastModifiedBy>Amare Desta</cp:lastModifiedBy>
  <cp:revision>2</cp:revision>
  <dcterms:created xsi:type="dcterms:W3CDTF">2022-07-25T13:51:00Z</dcterms:created>
  <dcterms:modified xsi:type="dcterms:W3CDTF">2022-07-25T13:51:00Z</dcterms:modified>
</cp:coreProperties>
</file>