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DCC9D1" w14:textId="1C67E7DF" w:rsidR="00245F28" w:rsidRDefault="00245F28"/>
    <w:p w14:paraId="1862CC02" w14:textId="6E92B1A1" w:rsidR="00021F48" w:rsidRPr="00021F48" w:rsidRDefault="00021F48" w:rsidP="00021F48">
      <w:pPr>
        <w:rPr>
          <w:lang w:val="en-GB"/>
        </w:rPr>
      </w:pPr>
      <w:r w:rsidRPr="00021F48">
        <w:rPr>
          <w:noProof/>
        </w:rPr>
        <w:drawing>
          <wp:inline distT="0" distB="0" distL="0" distR="0" wp14:anchorId="72B80348" wp14:editId="63881797">
            <wp:extent cx="6070060" cy="6722110"/>
            <wp:effectExtent l="0" t="0" r="6985" b="2540"/>
            <wp:docPr id="1320002664" name="Picture 4" descr="A document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002664" name="Picture 4" descr="A document with text and number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71844" cy="6724086"/>
                    </a:xfrm>
                    <a:prstGeom prst="rect">
                      <a:avLst/>
                    </a:prstGeom>
                    <a:noFill/>
                    <a:ln>
                      <a:noFill/>
                    </a:ln>
                  </pic:spPr>
                </pic:pic>
              </a:graphicData>
            </a:graphic>
          </wp:inline>
        </w:drawing>
      </w:r>
    </w:p>
    <w:p w14:paraId="66371809" w14:textId="77777777" w:rsidR="00245F28" w:rsidRDefault="00245F28" w:rsidP="00245F28"/>
    <w:p w14:paraId="5808939E" w14:textId="5A86B5D9" w:rsidR="00021F48" w:rsidRPr="00021F48" w:rsidRDefault="00021F48" w:rsidP="00021F48">
      <w:pPr>
        <w:rPr>
          <w:lang w:val="en-GB"/>
        </w:rPr>
      </w:pPr>
    </w:p>
    <w:p w14:paraId="01843F4E" w14:textId="77777777" w:rsidR="00021F48" w:rsidRDefault="00021F48" w:rsidP="00245F28"/>
    <w:p w14:paraId="64B97AC1" w14:textId="77777777" w:rsidR="00021F48" w:rsidRDefault="00021F48" w:rsidP="00245F28"/>
    <w:p w14:paraId="6AA20B8D" w14:textId="77777777" w:rsidR="00245F28" w:rsidRPr="00245F28" w:rsidRDefault="00245F28" w:rsidP="00245F28"/>
    <w:p w14:paraId="0C88F5EB" w14:textId="5B9240CC" w:rsidR="00663337" w:rsidRDefault="003579EB">
      <w:r>
        <w:rPr>
          <w:noProof/>
        </w:rPr>
        <w:drawing>
          <wp:inline distT="0" distB="0" distL="0" distR="0" wp14:anchorId="14CCA848" wp14:editId="23B4CA8E">
            <wp:extent cx="6071191" cy="3597378"/>
            <wp:effectExtent l="0" t="0" r="635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c.PNG"/>
                    <pic:cNvPicPr/>
                  </pic:nvPicPr>
                  <pic:blipFill>
                    <a:blip r:embed="rId9">
                      <a:extLst>
                        <a:ext uri="{28A0092B-C50C-407E-A947-70E740481C1C}">
                          <a14:useLocalDpi xmlns:a14="http://schemas.microsoft.com/office/drawing/2010/main" val="0"/>
                        </a:ext>
                      </a:extLst>
                    </a:blip>
                    <a:stretch>
                      <a:fillRect/>
                    </a:stretch>
                  </pic:blipFill>
                  <pic:spPr>
                    <a:xfrm>
                      <a:off x="0" y="0"/>
                      <a:ext cx="6071652" cy="3597651"/>
                    </a:xfrm>
                    <a:prstGeom prst="rect">
                      <a:avLst/>
                    </a:prstGeom>
                  </pic:spPr>
                </pic:pic>
              </a:graphicData>
            </a:graphic>
          </wp:inline>
        </w:drawing>
      </w:r>
      <w:r w:rsidR="00985085">
        <w:br w:type="page"/>
      </w:r>
    </w:p>
    <w:p w14:paraId="7D4EFA28" w14:textId="77777777" w:rsidR="00B87883" w:rsidRPr="00B87883" w:rsidRDefault="00985085" w:rsidP="00657594">
      <w:pPr>
        <w:pStyle w:val="Heading2"/>
      </w:pPr>
      <w:r>
        <w:rPr>
          <w:rFonts w:eastAsia="Arial"/>
        </w:rPr>
        <w:lastRenderedPageBreak/>
        <w:t>Introduction and Background</w:t>
      </w:r>
    </w:p>
    <w:p w14:paraId="59DFBCCD" w14:textId="77777777" w:rsidR="00A67D29" w:rsidRDefault="00985085" w:rsidP="00822A80">
      <w:r w:rsidRPr="00932707">
        <w:t xml:space="preserve">This research project, which aims to examine the effects of socioeconomic forces on employee performance management in various work modes, </w:t>
      </w:r>
      <w:proofErr w:type="spellStart"/>
      <w:r w:rsidRPr="00932707">
        <w:t>centres</w:t>
      </w:r>
      <w:proofErr w:type="spellEnd"/>
      <w:r w:rsidRPr="00932707">
        <w:t xml:space="preserve"> on Marriott International, a prominent player in the global hospitality industry. Marriott has established a reputation for excellence in workforce management, innovation, and service, and it has over 7,600 properties spread across 133 countries. Given the ever-changing nature of the hospitality industry, socioeconomic factors have made the viability of implementing a variety of work modes an important consideration</w:t>
      </w:r>
      <w:r w:rsidR="00164080">
        <w:t xml:space="preserve"> (</w:t>
      </w:r>
      <w:proofErr w:type="spellStart"/>
      <w:r w:rsidR="00164080">
        <w:t>Abdelmotaleb</w:t>
      </w:r>
      <w:proofErr w:type="spellEnd"/>
      <w:r w:rsidR="00164080">
        <w:t>, 2023)</w:t>
      </w:r>
      <w:r w:rsidRPr="00932707">
        <w:t>. Marriott, similar to numerous other players in the sector, encounters the obstacles and prospects linked to mixed work modes, conventional office layouts, and adaptable work schedules.</w:t>
      </w:r>
    </w:p>
    <w:p w14:paraId="775AF071" w14:textId="77777777" w:rsidR="00A67D29" w:rsidRPr="00822A80" w:rsidRDefault="00985085" w:rsidP="00822A80">
      <w:r w:rsidRPr="00A072D4">
        <w:t xml:space="preserve">It is crucial to look at how these socioeconomic factors affect employee performance management as the hotel industry deals with the fallout from recent international events and societal shifts. In the past, Marriott's efforts to establish a welcoming and inclusive workplace have often coincided with its commitment to providing outstanding guest experiences. The contemporary environment brings with it complications related to shifting social norms, </w:t>
      </w:r>
      <w:proofErr w:type="spellStart"/>
      <w:r w:rsidRPr="00A072D4">
        <w:t>labour</w:t>
      </w:r>
      <w:proofErr w:type="spellEnd"/>
      <w:r w:rsidRPr="00A072D4">
        <w:t xml:space="preserve"> force preferences, and fluctuations in the economy</w:t>
      </w:r>
      <w:r w:rsidR="00D505A7">
        <w:t xml:space="preserve"> (</w:t>
      </w:r>
      <w:proofErr w:type="spellStart"/>
      <w:r w:rsidR="00D505A7">
        <w:t>Abdelmotaleb</w:t>
      </w:r>
      <w:proofErr w:type="spellEnd"/>
      <w:r w:rsidR="00D505A7">
        <w:t>, 2023)</w:t>
      </w:r>
      <w:r w:rsidRPr="00A072D4">
        <w:t>. The plan seeks to clarify how socioeconomic variables affect employee management and oversight across various work modes as Marriott negotiates these difficulties.</w:t>
      </w:r>
    </w:p>
    <w:p w14:paraId="76C7156F" w14:textId="77777777" w:rsidR="00822A80" w:rsidRPr="00822A80" w:rsidRDefault="00985085" w:rsidP="00822A80">
      <w:r w:rsidRPr="00822A80">
        <w:rPr>
          <w:b/>
          <w:bCs/>
        </w:rPr>
        <w:t>Current Industry Trends and Socio-Economic Factors:</w:t>
      </w:r>
    </w:p>
    <w:p w14:paraId="4E8E433A" w14:textId="77777777" w:rsidR="00A67D29" w:rsidRPr="00822A80" w:rsidRDefault="00985085" w:rsidP="00822A80">
      <w:r w:rsidRPr="003F69A5">
        <w:t>Work dynamics in the hospitality sector—including Marriott—are changing dramatically. Conventional ideas about workplace structures are being challenged by the rise of hybrid work modes, in which employees alternate between working remotely and on-site. A varied mosaic of work modes exists within the industry as a result of flexible work arrangements as well as the continued significance of traditional office settings</w:t>
      </w:r>
      <w:r w:rsidR="005A4A5D">
        <w:t xml:space="preserve"> (Cao et al., 2023)</w:t>
      </w:r>
      <w:r w:rsidRPr="003F69A5">
        <w:t>. Important to this analysis are socio-economic factors, which include changes in regulations, societal influences, and economic trends that affect the makeup of the workforce. Work structures have had to be reevaluated in light of the economic fallout from worldwide events like the most recent pandemic</w:t>
      </w:r>
      <w:r w:rsidR="0054337F">
        <w:t xml:space="preserve"> (Jung &amp; Yoon, 2016)</w:t>
      </w:r>
      <w:r w:rsidRPr="003F69A5">
        <w:t xml:space="preserve">. In light of </w:t>
      </w:r>
      <w:r w:rsidRPr="003F69A5">
        <w:lastRenderedPageBreak/>
        <w:t>these socioeconomic changes, Marriott and its peers in the industry must deal with concerns related to job satisfaction, employee engagement, and retention rates.</w:t>
      </w:r>
    </w:p>
    <w:p w14:paraId="42B5E44F" w14:textId="77777777" w:rsidR="00822A80" w:rsidRPr="00822A80" w:rsidRDefault="00985085" w:rsidP="00822A80">
      <w:r w:rsidRPr="00822A80">
        <w:rPr>
          <w:b/>
          <w:bCs/>
        </w:rPr>
        <w:t>Identifying the Challenges:</w:t>
      </w:r>
    </w:p>
    <w:p w14:paraId="5704752D" w14:textId="77777777" w:rsidR="00231556" w:rsidRDefault="00985085" w:rsidP="009D14F8">
      <w:r w:rsidRPr="003F69A5">
        <w:t>There are unique challenges associated with employee monitoring and management in office work arrangements, flexible work modes, and hybrid work modes. Marriott needs to tackle concerns about upholding a unified corporate culture, guaranteeing efficient communication pathways, and executing performance management tactics that cater to a range of work inclinations</w:t>
      </w:r>
      <w:r w:rsidR="0054337F">
        <w:t xml:space="preserve"> (Cao et al., 2023)</w:t>
      </w:r>
      <w:r w:rsidRPr="003F69A5">
        <w:t>. To shed light on how socioeconomic factors interact with the complexities of managing employee performance in a hospitality industry that is changing quickly, the proposal will examine these difficulties.</w:t>
      </w:r>
    </w:p>
    <w:p w14:paraId="61102E51" w14:textId="77777777" w:rsidR="00657594" w:rsidRDefault="00985085" w:rsidP="00FA022A">
      <w:pPr>
        <w:pStyle w:val="Heading2"/>
        <w:rPr>
          <w:rFonts w:eastAsia="Arial"/>
        </w:rPr>
      </w:pPr>
      <w:r>
        <w:rPr>
          <w:rFonts w:eastAsia="Arial"/>
        </w:rPr>
        <w:t>Discussion/Literature</w:t>
      </w:r>
    </w:p>
    <w:p w14:paraId="44CDB3A4" w14:textId="77777777" w:rsidR="005824F8" w:rsidRDefault="009D34C9" w:rsidP="007D33B9">
      <w:pPr>
        <w:pStyle w:val="Heading3"/>
        <w:rPr>
          <w:b/>
        </w:rPr>
      </w:pPr>
      <w:proofErr w:type="spellStart"/>
      <w:r>
        <w:rPr>
          <w:rFonts w:eastAsia="Arial"/>
        </w:rPr>
        <w:t>S</w:t>
      </w:r>
      <w:r w:rsidR="00985085">
        <w:rPr>
          <w:rFonts w:eastAsia="Arial"/>
        </w:rPr>
        <w:t>ummarise</w:t>
      </w:r>
      <w:proofErr w:type="spellEnd"/>
      <w:r w:rsidR="00985085">
        <w:rPr>
          <w:rFonts w:eastAsia="Arial"/>
        </w:rPr>
        <w:t xml:space="preserve"> work on this topic that other researchers have conducted including their findings and provide any background on the topic that your readers should have before you present your work.</w:t>
      </w:r>
    </w:p>
    <w:p w14:paraId="227168BB" w14:textId="77777777" w:rsidR="00C51003" w:rsidRPr="00A67D29" w:rsidRDefault="00985085" w:rsidP="00A67D29">
      <w:pPr>
        <w:rPr>
          <w:b/>
        </w:rPr>
      </w:pPr>
      <w:r w:rsidRPr="00A67D29">
        <w:rPr>
          <w:b/>
        </w:rPr>
        <w:t>Summarizing Existing Research:</w:t>
      </w:r>
    </w:p>
    <w:p w14:paraId="73CB92B7" w14:textId="77777777" w:rsidR="00E05C3B" w:rsidRPr="00C51003" w:rsidRDefault="00985085" w:rsidP="00C51003">
      <w:r w:rsidRPr="00E05C3B">
        <w:t xml:space="preserve">Research on the effects of socioeconomic factors on employee performance management sheds important light on the challenges that </w:t>
      </w:r>
      <w:proofErr w:type="spellStart"/>
      <w:r w:rsidRPr="00E05C3B">
        <w:t>organisations</w:t>
      </w:r>
      <w:proofErr w:type="spellEnd"/>
      <w:r w:rsidRPr="00E05C3B">
        <w:t xml:space="preserve"> face, especially in light of changing work arrangements. Scholarly investigations such as those conducted by Pfeffer and Veiga (</w:t>
      </w:r>
      <w:r w:rsidR="00034898" w:rsidRPr="00034898">
        <w:t>2020</w:t>
      </w:r>
      <w:r w:rsidRPr="00E05C3B">
        <w:t>) have underscored the significant impact of economic circumstances on job security and motivation. For employee performance management strategies to be effective, it is imperative to comprehend these external variables. Chien and Law (20</w:t>
      </w:r>
      <w:r w:rsidR="00034898">
        <w:t>1</w:t>
      </w:r>
      <w:r w:rsidRPr="00E05C3B">
        <w:t>3) have highlighted the hospitality industry's susceptibility to changes in the economy. Their research highlights the necessity of adaptive management strategies that take into account the constantly shifting dynamics between societal influences, regulatory changes, and economic trends. These results pave the way for understanding the complex interplay between socioeconomic variables and worker performance in the hospitality industry.</w:t>
      </w:r>
    </w:p>
    <w:p w14:paraId="63C86CF1" w14:textId="77777777" w:rsidR="00C51003" w:rsidRPr="00A67D29" w:rsidRDefault="00985085" w:rsidP="00A67D29">
      <w:pPr>
        <w:rPr>
          <w:b/>
        </w:rPr>
      </w:pPr>
      <w:r w:rsidRPr="00A67D29">
        <w:rPr>
          <w:b/>
        </w:rPr>
        <w:t>Background on the Topic:</w:t>
      </w:r>
    </w:p>
    <w:p w14:paraId="1B083A23" w14:textId="77777777" w:rsidR="00457A51" w:rsidRPr="00C51003" w:rsidRDefault="00985085" w:rsidP="00C51003">
      <w:r w:rsidRPr="00457A51">
        <w:lastRenderedPageBreak/>
        <w:t>Because the hospitality sector is highly sensitive to outside influences, it is critical to investigate how socioeconomic factors affect employee performance management. Recessions and expansions in the economy have a direct impact on consumer spending habits, which in turn affects the demand for hospitality services</w:t>
      </w:r>
      <w:r w:rsidR="0054337F">
        <w:t xml:space="preserve"> (Jung &amp; Yoon, 2016)</w:t>
      </w:r>
      <w:r w:rsidRPr="00457A51">
        <w:t xml:space="preserve">. Changes in the population and culture have an impact on employee dynamics and guest expectations. Regulations about health and safety, </w:t>
      </w:r>
      <w:proofErr w:type="spellStart"/>
      <w:r w:rsidRPr="00457A51">
        <w:t>labour</w:t>
      </w:r>
      <w:proofErr w:type="spellEnd"/>
      <w:r w:rsidRPr="00457A51">
        <w:t>, and other areas also affect how companies oversee and manage the performance of their workforce. The industry's adoption of various work modes has emerged as a strategic response to these challenges. The increasing prevalence of flexible work arrangements, office work setups, and hybrid work arrangements calls for an analysis of their effects on worker performance in the context of a wider socioeconomic environment.</w:t>
      </w:r>
    </w:p>
    <w:p w14:paraId="25AB095D" w14:textId="77777777" w:rsidR="00C51003" w:rsidRPr="00A67D29" w:rsidRDefault="00985085" w:rsidP="00A67D29">
      <w:pPr>
        <w:rPr>
          <w:b/>
        </w:rPr>
      </w:pPr>
      <w:r w:rsidRPr="00A67D29">
        <w:rPr>
          <w:b/>
        </w:rPr>
        <w:t>Key Findings from Existing Research:</w:t>
      </w:r>
    </w:p>
    <w:p w14:paraId="2D92F48D" w14:textId="77777777" w:rsidR="00257BAB" w:rsidRDefault="00985085" w:rsidP="00257BAB">
      <w:r w:rsidRPr="00C51003">
        <w:rPr>
          <w:b/>
          <w:bCs/>
        </w:rPr>
        <w:t>Economic Instability and Job Insecurity:</w:t>
      </w:r>
      <w:r w:rsidRPr="00C51003">
        <w:t xml:space="preserve"> </w:t>
      </w:r>
      <w:r>
        <w:t>According to Pfeffer and Veiga's research, unstable economies can result in increased job insecurity, which can affect worker morale and output</w:t>
      </w:r>
      <w:r w:rsidR="0097406D">
        <w:t xml:space="preserve"> (</w:t>
      </w:r>
      <w:proofErr w:type="spellStart"/>
      <w:r w:rsidR="0097406D">
        <w:t>Kloutsiniotis</w:t>
      </w:r>
      <w:proofErr w:type="spellEnd"/>
      <w:r w:rsidR="0097406D">
        <w:t xml:space="preserve"> &amp; Mihail, 2020)</w:t>
      </w:r>
      <w:r>
        <w:t>. Effective performance management in the hospitality industry necessitates an understanding of the cyclical nature of economic trends, as job satisfaction is closely linked to service quality.</w:t>
      </w:r>
    </w:p>
    <w:p w14:paraId="79BC8ECD" w14:textId="77777777" w:rsidR="00257BAB" w:rsidRDefault="00985085" w:rsidP="00257BAB">
      <w:r w:rsidRPr="00BA17AC">
        <w:rPr>
          <w:b/>
        </w:rPr>
        <w:t>Adaptation to Economic Fluctuations:</w:t>
      </w:r>
      <w:r>
        <w:t xml:space="preserve"> Chien and Law's study highlights the necessity of employing flexible management techniques to address changes in the economy. Businesses in the hospitality industry need to be flexible in how they modify employee counts, training curricula, and performance standards in response to shifting market dynamics</w:t>
      </w:r>
      <w:r w:rsidR="0097406D">
        <w:t xml:space="preserve"> (</w:t>
      </w:r>
      <w:proofErr w:type="spellStart"/>
      <w:r w:rsidR="0097406D">
        <w:t>Kloutsiniotis</w:t>
      </w:r>
      <w:proofErr w:type="spellEnd"/>
      <w:r w:rsidR="0097406D">
        <w:t xml:space="preserve"> &amp; Mihail, 2020)</w:t>
      </w:r>
      <w:r>
        <w:t>.</w:t>
      </w:r>
    </w:p>
    <w:p w14:paraId="51BF368C" w14:textId="77777777" w:rsidR="00C51003" w:rsidRDefault="00985085" w:rsidP="00257BAB">
      <w:r w:rsidRPr="00BA17AC">
        <w:rPr>
          <w:b/>
        </w:rPr>
        <w:t>Social Influences on Service Expectations:</w:t>
      </w:r>
      <w:r>
        <w:t xml:space="preserve"> Studies have shown that social influences are a major factor in determining what guests expect from a service</w:t>
      </w:r>
      <w:r w:rsidR="005C0E5A">
        <w:t xml:space="preserve"> (Park et al., 2022)</w:t>
      </w:r>
      <w:r>
        <w:t>. The kind of services that visitors seek depends on shifts in social attitudes, cultural preferences, and demography.</w:t>
      </w:r>
    </w:p>
    <w:p w14:paraId="2F9C7E3D" w14:textId="77777777" w:rsidR="00257BAB" w:rsidRPr="00C51003" w:rsidRDefault="00985085" w:rsidP="00257BAB">
      <w:r w:rsidRPr="00BA17AC">
        <w:rPr>
          <w:b/>
        </w:rPr>
        <w:t>Regulatory Compliance and Performance Management:</w:t>
      </w:r>
      <w:r w:rsidRPr="00224259">
        <w:t xml:space="preserve"> </w:t>
      </w:r>
      <w:proofErr w:type="spellStart"/>
      <w:r w:rsidRPr="00224259">
        <w:t>Organisations'</w:t>
      </w:r>
      <w:proofErr w:type="spellEnd"/>
      <w:r w:rsidRPr="00224259">
        <w:t xml:space="preserve"> approaches to managing and tracking employee performance are influenced by regulatory changes, such as those about </w:t>
      </w:r>
      <w:proofErr w:type="spellStart"/>
      <w:r w:rsidRPr="00224259">
        <w:t>labour</w:t>
      </w:r>
      <w:proofErr w:type="spellEnd"/>
      <w:r w:rsidRPr="00224259">
        <w:t xml:space="preserve"> laws and health regulations. Maintaining a positive work </w:t>
      </w:r>
      <w:r w:rsidRPr="00224259">
        <w:lastRenderedPageBreak/>
        <w:t>environment and making sure that performance management procedures comply with legal requirements depend on compliance with these regulations</w:t>
      </w:r>
      <w:r w:rsidR="005C0E5A">
        <w:t xml:space="preserve"> (Park et al., 2022)</w:t>
      </w:r>
      <w:r w:rsidRPr="00224259">
        <w:t>.</w:t>
      </w:r>
    </w:p>
    <w:p w14:paraId="21A3BAC9" w14:textId="77777777" w:rsidR="00A67D29" w:rsidRDefault="009D34C9" w:rsidP="000E52C3">
      <w:pPr>
        <w:pStyle w:val="Heading3"/>
      </w:pPr>
      <w:r>
        <w:rPr>
          <w:rFonts w:eastAsia="Arial"/>
        </w:rPr>
        <w:t>P</w:t>
      </w:r>
      <w:r w:rsidR="00985085">
        <w:rPr>
          <w:rFonts w:eastAsia="Arial"/>
        </w:rPr>
        <w:t xml:space="preserve">rovide examples of how the selected international hotel brand monitors employee management in different work modes </w:t>
      </w:r>
      <w:r w:rsidR="00985085">
        <w:rPr>
          <w:rFonts w:eastAsia="Arial"/>
          <w:b/>
        </w:rPr>
        <w:t xml:space="preserve"> </w:t>
      </w:r>
    </w:p>
    <w:p w14:paraId="21417595" w14:textId="77777777" w:rsidR="00A67D29" w:rsidRDefault="00A67D29" w:rsidP="00A67D29">
      <w:pPr>
        <w:pStyle w:val="Heading2"/>
      </w:pPr>
    </w:p>
    <w:p w14:paraId="67489052" w14:textId="77777777" w:rsidR="00C81D2C" w:rsidRPr="00A67D29" w:rsidRDefault="00985085" w:rsidP="00A67D29">
      <w:pPr>
        <w:rPr>
          <w:b/>
        </w:rPr>
      </w:pPr>
      <w:r w:rsidRPr="00A67D29">
        <w:rPr>
          <w:b/>
        </w:rPr>
        <w:t>Hybrid Work Mode:</w:t>
      </w:r>
    </w:p>
    <w:p w14:paraId="65D586A8" w14:textId="77777777" w:rsidR="005824F8" w:rsidRPr="00C81D2C" w:rsidRDefault="00985085" w:rsidP="00C81D2C">
      <w:r w:rsidRPr="007D33B9">
        <w:t>As remote work becomes more and more common, Marriott International has introduced several monitoring techniques that strike a balance between performance standards and flexibility. Project management software and video conferencing platforms are examples of virtual collaboration tools that allow team members to communicate easily even when they are physically apart</w:t>
      </w:r>
      <w:r w:rsidR="00501E21">
        <w:t xml:space="preserve"> (Raub et al., 2021)</w:t>
      </w:r>
      <w:r w:rsidRPr="007D33B9">
        <w:t>. Team leaders lead regular virtual check-ins to make sure expectations and goals are understood and to give staff members a way to ask questions and get clarification. Additionally, Marriott uses key performance indicators (KPIs) that place an emphasis on results rather than input-based measurements, enabling staff members to highlight their contributions in any setting they choose. In addition to encouraging autonomy and trust, this strategy makes sure that performance always takes precedence in a hybrid work environment</w:t>
      </w:r>
      <w:r>
        <w:t xml:space="preserve"> (Yu et al., 2023)</w:t>
      </w:r>
      <w:r w:rsidRPr="007D33B9">
        <w:t>.</w:t>
      </w:r>
    </w:p>
    <w:p w14:paraId="4B9BD850" w14:textId="77777777" w:rsidR="00C81D2C" w:rsidRPr="00A67D29" w:rsidRDefault="00985085" w:rsidP="00A67D29">
      <w:pPr>
        <w:rPr>
          <w:b/>
        </w:rPr>
      </w:pPr>
      <w:r w:rsidRPr="00A67D29">
        <w:rPr>
          <w:b/>
        </w:rPr>
        <w:t>Office Work Arrangement:</w:t>
      </w:r>
    </w:p>
    <w:p w14:paraId="34C64383" w14:textId="77777777" w:rsidR="00E50CD4" w:rsidRPr="00C81D2C" w:rsidRDefault="00985085" w:rsidP="00C81D2C">
      <w:r w:rsidRPr="00E50CD4">
        <w:t xml:space="preserve">Real-time performance management and collaborative feedback are highly valued by Marriott for employees who work in traditional office settings. Periodic performance reviews carried out via </w:t>
      </w:r>
      <w:proofErr w:type="spellStart"/>
      <w:r w:rsidRPr="00E50CD4">
        <w:t>organised</w:t>
      </w:r>
      <w:proofErr w:type="spellEnd"/>
      <w:r w:rsidRPr="00E50CD4">
        <w:t xml:space="preserve"> assessments and goal-establishing meetings, enable managers to offer prompt feedback on the work of both individuals and groups. In an office setting, recognition </w:t>
      </w:r>
      <w:proofErr w:type="spellStart"/>
      <w:r w:rsidRPr="00E50CD4">
        <w:t>programmes</w:t>
      </w:r>
      <w:proofErr w:type="spellEnd"/>
      <w:r w:rsidRPr="00E50CD4">
        <w:t xml:space="preserve"> like performance bonuses and employee of the month awards act as catalysts for motivation</w:t>
      </w:r>
      <w:r w:rsidR="00501E21">
        <w:t xml:space="preserve"> (Raub et al., 2021)</w:t>
      </w:r>
      <w:r w:rsidRPr="00E50CD4">
        <w:t xml:space="preserve">. Through mentorship </w:t>
      </w:r>
      <w:proofErr w:type="spellStart"/>
      <w:r w:rsidRPr="00E50CD4">
        <w:t>programmes</w:t>
      </w:r>
      <w:proofErr w:type="spellEnd"/>
      <w:r w:rsidRPr="00E50CD4">
        <w:t xml:space="preserve">, wherein seasoned employees assist less experienced colleagues in gaining knowledge and developing new skills, Marriott demonstrates its dedication to promoting a culture of continuous improvement. Office workers will feel encouraged, </w:t>
      </w:r>
      <w:r w:rsidRPr="00E50CD4">
        <w:lastRenderedPageBreak/>
        <w:t>motivated, and in line with the organization's objectives thanks to this practical approach to performance management.</w:t>
      </w:r>
    </w:p>
    <w:p w14:paraId="3518D940" w14:textId="77777777" w:rsidR="00C81D2C" w:rsidRPr="00A67D29" w:rsidRDefault="00985085" w:rsidP="00A67D29">
      <w:pPr>
        <w:rPr>
          <w:b/>
        </w:rPr>
      </w:pPr>
      <w:r w:rsidRPr="00A67D29">
        <w:rPr>
          <w:b/>
        </w:rPr>
        <w:t>Flexi Work Mode:</w:t>
      </w:r>
    </w:p>
    <w:p w14:paraId="15532BDE" w14:textId="77777777" w:rsidR="007D33B9" w:rsidRPr="00C81D2C" w:rsidRDefault="00985085" w:rsidP="00C81D2C">
      <w:r w:rsidRPr="00E50CD4">
        <w:t xml:space="preserve">Marriott's flexi work mode </w:t>
      </w:r>
      <w:proofErr w:type="spellStart"/>
      <w:r w:rsidRPr="00E50CD4">
        <w:t>recognises</w:t>
      </w:r>
      <w:proofErr w:type="spellEnd"/>
      <w:r w:rsidRPr="00E50CD4">
        <w:t xml:space="preserve"> the need for flexibility and allows employees to select their work locations and hours. Instead of strict time-tracking techniques, outcome-based assessments are the focal point of performance management in this setting. Performance reviews are based on deliverables, project milestones, and qualitative analyses of each contributor's work</w:t>
      </w:r>
      <w:r w:rsidR="008E52A4">
        <w:t xml:space="preserve"> (Teng, 2023)</w:t>
      </w:r>
      <w:r w:rsidRPr="00E50CD4">
        <w:t xml:space="preserve">. Additionally, flexi-mode workers use collaborative tools and virtual team meetings regularly to stay in touch and build a sense of community. Marriott highlights that the impact and </w:t>
      </w:r>
      <w:proofErr w:type="spellStart"/>
      <w:r w:rsidRPr="00E50CD4">
        <w:t>calibre</w:t>
      </w:r>
      <w:proofErr w:type="spellEnd"/>
      <w:r w:rsidRPr="00E50CD4">
        <w:t xml:space="preserve"> of work produced are more important factors in determining performance than an employee's physical presence, giving them the freedom to </w:t>
      </w:r>
      <w:proofErr w:type="spellStart"/>
      <w:r w:rsidRPr="00E50CD4">
        <w:t>customise</w:t>
      </w:r>
      <w:proofErr w:type="spellEnd"/>
      <w:r w:rsidRPr="00E50CD4">
        <w:t xml:space="preserve"> their work schedules to fit their personal needs while still making a valuable contribution to the company</w:t>
      </w:r>
      <w:r>
        <w:t xml:space="preserve"> (Wong et al., 2021)</w:t>
      </w:r>
      <w:r w:rsidRPr="00E50CD4">
        <w:t>.</w:t>
      </w:r>
    </w:p>
    <w:p w14:paraId="32C69F4B" w14:textId="77777777" w:rsidR="00C81D2C" w:rsidRDefault="009D34C9" w:rsidP="000E52C3">
      <w:pPr>
        <w:pStyle w:val="Heading3"/>
      </w:pPr>
      <w:r>
        <w:rPr>
          <w:rFonts w:eastAsia="Arial"/>
        </w:rPr>
        <w:t>P</w:t>
      </w:r>
      <w:r w:rsidR="00985085">
        <w:rPr>
          <w:rFonts w:eastAsia="Arial"/>
        </w:rPr>
        <w:t>otential solutions</w:t>
      </w:r>
    </w:p>
    <w:p w14:paraId="08D9CA34" w14:textId="77777777" w:rsidR="00D63817" w:rsidRPr="00373C62" w:rsidRDefault="00985085" w:rsidP="00373C62">
      <w:proofErr w:type="spellStart"/>
      <w:r w:rsidRPr="00D63817">
        <w:t>Organisations</w:t>
      </w:r>
      <w:proofErr w:type="spellEnd"/>
      <w:r w:rsidRPr="00D63817">
        <w:t xml:space="preserve"> like Marriott International look for creative ways to </w:t>
      </w:r>
      <w:proofErr w:type="spellStart"/>
      <w:r w:rsidRPr="00D63817">
        <w:t>maximise</w:t>
      </w:r>
      <w:proofErr w:type="spellEnd"/>
      <w:r w:rsidRPr="00D63817">
        <w:t xml:space="preserve"> employee performance as the hospitality sector struggles with the issues brought on by a variety of work styles and the impact of socioeconomic factors</w:t>
      </w:r>
      <w:r w:rsidR="00102357">
        <w:t xml:space="preserve"> (Wu et al., 2023)</w:t>
      </w:r>
      <w:r w:rsidRPr="00D63817">
        <w:t>. The subsequent prospective remedies delineate tactics that can be implemented to augment employee management in diverse work environments:</w:t>
      </w:r>
    </w:p>
    <w:p w14:paraId="262EEB15" w14:textId="77777777" w:rsidR="00711B68" w:rsidRDefault="00985085" w:rsidP="00711B68">
      <w:r w:rsidRPr="00373C62">
        <w:rPr>
          <w:b/>
          <w:bCs/>
        </w:rPr>
        <w:t>Technological Integration:</w:t>
      </w:r>
      <w:r w:rsidRPr="00373C62">
        <w:t xml:space="preserve">  </w:t>
      </w:r>
      <w:r>
        <w:t>It is imperative to make investments in cutting-edge technologies that enable smooth collaboration, communication, and performance monitoring across various work modes. Managers can monitor performance metrics, spot trends, and give timely feedback by implementing sophisticated Human Resource Information Systems (HRIS) and performance management software, which allows for real-time data analysis</w:t>
      </w:r>
      <w:r w:rsidR="00102357">
        <w:t xml:space="preserve"> (Wu et al., 2023)</w:t>
      </w:r>
      <w:r>
        <w:t>. Transparency and effectiveness in employee performance management are ensured by this technology-driven strategy.</w:t>
      </w:r>
    </w:p>
    <w:p w14:paraId="70FD5553" w14:textId="77777777" w:rsidR="001F18A2" w:rsidRPr="001F18A2" w:rsidRDefault="00985085" w:rsidP="001F18A2">
      <w:pPr>
        <w:rPr>
          <w:rFonts w:eastAsia="Arial"/>
        </w:rPr>
      </w:pPr>
      <w:r w:rsidRPr="00777BEC">
        <w:rPr>
          <w:rFonts w:eastAsia="Arial"/>
          <w:b/>
        </w:rPr>
        <w:t>Ongoing Education and Training:</w:t>
      </w:r>
      <w:r w:rsidRPr="001F18A2">
        <w:rPr>
          <w:rFonts w:eastAsia="Arial"/>
        </w:rPr>
        <w:t xml:space="preserve"> It's critical to give employee development courses top priority to improve the skills needed for various work environments</w:t>
      </w:r>
      <w:r w:rsidR="00524582">
        <w:rPr>
          <w:rFonts w:eastAsia="Arial"/>
        </w:rPr>
        <w:t xml:space="preserve"> </w:t>
      </w:r>
      <w:r w:rsidR="00524582">
        <w:t xml:space="preserve">(Sanchez &amp; </w:t>
      </w:r>
      <w:r w:rsidR="00524582">
        <w:lastRenderedPageBreak/>
        <w:t>Satir, 2023)</w:t>
      </w:r>
      <w:r w:rsidRPr="001F18A2">
        <w:rPr>
          <w:rFonts w:eastAsia="Arial"/>
        </w:rPr>
        <w:t xml:space="preserve">. It also needs to offer virtual training sessions, webinars, and skill-building initiatives accessible to employees across various locations. </w:t>
      </w:r>
      <w:proofErr w:type="spellStart"/>
      <w:r w:rsidRPr="001F18A2">
        <w:rPr>
          <w:rFonts w:eastAsia="Arial"/>
        </w:rPr>
        <w:t>Organisations</w:t>
      </w:r>
      <w:proofErr w:type="spellEnd"/>
      <w:r w:rsidRPr="001F18A2">
        <w:rPr>
          <w:rFonts w:eastAsia="Arial"/>
        </w:rPr>
        <w:t xml:space="preserve"> can guarantee that their workforce is competent and flexible enough to perform well in their jobs regardless of how they choose to work by making investments in ongoing education</w:t>
      </w:r>
      <w:r w:rsidR="007D0F48">
        <w:rPr>
          <w:rFonts w:eastAsia="Arial"/>
        </w:rPr>
        <w:t xml:space="preserve"> </w:t>
      </w:r>
      <w:r w:rsidR="007D0F48">
        <w:t>(Xu et al., 2020)</w:t>
      </w:r>
      <w:r w:rsidRPr="001F18A2">
        <w:rPr>
          <w:rFonts w:eastAsia="Arial"/>
        </w:rPr>
        <w:t>.</w:t>
      </w:r>
    </w:p>
    <w:p w14:paraId="41BF430B" w14:textId="77777777" w:rsidR="006B2A4C" w:rsidRPr="006B2A4C" w:rsidRDefault="00985085" w:rsidP="006B2A4C">
      <w:pPr>
        <w:rPr>
          <w:rFonts w:eastAsia="Arial"/>
        </w:rPr>
      </w:pPr>
      <w:r w:rsidRPr="00777BEC">
        <w:rPr>
          <w:rFonts w:eastAsia="Arial"/>
          <w:b/>
        </w:rPr>
        <w:t>Adaptable HR Guidelines:</w:t>
      </w:r>
      <w:r w:rsidRPr="001F18A2">
        <w:rPr>
          <w:rFonts w:eastAsia="Arial"/>
        </w:rPr>
        <w:t xml:space="preserve">  Creating adaptable HR policies is crucial to meeting employees' varied needs across a range of work environments. To support people in office, flexible, or hybrid work arrangements, entails reevaluating leave policies, allowing for scheduling flexibility, and putting in place wellness initiatives. A positive work environment is fostered by flexible HR policies, which also enhance employee satisfaction and well-being.</w:t>
      </w:r>
      <w:r w:rsidRPr="006B2A4C">
        <w:t xml:space="preserve"> </w:t>
      </w:r>
      <w:r w:rsidRPr="006B2A4C">
        <w:rPr>
          <w:rFonts w:eastAsia="Arial"/>
        </w:rPr>
        <w:t xml:space="preserve">Developing a performance culture that </w:t>
      </w:r>
      <w:proofErr w:type="spellStart"/>
      <w:r w:rsidRPr="006B2A4C">
        <w:rPr>
          <w:rFonts w:eastAsia="Arial"/>
        </w:rPr>
        <w:t>prioritises</w:t>
      </w:r>
      <w:proofErr w:type="spellEnd"/>
      <w:r w:rsidRPr="006B2A4C">
        <w:rPr>
          <w:rFonts w:eastAsia="Arial"/>
        </w:rPr>
        <w:t xml:space="preserve"> results and outcomes over strict adherence to work hours is crucial</w:t>
      </w:r>
      <w:r w:rsidR="00B85AE9">
        <w:rPr>
          <w:rFonts w:eastAsia="Arial"/>
        </w:rPr>
        <w:t xml:space="preserve"> </w:t>
      </w:r>
      <w:r w:rsidR="00B85AE9">
        <w:t>(Zhao et al., 2022)</w:t>
      </w:r>
      <w:r w:rsidRPr="006B2A4C">
        <w:rPr>
          <w:rFonts w:eastAsia="Arial"/>
        </w:rPr>
        <w:t xml:space="preserve">. This is known as an outcome-oriented performance culture. </w:t>
      </w:r>
    </w:p>
    <w:p w14:paraId="617BDA6E" w14:textId="77777777" w:rsidR="006B2A4C" w:rsidRDefault="00985085" w:rsidP="006B2A4C">
      <w:pPr>
        <w:rPr>
          <w:rFonts w:eastAsia="Arial"/>
        </w:rPr>
      </w:pPr>
      <w:r w:rsidRPr="00777BEC">
        <w:rPr>
          <w:rFonts w:eastAsia="Arial"/>
          <w:b/>
        </w:rPr>
        <w:t>Initiatives for Employee Well-Being:</w:t>
      </w:r>
      <w:r w:rsidRPr="006B2A4C">
        <w:rPr>
          <w:rFonts w:eastAsia="Arial"/>
        </w:rPr>
        <w:t xml:space="preserve"> It is critical to put in place extensive </w:t>
      </w:r>
      <w:proofErr w:type="spellStart"/>
      <w:r w:rsidRPr="006B2A4C">
        <w:rPr>
          <w:rFonts w:eastAsia="Arial"/>
        </w:rPr>
        <w:t>programmes</w:t>
      </w:r>
      <w:proofErr w:type="spellEnd"/>
      <w:r w:rsidRPr="006B2A4C">
        <w:rPr>
          <w:rFonts w:eastAsia="Arial"/>
        </w:rPr>
        <w:t xml:space="preserve"> for employee well-being that cater to the holistic needs of people working in a variety of settings. Overall employee satisfaction is influenced by work-life balance resources, wellness </w:t>
      </w:r>
      <w:proofErr w:type="spellStart"/>
      <w:r w:rsidRPr="006B2A4C">
        <w:rPr>
          <w:rFonts w:eastAsia="Arial"/>
        </w:rPr>
        <w:t>programmes</w:t>
      </w:r>
      <w:proofErr w:type="spellEnd"/>
      <w:r w:rsidRPr="006B2A4C">
        <w:rPr>
          <w:rFonts w:eastAsia="Arial"/>
        </w:rPr>
        <w:t>, and mental health support</w:t>
      </w:r>
      <w:r w:rsidR="00777BEC">
        <w:rPr>
          <w:rFonts w:eastAsia="Arial"/>
        </w:rPr>
        <w:t xml:space="preserve"> </w:t>
      </w:r>
      <w:r w:rsidR="00777BEC">
        <w:t>(Zhao et al., 2022)</w:t>
      </w:r>
      <w:r w:rsidRPr="006B2A4C">
        <w:rPr>
          <w:rFonts w:eastAsia="Arial"/>
        </w:rPr>
        <w:t xml:space="preserve">. The success of well-being </w:t>
      </w:r>
      <w:proofErr w:type="spellStart"/>
      <w:r w:rsidRPr="006B2A4C">
        <w:rPr>
          <w:rFonts w:eastAsia="Arial"/>
        </w:rPr>
        <w:t>programmes</w:t>
      </w:r>
      <w:proofErr w:type="spellEnd"/>
      <w:r w:rsidRPr="006B2A4C">
        <w:rPr>
          <w:rFonts w:eastAsia="Arial"/>
        </w:rPr>
        <w:t xml:space="preserve"> can be evaluated by conducting regular surveys and using feedback systems.</w:t>
      </w:r>
    </w:p>
    <w:p w14:paraId="67779B34" w14:textId="77777777" w:rsidR="00FA022A" w:rsidRDefault="00985085" w:rsidP="00FA022A">
      <w:pPr>
        <w:pStyle w:val="Heading2"/>
        <w:rPr>
          <w:rFonts w:eastAsia="Arial"/>
        </w:rPr>
      </w:pPr>
      <w:r>
        <w:rPr>
          <w:rFonts w:eastAsia="Arial"/>
        </w:rPr>
        <w:t>Evaluation and Conclusion</w:t>
      </w:r>
    </w:p>
    <w:p w14:paraId="728A13A5" w14:textId="77777777" w:rsidR="006D6A47" w:rsidRPr="00EC53DE" w:rsidRDefault="00985085" w:rsidP="00EC53DE">
      <w:r w:rsidRPr="006D6A47">
        <w:t>In examining the impacts of socio-economic forces on employee performance management within the hospitality sector, particularly within Marriott International, key insights have been gained</w:t>
      </w:r>
      <w:r w:rsidR="000B66B8">
        <w:t xml:space="preserve"> (Ali &amp; Anwar, 2021)</w:t>
      </w:r>
      <w:r w:rsidRPr="006D6A47">
        <w:t>. The key conclusions are outlined in this evaluation, along with doable recommendations for improving performance management across a range of work environments.</w:t>
      </w:r>
    </w:p>
    <w:p w14:paraId="3620A783" w14:textId="77777777" w:rsidR="00EC53DE" w:rsidRPr="00EC53DE" w:rsidRDefault="00985085" w:rsidP="00EC53DE">
      <w:r w:rsidRPr="00EC53DE">
        <w:rPr>
          <w:b/>
          <w:bCs/>
        </w:rPr>
        <w:t>Main Findings:</w:t>
      </w:r>
    </w:p>
    <w:p w14:paraId="1DC72F1F" w14:textId="77777777" w:rsidR="006D6A47" w:rsidRDefault="00985085" w:rsidP="006D6A47">
      <w:r w:rsidRPr="000B66B8">
        <w:rPr>
          <w:b/>
        </w:rPr>
        <w:t>Socio-economic Influences:</w:t>
      </w:r>
      <w:r>
        <w:t xml:space="preserve"> In the hospitality sector, socio-economic factors have a big impact on employee performance and </w:t>
      </w:r>
      <w:proofErr w:type="spellStart"/>
      <w:r>
        <w:t>behaviour</w:t>
      </w:r>
      <w:proofErr w:type="spellEnd"/>
      <w:r>
        <w:t xml:space="preserve">. Performance management </w:t>
      </w:r>
      <w:r>
        <w:lastRenderedPageBreak/>
        <w:t>techniques must be flexible to keep up with shifting regulations, societal shifts, and economic fluctuations</w:t>
      </w:r>
      <w:r w:rsidR="000F604D">
        <w:t xml:space="preserve"> (Ali &amp; Anwar, 2021)</w:t>
      </w:r>
      <w:r>
        <w:t>.</w:t>
      </w:r>
    </w:p>
    <w:p w14:paraId="7D678CA1" w14:textId="77777777" w:rsidR="006D6A47" w:rsidRDefault="00985085" w:rsidP="006D6A47">
      <w:r w:rsidRPr="000B66B8">
        <w:rPr>
          <w:b/>
        </w:rPr>
        <w:t>Work Mode Diverse:</w:t>
      </w:r>
      <w:r>
        <w:t xml:space="preserve"> A sophisticated approach to performance management is required in light of the growing popularity of flexible work schedules, traditional office settings, and hybrid work arrangements. Worker productivity and well-being are impacted by the particular opportunities and challenges that each work mode offers.</w:t>
      </w:r>
    </w:p>
    <w:p w14:paraId="088AEA90" w14:textId="77777777" w:rsidR="00EC53DE" w:rsidRPr="006D6A47" w:rsidRDefault="00985085" w:rsidP="006D6A47">
      <w:r w:rsidRPr="000B66B8">
        <w:rPr>
          <w:b/>
        </w:rPr>
        <w:t>Marriott's Flexible Workstyles:</w:t>
      </w:r>
      <w:r>
        <w:t xml:space="preserve"> Marriott International is a prime example of a company that uses flexible workstyles for tracking and managing worker productivity. Marriott shows that it is dedicated to creating a positive work culture while </w:t>
      </w:r>
      <w:proofErr w:type="spellStart"/>
      <w:r>
        <w:t>maximising</w:t>
      </w:r>
      <w:proofErr w:type="spellEnd"/>
      <w:r>
        <w:t xml:space="preserve"> </w:t>
      </w:r>
      <w:proofErr w:type="spellStart"/>
      <w:r>
        <w:t>organisational</w:t>
      </w:r>
      <w:proofErr w:type="spellEnd"/>
      <w:r>
        <w:t xml:space="preserve"> efficiency by </w:t>
      </w:r>
      <w:proofErr w:type="spellStart"/>
      <w:r>
        <w:t>utilising</w:t>
      </w:r>
      <w:proofErr w:type="spellEnd"/>
      <w:r>
        <w:t xml:space="preserve"> technology, flexible performance metrics, and employee engagement </w:t>
      </w:r>
      <w:proofErr w:type="spellStart"/>
      <w:r>
        <w:t>programmes</w:t>
      </w:r>
      <w:proofErr w:type="spellEnd"/>
      <w:r w:rsidR="008C191C">
        <w:t xml:space="preserve"> (Davern, 2021)</w:t>
      </w:r>
      <w:r>
        <w:t>.</w:t>
      </w:r>
    </w:p>
    <w:p w14:paraId="54554358" w14:textId="77777777" w:rsidR="00EC53DE" w:rsidRPr="00EC53DE" w:rsidRDefault="00985085" w:rsidP="00EC53DE">
      <w:r w:rsidRPr="00EC53DE">
        <w:rPr>
          <w:b/>
          <w:bCs/>
        </w:rPr>
        <w:t>Implications and Recommendations:</w:t>
      </w:r>
    </w:p>
    <w:p w14:paraId="6605672D" w14:textId="77777777" w:rsidR="00C565A6" w:rsidRDefault="00985085" w:rsidP="00C565A6">
      <w:proofErr w:type="spellStart"/>
      <w:r w:rsidRPr="000B66B8">
        <w:rPr>
          <w:b/>
        </w:rPr>
        <w:t>Customised</w:t>
      </w:r>
      <w:proofErr w:type="spellEnd"/>
      <w:r w:rsidRPr="000B66B8">
        <w:rPr>
          <w:b/>
        </w:rPr>
        <w:t xml:space="preserve"> Performance Metrics:</w:t>
      </w:r>
      <w:r>
        <w:t xml:space="preserve"> Ensuring fairness and relevance in evaluations is ensured by implementing flexible and </w:t>
      </w:r>
      <w:proofErr w:type="spellStart"/>
      <w:r>
        <w:t>customised</w:t>
      </w:r>
      <w:proofErr w:type="spellEnd"/>
      <w:r>
        <w:t xml:space="preserve"> performance metrics that are aligned with particular work modes</w:t>
      </w:r>
      <w:r w:rsidR="008C191C">
        <w:t xml:space="preserve"> (Davern, 2021)</w:t>
      </w:r>
      <w:r>
        <w:t>. Marriott should keep improving its metrics to fully represent the variety of contributions made by staff members in various situations.</w:t>
      </w:r>
    </w:p>
    <w:p w14:paraId="78540BE0" w14:textId="77777777" w:rsidR="00C565A6" w:rsidRDefault="00985085" w:rsidP="00C565A6">
      <w:r w:rsidRPr="000B66B8">
        <w:rPr>
          <w:b/>
        </w:rPr>
        <w:t>Technology Integration:</w:t>
      </w:r>
      <w:r>
        <w:t xml:space="preserve"> Make ongoing investments in cutting-edge technologies to facilitate remote cooperation and monitoring. Effective performance monitoring is made possible by real-time tracking and analytics, which promote accountability and openness.</w:t>
      </w:r>
    </w:p>
    <w:p w14:paraId="4B588B1B" w14:textId="77777777" w:rsidR="00C565A6" w:rsidRDefault="00985085" w:rsidP="00C565A6">
      <w:r w:rsidRPr="000B66B8">
        <w:rPr>
          <w:b/>
        </w:rPr>
        <w:t>Platforms for Engaging Employees:</w:t>
      </w:r>
      <w:r>
        <w:t xml:space="preserve"> bolster platforms for employee engagement to support open dialogue, acknowledgement, and cooperation. These platforms are especially important in remote or hybrid work environments because they foster a positive and connected work culture</w:t>
      </w:r>
      <w:r w:rsidR="00905099">
        <w:t xml:space="preserve"> (Kumar Dixit &amp; Abraham, 2020)</w:t>
      </w:r>
      <w:r>
        <w:t>.</w:t>
      </w:r>
    </w:p>
    <w:p w14:paraId="1EDD7908" w14:textId="77777777" w:rsidR="00EC53DE" w:rsidRDefault="00985085" w:rsidP="00C565A6">
      <w:proofErr w:type="spellStart"/>
      <w:r w:rsidRPr="000B66B8">
        <w:rPr>
          <w:b/>
        </w:rPr>
        <w:t>Personalised</w:t>
      </w:r>
      <w:proofErr w:type="spellEnd"/>
      <w:r w:rsidRPr="000B66B8">
        <w:rPr>
          <w:b/>
        </w:rPr>
        <w:t xml:space="preserve"> Learning and Development:</w:t>
      </w:r>
      <w:r>
        <w:t xml:space="preserve"> Adapt training courses and initiatives to the specific requirements of each worker. Make use of mentorship </w:t>
      </w:r>
      <w:proofErr w:type="spellStart"/>
      <w:r>
        <w:t>programmes</w:t>
      </w:r>
      <w:proofErr w:type="spellEnd"/>
      <w:r>
        <w:t xml:space="preserve"> and online training platforms to pinpoint and address particular areas that require improvement to guarantee ongoing skill development</w:t>
      </w:r>
      <w:r w:rsidR="00FC5704">
        <w:t xml:space="preserve"> (Liu et al., 2023)</w:t>
      </w:r>
      <w:r>
        <w:t>.</w:t>
      </w:r>
    </w:p>
    <w:p w14:paraId="3178E2CD" w14:textId="77777777" w:rsidR="003F66D9" w:rsidRDefault="00985085" w:rsidP="003F66D9">
      <w:r w:rsidRPr="000B66B8">
        <w:rPr>
          <w:b/>
        </w:rPr>
        <w:lastRenderedPageBreak/>
        <w:t>Clear Communication Channels:</w:t>
      </w:r>
      <w:r>
        <w:t xml:space="preserve"> Create and keep clear channels of communication to cut down on uncertainty and improve efficiency. Open forums, one-on-one check-ins, and regular team meetings all support a transparent culture</w:t>
      </w:r>
      <w:r w:rsidR="006614A7">
        <w:t xml:space="preserve"> (Le et al., 2023)</w:t>
      </w:r>
      <w:r>
        <w:t>.</w:t>
      </w:r>
    </w:p>
    <w:p w14:paraId="05A1A379" w14:textId="77777777" w:rsidR="003F66D9" w:rsidRDefault="00985085" w:rsidP="003F66D9">
      <w:r w:rsidRPr="000B66B8">
        <w:rPr>
          <w:b/>
        </w:rPr>
        <w:t>Well-being Initiatives:</w:t>
      </w:r>
      <w:r>
        <w:t xml:space="preserve"> Make employee well-being a top priority by launching </w:t>
      </w:r>
      <w:proofErr w:type="spellStart"/>
      <w:r>
        <w:t>programmes</w:t>
      </w:r>
      <w:proofErr w:type="spellEnd"/>
      <w:r>
        <w:t xml:space="preserve"> that tackle the particular difficulties presented by each work style</w:t>
      </w:r>
      <w:r w:rsidR="00905099">
        <w:t xml:space="preserve"> (Kumar Dixit &amp; Abraham, 2020)</w:t>
      </w:r>
      <w:r>
        <w:t xml:space="preserve">. Higher job satisfaction and improved performance are correlated with </w:t>
      </w:r>
      <w:proofErr w:type="spellStart"/>
      <w:r>
        <w:t>programmes</w:t>
      </w:r>
      <w:proofErr w:type="spellEnd"/>
      <w:r>
        <w:t xml:space="preserve"> supporting work-life balance, flexible work schedules, and mental health support.</w:t>
      </w:r>
    </w:p>
    <w:p w14:paraId="250919FF" w14:textId="77777777" w:rsidR="003F66D9" w:rsidRPr="00EC53DE" w:rsidRDefault="00985085" w:rsidP="0081310E">
      <w:r>
        <w:t xml:space="preserve">In summary, Marriott International has the chance to proactively handle the difficulties brought about by socioeconomic forces and a variety of work arrangements. By implementing these suggestions, Marriott will be able to </w:t>
      </w:r>
      <w:proofErr w:type="spellStart"/>
      <w:r>
        <w:t>maximise</w:t>
      </w:r>
      <w:proofErr w:type="spellEnd"/>
      <w:r>
        <w:t xml:space="preserve"> employee performance management and build a work environment that not only withstands external changes but also encourages excellence and ongoing development in the hospitality sector</w:t>
      </w:r>
      <w:r w:rsidR="00716184">
        <w:t xml:space="preserve"> (Le et al., 2023)</w:t>
      </w:r>
      <w:r>
        <w:t>.</w:t>
      </w:r>
    </w:p>
    <w:p w14:paraId="69371896" w14:textId="77777777" w:rsidR="007E6463" w:rsidRDefault="007E6463">
      <w:pPr>
        <w:spacing w:line="259" w:lineRule="auto"/>
        <w:jc w:val="left"/>
        <w:rPr>
          <w:rFonts w:eastAsiaTheme="majorEastAsia" w:cstheme="majorBidi"/>
          <w:color w:val="2F5496" w:themeColor="accent1" w:themeShade="BF"/>
          <w:sz w:val="32"/>
          <w:szCs w:val="32"/>
        </w:rPr>
      </w:pPr>
      <w:r>
        <w:br w:type="page"/>
      </w:r>
    </w:p>
    <w:p w14:paraId="1E4D8B1E" w14:textId="749C72A5" w:rsidR="00A22486" w:rsidRDefault="00A22486" w:rsidP="00A22486">
      <w:r>
        <w:rPr>
          <w:noProof/>
        </w:rPr>
        <w:lastRenderedPageBreak/>
        <w:drawing>
          <wp:inline distT="0" distB="0" distL="0" distR="0" wp14:anchorId="77A3045E" wp14:editId="5B4CCC0A">
            <wp:extent cx="5848350" cy="4476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1.PNG"/>
                    <pic:cNvPicPr/>
                  </pic:nvPicPr>
                  <pic:blipFill>
                    <a:blip r:embed="rId10">
                      <a:extLst>
                        <a:ext uri="{28A0092B-C50C-407E-A947-70E740481C1C}">
                          <a14:useLocalDpi xmlns:a14="http://schemas.microsoft.com/office/drawing/2010/main" val="0"/>
                        </a:ext>
                      </a:extLst>
                    </a:blip>
                    <a:stretch>
                      <a:fillRect/>
                    </a:stretch>
                  </pic:blipFill>
                  <pic:spPr>
                    <a:xfrm>
                      <a:off x="0" y="0"/>
                      <a:ext cx="5849167" cy="4477375"/>
                    </a:xfrm>
                    <a:prstGeom prst="rect">
                      <a:avLst/>
                    </a:prstGeom>
                  </pic:spPr>
                </pic:pic>
              </a:graphicData>
            </a:graphic>
          </wp:inline>
        </w:drawing>
      </w:r>
    </w:p>
    <w:p w14:paraId="30E71CCD" w14:textId="5AA89582" w:rsidR="00A22486" w:rsidRDefault="00A22486" w:rsidP="00A22486">
      <w:r>
        <w:rPr>
          <w:noProof/>
        </w:rPr>
        <w:drawing>
          <wp:inline distT="0" distB="0" distL="0" distR="0" wp14:anchorId="107C8E58" wp14:editId="77A13398">
            <wp:extent cx="5943600" cy="30575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2.PNG"/>
                    <pic:cNvPicPr/>
                  </pic:nvPicPr>
                  <pic:blipFill>
                    <a:blip r:embed="rId11">
                      <a:extLst>
                        <a:ext uri="{28A0092B-C50C-407E-A947-70E740481C1C}">
                          <a14:useLocalDpi xmlns:a14="http://schemas.microsoft.com/office/drawing/2010/main" val="0"/>
                        </a:ext>
                      </a:extLst>
                    </a:blip>
                    <a:stretch>
                      <a:fillRect/>
                    </a:stretch>
                  </pic:blipFill>
                  <pic:spPr>
                    <a:xfrm>
                      <a:off x="0" y="0"/>
                      <a:ext cx="5944436" cy="3057955"/>
                    </a:xfrm>
                    <a:prstGeom prst="rect">
                      <a:avLst/>
                    </a:prstGeom>
                  </pic:spPr>
                </pic:pic>
              </a:graphicData>
            </a:graphic>
          </wp:inline>
        </w:drawing>
      </w:r>
    </w:p>
    <w:p w14:paraId="2D7153A1" w14:textId="77777777" w:rsidR="00A22486" w:rsidRDefault="00A22486" w:rsidP="00A22486"/>
    <w:p w14:paraId="6FA21D21" w14:textId="1100921A" w:rsidR="00A22486" w:rsidRDefault="00A22486" w:rsidP="00A22486">
      <w:r>
        <w:rPr>
          <w:noProof/>
        </w:rPr>
        <w:lastRenderedPageBreak/>
        <w:drawing>
          <wp:inline distT="0" distB="0" distL="0" distR="0" wp14:anchorId="5DF1B6A0" wp14:editId="5FB746F1">
            <wp:extent cx="5951855" cy="5104891"/>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3.PNG"/>
                    <pic:cNvPicPr/>
                  </pic:nvPicPr>
                  <pic:blipFill>
                    <a:blip r:embed="rId12">
                      <a:extLst>
                        <a:ext uri="{28A0092B-C50C-407E-A947-70E740481C1C}">
                          <a14:useLocalDpi xmlns:a14="http://schemas.microsoft.com/office/drawing/2010/main" val="0"/>
                        </a:ext>
                      </a:extLst>
                    </a:blip>
                    <a:stretch>
                      <a:fillRect/>
                    </a:stretch>
                  </pic:blipFill>
                  <pic:spPr>
                    <a:xfrm>
                      <a:off x="0" y="0"/>
                      <a:ext cx="5968534" cy="5119196"/>
                    </a:xfrm>
                    <a:prstGeom prst="rect">
                      <a:avLst/>
                    </a:prstGeom>
                  </pic:spPr>
                </pic:pic>
              </a:graphicData>
            </a:graphic>
          </wp:inline>
        </w:drawing>
      </w:r>
    </w:p>
    <w:p w14:paraId="72407D6A" w14:textId="4DE4877D" w:rsidR="00A22486" w:rsidRPr="000E52C3" w:rsidRDefault="00A22486" w:rsidP="00A22486">
      <w:r>
        <w:rPr>
          <w:noProof/>
        </w:rPr>
        <w:drawing>
          <wp:inline distT="0" distB="0" distL="0" distR="0" wp14:anchorId="532EB5C1" wp14:editId="0015FD0E">
            <wp:extent cx="5772150" cy="17907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4.PNG"/>
                    <pic:cNvPicPr/>
                  </pic:nvPicPr>
                  <pic:blipFill>
                    <a:blip r:embed="rId13">
                      <a:extLst>
                        <a:ext uri="{28A0092B-C50C-407E-A947-70E740481C1C}">
                          <a14:useLocalDpi xmlns:a14="http://schemas.microsoft.com/office/drawing/2010/main" val="0"/>
                        </a:ext>
                      </a:extLst>
                    </a:blip>
                    <a:stretch>
                      <a:fillRect/>
                    </a:stretch>
                  </pic:blipFill>
                  <pic:spPr>
                    <a:xfrm>
                      <a:off x="0" y="0"/>
                      <a:ext cx="5772976" cy="1790956"/>
                    </a:xfrm>
                    <a:prstGeom prst="rect">
                      <a:avLst/>
                    </a:prstGeom>
                  </pic:spPr>
                </pic:pic>
              </a:graphicData>
            </a:graphic>
          </wp:inline>
        </w:drawing>
      </w:r>
    </w:p>
    <w:p w14:paraId="16AC8D75" w14:textId="77777777" w:rsidR="00822A80" w:rsidRDefault="00822A80" w:rsidP="009D14F8"/>
    <w:p w14:paraId="74BB81B7" w14:textId="77777777" w:rsidR="00822A80" w:rsidRPr="009D14F8" w:rsidRDefault="00822A80" w:rsidP="009D14F8"/>
    <w:sectPr w:rsidR="00822A80" w:rsidRPr="009D14F8">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112F0F" w14:textId="77777777" w:rsidR="00D25677" w:rsidRDefault="00D25677" w:rsidP="009D34C9">
      <w:pPr>
        <w:spacing w:after="0" w:line="240" w:lineRule="auto"/>
      </w:pPr>
      <w:r>
        <w:separator/>
      </w:r>
    </w:p>
  </w:endnote>
  <w:endnote w:type="continuationSeparator" w:id="0">
    <w:p w14:paraId="5BE876A9" w14:textId="77777777" w:rsidR="00D25677" w:rsidRDefault="00D25677" w:rsidP="009D34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5973008"/>
      <w:docPartObj>
        <w:docPartGallery w:val="Page Numbers (Bottom of Page)"/>
        <w:docPartUnique/>
      </w:docPartObj>
    </w:sdtPr>
    <w:sdtEndPr>
      <w:rPr>
        <w:noProof/>
      </w:rPr>
    </w:sdtEndPr>
    <w:sdtContent>
      <w:p w14:paraId="44BC2250" w14:textId="77777777" w:rsidR="009D34C9" w:rsidRDefault="009D34C9">
        <w:pPr>
          <w:pStyle w:val="Footer"/>
          <w:jc w:val="center"/>
        </w:pPr>
        <w:r>
          <w:fldChar w:fldCharType="begin"/>
        </w:r>
        <w:r>
          <w:instrText xml:space="preserve"> PAGE   \* MERGEFORMAT </w:instrText>
        </w:r>
        <w:r>
          <w:fldChar w:fldCharType="separate"/>
        </w:r>
        <w:r w:rsidR="003579EB">
          <w:rPr>
            <w:noProof/>
          </w:rPr>
          <w:t>2</w:t>
        </w:r>
        <w:r>
          <w:rPr>
            <w:noProof/>
          </w:rPr>
          <w:fldChar w:fldCharType="end"/>
        </w:r>
      </w:p>
    </w:sdtContent>
  </w:sdt>
  <w:p w14:paraId="007D3E3E" w14:textId="77777777" w:rsidR="009D34C9" w:rsidRDefault="009D34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CED83E" w14:textId="77777777" w:rsidR="00D25677" w:rsidRDefault="00D25677" w:rsidP="009D34C9">
      <w:pPr>
        <w:spacing w:after="0" w:line="240" w:lineRule="auto"/>
      </w:pPr>
      <w:r>
        <w:separator/>
      </w:r>
    </w:p>
  </w:footnote>
  <w:footnote w:type="continuationSeparator" w:id="0">
    <w:p w14:paraId="0DC74625" w14:textId="77777777" w:rsidR="00D25677" w:rsidRDefault="00D25677" w:rsidP="009D34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35407"/>
    <w:multiLevelType w:val="hybridMultilevel"/>
    <w:tmpl w:val="D4042CB6"/>
    <w:lvl w:ilvl="0" w:tplc="FCF009B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3C9C84A6">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55A40158">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EF702052">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6660F31A">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D35CFB08">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1F668FA">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7DA772A">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F1AE6AC6">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6077772"/>
    <w:multiLevelType w:val="multilevel"/>
    <w:tmpl w:val="6308B53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15:restartNumberingAfterBreak="0">
    <w:nsid w:val="13380617"/>
    <w:multiLevelType w:val="multilevel"/>
    <w:tmpl w:val="B464ECD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 w15:restartNumberingAfterBreak="0">
    <w:nsid w:val="16532C33"/>
    <w:multiLevelType w:val="multilevel"/>
    <w:tmpl w:val="C1A43C9E"/>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 w15:restartNumberingAfterBreak="0">
    <w:nsid w:val="47827EE1"/>
    <w:multiLevelType w:val="multilevel"/>
    <w:tmpl w:val="99FA9BD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5" w15:restartNumberingAfterBreak="0">
    <w:nsid w:val="501A44E4"/>
    <w:multiLevelType w:val="multilevel"/>
    <w:tmpl w:val="51E06228"/>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6" w15:restartNumberingAfterBreak="0">
    <w:nsid w:val="50714473"/>
    <w:multiLevelType w:val="multilevel"/>
    <w:tmpl w:val="42F4F6B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7" w15:restartNumberingAfterBreak="0">
    <w:nsid w:val="788A2945"/>
    <w:multiLevelType w:val="multilevel"/>
    <w:tmpl w:val="072210C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8" w15:restartNumberingAfterBreak="0">
    <w:nsid w:val="7E711B83"/>
    <w:multiLevelType w:val="multilevel"/>
    <w:tmpl w:val="722EC65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16cid:durableId="59402379">
    <w:abstractNumId w:val="8"/>
  </w:num>
  <w:num w:numId="2" w16cid:durableId="2117481854">
    <w:abstractNumId w:val="3"/>
  </w:num>
  <w:num w:numId="3" w16cid:durableId="1392845212">
    <w:abstractNumId w:val="6"/>
  </w:num>
  <w:num w:numId="4" w16cid:durableId="1286699207">
    <w:abstractNumId w:val="7"/>
  </w:num>
  <w:num w:numId="5" w16cid:durableId="1526938290">
    <w:abstractNumId w:val="5"/>
  </w:num>
  <w:num w:numId="6" w16cid:durableId="1132098380">
    <w:abstractNumId w:val="1"/>
  </w:num>
  <w:num w:numId="7" w16cid:durableId="997419073">
    <w:abstractNumId w:val="4"/>
  </w:num>
  <w:num w:numId="8" w16cid:durableId="1613392176">
    <w:abstractNumId w:val="2"/>
  </w:num>
  <w:num w:numId="9" w16cid:durableId="7310817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ocumentProtection w:formatting="1" w:enforcement="1" w:cryptProviderType="rsaAES" w:cryptAlgorithmClass="hash" w:cryptAlgorithmType="typeAny" w:cryptAlgorithmSid="14" w:cryptSpinCount="100000" w:hash="hmYBcJzTUym/TEsT0x8bNTRuQffwf4MAPkYYUtTkZ9azZlB7u+oyi7Pq1Fi2GRU3yVAlJTNmu+nyw+CBGN8xCQ==" w:salt="Xhlvmw/cR+C9j8CdUQnQVw=="/>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45F28"/>
    <w:rsid w:val="00003ECA"/>
    <w:rsid w:val="00021F48"/>
    <w:rsid w:val="00034898"/>
    <w:rsid w:val="00063273"/>
    <w:rsid w:val="00090062"/>
    <w:rsid w:val="000B66B8"/>
    <w:rsid w:val="000C5E73"/>
    <w:rsid w:val="000E52C3"/>
    <w:rsid w:val="000F604D"/>
    <w:rsid w:val="00102357"/>
    <w:rsid w:val="001214D4"/>
    <w:rsid w:val="001431F0"/>
    <w:rsid w:val="00145ADB"/>
    <w:rsid w:val="00164080"/>
    <w:rsid w:val="001A2D69"/>
    <w:rsid w:val="001D7B11"/>
    <w:rsid w:val="001F18A2"/>
    <w:rsid w:val="00204FFD"/>
    <w:rsid w:val="00217432"/>
    <w:rsid w:val="00224259"/>
    <w:rsid w:val="00231556"/>
    <w:rsid w:val="00242EA7"/>
    <w:rsid w:val="00245F28"/>
    <w:rsid w:val="00257BAB"/>
    <w:rsid w:val="0029270C"/>
    <w:rsid w:val="002A0EA4"/>
    <w:rsid w:val="002B2C46"/>
    <w:rsid w:val="002D4B8D"/>
    <w:rsid w:val="002D7796"/>
    <w:rsid w:val="00320640"/>
    <w:rsid w:val="00326D61"/>
    <w:rsid w:val="0033275E"/>
    <w:rsid w:val="003579EB"/>
    <w:rsid w:val="00373C62"/>
    <w:rsid w:val="00390464"/>
    <w:rsid w:val="003E48EB"/>
    <w:rsid w:val="003F66D9"/>
    <w:rsid w:val="003F69A5"/>
    <w:rsid w:val="0041376E"/>
    <w:rsid w:val="00416B63"/>
    <w:rsid w:val="00441DAF"/>
    <w:rsid w:val="00445147"/>
    <w:rsid w:val="00457A51"/>
    <w:rsid w:val="004615CE"/>
    <w:rsid w:val="004855C8"/>
    <w:rsid w:val="004B11E7"/>
    <w:rsid w:val="004C3210"/>
    <w:rsid w:val="004C40BD"/>
    <w:rsid w:val="00501E21"/>
    <w:rsid w:val="00524582"/>
    <w:rsid w:val="00534E12"/>
    <w:rsid w:val="0054337F"/>
    <w:rsid w:val="005502F6"/>
    <w:rsid w:val="005824F8"/>
    <w:rsid w:val="00593CEE"/>
    <w:rsid w:val="005A4A5D"/>
    <w:rsid w:val="005B36FE"/>
    <w:rsid w:val="005C0E5A"/>
    <w:rsid w:val="005D367C"/>
    <w:rsid w:val="00620E23"/>
    <w:rsid w:val="00657594"/>
    <w:rsid w:val="0065788E"/>
    <w:rsid w:val="006614A7"/>
    <w:rsid w:val="00663337"/>
    <w:rsid w:val="0069214B"/>
    <w:rsid w:val="006A45F4"/>
    <w:rsid w:val="006B0EA5"/>
    <w:rsid w:val="006B2A4C"/>
    <w:rsid w:val="006D6A47"/>
    <w:rsid w:val="006F064E"/>
    <w:rsid w:val="00711B68"/>
    <w:rsid w:val="00716184"/>
    <w:rsid w:val="00754948"/>
    <w:rsid w:val="007666C4"/>
    <w:rsid w:val="00777BEC"/>
    <w:rsid w:val="0079561B"/>
    <w:rsid w:val="007B30F5"/>
    <w:rsid w:val="007D0F48"/>
    <w:rsid w:val="007D33B9"/>
    <w:rsid w:val="007E6463"/>
    <w:rsid w:val="00811DD8"/>
    <w:rsid w:val="0081310E"/>
    <w:rsid w:val="00822A80"/>
    <w:rsid w:val="0083076A"/>
    <w:rsid w:val="0087066E"/>
    <w:rsid w:val="008C191C"/>
    <w:rsid w:val="008E0507"/>
    <w:rsid w:val="008E4190"/>
    <w:rsid w:val="008E52A4"/>
    <w:rsid w:val="00905099"/>
    <w:rsid w:val="00932707"/>
    <w:rsid w:val="009456C4"/>
    <w:rsid w:val="0097350D"/>
    <w:rsid w:val="0097406D"/>
    <w:rsid w:val="00975123"/>
    <w:rsid w:val="00985085"/>
    <w:rsid w:val="009A4908"/>
    <w:rsid w:val="009A568A"/>
    <w:rsid w:val="009C0DD7"/>
    <w:rsid w:val="009C7B8D"/>
    <w:rsid w:val="009D14F8"/>
    <w:rsid w:val="009D34C9"/>
    <w:rsid w:val="009D7F1F"/>
    <w:rsid w:val="00A072D4"/>
    <w:rsid w:val="00A073B0"/>
    <w:rsid w:val="00A22486"/>
    <w:rsid w:val="00A26816"/>
    <w:rsid w:val="00A339E5"/>
    <w:rsid w:val="00A66BBC"/>
    <w:rsid w:val="00A67D29"/>
    <w:rsid w:val="00AF05EE"/>
    <w:rsid w:val="00B503DE"/>
    <w:rsid w:val="00B85AE9"/>
    <w:rsid w:val="00B87883"/>
    <w:rsid w:val="00B900B9"/>
    <w:rsid w:val="00B90201"/>
    <w:rsid w:val="00BA17AC"/>
    <w:rsid w:val="00BD6567"/>
    <w:rsid w:val="00C00F49"/>
    <w:rsid w:val="00C15C27"/>
    <w:rsid w:val="00C161C2"/>
    <w:rsid w:val="00C17FAB"/>
    <w:rsid w:val="00C51003"/>
    <w:rsid w:val="00C565A6"/>
    <w:rsid w:val="00C56D95"/>
    <w:rsid w:val="00C56E28"/>
    <w:rsid w:val="00C73648"/>
    <w:rsid w:val="00C81D2C"/>
    <w:rsid w:val="00CA19F8"/>
    <w:rsid w:val="00CB0631"/>
    <w:rsid w:val="00CB6D37"/>
    <w:rsid w:val="00CD006F"/>
    <w:rsid w:val="00D25677"/>
    <w:rsid w:val="00D505A7"/>
    <w:rsid w:val="00D63817"/>
    <w:rsid w:val="00D8371B"/>
    <w:rsid w:val="00DB5DB3"/>
    <w:rsid w:val="00DD048C"/>
    <w:rsid w:val="00E05C3B"/>
    <w:rsid w:val="00E14A06"/>
    <w:rsid w:val="00E50CD4"/>
    <w:rsid w:val="00E734B5"/>
    <w:rsid w:val="00EC1BD3"/>
    <w:rsid w:val="00EC53DE"/>
    <w:rsid w:val="00EE5289"/>
    <w:rsid w:val="00F8486C"/>
    <w:rsid w:val="00FA022A"/>
    <w:rsid w:val="00FC5704"/>
    <w:rsid w:val="00FD3653"/>
    <w:rsid w:val="00FD4682"/>
    <w:rsid w:val="00FD49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3B82F"/>
  <w15:docId w15:val="{19253533-B797-4BAB-9A3B-150D0C310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5E73"/>
    <w:pPr>
      <w:spacing w:line="360" w:lineRule="auto"/>
      <w:jc w:val="both"/>
    </w:pPr>
    <w:rPr>
      <w:rFonts w:ascii="Arial" w:hAnsi="Arial"/>
      <w:sz w:val="24"/>
    </w:rPr>
  </w:style>
  <w:style w:type="paragraph" w:styleId="Heading1">
    <w:name w:val="heading 1"/>
    <w:basedOn w:val="Normal"/>
    <w:next w:val="Normal"/>
    <w:link w:val="Heading1Char"/>
    <w:uiPriority w:val="9"/>
    <w:qFormat/>
    <w:rsid w:val="002D4B8D"/>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D4B8D"/>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7D33B9"/>
    <w:pPr>
      <w:keepNext/>
      <w:keepLines/>
      <w:spacing w:before="40" w:after="0"/>
      <w:outlineLvl w:val="2"/>
    </w:pPr>
    <w:rPr>
      <w:rFonts w:eastAsiaTheme="majorEastAsia" w:cstheme="majorBidi"/>
      <w:color w:val="4472C4" w:themeColor="accen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4B8D"/>
    <w:rPr>
      <w:rFonts w:ascii="Times New Roman" w:eastAsiaTheme="majorEastAsia" w:hAnsi="Times New Roman" w:cstheme="majorBidi"/>
      <w:color w:val="2F5496" w:themeColor="accent1" w:themeShade="BF"/>
      <w:sz w:val="32"/>
      <w:szCs w:val="32"/>
    </w:rPr>
  </w:style>
  <w:style w:type="paragraph" w:styleId="TOCHeading">
    <w:name w:val="TOC Heading"/>
    <w:basedOn w:val="Heading1"/>
    <w:next w:val="Normal"/>
    <w:uiPriority w:val="39"/>
    <w:unhideWhenUsed/>
    <w:qFormat/>
    <w:rsid w:val="00663337"/>
    <w:pPr>
      <w:outlineLvl w:val="9"/>
    </w:pPr>
  </w:style>
  <w:style w:type="character" w:customStyle="1" w:styleId="Heading2Char">
    <w:name w:val="Heading 2 Char"/>
    <w:basedOn w:val="DefaultParagraphFont"/>
    <w:link w:val="Heading2"/>
    <w:uiPriority w:val="9"/>
    <w:rsid w:val="002D4B8D"/>
    <w:rPr>
      <w:rFonts w:ascii="Times New Roman" w:eastAsiaTheme="majorEastAsia" w:hAnsi="Times New Roman" w:cstheme="majorBidi"/>
      <w:color w:val="2F5496" w:themeColor="accent1" w:themeShade="BF"/>
      <w:sz w:val="28"/>
      <w:szCs w:val="26"/>
    </w:rPr>
  </w:style>
  <w:style w:type="paragraph" w:styleId="NormalWeb">
    <w:name w:val="Normal (Web)"/>
    <w:basedOn w:val="Normal"/>
    <w:uiPriority w:val="99"/>
    <w:semiHidden/>
    <w:unhideWhenUsed/>
    <w:rsid w:val="00C51003"/>
    <w:rPr>
      <w:rFonts w:ascii="Times New Roman" w:hAnsi="Times New Roman" w:cs="Times New Roman"/>
      <w:szCs w:val="24"/>
    </w:rPr>
  </w:style>
  <w:style w:type="character" w:customStyle="1" w:styleId="Heading3Char">
    <w:name w:val="Heading 3 Char"/>
    <w:basedOn w:val="DefaultParagraphFont"/>
    <w:link w:val="Heading3"/>
    <w:uiPriority w:val="9"/>
    <w:rsid w:val="007D33B9"/>
    <w:rPr>
      <w:rFonts w:ascii="Arial" w:eastAsiaTheme="majorEastAsia" w:hAnsi="Arial" w:cstheme="majorBidi"/>
      <w:color w:val="4472C4" w:themeColor="accent1"/>
      <w:sz w:val="24"/>
      <w:szCs w:val="24"/>
    </w:rPr>
  </w:style>
  <w:style w:type="paragraph" w:styleId="TOC1">
    <w:name w:val="toc 1"/>
    <w:basedOn w:val="Normal"/>
    <w:next w:val="Normal"/>
    <w:autoRedefine/>
    <w:uiPriority w:val="39"/>
    <w:unhideWhenUsed/>
    <w:rsid w:val="003E48EB"/>
    <w:pPr>
      <w:spacing w:after="100"/>
    </w:pPr>
  </w:style>
  <w:style w:type="paragraph" w:styleId="TOC2">
    <w:name w:val="toc 2"/>
    <w:basedOn w:val="Normal"/>
    <w:next w:val="Normal"/>
    <w:autoRedefine/>
    <w:uiPriority w:val="39"/>
    <w:unhideWhenUsed/>
    <w:rsid w:val="003E48EB"/>
    <w:pPr>
      <w:spacing w:after="100"/>
      <w:ind w:left="240"/>
    </w:pPr>
  </w:style>
  <w:style w:type="paragraph" w:styleId="TOC3">
    <w:name w:val="toc 3"/>
    <w:basedOn w:val="Normal"/>
    <w:next w:val="Normal"/>
    <w:autoRedefine/>
    <w:uiPriority w:val="39"/>
    <w:unhideWhenUsed/>
    <w:rsid w:val="003E48EB"/>
    <w:pPr>
      <w:spacing w:after="100"/>
      <w:ind w:left="480"/>
    </w:pPr>
  </w:style>
  <w:style w:type="character" w:styleId="Hyperlink">
    <w:name w:val="Hyperlink"/>
    <w:basedOn w:val="DefaultParagraphFont"/>
    <w:uiPriority w:val="99"/>
    <w:unhideWhenUsed/>
    <w:rsid w:val="003E48EB"/>
    <w:rPr>
      <w:color w:val="0563C1" w:themeColor="hyperlink"/>
      <w:u w:val="single"/>
    </w:rPr>
  </w:style>
  <w:style w:type="table" w:customStyle="1" w:styleId="TableGrid">
    <w:name w:val="TableGrid"/>
    <w:rsid w:val="00DD048C"/>
    <w:pPr>
      <w:spacing w:after="0" w:line="240" w:lineRule="auto"/>
    </w:pPr>
    <w:rPr>
      <w:rFonts w:eastAsiaTheme="minorEastAsia"/>
    </w:rPr>
    <w:tblPr>
      <w:tblCellMar>
        <w:top w:w="0" w:type="dxa"/>
        <w:left w:w="0" w:type="dxa"/>
        <w:bottom w:w="0" w:type="dxa"/>
        <w:right w:w="0" w:type="dxa"/>
      </w:tblCellMar>
    </w:tblPr>
  </w:style>
  <w:style w:type="paragraph" w:styleId="Header">
    <w:name w:val="header"/>
    <w:basedOn w:val="Normal"/>
    <w:link w:val="HeaderChar"/>
    <w:uiPriority w:val="99"/>
    <w:unhideWhenUsed/>
    <w:rsid w:val="009D34C9"/>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34C9"/>
    <w:rPr>
      <w:rFonts w:ascii="Arial" w:hAnsi="Arial"/>
      <w:sz w:val="24"/>
    </w:rPr>
  </w:style>
  <w:style w:type="paragraph" w:styleId="Footer">
    <w:name w:val="footer"/>
    <w:basedOn w:val="Normal"/>
    <w:link w:val="FooterChar"/>
    <w:uiPriority w:val="99"/>
    <w:unhideWhenUsed/>
    <w:rsid w:val="009D34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34C9"/>
    <w:rPr>
      <w:rFonts w:ascii="Arial" w:hAnsi="Arial"/>
      <w:sz w:val="24"/>
    </w:rPr>
  </w:style>
  <w:style w:type="paragraph" w:styleId="BalloonText">
    <w:name w:val="Balloon Text"/>
    <w:basedOn w:val="Normal"/>
    <w:link w:val="BalloonTextChar"/>
    <w:uiPriority w:val="99"/>
    <w:semiHidden/>
    <w:unhideWhenUsed/>
    <w:rsid w:val="00A224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248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695988">
      <w:bodyDiv w:val="1"/>
      <w:marLeft w:val="0"/>
      <w:marRight w:val="0"/>
      <w:marTop w:val="0"/>
      <w:marBottom w:val="0"/>
      <w:divBdr>
        <w:top w:val="none" w:sz="0" w:space="0" w:color="auto"/>
        <w:left w:val="none" w:sz="0" w:space="0" w:color="auto"/>
        <w:bottom w:val="none" w:sz="0" w:space="0" w:color="auto"/>
        <w:right w:val="none" w:sz="0" w:space="0" w:color="auto"/>
      </w:divBdr>
    </w:div>
    <w:div w:id="618226645">
      <w:bodyDiv w:val="1"/>
      <w:marLeft w:val="0"/>
      <w:marRight w:val="0"/>
      <w:marTop w:val="0"/>
      <w:marBottom w:val="0"/>
      <w:divBdr>
        <w:top w:val="none" w:sz="0" w:space="0" w:color="auto"/>
        <w:left w:val="none" w:sz="0" w:space="0" w:color="auto"/>
        <w:bottom w:val="none" w:sz="0" w:space="0" w:color="auto"/>
        <w:right w:val="none" w:sz="0" w:space="0" w:color="auto"/>
      </w:divBdr>
    </w:div>
    <w:div w:id="717824982">
      <w:bodyDiv w:val="1"/>
      <w:marLeft w:val="0"/>
      <w:marRight w:val="0"/>
      <w:marTop w:val="0"/>
      <w:marBottom w:val="0"/>
      <w:divBdr>
        <w:top w:val="none" w:sz="0" w:space="0" w:color="auto"/>
        <w:left w:val="none" w:sz="0" w:space="0" w:color="auto"/>
        <w:bottom w:val="none" w:sz="0" w:space="0" w:color="auto"/>
        <w:right w:val="none" w:sz="0" w:space="0" w:color="auto"/>
      </w:divBdr>
    </w:div>
    <w:div w:id="812452439">
      <w:bodyDiv w:val="1"/>
      <w:marLeft w:val="0"/>
      <w:marRight w:val="0"/>
      <w:marTop w:val="0"/>
      <w:marBottom w:val="0"/>
      <w:divBdr>
        <w:top w:val="none" w:sz="0" w:space="0" w:color="auto"/>
        <w:left w:val="none" w:sz="0" w:space="0" w:color="auto"/>
        <w:bottom w:val="none" w:sz="0" w:space="0" w:color="auto"/>
        <w:right w:val="none" w:sz="0" w:space="0" w:color="auto"/>
      </w:divBdr>
    </w:div>
    <w:div w:id="949703304">
      <w:bodyDiv w:val="1"/>
      <w:marLeft w:val="0"/>
      <w:marRight w:val="0"/>
      <w:marTop w:val="0"/>
      <w:marBottom w:val="0"/>
      <w:divBdr>
        <w:top w:val="none" w:sz="0" w:space="0" w:color="auto"/>
        <w:left w:val="none" w:sz="0" w:space="0" w:color="auto"/>
        <w:bottom w:val="none" w:sz="0" w:space="0" w:color="auto"/>
        <w:right w:val="none" w:sz="0" w:space="0" w:color="auto"/>
      </w:divBdr>
    </w:div>
    <w:div w:id="980966126">
      <w:bodyDiv w:val="1"/>
      <w:marLeft w:val="0"/>
      <w:marRight w:val="0"/>
      <w:marTop w:val="0"/>
      <w:marBottom w:val="0"/>
      <w:divBdr>
        <w:top w:val="none" w:sz="0" w:space="0" w:color="auto"/>
        <w:left w:val="none" w:sz="0" w:space="0" w:color="auto"/>
        <w:bottom w:val="none" w:sz="0" w:space="0" w:color="auto"/>
        <w:right w:val="none" w:sz="0" w:space="0" w:color="auto"/>
      </w:divBdr>
    </w:div>
    <w:div w:id="1179781091">
      <w:bodyDiv w:val="1"/>
      <w:marLeft w:val="0"/>
      <w:marRight w:val="0"/>
      <w:marTop w:val="0"/>
      <w:marBottom w:val="0"/>
      <w:divBdr>
        <w:top w:val="none" w:sz="0" w:space="0" w:color="auto"/>
        <w:left w:val="none" w:sz="0" w:space="0" w:color="auto"/>
        <w:bottom w:val="none" w:sz="0" w:space="0" w:color="auto"/>
        <w:right w:val="none" w:sz="0" w:space="0" w:color="auto"/>
      </w:divBdr>
    </w:div>
    <w:div w:id="1259175437">
      <w:bodyDiv w:val="1"/>
      <w:marLeft w:val="0"/>
      <w:marRight w:val="0"/>
      <w:marTop w:val="0"/>
      <w:marBottom w:val="0"/>
      <w:divBdr>
        <w:top w:val="none" w:sz="0" w:space="0" w:color="auto"/>
        <w:left w:val="none" w:sz="0" w:space="0" w:color="auto"/>
        <w:bottom w:val="none" w:sz="0" w:space="0" w:color="auto"/>
        <w:right w:val="none" w:sz="0" w:space="0" w:color="auto"/>
      </w:divBdr>
    </w:div>
    <w:div w:id="1658682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7BFCFA-B426-4104-913C-D166B9EA17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Pages>
  <Words>2374</Words>
  <Characters>13532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Ashraful Biswas</dc:creator>
  <cp:lastModifiedBy>NINA RICCI</cp:lastModifiedBy>
  <cp:revision>18</cp:revision>
  <dcterms:created xsi:type="dcterms:W3CDTF">2024-01-14T05:24:00Z</dcterms:created>
  <dcterms:modified xsi:type="dcterms:W3CDTF">2024-02-21T21:03:00Z</dcterms:modified>
</cp:coreProperties>
</file>