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15353" w14:textId="77777777" w:rsidR="00D86D1B" w:rsidRPr="00C048C2" w:rsidRDefault="00D86D1B" w:rsidP="00091250">
      <w:pPr>
        <w:pStyle w:val="Normal1"/>
        <w:spacing w:before="120" w:after="120" w:line="360" w:lineRule="auto"/>
        <w:jc w:val="center"/>
        <w:rPr>
          <w:b/>
          <w:bCs/>
          <w:color w:val="000000" w:themeColor="text1"/>
          <w:sz w:val="32"/>
          <w:szCs w:val="32"/>
          <w:lang w:val="en-GB"/>
        </w:rPr>
      </w:pPr>
    </w:p>
    <w:p w14:paraId="4A364861" w14:textId="77777777" w:rsidR="00D86D1B" w:rsidRPr="00C048C2" w:rsidRDefault="00D86D1B" w:rsidP="00091250">
      <w:pPr>
        <w:pStyle w:val="Normal1"/>
        <w:spacing w:before="120" w:after="120" w:line="360" w:lineRule="auto"/>
        <w:jc w:val="center"/>
        <w:rPr>
          <w:b/>
          <w:bCs/>
          <w:color w:val="000000" w:themeColor="text1"/>
          <w:sz w:val="32"/>
          <w:szCs w:val="32"/>
          <w:lang w:val="en-GB"/>
        </w:rPr>
      </w:pPr>
    </w:p>
    <w:p w14:paraId="1F83980B" w14:textId="77777777" w:rsidR="00D86D1B" w:rsidRPr="00C048C2" w:rsidRDefault="00D86D1B" w:rsidP="00091250">
      <w:pPr>
        <w:pStyle w:val="Normal1"/>
        <w:spacing w:before="120" w:after="120" w:line="360" w:lineRule="auto"/>
        <w:jc w:val="center"/>
        <w:rPr>
          <w:b/>
          <w:bCs/>
          <w:color w:val="000000" w:themeColor="text1"/>
          <w:sz w:val="32"/>
          <w:szCs w:val="32"/>
          <w:lang w:val="en-GB"/>
        </w:rPr>
      </w:pPr>
    </w:p>
    <w:p w14:paraId="166C9991" w14:textId="77777777" w:rsidR="00D86D1B" w:rsidRPr="00C048C2" w:rsidRDefault="001813E0" w:rsidP="00091250">
      <w:pPr>
        <w:pStyle w:val="Normal1"/>
        <w:spacing w:before="120" w:after="120" w:line="360" w:lineRule="auto"/>
        <w:jc w:val="center"/>
        <w:rPr>
          <w:b/>
          <w:bCs/>
          <w:color w:val="000000" w:themeColor="text1"/>
          <w:sz w:val="32"/>
          <w:szCs w:val="32"/>
          <w:lang w:val="en-GB"/>
        </w:rPr>
      </w:pPr>
      <w:r w:rsidRPr="00C048C2">
        <w:rPr>
          <w:b/>
          <w:bCs/>
          <w:color w:val="000000" w:themeColor="text1"/>
          <w:sz w:val="32"/>
          <w:szCs w:val="32"/>
          <w:lang w:val="en-GB"/>
        </w:rPr>
        <w:t>BSc (Hons) Health and Social Care</w:t>
      </w:r>
    </w:p>
    <w:p w14:paraId="5F4C12A9"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0474C613"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0EDF70DE"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2CF99D56" w14:textId="77777777" w:rsidR="00D86D1B" w:rsidRPr="00C048C2" w:rsidRDefault="001813E0" w:rsidP="00091250">
      <w:pPr>
        <w:pStyle w:val="Normal1"/>
        <w:spacing w:before="120" w:after="120" w:line="360" w:lineRule="auto"/>
        <w:jc w:val="center"/>
        <w:rPr>
          <w:b/>
          <w:bCs/>
          <w:color w:val="000000" w:themeColor="text1"/>
          <w:sz w:val="28"/>
          <w:szCs w:val="28"/>
          <w:lang w:val="en-GB"/>
        </w:rPr>
      </w:pPr>
      <w:r w:rsidRPr="00C048C2">
        <w:rPr>
          <w:b/>
          <w:bCs/>
          <w:color w:val="000000" w:themeColor="text1"/>
          <w:sz w:val="28"/>
          <w:szCs w:val="28"/>
          <w:lang w:val="en-GB"/>
        </w:rPr>
        <w:t>BMHP5021 Protecting and Supporting Families in Health and Care</w:t>
      </w:r>
    </w:p>
    <w:p w14:paraId="7F15B7EB"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F3D9DBD"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9D96719" w14:textId="77777777" w:rsidR="00D86D1B" w:rsidRPr="00C048C2" w:rsidRDefault="001813E0" w:rsidP="00091250">
      <w:pPr>
        <w:pStyle w:val="Normal1"/>
        <w:spacing w:before="120" w:after="120" w:line="360" w:lineRule="auto"/>
        <w:jc w:val="center"/>
        <w:rPr>
          <w:b/>
          <w:bCs/>
          <w:color w:val="000000" w:themeColor="text1"/>
          <w:sz w:val="28"/>
          <w:szCs w:val="28"/>
          <w:lang w:val="en-GB"/>
        </w:rPr>
      </w:pPr>
      <w:r w:rsidRPr="00C048C2">
        <w:rPr>
          <w:b/>
          <w:bCs/>
          <w:color w:val="000000" w:themeColor="text1"/>
          <w:sz w:val="28"/>
          <w:szCs w:val="28"/>
          <w:lang w:val="en-GB"/>
        </w:rPr>
        <w:t>Component 2: Written Report</w:t>
      </w:r>
    </w:p>
    <w:p w14:paraId="24552BA3"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277C1F0"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757F717" w14:textId="77777777" w:rsidR="00D86D1B" w:rsidRPr="00C048C2" w:rsidRDefault="001813E0" w:rsidP="00C048C2">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An examination and analysis of how the ‘Early Help’ system is signposted</w:t>
      </w:r>
      <w:r w:rsidR="00C048C2">
        <w:rPr>
          <w:b/>
          <w:bCs/>
          <w:color w:val="000000" w:themeColor="text1"/>
          <w:sz w:val="24"/>
          <w:szCs w:val="24"/>
          <w:lang w:val="en-GB"/>
        </w:rPr>
        <w:t xml:space="preserve"> </w:t>
      </w:r>
      <w:r w:rsidRPr="00C048C2">
        <w:rPr>
          <w:b/>
          <w:bCs/>
          <w:color w:val="000000" w:themeColor="text1"/>
          <w:sz w:val="24"/>
          <w:szCs w:val="24"/>
          <w:lang w:val="en-GB"/>
        </w:rPr>
        <w:t>to UK families by their local authority website</w:t>
      </w:r>
    </w:p>
    <w:p w14:paraId="04AF2492"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4E1AA837"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6FB42224" w14:textId="0D424509"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Student Name:</w:t>
      </w:r>
      <w:r w:rsidR="00A37A0F">
        <w:rPr>
          <w:b/>
          <w:bCs/>
          <w:color w:val="000000" w:themeColor="text1"/>
          <w:sz w:val="24"/>
          <w:szCs w:val="24"/>
          <w:lang w:val="en-GB"/>
        </w:rPr>
        <w:t xml:space="preserve"> Angela Otilia Feher</w:t>
      </w:r>
    </w:p>
    <w:p w14:paraId="6C8EA8F3" w14:textId="21EE4113"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Student ID:</w:t>
      </w:r>
      <w:r w:rsidR="00A37A0F">
        <w:rPr>
          <w:b/>
          <w:bCs/>
          <w:color w:val="000000" w:themeColor="text1"/>
          <w:sz w:val="24"/>
          <w:szCs w:val="24"/>
          <w:lang w:val="en-GB"/>
        </w:rPr>
        <w:t xml:space="preserve"> 2335802</w:t>
      </w:r>
    </w:p>
    <w:p w14:paraId="37F46571" w14:textId="6F07842A"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 xml:space="preserve">Date of Submission: </w:t>
      </w:r>
      <w:r w:rsidR="00A37A0F">
        <w:rPr>
          <w:b/>
          <w:bCs/>
          <w:color w:val="000000" w:themeColor="text1"/>
          <w:sz w:val="24"/>
          <w:szCs w:val="24"/>
          <w:lang w:val="en-GB"/>
        </w:rPr>
        <w:t>11.12.2025</w:t>
      </w:r>
    </w:p>
    <w:p w14:paraId="35E480EF"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color w:val="000000" w:themeColor="text1"/>
          <w:lang w:val="en-GB"/>
        </w:rPr>
        <w:br w:type="page"/>
      </w:r>
    </w:p>
    <w:p w14:paraId="1A332559"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lastRenderedPageBreak/>
        <w:t>Executive Summary</w:t>
      </w:r>
    </w:p>
    <w:p w14:paraId="372C769D" w14:textId="77777777" w:rsidR="00D86D1B" w:rsidRPr="00C048C2" w:rsidRDefault="001813E0" w:rsidP="00091250">
      <w:pPr>
        <w:pStyle w:val="Normal1"/>
        <w:spacing w:before="120" w:after="120" w:line="360" w:lineRule="auto"/>
        <w:jc w:val="both"/>
        <w:rPr>
          <w:b/>
          <w:bCs/>
          <w:color w:val="000000" w:themeColor="text1"/>
          <w:sz w:val="24"/>
          <w:szCs w:val="24"/>
          <w:lang w:val="en-GB"/>
        </w:rPr>
      </w:pPr>
      <w:r w:rsidRPr="00C048C2">
        <w:rPr>
          <w:color w:val="000000" w:themeColor="text1"/>
          <w:sz w:val="24"/>
          <w:szCs w:val="24"/>
          <w:lang w:val="en-GB"/>
        </w:rPr>
        <w:t xml:space="preserve">Early Help System is a strategy to provide support to children, young people and their families early on to address issues before they escalate into crisis. The Early Help System (EHS) involve a range of services and collaborative efforts across different agencies such as health visitors, schools and social workers to identify the requirements and build on the strengths of the families. Leicestershire, Leeds and Southwark are some of the most capable local authorities that take care of EHS well, with their widely available facilities. However, the comparative analysis of these websites proves that Leeds has the best website capability and design, along with more refined services to provide early intervention to the needy children and families. Most importantly, these websites need to develop immediately by hiring skilled staff to provide more intensive care and support to the local inhabitants. </w:t>
      </w:r>
      <w:r w:rsidRPr="00C048C2">
        <w:rPr>
          <w:color w:val="000000" w:themeColor="text1"/>
          <w:lang w:val="en-GB"/>
        </w:rPr>
        <w:br w:type="page"/>
      </w:r>
    </w:p>
    <w:sdt>
      <w:sdtPr>
        <w:rPr>
          <w:rFonts w:ascii="Arial" w:eastAsia="Arial" w:hAnsi="Arial" w:cs="Arial"/>
          <w:b w:val="0"/>
          <w:bCs w:val="0"/>
          <w:color w:val="000000" w:themeColor="text1"/>
          <w:sz w:val="22"/>
          <w:szCs w:val="22"/>
          <w:lang w:val="en-GB"/>
        </w:rPr>
        <w:id w:val="32774126"/>
        <w:docPartObj>
          <w:docPartGallery w:val="Table of Contents"/>
          <w:docPartUnique/>
        </w:docPartObj>
      </w:sdtPr>
      <w:sdtContent>
        <w:p w14:paraId="3FCF301D" w14:textId="77777777" w:rsidR="00C35B67" w:rsidRPr="00C048C2" w:rsidRDefault="00C35B67" w:rsidP="00091250">
          <w:pPr>
            <w:pStyle w:val="TOCHeading"/>
            <w:spacing w:before="120" w:after="120" w:line="360" w:lineRule="auto"/>
            <w:jc w:val="center"/>
            <w:rPr>
              <w:color w:val="000000" w:themeColor="text1"/>
              <w:lang w:val="en-GB"/>
            </w:rPr>
          </w:pPr>
          <w:r w:rsidRPr="00C048C2">
            <w:rPr>
              <w:rFonts w:ascii="Arial" w:hAnsi="Arial" w:cs="Arial"/>
              <w:color w:val="000000" w:themeColor="text1"/>
              <w:sz w:val="24"/>
              <w:szCs w:val="24"/>
              <w:lang w:val="en-GB"/>
            </w:rPr>
            <w:t>Table of Contents</w:t>
          </w:r>
        </w:p>
        <w:p w14:paraId="0A75A287" w14:textId="77777777" w:rsidR="00091250" w:rsidRPr="00C048C2" w:rsidRDefault="00C35B67" w:rsidP="00091250">
          <w:pPr>
            <w:pStyle w:val="TOC1"/>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r w:rsidRPr="00C048C2">
            <w:rPr>
              <w:color w:val="000000" w:themeColor="text1"/>
              <w:lang w:val="en-GB"/>
            </w:rPr>
            <w:fldChar w:fldCharType="begin"/>
          </w:r>
          <w:r w:rsidRPr="00C048C2">
            <w:rPr>
              <w:color w:val="000000" w:themeColor="text1"/>
              <w:lang w:val="en-GB"/>
            </w:rPr>
            <w:instrText xml:space="preserve"> TOC \o "1-3" \h \z \u </w:instrText>
          </w:r>
          <w:r w:rsidRPr="00C048C2">
            <w:rPr>
              <w:color w:val="000000" w:themeColor="text1"/>
              <w:lang w:val="en-GB"/>
            </w:rPr>
            <w:fldChar w:fldCharType="separate"/>
          </w:r>
          <w:hyperlink w:anchor="_Toc215599850" w:history="1">
            <w:r w:rsidR="00091250" w:rsidRPr="00C048C2">
              <w:rPr>
                <w:rStyle w:val="Hyperlink"/>
                <w:noProof/>
                <w:color w:val="000000" w:themeColor="text1"/>
                <w:sz w:val="24"/>
                <w:lang w:val="en-GB"/>
              </w:rPr>
              <w:t>Introduction</w:t>
            </w:r>
            <w:r w:rsidR="00091250" w:rsidRPr="00C048C2">
              <w:rPr>
                <w:noProof/>
                <w:webHidden/>
                <w:color w:val="000000" w:themeColor="text1"/>
                <w:sz w:val="24"/>
                <w:lang w:val="en-GB"/>
              </w:rPr>
              <w:tab/>
            </w:r>
            <w:r w:rsidR="00091250" w:rsidRPr="00C048C2">
              <w:rPr>
                <w:noProof/>
                <w:webHidden/>
                <w:color w:val="000000" w:themeColor="text1"/>
                <w:sz w:val="24"/>
                <w:lang w:val="en-GB"/>
              </w:rPr>
              <w:fldChar w:fldCharType="begin"/>
            </w:r>
            <w:r w:rsidR="00091250" w:rsidRPr="00C048C2">
              <w:rPr>
                <w:noProof/>
                <w:webHidden/>
                <w:color w:val="000000" w:themeColor="text1"/>
                <w:sz w:val="24"/>
                <w:lang w:val="en-GB"/>
              </w:rPr>
              <w:instrText xml:space="preserve"> PAGEREF _Toc215599850 \h </w:instrText>
            </w:r>
            <w:r w:rsidR="00091250" w:rsidRPr="00C048C2">
              <w:rPr>
                <w:noProof/>
                <w:webHidden/>
                <w:color w:val="000000" w:themeColor="text1"/>
                <w:sz w:val="24"/>
                <w:lang w:val="en-GB"/>
              </w:rPr>
            </w:r>
            <w:r w:rsidR="00091250" w:rsidRPr="00C048C2">
              <w:rPr>
                <w:noProof/>
                <w:webHidden/>
                <w:color w:val="000000" w:themeColor="text1"/>
                <w:sz w:val="24"/>
                <w:lang w:val="en-GB"/>
              </w:rPr>
              <w:fldChar w:fldCharType="separate"/>
            </w:r>
            <w:r w:rsidR="00091250" w:rsidRPr="00C048C2">
              <w:rPr>
                <w:noProof/>
                <w:webHidden/>
                <w:color w:val="000000" w:themeColor="text1"/>
                <w:sz w:val="24"/>
                <w:lang w:val="en-GB"/>
              </w:rPr>
              <w:t>3</w:t>
            </w:r>
            <w:r w:rsidR="00091250" w:rsidRPr="00C048C2">
              <w:rPr>
                <w:noProof/>
                <w:webHidden/>
                <w:color w:val="000000" w:themeColor="text1"/>
                <w:sz w:val="24"/>
                <w:lang w:val="en-GB"/>
              </w:rPr>
              <w:fldChar w:fldCharType="end"/>
            </w:r>
          </w:hyperlink>
        </w:p>
        <w:p w14:paraId="5DE8CE49" w14:textId="77777777" w:rsidR="00091250" w:rsidRPr="00C048C2" w:rsidRDefault="00091250" w:rsidP="00091250">
          <w:pPr>
            <w:pStyle w:val="TOC1"/>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1" w:history="1">
            <w:r w:rsidRPr="00C048C2">
              <w:rPr>
                <w:rStyle w:val="Hyperlink"/>
                <w:noProof/>
                <w:color w:val="000000" w:themeColor="text1"/>
                <w:sz w:val="24"/>
                <w:lang w:val="en-GB"/>
              </w:rPr>
              <w:t>Main Analysis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_Toc215599851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4</w:t>
            </w:r>
            <w:r w:rsidRPr="00C048C2">
              <w:rPr>
                <w:noProof/>
                <w:webHidden/>
                <w:color w:val="000000" w:themeColor="text1"/>
                <w:sz w:val="24"/>
                <w:lang w:val="en-GB"/>
              </w:rPr>
              <w:fldChar w:fldCharType="end"/>
            </w:r>
          </w:hyperlink>
        </w:p>
        <w:p w14:paraId="473EBE08" w14:textId="77777777" w:rsidR="00091250" w:rsidRPr="00C048C2" w:rsidRDefault="00091250" w:rsidP="00091250">
          <w:pPr>
            <w:pStyle w:val="TOC2"/>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2" w:history="1">
            <w:r w:rsidRPr="00C048C2">
              <w:rPr>
                <w:rStyle w:val="Hyperlink"/>
                <w:noProof/>
                <w:color w:val="000000" w:themeColor="text1"/>
                <w:sz w:val="24"/>
                <w:lang w:val="en-GB"/>
              </w:rPr>
              <w:t>Explanation of the Early Help System</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_Toc215599852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4</w:t>
            </w:r>
            <w:r w:rsidRPr="00C048C2">
              <w:rPr>
                <w:noProof/>
                <w:webHidden/>
                <w:color w:val="000000" w:themeColor="text1"/>
                <w:sz w:val="24"/>
                <w:lang w:val="en-GB"/>
              </w:rPr>
              <w:fldChar w:fldCharType="end"/>
            </w:r>
          </w:hyperlink>
        </w:p>
        <w:p w14:paraId="4D0D07E1" w14:textId="77777777" w:rsidR="00091250" w:rsidRPr="00C048C2" w:rsidRDefault="00091250" w:rsidP="00091250">
          <w:pPr>
            <w:pStyle w:val="TOC2"/>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3" w:history="1">
            <w:r w:rsidRPr="00C048C2">
              <w:rPr>
                <w:rStyle w:val="Hyperlink"/>
                <w:noProof/>
                <w:color w:val="000000" w:themeColor="text1"/>
                <w:sz w:val="24"/>
                <w:lang w:val="en-GB"/>
              </w:rPr>
              <w:t>Evaluation of the three local websites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_Toc215599853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5</w:t>
            </w:r>
            <w:r w:rsidRPr="00C048C2">
              <w:rPr>
                <w:noProof/>
                <w:webHidden/>
                <w:color w:val="000000" w:themeColor="text1"/>
                <w:sz w:val="24"/>
                <w:lang w:val="en-GB"/>
              </w:rPr>
              <w:fldChar w:fldCharType="end"/>
            </w:r>
          </w:hyperlink>
        </w:p>
        <w:p w14:paraId="07F42DD1" w14:textId="77777777" w:rsidR="00091250" w:rsidRPr="00C048C2" w:rsidRDefault="00091250" w:rsidP="00091250">
          <w:pPr>
            <w:pStyle w:val="TOC2"/>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4" w:history="1">
            <w:r w:rsidRPr="00C048C2">
              <w:rPr>
                <w:rStyle w:val="Hyperlink"/>
                <w:noProof/>
                <w:color w:val="000000" w:themeColor="text1"/>
                <w:sz w:val="24"/>
                <w:lang w:val="en-GB"/>
              </w:rPr>
              <w:t>Comparative analysis of the key strengths and weaknesses of local authority websites communicating to the Early Help and other support services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_Toc215599854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7</w:t>
            </w:r>
            <w:r w:rsidRPr="00C048C2">
              <w:rPr>
                <w:noProof/>
                <w:webHidden/>
                <w:color w:val="000000" w:themeColor="text1"/>
                <w:sz w:val="24"/>
                <w:lang w:val="en-GB"/>
              </w:rPr>
              <w:fldChar w:fldCharType="end"/>
            </w:r>
          </w:hyperlink>
        </w:p>
        <w:p w14:paraId="3D8E4DB1" w14:textId="77777777" w:rsidR="00091250" w:rsidRPr="00C048C2" w:rsidRDefault="00091250" w:rsidP="00091250">
          <w:pPr>
            <w:pStyle w:val="TOC1"/>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5" w:history="1">
            <w:r w:rsidRPr="00C048C2">
              <w:rPr>
                <w:rStyle w:val="Hyperlink"/>
                <w:noProof/>
                <w:color w:val="000000" w:themeColor="text1"/>
                <w:sz w:val="24"/>
                <w:lang w:val="en-GB"/>
              </w:rPr>
              <w:t>Conclusion with recommendations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_Toc215599855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10</w:t>
            </w:r>
            <w:r w:rsidRPr="00C048C2">
              <w:rPr>
                <w:noProof/>
                <w:webHidden/>
                <w:color w:val="000000" w:themeColor="text1"/>
                <w:sz w:val="24"/>
                <w:lang w:val="en-GB"/>
              </w:rPr>
              <w:fldChar w:fldCharType="end"/>
            </w:r>
          </w:hyperlink>
        </w:p>
        <w:p w14:paraId="174763EF" w14:textId="77777777" w:rsidR="00091250" w:rsidRPr="00C048C2" w:rsidRDefault="00091250" w:rsidP="00091250">
          <w:pPr>
            <w:pStyle w:val="TOC1"/>
            <w:tabs>
              <w:tab w:val="right" w:leader="dot" w:pos="9350"/>
            </w:tabs>
            <w:spacing w:line="360" w:lineRule="auto"/>
            <w:jc w:val="both"/>
            <w:rPr>
              <w:rFonts w:asciiTheme="minorHAnsi" w:eastAsiaTheme="minorEastAsia" w:hAnsiTheme="minorHAnsi" w:cstheme="minorBidi"/>
              <w:noProof/>
              <w:color w:val="000000" w:themeColor="text1"/>
              <w:lang w:val="en-GB" w:eastAsia="en-IN"/>
            </w:rPr>
          </w:pPr>
          <w:hyperlink w:anchor="_Toc215599856" w:history="1">
            <w:r w:rsidRPr="00C048C2">
              <w:rPr>
                <w:rStyle w:val="Hyperlink"/>
                <w:noProof/>
                <w:color w:val="000000" w:themeColor="text1"/>
                <w:sz w:val="24"/>
                <w:lang w:val="en-GB"/>
              </w:rPr>
              <w:t>References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_Toc215599856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11</w:t>
            </w:r>
            <w:r w:rsidRPr="00C048C2">
              <w:rPr>
                <w:noProof/>
                <w:webHidden/>
                <w:color w:val="000000" w:themeColor="text1"/>
                <w:sz w:val="24"/>
                <w:lang w:val="en-GB"/>
              </w:rPr>
              <w:fldChar w:fldCharType="end"/>
            </w:r>
          </w:hyperlink>
        </w:p>
        <w:p w14:paraId="28D17921" w14:textId="77777777" w:rsidR="00C35B67" w:rsidRPr="00C048C2" w:rsidRDefault="00C35B67" w:rsidP="00091250">
          <w:pPr>
            <w:spacing w:before="120" w:after="120" w:line="360" w:lineRule="auto"/>
            <w:rPr>
              <w:color w:val="000000" w:themeColor="text1"/>
              <w:lang w:val="en-GB"/>
            </w:rPr>
          </w:pPr>
          <w:r w:rsidRPr="00C048C2">
            <w:rPr>
              <w:color w:val="000000" w:themeColor="text1"/>
              <w:lang w:val="en-GB"/>
            </w:rPr>
            <w:fldChar w:fldCharType="end"/>
          </w:r>
        </w:p>
      </w:sdtContent>
    </w:sdt>
    <w:p w14:paraId="0720AE66" w14:textId="77777777" w:rsidR="00C35B67" w:rsidRPr="00C048C2" w:rsidRDefault="00C35B67" w:rsidP="00091250">
      <w:pPr>
        <w:spacing w:before="120" w:after="120" w:line="360" w:lineRule="auto"/>
        <w:rPr>
          <w:b/>
          <w:color w:val="000000" w:themeColor="text1"/>
          <w:sz w:val="24"/>
          <w:szCs w:val="40"/>
          <w:lang w:val="en-GB"/>
        </w:rPr>
      </w:pPr>
      <w:r w:rsidRPr="00C048C2">
        <w:rPr>
          <w:color w:val="000000" w:themeColor="text1"/>
          <w:lang w:val="en-GB"/>
        </w:rPr>
        <w:br w:type="page"/>
      </w:r>
    </w:p>
    <w:p w14:paraId="0BCF3681" w14:textId="77777777" w:rsidR="00180519" w:rsidRPr="00C048C2" w:rsidRDefault="001813E0" w:rsidP="00091250">
      <w:pPr>
        <w:pStyle w:val="Heading1"/>
        <w:spacing w:before="120" w:after="120"/>
        <w:rPr>
          <w:lang w:val="en-GB"/>
        </w:rPr>
      </w:pPr>
      <w:bookmarkStart w:id="0" w:name="_Toc215599850"/>
      <w:r w:rsidRPr="00C048C2">
        <w:rPr>
          <w:lang w:val="en-GB"/>
        </w:rPr>
        <w:lastRenderedPageBreak/>
        <w:t>Introduction</w:t>
      </w:r>
      <w:bookmarkEnd w:id="0"/>
      <w:r w:rsidRPr="00C048C2">
        <w:rPr>
          <w:lang w:val="en-GB"/>
        </w:rPr>
        <w:t xml:space="preserve"> </w:t>
      </w:r>
    </w:p>
    <w:p w14:paraId="276AB63A" w14:textId="77777777" w:rsidR="00D86D1B" w:rsidRPr="00C048C2" w:rsidRDefault="001813E0" w:rsidP="00091250">
      <w:pPr>
        <w:pStyle w:val="Normal1"/>
        <w:spacing w:before="120" w:after="120" w:line="360" w:lineRule="auto"/>
        <w:jc w:val="both"/>
        <w:rPr>
          <w:b/>
          <w:bCs/>
          <w:color w:val="000000" w:themeColor="text1"/>
          <w:sz w:val="24"/>
          <w:szCs w:val="24"/>
          <w:lang w:val="en-GB"/>
        </w:rPr>
      </w:pPr>
      <w:r w:rsidRPr="00C048C2">
        <w:rPr>
          <w:color w:val="000000" w:themeColor="text1"/>
          <w:sz w:val="24"/>
          <w:szCs w:val="24"/>
          <w:lang w:val="en-GB"/>
        </w:rPr>
        <w:t xml:space="preserve">The EHS infrastructure of the UK is quite diversified, as different local authorities follow different types of practices to improve the care and support services towards children and their families (Dou </w:t>
      </w:r>
      <w:r w:rsidRPr="00C048C2">
        <w:rPr>
          <w:i/>
          <w:iCs/>
          <w:color w:val="000000" w:themeColor="text1"/>
          <w:sz w:val="24"/>
          <w:szCs w:val="24"/>
          <w:lang w:val="en-GB"/>
        </w:rPr>
        <w:t xml:space="preserve">et al. </w:t>
      </w:r>
      <w:r w:rsidRPr="00C048C2">
        <w:rPr>
          <w:color w:val="000000" w:themeColor="text1"/>
          <w:sz w:val="24"/>
          <w:szCs w:val="24"/>
          <w:lang w:val="en-GB"/>
        </w:rPr>
        <w:t xml:space="preserve">2022). The EHS vision of the UK aims to provide comprehensive support to the children and families for developing their resilience and outcomes, or reducing the chance of a problem getting worse (Gov.uk, 2022). The report provides a brief explanation of the EHS of the UK by stating its main purpose. Moreover, the overview of the multi-agency workforce and their working functionalities is provided below. The evaluation of the three local websites of the country is given by describing the information available on these websites about EHS. Besides that, a comparative analysis of the three local authority websites regarding the EHS and its effectiveness on the families is discussed in detail. Most importantly, the most effective services of EHS among the three local authorities are going to be recommended with proper justifications, along with suggesting the areas of improvement. </w:t>
      </w:r>
    </w:p>
    <w:p w14:paraId="43DD8DDC"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noProof/>
          <w:color w:val="000000" w:themeColor="text1"/>
          <w:sz w:val="24"/>
          <w:szCs w:val="24"/>
          <w:lang w:val="en-GB" w:eastAsia="en-GB"/>
        </w:rPr>
        <w:drawing>
          <wp:inline distT="114300" distB="114300" distL="114300" distR="114300" wp14:anchorId="4C645A3B" wp14:editId="40E65CD4">
            <wp:extent cx="4686300" cy="2686050"/>
            <wp:effectExtent l="19050" t="1905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86567" cy="2686203"/>
                    </a:xfrm>
                    <a:prstGeom prst="rect">
                      <a:avLst/>
                    </a:prstGeom>
                    <a:ln w="25400">
                      <a:solidFill>
                        <a:srgbClr val="000000"/>
                      </a:solidFill>
                      <a:prstDash val="solid"/>
                    </a:ln>
                  </pic:spPr>
                </pic:pic>
              </a:graphicData>
            </a:graphic>
          </wp:inline>
        </w:drawing>
      </w:r>
    </w:p>
    <w:p w14:paraId="25981301"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Figure 1: Early Help System of the UK</w:t>
      </w:r>
    </w:p>
    <w:p w14:paraId="561DDE49" w14:textId="77777777" w:rsidR="00D86D1B" w:rsidRPr="00C048C2" w:rsidRDefault="001813E0" w:rsidP="00091250">
      <w:pPr>
        <w:pStyle w:val="Normal1"/>
        <w:spacing w:before="120" w:after="120" w:line="360" w:lineRule="auto"/>
        <w:jc w:val="center"/>
        <w:rPr>
          <w:color w:val="000000" w:themeColor="text1"/>
          <w:sz w:val="24"/>
          <w:szCs w:val="24"/>
          <w:lang w:val="en-GB"/>
        </w:rPr>
      </w:pPr>
      <w:r w:rsidRPr="00C048C2">
        <w:rPr>
          <w:color w:val="000000" w:themeColor="text1"/>
          <w:sz w:val="24"/>
          <w:szCs w:val="24"/>
          <w:lang w:val="en-GB"/>
        </w:rPr>
        <w:t>(Source: Gov.uk, 2022)</w:t>
      </w:r>
    </w:p>
    <w:p w14:paraId="52E576F4" w14:textId="77777777" w:rsidR="00D86D1B" w:rsidRPr="00C048C2" w:rsidRDefault="00D86D1B" w:rsidP="00091250">
      <w:pPr>
        <w:pStyle w:val="Normal1"/>
        <w:spacing w:before="120" w:after="120" w:line="360" w:lineRule="auto"/>
        <w:jc w:val="both"/>
        <w:rPr>
          <w:color w:val="000000" w:themeColor="text1"/>
          <w:sz w:val="24"/>
          <w:szCs w:val="24"/>
          <w:lang w:val="en-GB"/>
        </w:rPr>
      </w:pPr>
    </w:p>
    <w:p w14:paraId="48113FB6" w14:textId="77777777" w:rsidR="00091250" w:rsidRPr="00C048C2" w:rsidRDefault="00091250" w:rsidP="00091250">
      <w:pPr>
        <w:spacing w:before="120" w:after="120" w:line="360" w:lineRule="auto"/>
        <w:rPr>
          <w:b/>
          <w:color w:val="000000" w:themeColor="text1"/>
          <w:sz w:val="24"/>
          <w:szCs w:val="40"/>
          <w:lang w:val="en-GB"/>
        </w:rPr>
      </w:pPr>
      <w:r w:rsidRPr="00C048C2">
        <w:rPr>
          <w:color w:val="000000" w:themeColor="text1"/>
          <w:lang w:val="en-GB"/>
        </w:rPr>
        <w:br w:type="page"/>
      </w:r>
    </w:p>
    <w:p w14:paraId="58C6177C" w14:textId="77777777" w:rsidR="00D86D1B" w:rsidRPr="00C048C2" w:rsidRDefault="001813E0" w:rsidP="00091250">
      <w:pPr>
        <w:pStyle w:val="Heading1"/>
        <w:spacing w:before="120" w:after="120"/>
        <w:rPr>
          <w:lang w:val="en-GB"/>
        </w:rPr>
      </w:pPr>
      <w:bookmarkStart w:id="1" w:name="_Toc215599851"/>
      <w:r w:rsidRPr="00C048C2">
        <w:rPr>
          <w:lang w:val="en-GB"/>
        </w:rPr>
        <w:lastRenderedPageBreak/>
        <w:t>Main Analysis</w:t>
      </w:r>
      <w:bookmarkEnd w:id="1"/>
      <w:r w:rsidRPr="00C048C2">
        <w:rPr>
          <w:lang w:val="en-GB"/>
        </w:rPr>
        <w:t xml:space="preserve"> </w:t>
      </w:r>
    </w:p>
    <w:p w14:paraId="427FDF3E" w14:textId="77777777" w:rsidR="00D86D1B" w:rsidRPr="00C048C2" w:rsidRDefault="001813E0" w:rsidP="00091250">
      <w:pPr>
        <w:pStyle w:val="Heading2"/>
        <w:spacing w:before="120" w:after="120"/>
        <w:rPr>
          <w:highlight w:val="yellow"/>
          <w:lang w:val="en-GB"/>
        </w:rPr>
      </w:pPr>
      <w:bookmarkStart w:id="2" w:name="_Toc215599852"/>
      <w:r w:rsidRPr="00C048C2">
        <w:rPr>
          <w:lang w:val="en-GB"/>
        </w:rPr>
        <w:t>Explanation of the Early Help System</w:t>
      </w:r>
      <w:bookmarkEnd w:id="2"/>
      <w:r w:rsidRPr="00C048C2">
        <w:rPr>
          <w:lang w:val="en-GB"/>
        </w:rPr>
        <w:t xml:space="preserve"> </w:t>
      </w:r>
    </w:p>
    <w:p w14:paraId="3EA41647"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early help system available to children of the UK and their families is mainly made up of three different types of services, which combine with local areas to also offer help to the citizens (Gov.uk, 2023). These services include community support, universal types of services and targeted and acute services. As per the views of Winston (2022), the community support includes online support services, local places, friends and families, and local businesses. Along with this, the universal services include family hubs, early year settings, libraries, GP surgeries, maternity services and more. The acute and targeted services have also included emergency departments, accident departments, social care, family support, Centre Plus, and targeted youth, along with rescue and fire. </w:t>
      </w:r>
    </w:p>
    <w:p w14:paraId="37F789F2"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early help system in the UK is not a single type of service while in consists of a set of different services (Baccarelli </w:t>
      </w:r>
      <w:r w:rsidRPr="00C048C2">
        <w:rPr>
          <w:i/>
          <w:iCs/>
          <w:color w:val="000000" w:themeColor="text1"/>
          <w:sz w:val="24"/>
          <w:szCs w:val="24"/>
          <w:lang w:val="en-GB"/>
        </w:rPr>
        <w:t xml:space="preserve">et al. </w:t>
      </w:r>
      <w:r w:rsidRPr="00C048C2">
        <w:rPr>
          <w:color w:val="000000" w:themeColor="text1"/>
          <w:sz w:val="24"/>
          <w:szCs w:val="24"/>
          <w:lang w:val="en-GB"/>
        </w:rPr>
        <w:t xml:space="preserve">2023). There are several services present under this particular agency, including family support and children support. The support for the individual has been provided from the early stages to adolescence and includes a lot of things. Boosting health, child centres and different types of partnering programmes are included in this. The aim of this early help centre is proactive and preventive, indicating the intervention from other social care services (Gee </w:t>
      </w:r>
      <w:r w:rsidRPr="00C048C2">
        <w:rPr>
          <w:i/>
          <w:iCs/>
          <w:color w:val="000000" w:themeColor="text1"/>
          <w:sz w:val="24"/>
          <w:szCs w:val="24"/>
          <w:lang w:val="en-GB"/>
        </w:rPr>
        <w:t xml:space="preserve">et al. </w:t>
      </w:r>
      <w:r w:rsidRPr="00C048C2">
        <w:rPr>
          <w:color w:val="000000" w:themeColor="text1"/>
          <w:sz w:val="24"/>
          <w:szCs w:val="24"/>
          <w:lang w:val="en-GB"/>
        </w:rPr>
        <w:t xml:space="preserve">2021). Versatile support, early assessment and family coaches are also included in this system. Thus, the key function of such a system is to enhance the outcomes for children and prevent the escalation of needs accordingly. </w:t>
      </w:r>
      <w:r w:rsidR="003848E9" w:rsidRPr="00C048C2">
        <w:rPr>
          <w:color w:val="000000" w:themeColor="text1"/>
          <w:sz w:val="24"/>
          <w:szCs w:val="24"/>
          <w:lang w:val="en-GB"/>
        </w:rPr>
        <w:t>Moreover, it can be said that the early help system has provided necessary childcare facilities across the UK.</w:t>
      </w:r>
    </w:p>
    <w:p w14:paraId="2E73CED3" w14:textId="77777777" w:rsidR="00D86D1B" w:rsidRPr="00C048C2" w:rsidRDefault="001813E0" w:rsidP="00091250">
      <w:pPr>
        <w:pStyle w:val="Normal1"/>
        <w:spacing w:before="120" w:after="120" w:line="360" w:lineRule="auto"/>
        <w:jc w:val="both"/>
        <w:rPr>
          <w:b/>
          <w:bCs/>
          <w:color w:val="000000" w:themeColor="text1"/>
          <w:sz w:val="24"/>
          <w:szCs w:val="24"/>
          <w:highlight w:val="yellow"/>
          <w:lang w:val="en-GB"/>
        </w:rPr>
      </w:pPr>
      <w:r w:rsidRPr="00C048C2">
        <w:rPr>
          <w:b/>
          <w:bCs/>
          <w:color w:val="000000" w:themeColor="text1"/>
          <w:sz w:val="24"/>
          <w:szCs w:val="24"/>
          <w:lang w:val="en-GB"/>
        </w:rPr>
        <w:t xml:space="preserve">Explanation of multi-agency working </w:t>
      </w:r>
    </w:p>
    <w:p w14:paraId="2BD23A30"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The multi-agency workforce is the key player under the early help system of the UK and plays a lot of crucial role. Frequent and modelling indicate that practitioners support the multiplier needs and families they are accountable for (</w:t>
      </w:r>
      <w:r w:rsidRPr="00C048C2">
        <w:rPr>
          <w:color w:val="000000" w:themeColor="text1"/>
          <w:sz w:val="24"/>
          <w:szCs w:val="24"/>
          <w:highlight w:val="white"/>
          <w:lang w:val="en-GB"/>
        </w:rPr>
        <w:t xml:space="preserve">Hardyns </w:t>
      </w:r>
      <w:r w:rsidRPr="00C048C2">
        <w:rPr>
          <w:i/>
          <w:iCs/>
          <w:color w:val="000000" w:themeColor="text1"/>
          <w:sz w:val="24"/>
          <w:szCs w:val="24"/>
          <w:highlight w:val="white"/>
          <w:lang w:val="en-GB"/>
        </w:rPr>
        <w:t>et al.</w:t>
      </w:r>
      <w:r w:rsidRPr="00C048C2">
        <w:rPr>
          <w:color w:val="000000" w:themeColor="text1"/>
          <w:sz w:val="24"/>
          <w:szCs w:val="24"/>
          <w:highlight w:val="white"/>
          <w:lang w:val="en-GB"/>
        </w:rPr>
        <w:t xml:space="preserve"> 2021</w:t>
      </w:r>
      <w:r w:rsidRPr="00C048C2">
        <w:rPr>
          <w:color w:val="000000" w:themeColor="text1"/>
          <w:sz w:val="24"/>
          <w:szCs w:val="24"/>
          <w:lang w:val="en-GB"/>
        </w:rPr>
        <w:t>). They are the key experts in the workforce process to support the families in leading the practitioner role. Regular and promoting are also the key roles present for the multi-agency workers in the UK that connect the family support for fulfilling the multiple needs (</w:t>
      </w:r>
      <w:r w:rsidRPr="00C048C2">
        <w:rPr>
          <w:color w:val="000000" w:themeColor="text1"/>
          <w:sz w:val="24"/>
          <w:szCs w:val="24"/>
          <w:highlight w:val="white"/>
          <w:lang w:val="en-GB"/>
        </w:rPr>
        <w:t xml:space="preserve">Shorrock </w:t>
      </w:r>
      <w:r w:rsidRPr="00C048C2">
        <w:rPr>
          <w:i/>
          <w:iCs/>
          <w:color w:val="000000" w:themeColor="text1"/>
          <w:sz w:val="24"/>
          <w:szCs w:val="24"/>
          <w:highlight w:val="white"/>
          <w:lang w:val="en-GB"/>
        </w:rPr>
        <w:t>et al.</w:t>
      </w:r>
      <w:r w:rsidRPr="00C048C2">
        <w:rPr>
          <w:color w:val="000000" w:themeColor="text1"/>
          <w:sz w:val="24"/>
          <w:szCs w:val="24"/>
          <w:highlight w:val="white"/>
          <w:lang w:val="en-GB"/>
        </w:rPr>
        <w:t xml:space="preserve"> 2020</w:t>
      </w:r>
      <w:r w:rsidRPr="00C048C2">
        <w:rPr>
          <w:color w:val="000000" w:themeColor="text1"/>
          <w:sz w:val="24"/>
          <w:szCs w:val="24"/>
          <w:lang w:val="en-GB"/>
        </w:rPr>
        <w:t xml:space="preserve">). A shared practice of framework has been followed by the multiagency workers in </w:t>
      </w:r>
      <w:r w:rsidRPr="00C048C2">
        <w:rPr>
          <w:color w:val="000000" w:themeColor="text1"/>
          <w:sz w:val="24"/>
          <w:szCs w:val="24"/>
          <w:lang w:val="en-GB"/>
        </w:rPr>
        <w:lastRenderedPageBreak/>
        <w:t>the UK under the early help system. The family has also been able to voice their concerns through this multi-agency workforce. Information sharing, joint planning, and professional development are also key factors of the agency (</w:t>
      </w:r>
      <w:r w:rsidRPr="00C048C2">
        <w:rPr>
          <w:color w:val="000000" w:themeColor="text1"/>
          <w:sz w:val="24"/>
          <w:szCs w:val="24"/>
          <w:highlight w:val="white"/>
          <w:lang w:val="en-GB"/>
        </w:rPr>
        <w:t>Owens and Lloyd, 2023</w:t>
      </w:r>
      <w:r w:rsidRPr="00C048C2">
        <w:rPr>
          <w:color w:val="000000" w:themeColor="text1"/>
          <w:sz w:val="24"/>
          <w:szCs w:val="24"/>
          <w:lang w:val="en-GB"/>
        </w:rPr>
        <w:t xml:space="preserve">). They mainly play an essential role in the child safeguarding and healthcare service delivery process. The working process of multi-agency practices is essential as it improves outcomes, helps in risk assessment and obtains further effectiveness. </w:t>
      </w:r>
    </w:p>
    <w:p w14:paraId="3B0F0C7E" w14:textId="77777777" w:rsidR="00D86D1B" w:rsidRPr="00C048C2" w:rsidRDefault="001813E0" w:rsidP="00091250">
      <w:pPr>
        <w:pStyle w:val="Heading2"/>
        <w:spacing w:before="120" w:after="120"/>
        <w:rPr>
          <w:lang w:val="en-GB"/>
        </w:rPr>
      </w:pPr>
      <w:bookmarkStart w:id="3" w:name="_Toc215599853"/>
      <w:r w:rsidRPr="00C048C2">
        <w:rPr>
          <w:lang w:val="en-GB"/>
        </w:rPr>
        <w:t>Evaluat</w:t>
      </w:r>
      <w:r w:rsidR="00180519" w:rsidRPr="00C048C2">
        <w:rPr>
          <w:lang w:val="en-GB"/>
        </w:rPr>
        <w:t>ion of the three local websites</w:t>
      </w:r>
      <w:bookmarkEnd w:id="3"/>
    </w:p>
    <w:p w14:paraId="4B5F1B6F"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b/>
          <w:bCs/>
          <w:i/>
          <w:iCs/>
          <w:color w:val="000000" w:themeColor="text1"/>
          <w:sz w:val="24"/>
          <w:szCs w:val="24"/>
          <w:u w:val="single"/>
          <w:lang w:val="en-GB"/>
        </w:rPr>
        <w:t>Leicestershire County Council</w:t>
      </w:r>
    </w:p>
    <w:p w14:paraId="1AAC4D1D"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Leicestershire County Council offers a wide range of EHS-related services that can help people to deal with challenges effectively. On the official website of the Leicestershire County Council, there are several areas on which the local authority pays attention, which include </w:t>
      </w:r>
      <w:r w:rsidRPr="00C048C2">
        <w:rPr>
          <w:i/>
          <w:iCs/>
          <w:color w:val="000000" w:themeColor="text1"/>
          <w:sz w:val="24"/>
          <w:szCs w:val="24"/>
          <w:lang w:val="en-GB"/>
        </w:rPr>
        <w:t xml:space="preserve">education and children, </w:t>
      </w:r>
      <w:r w:rsidRPr="00C048C2">
        <w:rPr>
          <w:color w:val="000000" w:themeColor="text1"/>
          <w:sz w:val="24"/>
          <w:szCs w:val="24"/>
          <w:lang w:val="en-GB"/>
        </w:rPr>
        <w:t>environment and planning</w:t>
      </w:r>
      <w:r w:rsidRPr="00C048C2">
        <w:rPr>
          <w:i/>
          <w:iCs/>
          <w:color w:val="000000" w:themeColor="text1"/>
          <w:sz w:val="24"/>
          <w:szCs w:val="24"/>
          <w:lang w:val="en-GB"/>
        </w:rPr>
        <w:t xml:space="preserve">, health and well-being, adult social care and health, </w:t>
      </w:r>
      <w:r w:rsidRPr="00C048C2">
        <w:rPr>
          <w:color w:val="000000" w:themeColor="text1"/>
          <w:sz w:val="24"/>
          <w:szCs w:val="24"/>
          <w:lang w:val="en-GB"/>
        </w:rPr>
        <w:t xml:space="preserve">leisure and community and many more sectors, using which EHS can be availed by the living residents of that council (Leicestershire.gov.uk, 2025). In the Education and Children sector of the local authority’s website, there is a dedicated page that contains a vast array of services available to provide early intervention to needy children and families. There are proper emergency service numbers available on this website where families or children can report the incident immediately. Services like </w:t>
      </w:r>
      <w:r w:rsidRPr="00C048C2">
        <w:rPr>
          <w:i/>
          <w:iCs/>
          <w:color w:val="000000" w:themeColor="text1"/>
          <w:sz w:val="24"/>
          <w:szCs w:val="24"/>
          <w:lang w:val="en-GB"/>
        </w:rPr>
        <w:t xml:space="preserve">Early Years and Childcare </w:t>
      </w:r>
      <w:r w:rsidRPr="00C048C2">
        <w:rPr>
          <w:color w:val="000000" w:themeColor="text1"/>
          <w:sz w:val="24"/>
          <w:szCs w:val="24"/>
          <w:lang w:val="en-GB"/>
        </w:rPr>
        <w:t xml:space="preserve">and </w:t>
      </w:r>
      <w:r w:rsidRPr="00C048C2">
        <w:rPr>
          <w:i/>
          <w:iCs/>
          <w:color w:val="000000" w:themeColor="text1"/>
          <w:sz w:val="24"/>
          <w:szCs w:val="24"/>
          <w:lang w:val="en-GB"/>
        </w:rPr>
        <w:t>Child Protection and Safeguarding</w:t>
      </w:r>
      <w:r w:rsidRPr="00C048C2">
        <w:rPr>
          <w:color w:val="000000" w:themeColor="text1"/>
          <w:sz w:val="24"/>
          <w:szCs w:val="24"/>
          <w:lang w:val="en-GB"/>
        </w:rPr>
        <w:t xml:space="preserve"> support the </w:t>
      </w:r>
      <w:r w:rsidRPr="00C048C2">
        <w:rPr>
          <w:i/>
          <w:iCs/>
          <w:color w:val="000000" w:themeColor="text1"/>
          <w:sz w:val="24"/>
          <w:szCs w:val="24"/>
          <w:lang w:val="en-GB"/>
        </w:rPr>
        <w:t>Children Act 2004</w:t>
      </w:r>
      <w:r w:rsidRPr="00C048C2">
        <w:rPr>
          <w:color w:val="000000" w:themeColor="text1"/>
          <w:sz w:val="24"/>
          <w:szCs w:val="24"/>
          <w:lang w:val="en-GB"/>
        </w:rPr>
        <w:t xml:space="preserve"> of the UK by ensuring proper child care at the early ages of the children (Legislation.gov.uk, 2025). Special educational needs and disability, school transport and schools, colleges and academies parts support the </w:t>
      </w:r>
      <w:r w:rsidRPr="00C048C2">
        <w:rPr>
          <w:i/>
          <w:iCs/>
          <w:color w:val="000000" w:themeColor="text1"/>
          <w:sz w:val="24"/>
          <w:szCs w:val="24"/>
          <w:lang w:val="en-GB"/>
        </w:rPr>
        <w:t>Education Act 2002,</w:t>
      </w:r>
      <w:r w:rsidRPr="00C048C2">
        <w:rPr>
          <w:color w:val="000000" w:themeColor="text1"/>
          <w:sz w:val="24"/>
          <w:szCs w:val="24"/>
          <w:lang w:val="en-GB"/>
        </w:rPr>
        <w:t xml:space="preserve"> by focusing on the educational growth of children (Legislation.gov.uk, 2025). </w:t>
      </w:r>
      <w:r w:rsidR="003848E9" w:rsidRPr="00C048C2">
        <w:rPr>
          <w:color w:val="000000" w:themeColor="text1"/>
          <w:sz w:val="24"/>
          <w:szCs w:val="24"/>
          <w:lang w:val="en-GB"/>
        </w:rPr>
        <w:t xml:space="preserve">This council has also been responsible for delivering services to different people. </w:t>
      </w:r>
    </w:p>
    <w:p w14:paraId="5F171891" w14:textId="77777777" w:rsidR="00091250" w:rsidRPr="00C048C2" w:rsidRDefault="00091250">
      <w:pPr>
        <w:rPr>
          <w:b/>
          <w:bCs/>
          <w:i/>
          <w:iCs/>
          <w:color w:val="000000" w:themeColor="text1"/>
          <w:sz w:val="24"/>
          <w:szCs w:val="24"/>
          <w:u w:val="single"/>
          <w:lang w:val="en-GB"/>
        </w:rPr>
      </w:pPr>
      <w:r w:rsidRPr="00C048C2">
        <w:rPr>
          <w:b/>
          <w:bCs/>
          <w:i/>
          <w:iCs/>
          <w:color w:val="000000" w:themeColor="text1"/>
          <w:sz w:val="24"/>
          <w:szCs w:val="24"/>
          <w:u w:val="single"/>
          <w:lang w:val="en-GB"/>
        </w:rPr>
        <w:br w:type="page"/>
      </w:r>
    </w:p>
    <w:p w14:paraId="14165403"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b/>
          <w:bCs/>
          <w:i/>
          <w:iCs/>
          <w:color w:val="000000" w:themeColor="text1"/>
          <w:sz w:val="24"/>
          <w:szCs w:val="24"/>
          <w:u w:val="single"/>
          <w:lang w:val="en-GB"/>
        </w:rPr>
        <w:lastRenderedPageBreak/>
        <w:t>Leeds City Council</w:t>
      </w:r>
    </w:p>
    <w:p w14:paraId="37A1A8B1"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Leeds City Council is also a highly dedicated local authority website that has a diversified range of services for children and families to improve their contribution towards the families and children by providing extensive EHS. There are dedicated sections about children and families under this website, which include </w:t>
      </w:r>
      <w:r w:rsidRPr="00C048C2">
        <w:rPr>
          <w:i/>
          <w:iCs/>
          <w:color w:val="000000" w:themeColor="text1"/>
          <w:sz w:val="24"/>
          <w:szCs w:val="24"/>
          <w:lang w:val="en-GB"/>
        </w:rPr>
        <w:t>Children and Families, Health and Social Care and schools and education</w:t>
      </w:r>
      <w:r w:rsidRPr="00C048C2">
        <w:rPr>
          <w:color w:val="000000" w:themeColor="text1"/>
          <w:sz w:val="24"/>
          <w:szCs w:val="24"/>
          <w:lang w:val="en-GB"/>
        </w:rPr>
        <w:t xml:space="preserve"> that support the health, well-being and education of children and young adults (Leeds.gov.uk, 2025). All of these services have adhered to the </w:t>
      </w:r>
      <w:r w:rsidRPr="00C048C2">
        <w:rPr>
          <w:i/>
          <w:iCs/>
          <w:color w:val="000000" w:themeColor="text1"/>
          <w:sz w:val="24"/>
          <w:szCs w:val="24"/>
          <w:lang w:val="en-GB"/>
        </w:rPr>
        <w:t xml:space="preserve">Children Act 2004 </w:t>
      </w:r>
      <w:r w:rsidRPr="00C048C2">
        <w:rPr>
          <w:color w:val="000000" w:themeColor="text1"/>
          <w:sz w:val="24"/>
          <w:szCs w:val="24"/>
          <w:lang w:val="en-GB"/>
        </w:rPr>
        <w:t xml:space="preserve">and the </w:t>
      </w:r>
      <w:r w:rsidRPr="00C048C2">
        <w:rPr>
          <w:i/>
          <w:iCs/>
          <w:color w:val="000000" w:themeColor="text1"/>
          <w:sz w:val="24"/>
          <w:szCs w:val="24"/>
          <w:lang w:val="en-GB"/>
        </w:rPr>
        <w:t>Education Act 2002.</w:t>
      </w:r>
    </w:p>
    <w:p w14:paraId="4FD17195"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b/>
          <w:bCs/>
          <w:i/>
          <w:iCs/>
          <w:color w:val="000000" w:themeColor="text1"/>
          <w:sz w:val="24"/>
          <w:szCs w:val="24"/>
          <w:u w:val="single"/>
          <w:lang w:val="en-GB"/>
        </w:rPr>
        <w:t>Southwark Council</w:t>
      </w:r>
    </w:p>
    <w:p w14:paraId="30FF2E75"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color w:val="000000" w:themeColor="text1"/>
          <w:sz w:val="24"/>
          <w:szCs w:val="24"/>
          <w:lang w:val="en-GB"/>
        </w:rPr>
        <w:t xml:space="preserve">The Southwark Council of the UK is another popular local authority that has its own website describing the range of services offered to promote EHS in the UK. The local website of the Southwark Council contains a diverse range of services which include </w:t>
      </w:r>
      <w:r w:rsidRPr="00C048C2">
        <w:rPr>
          <w:i/>
          <w:iCs/>
          <w:color w:val="000000" w:themeColor="text1"/>
          <w:sz w:val="24"/>
          <w:szCs w:val="24"/>
          <w:lang w:val="en-GB"/>
        </w:rPr>
        <w:t>children, young people and families, community engagement, public health and safety, schools and education</w:t>
      </w:r>
      <w:r w:rsidRPr="00C048C2">
        <w:rPr>
          <w:color w:val="000000" w:themeColor="text1"/>
          <w:sz w:val="24"/>
          <w:szCs w:val="24"/>
          <w:lang w:val="en-GB"/>
        </w:rPr>
        <w:t xml:space="preserve"> and many more areas which ensure that the citizens who reside in this council receive proper care and support whenever needed (Southwark, gov.uk, 2025). Each section of the website has detailed guidance on the particular service with proper information. Every service under this website adheres to the</w:t>
      </w:r>
      <w:r w:rsidRPr="00C048C2">
        <w:rPr>
          <w:i/>
          <w:iCs/>
          <w:color w:val="000000" w:themeColor="text1"/>
          <w:sz w:val="24"/>
          <w:szCs w:val="24"/>
          <w:lang w:val="en-GB"/>
        </w:rPr>
        <w:t xml:space="preserve"> Local Authority Social Services Act 1970 of the UK </w:t>
      </w:r>
      <w:r w:rsidRPr="00C048C2">
        <w:rPr>
          <w:color w:val="000000" w:themeColor="text1"/>
          <w:sz w:val="24"/>
          <w:szCs w:val="24"/>
          <w:lang w:val="en-GB"/>
        </w:rPr>
        <w:t xml:space="preserve">by ensuring detailed guidance of the authority services and infrastructure to the local people, so they can immediately refer to the website in case of any emergency to get proper instructions to overcome the issue (Legislation.gov.uk, 2025). </w:t>
      </w:r>
    </w:p>
    <w:p w14:paraId="48A6035D" w14:textId="77777777" w:rsidR="00A07C63" w:rsidRPr="00C048C2" w:rsidRDefault="00A07C63" w:rsidP="00091250">
      <w:pPr>
        <w:spacing w:before="120" w:after="120" w:line="360" w:lineRule="auto"/>
        <w:rPr>
          <w:b/>
          <w:bCs/>
          <w:color w:val="000000" w:themeColor="text1"/>
          <w:sz w:val="24"/>
          <w:szCs w:val="24"/>
          <w:lang w:val="en-GB"/>
        </w:rPr>
      </w:pPr>
      <w:r w:rsidRPr="00C048C2">
        <w:rPr>
          <w:b/>
          <w:bCs/>
          <w:color w:val="000000" w:themeColor="text1"/>
          <w:sz w:val="24"/>
          <w:szCs w:val="24"/>
          <w:lang w:val="en-GB"/>
        </w:rPr>
        <w:br w:type="page"/>
      </w:r>
    </w:p>
    <w:p w14:paraId="23DBDDDB" w14:textId="77777777" w:rsidR="00D86D1B" w:rsidRPr="00C048C2" w:rsidRDefault="001813E0" w:rsidP="00091250">
      <w:pPr>
        <w:pStyle w:val="Heading2"/>
        <w:spacing w:before="120" w:after="120"/>
        <w:rPr>
          <w:lang w:val="en-GB"/>
        </w:rPr>
      </w:pPr>
      <w:bookmarkStart w:id="4" w:name="_Toc215599854"/>
      <w:r w:rsidRPr="00C048C2">
        <w:rPr>
          <w:lang w:val="en-GB"/>
        </w:rPr>
        <w:lastRenderedPageBreak/>
        <w:t>Comparative analysis of the key strengths and weaknesses of loca</w:t>
      </w:r>
      <w:r w:rsidR="00091250" w:rsidRPr="00C048C2">
        <w:rPr>
          <w:lang w:val="en-GB"/>
        </w:rPr>
        <w:t>l authority websites communicating to</w:t>
      </w:r>
      <w:r w:rsidRPr="00C048C2">
        <w:rPr>
          <w:lang w:val="en-GB"/>
        </w:rPr>
        <w:t xml:space="preserve"> the Early Help and other support services</w:t>
      </w:r>
      <w:bookmarkEnd w:id="4"/>
      <w:r w:rsidRPr="00C048C2">
        <w:rPr>
          <w:lang w:val="en-GB"/>
        </w:rPr>
        <w:t xml:space="preserve"> </w:t>
      </w:r>
    </w:p>
    <w:tbl>
      <w:tblPr>
        <w:tblStyle w:val="LightGrid"/>
        <w:tblW w:w="9360" w:type="dxa"/>
        <w:tblLayout w:type="fixed"/>
        <w:tblLook w:val="0600" w:firstRow="0" w:lastRow="0" w:firstColumn="0" w:lastColumn="0" w:noHBand="1" w:noVBand="1"/>
      </w:tblPr>
      <w:tblGrid>
        <w:gridCol w:w="1809"/>
        <w:gridCol w:w="2410"/>
        <w:gridCol w:w="2268"/>
        <w:gridCol w:w="2873"/>
      </w:tblGrid>
      <w:tr w:rsidR="00C048C2" w:rsidRPr="00C048C2" w14:paraId="5ED8BDBD" w14:textId="77777777" w:rsidTr="00091250">
        <w:tc>
          <w:tcPr>
            <w:tcW w:w="1809" w:type="dxa"/>
          </w:tcPr>
          <w:p w14:paraId="44DAD095"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Name of the Local Authority Websites</w:t>
            </w:r>
          </w:p>
        </w:tc>
        <w:tc>
          <w:tcPr>
            <w:tcW w:w="2410" w:type="dxa"/>
          </w:tcPr>
          <w:p w14:paraId="1980BC8C"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Strengths</w:t>
            </w:r>
          </w:p>
        </w:tc>
        <w:tc>
          <w:tcPr>
            <w:tcW w:w="2268" w:type="dxa"/>
          </w:tcPr>
          <w:p w14:paraId="7ACE0738"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Weaknesses</w:t>
            </w:r>
          </w:p>
        </w:tc>
        <w:tc>
          <w:tcPr>
            <w:tcW w:w="2873" w:type="dxa"/>
          </w:tcPr>
          <w:p w14:paraId="4CF7F0AB"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Strategies through which the Early Help and other support services are conveyed to the families</w:t>
            </w:r>
          </w:p>
        </w:tc>
      </w:tr>
      <w:tr w:rsidR="00C048C2" w:rsidRPr="00C048C2" w14:paraId="3599C654" w14:textId="77777777" w:rsidTr="00091250">
        <w:tc>
          <w:tcPr>
            <w:tcW w:w="1809" w:type="dxa"/>
          </w:tcPr>
          <w:p w14:paraId="3BF3F1E6" w14:textId="77777777" w:rsidR="00D86D1B" w:rsidRPr="00C048C2" w:rsidRDefault="001813E0" w:rsidP="00091250">
            <w:pPr>
              <w:pStyle w:val="Normal1"/>
              <w:spacing w:before="120" w:after="120" w:line="360" w:lineRule="auto"/>
              <w:jc w:val="center"/>
              <w:rPr>
                <w:color w:val="000000" w:themeColor="text1"/>
                <w:sz w:val="24"/>
                <w:szCs w:val="24"/>
                <w:lang w:val="en-GB"/>
              </w:rPr>
            </w:pPr>
            <w:r w:rsidRPr="00C048C2">
              <w:rPr>
                <w:b/>
                <w:bCs/>
                <w:i/>
                <w:iCs/>
                <w:color w:val="000000" w:themeColor="text1"/>
                <w:sz w:val="24"/>
                <w:szCs w:val="24"/>
                <w:lang w:val="en-GB"/>
              </w:rPr>
              <w:t>Leicestershire County Council</w:t>
            </w:r>
          </w:p>
        </w:tc>
        <w:tc>
          <w:tcPr>
            <w:tcW w:w="2410" w:type="dxa"/>
          </w:tcPr>
          <w:p w14:paraId="1893D029"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1. A detailed segment regarding family and children education, health and care services.</w:t>
            </w:r>
          </w:p>
          <w:p w14:paraId="79A572E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2.  Easy application and admission to the schools as per the convenience of the families through online form submission</w:t>
            </w:r>
          </w:p>
        </w:tc>
        <w:tc>
          <w:tcPr>
            <w:tcW w:w="2268" w:type="dxa"/>
          </w:tcPr>
          <w:p w14:paraId="5B3723F3"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1. Since the emergency numbers are available for 24/7 services, they remain busy very often and it is quite tough to access the service immediately (Leicestershire.gov.uk, 2025). </w:t>
            </w:r>
          </w:p>
          <w:p w14:paraId="6D6AF51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2. The country council is not liable to pay the Council tax, housing benefits and rubbish collection, so people have to take care of these areas strictly to avoid legal </w:t>
            </w:r>
            <w:r w:rsidRPr="00C048C2">
              <w:rPr>
                <w:color w:val="000000" w:themeColor="text1"/>
                <w:sz w:val="24"/>
                <w:szCs w:val="24"/>
                <w:lang w:val="en-GB"/>
              </w:rPr>
              <w:lastRenderedPageBreak/>
              <w:t xml:space="preserve">consequences. </w:t>
            </w:r>
          </w:p>
        </w:tc>
        <w:tc>
          <w:tcPr>
            <w:tcW w:w="2873" w:type="dxa"/>
          </w:tcPr>
          <w:p w14:paraId="3B4A89EB"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 xml:space="preserve">The services that are available on the website are the way to access the facilities offered by the county council. Otherwise, the available emergency numbers, which are given on the website, are also available for immediate assistance in case of any emergency to assist the families well (Roland </w:t>
            </w:r>
            <w:r w:rsidRPr="00C048C2">
              <w:rPr>
                <w:i/>
                <w:iCs/>
                <w:color w:val="000000" w:themeColor="text1"/>
                <w:sz w:val="24"/>
                <w:szCs w:val="24"/>
                <w:lang w:val="en-GB"/>
              </w:rPr>
              <w:t xml:space="preserve">et al. </w:t>
            </w:r>
            <w:r w:rsidRPr="00C048C2">
              <w:rPr>
                <w:color w:val="000000" w:themeColor="text1"/>
                <w:sz w:val="24"/>
                <w:szCs w:val="24"/>
                <w:lang w:val="en-GB"/>
              </w:rPr>
              <w:t xml:space="preserve">2023). </w:t>
            </w:r>
          </w:p>
        </w:tc>
      </w:tr>
      <w:tr w:rsidR="00C048C2" w:rsidRPr="00C048C2" w14:paraId="3EF4A007" w14:textId="77777777" w:rsidTr="00091250">
        <w:tc>
          <w:tcPr>
            <w:tcW w:w="1809" w:type="dxa"/>
          </w:tcPr>
          <w:p w14:paraId="675A42B4" w14:textId="77777777" w:rsidR="00D86D1B" w:rsidRPr="00C048C2" w:rsidRDefault="001813E0" w:rsidP="00091250">
            <w:pPr>
              <w:pStyle w:val="Normal1"/>
              <w:spacing w:before="120" w:after="120" w:line="360" w:lineRule="auto"/>
              <w:jc w:val="center"/>
              <w:rPr>
                <w:color w:val="000000" w:themeColor="text1"/>
                <w:sz w:val="24"/>
                <w:szCs w:val="24"/>
                <w:lang w:val="en-GB"/>
              </w:rPr>
            </w:pPr>
            <w:r w:rsidRPr="00C048C2">
              <w:rPr>
                <w:b/>
                <w:bCs/>
                <w:i/>
                <w:iCs/>
                <w:color w:val="000000" w:themeColor="text1"/>
                <w:sz w:val="24"/>
                <w:szCs w:val="24"/>
                <w:lang w:val="en-GB"/>
              </w:rPr>
              <w:t>Leeds City Council</w:t>
            </w:r>
          </w:p>
        </w:tc>
        <w:tc>
          <w:tcPr>
            <w:tcW w:w="2410" w:type="dxa"/>
          </w:tcPr>
          <w:p w14:paraId="0CBDEA75"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1. The attractive website and smooth, customisable features of the provided segments attract people to read about the present county services for EHS (Leeds.gov.uk, 2025). </w:t>
            </w:r>
          </w:p>
          <w:p w14:paraId="6CD82FAA"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2. The antisocial behaviour and crime section on the website is highly helpful for families to report any kind of criminal activity immediately (Leeds.gov.uk, 2025).  </w:t>
            </w:r>
          </w:p>
        </w:tc>
        <w:tc>
          <w:tcPr>
            <w:tcW w:w="2268" w:type="dxa"/>
          </w:tcPr>
          <w:p w14:paraId="3CA9908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1. Due to the detailed customisation and a vast range of services available on the website, it is comparatively slower than the Leicestershire county website. </w:t>
            </w:r>
          </w:p>
          <w:p w14:paraId="501B84E8"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2. The reservation system in the case of council tax payment shows discrimination regarding tax collection. </w:t>
            </w:r>
          </w:p>
        </w:tc>
        <w:tc>
          <w:tcPr>
            <w:tcW w:w="2873" w:type="dxa"/>
          </w:tcPr>
          <w:p w14:paraId="4AC692A5"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local authority website of Leeds City Council is highly capable of improving the quality of living standards of the people who stay here through its wide range of facilities and perks. Apart from online facilities, the country services can also be accessed by visiting the county offices, but people have to wait for a long time to connect with the particular officer regarding the raised concern that is going to be reported offline (Eaton </w:t>
            </w:r>
            <w:r w:rsidRPr="00C048C2">
              <w:rPr>
                <w:i/>
                <w:iCs/>
                <w:color w:val="000000" w:themeColor="text1"/>
                <w:sz w:val="24"/>
                <w:szCs w:val="24"/>
                <w:lang w:val="en-GB"/>
              </w:rPr>
              <w:t xml:space="preserve">et al. </w:t>
            </w:r>
            <w:r w:rsidRPr="00C048C2">
              <w:rPr>
                <w:color w:val="000000" w:themeColor="text1"/>
                <w:sz w:val="24"/>
                <w:szCs w:val="24"/>
                <w:lang w:val="en-GB"/>
              </w:rPr>
              <w:t xml:space="preserve">2025). </w:t>
            </w:r>
          </w:p>
        </w:tc>
      </w:tr>
      <w:tr w:rsidR="00C048C2" w:rsidRPr="00C048C2" w14:paraId="26CE8466" w14:textId="77777777" w:rsidTr="00091250">
        <w:tc>
          <w:tcPr>
            <w:tcW w:w="1809" w:type="dxa"/>
          </w:tcPr>
          <w:p w14:paraId="49AC0F73" w14:textId="77777777" w:rsidR="00D86D1B" w:rsidRPr="00C048C2" w:rsidRDefault="001813E0" w:rsidP="00091250">
            <w:pPr>
              <w:pStyle w:val="Normal1"/>
              <w:widowControl w:val="0"/>
              <w:spacing w:before="120" w:after="120" w:line="360" w:lineRule="auto"/>
              <w:jc w:val="center"/>
              <w:rPr>
                <w:b/>
                <w:bCs/>
                <w:i/>
                <w:iCs/>
                <w:color w:val="000000" w:themeColor="text1"/>
                <w:sz w:val="24"/>
                <w:szCs w:val="24"/>
                <w:lang w:val="en-GB"/>
              </w:rPr>
            </w:pPr>
            <w:r w:rsidRPr="00C048C2">
              <w:rPr>
                <w:b/>
                <w:bCs/>
                <w:i/>
                <w:iCs/>
                <w:color w:val="000000" w:themeColor="text1"/>
                <w:sz w:val="24"/>
                <w:szCs w:val="24"/>
                <w:lang w:val="en-GB"/>
              </w:rPr>
              <w:t>Southwark Council</w:t>
            </w:r>
          </w:p>
        </w:tc>
        <w:tc>
          <w:tcPr>
            <w:tcW w:w="2410" w:type="dxa"/>
          </w:tcPr>
          <w:p w14:paraId="68D97F9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1. The wide range of available services to guide the children and families is there to guide them well (Southwark, gov.uk, 2025).</w:t>
            </w:r>
          </w:p>
          <w:p w14:paraId="7B01F696"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2. The most interesting part of the website is an overview of different areas of Southwark to know what is happening in those areas of the county (Southwark, gov.uk, 2025).</w:t>
            </w:r>
          </w:p>
        </w:tc>
        <w:tc>
          <w:tcPr>
            <w:tcW w:w="2268" w:type="dxa"/>
          </w:tcPr>
          <w:p w14:paraId="155DD40D"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1. One of the major weaknesses of the website is its loading issue, due to which many online forms may not always work.</w:t>
            </w:r>
          </w:p>
          <w:p w14:paraId="4B9CBE6E"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2. The lack of maintenance of the website is mainly responsible for the server loading issue that creates irritation and frustration among people.</w:t>
            </w:r>
          </w:p>
        </w:tc>
        <w:tc>
          <w:tcPr>
            <w:tcW w:w="2873" w:type="dxa"/>
          </w:tcPr>
          <w:p w14:paraId="57425548"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 xml:space="preserve">The services of the county can be availed by visiting the online website, with the help of the virtual assistance of the AI tools available on the website (Auth </w:t>
            </w:r>
            <w:r w:rsidRPr="00C048C2">
              <w:rPr>
                <w:i/>
                <w:iCs/>
                <w:color w:val="000000" w:themeColor="text1"/>
                <w:sz w:val="24"/>
                <w:szCs w:val="24"/>
                <w:lang w:val="en-GB"/>
              </w:rPr>
              <w:t xml:space="preserve">et al. </w:t>
            </w:r>
            <w:r w:rsidRPr="00C048C2">
              <w:rPr>
                <w:color w:val="000000" w:themeColor="text1"/>
                <w:sz w:val="24"/>
                <w:szCs w:val="24"/>
                <w:lang w:val="en-GB"/>
              </w:rPr>
              <w:lastRenderedPageBreak/>
              <w:t xml:space="preserve">2022). Moreover, people can report any incident immediately to the county office, which remains open always to provide extended support to the children and their families. However, the people who reside within Southwark always have to be conscious in terms of getting the latest updates on the website due to its latency issue. In case of any emergency, it is better to report the situation physically, rather than filing an online report, as it may also be time-consuming and frustrating. Hence, the country has to work on this website management issue immediately to provide better customer experience to people. </w:t>
            </w:r>
          </w:p>
        </w:tc>
      </w:tr>
    </w:tbl>
    <w:p w14:paraId="5BB9FD58" w14:textId="77777777" w:rsidR="00D86D1B" w:rsidRPr="00C048C2" w:rsidRDefault="001813E0" w:rsidP="00091250">
      <w:pPr>
        <w:pStyle w:val="Heading1"/>
        <w:spacing w:before="120" w:after="120"/>
        <w:rPr>
          <w:lang w:val="en-GB"/>
        </w:rPr>
      </w:pPr>
      <w:bookmarkStart w:id="5" w:name="_Toc215599855"/>
      <w:r w:rsidRPr="00C048C2">
        <w:rPr>
          <w:lang w:val="en-GB"/>
        </w:rPr>
        <w:lastRenderedPageBreak/>
        <w:t>Conclusion with recommendations</w:t>
      </w:r>
      <w:bookmarkEnd w:id="5"/>
      <w:r w:rsidRPr="00C048C2">
        <w:rPr>
          <w:lang w:val="en-GB"/>
        </w:rPr>
        <w:t xml:space="preserve"> </w:t>
      </w:r>
    </w:p>
    <w:p w14:paraId="0938ECF8"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Based on the comparative analysis drawn above, it can be said that Leeds County Council’s website is the most comprehensive and effective website that provides a vast array of EHS to the children and families in need of care and support (Leeds.gov.uk, 2025).  The reason is the vast segmentation of services along with its attractive website design that can appeal to people easily. Moreover, the anti-crime support of the website shows the priority of the county in developing and amending the society to reduce the crime rate, by establishing this approach of preventing crime in the areas of this county. The analysis of the report shows the importance of EHS in improving the living standards of people living in different areas of the UK, by describing the EHS services of three different local authorities in the country. The comparative analysis indicates the higher probability of Leeds County Council being the most effective one among the others, but there are areas of improvement on which these councils have to focus for the betterment of the EHS. The recommendations regarding the areas are mentioned below:</w:t>
      </w:r>
    </w:p>
    <w:p w14:paraId="67E78AF5" w14:textId="77777777" w:rsidR="00D86D1B" w:rsidRPr="00C048C2" w:rsidRDefault="001813E0" w:rsidP="00091250">
      <w:pPr>
        <w:pStyle w:val="Normal1"/>
        <w:spacing w:before="120" w:after="120" w:line="360" w:lineRule="auto"/>
        <w:jc w:val="both"/>
        <w:rPr>
          <w:i/>
          <w:iCs/>
          <w:color w:val="000000" w:themeColor="text1"/>
          <w:sz w:val="24"/>
          <w:szCs w:val="24"/>
          <w:u w:val="single"/>
          <w:lang w:val="en-GB"/>
        </w:rPr>
      </w:pPr>
      <w:r w:rsidRPr="00C048C2">
        <w:rPr>
          <w:i/>
          <w:iCs/>
          <w:color w:val="000000" w:themeColor="text1"/>
          <w:sz w:val="24"/>
          <w:szCs w:val="24"/>
          <w:u w:val="single"/>
          <w:lang w:val="en-GB"/>
        </w:rPr>
        <w:t>Investing more in website management</w:t>
      </w:r>
    </w:p>
    <w:p w14:paraId="38CAC0EE"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Both Leeds and Southwark websites are slow and need immense improvement, due to which the local authorities have to enhance their investment rate in terms of website development. </w:t>
      </w:r>
    </w:p>
    <w:p w14:paraId="555841D4" w14:textId="77777777" w:rsidR="00D86D1B" w:rsidRPr="00C048C2" w:rsidRDefault="001813E0" w:rsidP="00091250">
      <w:pPr>
        <w:pStyle w:val="Normal1"/>
        <w:spacing w:before="120" w:after="120" w:line="360" w:lineRule="auto"/>
        <w:jc w:val="both"/>
        <w:rPr>
          <w:i/>
          <w:iCs/>
          <w:color w:val="000000" w:themeColor="text1"/>
          <w:sz w:val="24"/>
          <w:szCs w:val="24"/>
          <w:u w:val="single"/>
          <w:lang w:val="en-GB"/>
        </w:rPr>
      </w:pPr>
      <w:r w:rsidRPr="00C048C2">
        <w:rPr>
          <w:i/>
          <w:iCs/>
          <w:color w:val="000000" w:themeColor="text1"/>
          <w:sz w:val="24"/>
          <w:szCs w:val="24"/>
          <w:u w:val="single"/>
          <w:lang w:val="en-GB"/>
        </w:rPr>
        <w:t>Improving the capability of the internal management</w:t>
      </w:r>
    </w:p>
    <w:p w14:paraId="35E233EA"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internal management has to be more capable of handling the cases reported daily because delays in guidance can increase the number of crimes in these areas, which can affect the overall infrastructure of the society. </w:t>
      </w:r>
    </w:p>
    <w:p w14:paraId="41EE5FF0" w14:textId="77777777" w:rsidR="00D86D1B" w:rsidRPr="00C048C2" w:rsidRDefault="001813E0" w:rsidP="00091250">
      <w:pPr>
        <w:pStyle w:val="Normal1"/>
        <w:spacing w:before="120" w:after="120" w:line="360" w:lineRule="auto"/>
        <w:jc w:val="both"/>
        <w:rPr>
          <w:i/>
          <w:iCs/>
          <w:color w:val="000000" w:themeColor="text1"/>
          <w:sz w:val="24"/>
          <w:szCs w:val="24"/>
          <w:u w:val="single"/>
          <w:lang w:val="en-GB"/>
        </w:rPr>
      </w:pPr>
      <w:r w:rsidRPr="00C048C2">
        <w:rPr>
          <w:i/>
          <w:iCs/>
          <w:color w:val="000000" w:themeColor="text1"/>
          <w:sz w:val="24"/>
          <w:szCs w:val="24"/>
          <w:u w:val="single"/>
          <w:lang w:val="en-GB"/>
        </w:rPr>
        <w:t>Hiring more staff to manage the county’s services well</w:t>
      </w:r>
    </w:p>
    <w:p w14:paraId="70E36269" w14:textId="77777777" w:rsidR="00D86D1B" w:rsidRPr="00C048C2" w:rsidRDefault="001813E0" w:rsidP="00091250">
      <w:pPr>
        <w:pStyle w:val="Normal1"/>
        <w:spacing w:before="120" w:after="120" w:line="360" w:lineRule="auto"/>
        <w:jc w:val="both"/>
        <w:rPr>
          <w:b/>
          <w:bCs/>
          <w:color w:val="000000" w:themeColor="text1"/>
          <w:sz w:val="24"/>
          <w:szCs w:val="24"/>
          <w:lang w:val="en-GB"/>
        </w:rPr>
      </w:pPr>
      <w:r w:rsidRPr="00C048C2">
        <w:rPr>
          <w:color w:val="000000" w:themeColor="text1"/>
          <w:sz w:val="24"/>
          <w:szCs w:val="24"/>
          <w:lang w:val="en-GB"/>
        </w:rPr>
        <w:t xml:space="preserve">All of these counties need to hire more skilled and trained staff who have a good knowledge of the laws and regulations of the UK and can manage the work of the counties well, because, due to labour shortage, the maintenance of the websites is not being done well, and people have to wait for long hours to report the issue offline. </w:t>
      </w:r>
      <w:r w:rsidRPr="00C048C2">
        <w:rPr>
          <w:color w:val="000000" w:themeColor="text1"/>
          <w:lang w:val="en-GB"/>
        </w:rPr>
        <w:br w:type="page"/>
      </w:r>
    </w:p>
    <w:p w14:paraId="5E434962" w14:textId="77777777" w:rsidR="00D86D1B" w:rsidRPr="00C048C2" w:rsidRDefault="001813E0" w:rsidP="00091250">
      <w:pPr>
        <w:pStyle w:val="Heading1"/>
        <w:spacing w:before="120" w:after="120"/>
        <w:rPr>
          <w:lang w:val="en-GB"/>
        </w:rPr>
      </w:pPr>
      <w:bookmarkStart w:id="6" w:name="_Toc215599856"/>
      <w:r w:rsidRPr="00C048C2">
        <w:rPr>
          <w:lang w:val="en-GB"/>
        </w:rPr>
        <w:lastRenderedPageBreak/>
        <w:t>References</w:t>
      </w:r>
      <w:bookmarkEnd w:id="6"/>
      <w:r w:rsidRPr="00C048C2">
        <w:rPr>
          <w:lang w:val="en-GB"/>
        </w:rPr>
        <w:t xml:space="preserve"> </w:t>
      </w:r>
    </w:p>
    <w:p w14:paraId="2CC07699"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Auth, N.M., Booker, M.J., Wild, J. and Riley, R. (2022) ‘Mental health and help seeking among trauma-exposed emergency service staff: a qualitative evidence synthesis’, </w:t>
      </w:r>
      <w:r w:rsidRPr="00E76BAD">
        <w:rPr>
          <w:rFonts w:ascii="Times New Roman" w:eastAsia="Times New Roman" w:hAnsi="Times New Roman" w:cs="Times New Roman"/>
          <w:i/>
          <w:iCs/>
          <w:sz w:val="24"/>
          <w:szCs w:val="24"/>
          <w:lang w:val="en-GB" w:eastAsia="en-GB"/>
        </w:rPr>
        <w:t>BMJ Open</w:t>
      </w:r>
      <w:r w:rsidRPr="00E76BAD">
        <w:rPr>
          <w:rFonts w:ascii="Times New Roman" w:eastAsia="Times New Roman" w:hAnsi="Times New Roman" w:cs="Times New Roman"/>
          <w:sz w:val="24"/>
          <w:szCs w:val="24"/>
          <w:lang w:val="en-GB" w:eastAsia="en-GB"/>
        </w:rPr>
        <w:t xml:space="preserve">, 12(2), pp. 1–15. Available at: </w:t>
      </w:r>
      <w:hyperlink r:id="rId9" w:tgtFrame="_new" w:history="1">
        <w:r w:rsidRPr="00E76BAD">
          <w:rPr>
            <w:rFonts w:ascii="Times New Roman" w:eastAsia="Times New Roman" w:hAnsi="Times New Roman" w:cs="Times New Roman"/>
            <w:color w:val="0000FF"/>
            <w:sz w:val="24"/>
            <w:szCs w:val="24"/>
            <w:u w:val="single"/>
            <w:lang w:val="en-GB" w:eastAsia="en-GB"/>
          </w:rPr>
          <w:t>https://bmjopen.bmj.com/content/bmjopen/12/2/e047814.full.pdf</w:t>
        </w:r>
      </w:hyperlink>
    </w:p>
    <w:p w14:paraId="6E92887F"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E76BAD">
        <w:rPr>
          <w:rFonts w:ascii="Times New Roman" w:eastAsia="Times New Roman" w:hAnsi="Times New Roman" w:cs="Times New Roman"/>
          <w:sz w:val="24"/>
          <w:szCs w:val="24"/>
          <w:lang w:val="en-GB" w:eastAsia="en-GB"/>
        </w:rPr>
        <w:t>Baccarelli</w:t>
      </w:r>
      <w:proofErr w:type="spellEnd"/>
      <w:r w:rsidRPr="00E76BAD">
        <w:rPr>
          <w:rFonts w:ascii="Times New Roman" w:eastAsia="Times New Roman" w:hAnsi="Times New Roman" w:cs="Times New Roman"/>
          <w:sz w:val="24"/>
          <w:szCs w:val="24"/>
          <w:lang w:val="en-GB" w:eastAsia="en-GB"/>
        </w:rPr>
        <w:t xml:space="preserve">, A., </w:t>
      </w:r>
      <w:proofErr w:type="spellStart"/>
      <w:r w:rsidRPr="00E76BAD">
        <w:rPr>
          <w:rFonts w:ascii="Times New Roman" w:eastAsia="Times New Roman" w:hAnsi="Times New Roman" w:cs="Times New Roman"/>
          <w:sz w:val="24"/>
          <w:szCs w:val="24"/>
          <w:lang w:val="en-GB" w:eastAsia="en-GB"/>
        </w:rPr>
        <w:t>Dolinoy</w:t>
      </w:r>
      <w:proofErr w:type="spellEnd"/>
      <w:r w:rsidRPr="00E76BAD">
        <w:rPr>
          <w:rFonts w:ascii="Times New Roman" w:eastAsia="Times New Roman" w:hAnsi="Times New Roman" w:cs="Times New Roman"/>
          <w:sz w:val="24"/>
          <w:szCs w:val="24"/>
          <w:lang w:val="en-GB" w:eastAsia="en-GB"/>
        </w:rPr>
        <w:t xml:space="preserve">, D.C. and Walker, C.L. (2023) ‘A precision environmental health approach to prevention of human disease’, </w:t>
      </w:r>
      <w:r w:rsidRPr="00E76BAD">
        <w:rPr>
          <w:rFonts w:ascii="Times New Roman" w:eastAsia="Times New Roman" w:hAnsi="Times New Roman" w:cs="Times New Roman"/>
          <w:i/>
          <w:iCs/>
          <w:sz w:val="24"/>
          <w:szCs w:val="24"/>
          <w:lang w:val="en-GB" w:eastAsia="en-GB"/>
        </w:rPr>
        <w:t>Nature Communications</w:t>
      </w:r>
      <w:r w:rsidRPr="00E76BAD">
        <w:rPr>
          <w:rFonts w:ascii="Times New Roman" w:eastAsia="Times New Roman" w:hAnsi="Times New Roman" w:cs="Times New Roman"/>
          <w:sz w:val="24"/>
          <w:szCs w:val="24"/>
          <w:lang w:val="en-GB" w:eastAsia="en-GB"/>
        </w:rPr>
        <w:t xml:space="preserve">, 14(1), pp. 1–11. Available at: </w:t>
      </w:r>
      <w:hyperlink r:id="rId10" w:tgtFrame="_new" w:history="1">
        <w:r w:rsidRPr="00E76BAD">
          <w:rPr>
            <w:rFonts w:ascii="Times New Roman" w:eastAsia="Times New Roman" w:hAnsi="Times New Roman" w:cs="Times New Roman"/>
            <w:color w:val="0000FF"/>
            <w:sz w:val="24"/>
            <w:szCs w:val="24"/>
            <w:u w:val="single"/>
            <w:lang w:val="en-GB" w:eastAsia="en-GB"/>
          </w:rPr>
          <w:t>https://www.nature.com/articles/s41467-023-37626-2.pdf</w:t>
        </w:r>
      </w:hyperlink>
    </w:p>
    <w:p w14:paraId="068B63D4"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Dou, X., Kang, Y. and Lei, H. (2022) ‘Smart facility management: technically supported services based on emerging information and communication technology’, </w:t>
      </w:r>
      <w:r w:rsidRPr="00E76BAD">
        <w:rPr>
          <w:rFonts w:ascii="Times New Roman" w:eastAsia="Times New Roman" w:hAnsi="Times New Roman" w:cs="Times New Roman"/>
          <w:i/>
          <w:iCs/>
          <w:sz w:val="24"/>
          <w:szCs w:val="24"/>
          <w:lang w:val="en-GB" w:eastAsia="en-GB"/>
        </w:rPr>
        <w:t>Academic Journal of Business &amp; Management</w:t>
      </w:r>
      <w:r w:rsidRPr="00E76BAD">
        <w:rPr>
          <w:rFonts w:ascii="Times New Roman" w:eastAsia="Times New Roman" w:hAnsi="Times New Roman" w:cs="Times New Roman"/>
          <w:sz w:val="24"/>
          <w:szCs w:val="24"/>
          <w:lang w:val="en-GB" w:eastAsia="en-GB"/>
        </w:rPr>
        <w:t xml:space="preserve">, 4(18), pp. 124–129. Available at: </w:t>
      </w:r>
      <w:hyperlink r:id="rId11" w:tgtFrame="_new" w:history="1">
        <w:r w:rsidRPr="00E76BAD">
          <w:rPr>
            <w:rFonts w:ascii="Times New Roman" w:eastAsia="Times New Roman" w:hAnsi="Times New Roman" w:cs="Times New Roman"/>
            <w:color w:val="0000FF"/>
            <w:sz w:val="24"/>
            <w:szCs w:val="24"/>
            <w:u w:val="single"/>
            <w:lang w:val="en-GB" w:eastAsia="en-GB"/>
          </w:rPr>
          <w:t>https://www.francis-press.com/uploads/papers/suMNCbVEShMZtdVF3GEURphmJQrUDCCT5foI8AOS.pdf</w:t>
        </w:r>
      </w:hyperlink>
    </w:p>
    <w:p w14:paraId="2C8180E0"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Eaton, A.D. et al. (2025) ‘Processes of co-response crisis mental health models: a scoping review’, </w:t>
      </w:r>
      <w:r w:rsidRPr="00E76BAD">
        <w:rPr>
          <w:rFonts w:ascii="Times New Roman" w:eastAsia="Times New Roman" w:hAnsi="Times New Roman" w:cs="Times New Roman"/>
          <w:i/>
          <w:iCs/>
          <w:sz w:val="24"/>
          <w:szCs w:val="24"/>
          <w:lang w:val="en-GB" w:eastAsia="en-GB"/>
        </w:rPr>
        <w:t>Advances in Mental Health</w:t>
      </w:r>
      <w:r w:rsidRPr="00E76BAD">
        <w:rPr>
          <w:rFonts w:ascii="Times New Roman" w:eastAsia="Times New Roman" w:hAnsi="Times New Roman" w:cs="Times New Roman"/>
          <w:sz w:val="24"/>
          <w:szCs w:val="24"/>
          <w:lang w:val="en-GB" w:eastAsia="en-GB"/>
        </w:rPr>
        <w:t xml:space="preserve">, pp. 1–24. Available at: </w:t>
      </w:r>
      <w:hyperlink r:id="rId12" w:tgtFrame="_new" w:history="1">
        <w:r w:rsidRPr="00E76BAD">
          <w:rPr>
            <w:rFonts w:ascii="Times New Roman" w:eastAsia="Times New Roman" w:hAnsi="Times New Roman" w:cs="Times New Roman"/>
            <w:color w:val="0000FF"/>
            <w:sz w:val="24"/>
            <w:szCs w:val="24"/>
            <w:u w:val="single"/>
            <w:lang w:val="en-GB" w:eastAsia="en-GB"/>
          </w:rPr>
          <w:t>https://www.researchgate.net/profile/Andrew-Eaton-10/publication/384635928_Processes_of_Co-Response_Crisis_Mental_Health_Models_A_Scoping_Review/links/67007ca2f599e0392fb67806/Processes-of-Co-Response-Crisis-Mental-Health-Models-A-Scoping-Review.pdf</w:t>
        </w:r>
      </w:hyperlink>
    </w:p>
    <w:p w14:paraId="7F39E870"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Gee, B. et al. (2021) ‘Delivering mental health support within schools and colleges – a thematic synthesis of barriers and facilitators to implementation of indicated psychological interventions for adolescents’, </w:t>
      </w:r>
      <w:r w:rsidRPr="00E76BAD">
        <w:rPr>
          <w:rFonts w:ascii="Times New Roman" w:eastAsia="Times New Roman" w:hAnsi="Times New Roman" w:cs="Times New Roman"/>
          <w:i/>
          <w:iCs/>
          <w:sz w:val="24"/>
          <w:szCs w:val="24"/>
          <w:lang w:val="en-GB" w:eastAsia="en-GB"/>
        </w:rPr>
        <w:t>Child and Adolescent Mental Health</w:t>
      </w:r>
      <w:r w:rsidRPr="00E76BAD">
        <w:rPr>
          <w:rFonts w:ascii="Times New Roman" w:eastAsia="Times New Roman" w:hAnsi="Times New Roman" w:cs="Times New Roman"/>
          <w:sz w:val="24"/>
          <w:szCs w:val="24"/>
          <w:lang w:val="en-GB" w:eastAsia="en-GB"/>
        </w:rPr>
        <w:t xml:space="preserve">, 26(1), pp. 34–46. Available at: </w:t>
      </w:r>
      <w:hyperlink r:id="rId13" w:tgtFrame="_new" w:history="1">
        <w:r w:rsidRPr="00E76BAD">
          <w:rPr>
            <w:rFonts w:ascii="Times New Roman" w:eastAsia="Times New Roman" w:hAnsi="Times New Roman" w:cs="Times New Roman"/>
            <w:color w:val="0000FF"/>
            <w:sz w:val="24"/>
            <w:szCs w:val="24"/>
            <w:u w:val="single"/>
            <w:lang w:val="en-GB" w:eastAsia="en-GB"/>
          </w:rPr>
          <w:t>https://acamh.onlinelibrary.wiley.com/doi/pdf/10.1111/camh.12381</w:t>
        </w:r>
      </w:hyperlink>
    </w:p>
    <w:p w14:paraId="6B97136F"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Gov.uk (2022) </w:t>
      </w:r>
      <w:r w:rsidRPr="00E76BAD">
        <w:rPr>
          <w:rFonts w:ascii="Times New Roman" w:eastAsia="Times New Roman" w:hAnsi="Times New Roman" w:cs="Times New Roman"/>
          <w:i/>
          <w:iCs/>
          <w:sz w:val="24"/>
          <w:szCs w:val="24"/>
          <w:lang w:val="en-GB" w:eastAsia="en-GB"/>
        </w:rPr>
        <w:t>Early Help System Guide</w:t>
      </w:r>
      <w:r w:rsidRPr="00E76BAD">
        <w:rPr>
          <w:rFonts w:ascii="Times New Roman" w:eastAsia="Times New Roman" w:hAnsi="Times New Roman" w:cs="Times New Roman"/>
          <w:sz w:val="24"/>
          <w:szCs w:val="24"/>
          <w:lang w:val="en-GB" w:eastAsia="en-GB"/>
        </w:rPr>
        <w:t xml:space="preserve">. Available at: </w:t>
      </w:r>
      <w:hyperlink r:id="rId14" w:tgtFrame="_new" w:history="1">
        <w:r w:rsidRPr="00E76BAD">
          <w:rPr>
            <w:rFonts w:ascii="Times New Roman" w:eastAsia="Times New Roman" w:hAnsi="Times New Roman" w:cs="Times New Roman"/>
            <w:color w:val="0000FF"/>
            <w:sz w:val="24"/>
            <w:szCs w:val="24"/>
            <w:u w:val="single"/>
            <w:lang w:val="en-GB" w:eastAsia="en-GB"/>
          </w:rPr>
          <w:t>https://assets.publishing.service.gov.uk/media/628de13be90e071f5f7e1bd2/Early_Help_System_Guide.pdf</w:t>
        </w:r>
      </w:hyperlink>
      <w:r w:rsidRPr="00E76BAD">
        <w:rPr>
          <w:rFonts w:ascii="Times New Roman" w:eastAsia="Times New Roman" w:hAnsi="Times New Roman" w:cs="Times New Roman"/>
          <w:sz w:val="24"/>
          <w:szCs w:val="24"/>
          <w:lang w:val="en-GB" w:eastAsia="en-GB"/>
        </w:rPr>
        <w:t xml:space="preserve"> (Accessed: 2 December 2025).</w:t>
      </w:r>
    </w:p>
    <w:p w14:paraId="1DD1882E"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Gov.uk (2023) </w:t>
      </w:r>
      <w:r w:rsidRPr="00E76BAD">
        <w:rPr>
          <w:rFonts w:ascii="Times New Roman" w:eastAsia="Times New Roman" w:hAnsi="Times New Roman" w:cs="Times New Roman"/>
          <w:i/>
          <w:iCs/>
          <w:sz w:val="24"/>
          <w:szCs w:val="24"/>
          <w:lang w:val="en-GB" w:eastAsia="en-GB"/>
        </w:rPr>
        <w:t>Working Together to Safeguard Children 2023</w:t>
      </w:r>
      <w:r w:rsidRPr="00E76BAD">
        <w:rPr>
          <w:rFonts w:ascii="Times New Roman" w:eastAsia="Times New Roman" w:hAnsi="Times New Roman" w:cs="Times New Roman"/>
          <w:sz w:val="24"/>
          <w:szCs w:val="24"/>
          <w:lang w:val="en-GB" w:eastAsia="en-GB"/>
        </w:rPr>
        <w:t xml:space="preserve">. Available at: </w:t>
      </w:r>
      <w:hyperlink r:id="rId15" w:tgtFrame="_new" w:history="1">
        <w:r w:rsidRPr="00E76BAD">
          <w:rPr>
            <w:rFonts w:ascii="Times New Roman" w:eastAsia="Times New Roman" w:hAnsi="Times New Roman" w:cs="Times New Roman"/>
            <w:color w:val="0000FF"/>
            <w:sz w:val="24"/>
            <w:szCs w:val="24"/>
            <w:u w:val="single"/>
            <w:lang w:val="en-GB" w:eastAsia="en-GB"/>
          </w:rPr>
          <w:t>https://assets.publishing.service.gov.uk/media/65803fe31c0c2a000d18cf40/Working_together_to_safeguard_children_2023_-_statutory_guidance.pdf</w:t>
        </w:r>
      </w:hyperlink>
      <w:r w:rsidRPr="00E76BAD">
        <w:rPr>
          <w:rFonts w:ascii="Times New Roman" w:eastAsia="Times New Roman" w:hAnsi="Times New Roman" w:cs="Times New Roman"/>
          <w:sz w:val="24"/>
          <w:szCs w:val="24"/>
          <w:lang w:val="en-GB" w:eastAsia="en-GB"/>
        </w:rPr>
        <w:t xml:space="preserve"> (Accessed: 2 December 2025).</w:t>
      </w:r>
    </w:p>
    <w:p w14:paraId="0A62141F"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Hardyns, W., Thys, J., </w:t>
      </w:r>
      <w:proofErr w:type="spellStart"/>
      <w:r w:rsidRPr="00E76BAD">
        <w:rPr>
          <w:rFonts w:ascii="Times New Roman" w:eastAsia="Times New Roman" w:hAnsi="Times New Roman" w:cs="Times New Roman"/>
          <w:sz w:val="24"/>
          <w:szCs w:val="24"/>
          <w:lang w:val="en-GB" w:eastAsia="en-GB"/>
        </w:rPr>
        <w:t>Dorme</w:t>
      </w:r>
      <w:proofErr w:type="spellEnd"/>
      <w:r w:rsidRPr="00E76BAD">
        <w:rPr>
          <w:rFonts w:ascii="Times New Roman" w:eastAsia="Times New Roman" w:hAnsi="Times New Roman" w:cs="Times New Roman"/>
          <w:sz w:val="24"/>
          <w:szCs w:val="24"/>
          <w:lang w:val="en-GB" w:eastAsia="en-GB"/>
        </w:rPr>
        <w:t xml:space="preserve">, L., Klima, N. and Pauwels, L. (2021) ‘Multi-agency working to prevent violent radicalisation’, </w:t>
      </w:r>
      <w:r w:rsidRPr="00E76BAD">
        <w:rPr>
          <w:rFonts w:ascii="Times New Roman" w:eastAsia="Times New Roman" w:hAnsi="Times New Roman" w:cs="Times New Roman"/>
          <w:i/>
          <w:iCs/>
          <w:sz w:val="24"/>
          <w:szCs w:val="24"/>
          <w:lang w:val="en-GB" w:eastAsia="en-GB"/>
        </w:rPr>
        <w:t>Radices: Interdisciplinary Journal for the Study of Extremism</w:t>
      </w:r>
      <w:r w:rsidRPr="00E76BAD">
        <w:rPr>
          <w:rFonts w:ascii="Times New Roman" w:eastAsia="Times New Roman" w:hAnsi="Times New Roman" w:cs="Times New Roman"/>
          <w:sz w:val="24"/>
          <w:szCs w:val="24"/>
          <w:lang w:val="en-GB" w:eastAsia="en-GB"/>
        </w:rPr>
        <w:t xml:space="preserve">, 1(1), pp. 22–40. Available at: </w:t>
      </w:r>
      <w:hyperlink r:id="rId16" w:tgtFrame="_new" w:history="1">
        <w:r w:rsidRPr="00E76BAD">
          <w:rPr>
            <w:rFonts w:ascii="Times New Roman" w:eastAsia="Times New Roman" w:hAnsi="Times New Roman" w:cs="Times New Roman"/>
            <w:color w:val="0000FF"/>
            <w:sz w:val="24"/>
            <w:szCs w:val="24"/>
            <w:u w:val="single"/>
            <w:lang w:val="en-GB" w:eastAsia="en-GB"/>
          </w:rPr>
          <w:t>https://repository.uantwerpen.be/docstore/d:irua:26044</w:t>
        </w:r>
      </w:hyperlink>
    </w:p>
    <w:p w14:paraId="6FAAA0B5"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Leeds.gov.uk (2025) </w:t>
      </w:r>
      <w:r w:rsidRPr="00E76BAD">
        <w:rPr>
          <w:rFonts w:ascii="Times New Roman" w:eastAsia="Times New Roman" w:hAnsi="Times New Roman" w:cs="Times New Roman"/>
          <w:i/>
          <w:iCs/>
          <w:sz w:val="24"/>
          <w:szCs w:val="24"/>
          <w:lang w:val="en-GB" w:eastAsia="en-GB"/>
        </w:rPr>
        <w:t>Leeds City Council</w:t>
      </w:r>
      <w:r w:rsidRPr="00E76BAD">
        <w:rPr>
          <w:rFonts w:ascii="Times New Roman" w:eastAsia="Times New Roman" w:hAnsi="Times New Roman" w:cs="Times New Roman"/>
          <w:sz w:val="24"/>
          <w:szCs w:val="24"/>
          <w:lang w:val="en-GB" w:eastAsia="en-GB"/>
        </w:rPr>
        <w:t xml:space="preserve">. Available at: </w:t>
      </w:r>
      <w:hyperlink r:id="rId17" w:tgtFrame="_new" w:history="1">
        <w:r w:rsidRPr="00E76BAD">
          <w:rPr>
            <w:rFonts w:ascii="Times New Roman" w:eastAsia="Times New Roman" w:hAnsi="Times New Roman" w:cs="Times New Roman"/>
            <w:color w:val="0000FF"/>
            <w:sz w:val="24"/>
            <w:szCs w:val="24"/>
            <w:u w:val="single"/>
            <w:lang w:val="en-GB" w:eastAsia="en-GB"/>
          </w:rPr>
          <w:t>https://www.leeds.gov.uk/</w:t>
        </w:r>
      </w:hyperlink>
      <w:r w:rsidRPr="00E76BAD">
        <w:rPr>
          <w:rFonts w:ascii="Times New Roman" w:eastAsia="Times New Roman" w:hAnsi="Times New Roman" w:cs="Times New Roman"/>
          <w:sz w:val="24"/>
          <w:szCs w:val="24"/>
          <w:lang w:val="en-GB" w:eastAsia="en-GB"/>
        </w:rPr>
        <w:t xml:space="preserve"> (Accessed: 2 December 2025).</w:t>
      </w:r>
    </w:p>
    <w:p w14:paraId="7FE42979"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Legislation.gov.uk (2025) </w:t>
      </w:r>
      <w:r w:rsidRPr="00E76BAD">
        <w:rPr>
          <w:rFonts w:ascii="Times New Roman" w:eastAsia="Times New Roman" w:hAnsi="Times New Roman" w:cs="Times New Roman"/>
          <w:i/>
          <w:iCs/>
          <w:sz w:val="24"/>
          <w:szCs w:val="24"/>
          <w:lang w:val="en-GB" w:eastAsia="en-GB"/>
        </w:rPr>
        <w:t>Children Act 2004</w:t>
      </w:r>
      <w:r w:rsidRPr="00E76BAD">
        <w:rPr>
          <w:rFonts w:ascii="Times New Roman" w:eastAsia="Times New Roman" w:hAnsi="Times New Roman" w:cs="Times New Roman"/>
          <w:sz w:val="24"/>
          <w:szCs w:val="24"/>
          <w:lang w:val="en-GB" w:eastAsia="en-GB"/>
        </w:rPr>
        <w:t xml:space="preserve">. Available at: </w:t>
      </w:r>
      <w:hyperlink r:id="rId18" w:tgtFrame="_new" w:history="1">
        <w:r w:rsidRPr="00E76BAD">
          <w:rPr>
            <w:rFonts w:ascii="Times New Roman" w:eastAsia="Times New Roman" w:hAnsi="Times New Roman" w:cs="Times New Roman"/>
            <w:color w:val="0000FF"/>
            <w:sz w:val="24"/>
            <w:szCs w:val="24"/>
            <w:u w:val="single"/>
            <w:lang w:val="en-GB" w:eastAsia="en-GB"/>
          </w:rPr>
          <w:t>https://www.legislation.gov.uk/ukpga/2004/31/contents</w:t>
        </w:r>
      </w:hyperlink>
      <w:r w:rsidRPr="00E76BAD">
        <w:rPr>
          <w:rFonts w:ascii="Times New Roman" w:eastAsia="Times New Roman" w:hAnsi="Times New Roman" w:cs="Times New Roman"/>
          <w:sz w:val="24"/>
          <w:szCs w:val="24"/>
          <w:lang w:val="en-GB" w:eastAsia="en-GB"/>
        </w:rPr>
        <w:t xml:space="preserve"> (Accessed: 1 December 2025).</w:t>
      </w:r>
    </w:p>
    <w:p w14:paraId="6F18128C"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lastRenderedPageBreak/>
        <w:t xml:space="preserve">Legislation.gov.uk (2025) </w:t>
      </w:r>
      <w:r w:rsidRPr="00E76BAD">
        <w:rPr>
          <w:rFonts w:ascii="Times New Roman" w:eastAsia="Times New Roman" w:hAnsi="Times New Roman" w:cs="Times New Roman"/>
          <w:i/>
          <w:iCs/>
          <w:sz w:val="24"/>
          <w:szCs w:val="24"/>
          <w:lang w:val="en-GB" w:eastAsia="en-GB"/>
        </w:rPr>
        <w:t>Education Act 2002</w:t>
      </w:r>
      <w:r w:rsidRPr="00E76BAD">
        <w:rPr>
          <w:rFonts w:ascii="Times New Roman" w:eastAsia="Times New Roman" w:hAnsi="Times New Roman" w:cs="Times New Roman"/>
          <w:sz w:val="24"/>
          <w:szCs w:val="24"/>
          <w:lang w:val="en-GB" w:eastAsia="en-GB"/>
        </w:rPr>
        <w:t xml:space="preserve">. Available at: </w:t>
      </w:r>
      <w:hyperlink r:id="rId19" w:tgtFrame="_new" w:history="1">
        <w:r w:rsidRPr="00E76BAD">
          <w:rPr>
            <w:rFonts w:ascii="Times New Roman" w:eastAsia="Times New Roman" w:hAnsi="Times New Roman" w:cs="Times New Roman"/>
            <w:color w:val="0000FF"/>
            <w:sz w:val="24"/>
            <w:szCs w:val="24"/>
            <w:u w:val="single"/>
            <w:lang w:val="en-GB" w:eastAsia="en-GB"/>
          </w:rPr>
          <w:t>https://www.legislation.gov.uk/ukpga/2002/32/contents</w:t>
        </w:r>
      </w:hyperlink>
      <w:r w:rsidRPr="00E76BAD">
        <w:rPr>
          <w:rFonts w:ascii="Times New Roman" w:eastAsia="Times New Roman" w:hAnsi="Times New Roman" w:cs="Times New Roman"/>
          <w:sz w:val="24"/>
          <w:szCs w:val="24"/>
          <w:lang w:val="en-GB" w:eastAsia="en-GB"/>
        </w:rPr>
        <w:t xml:space="preserve"> (Accessed: 1 December 2025).</w:t>
      </w:r>
    </w:p>
    <w:p w14:paraId="098C6DFD"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Legislation.gov.uk (2025) </w:t>
      </w:r>
      <w:r w:rsidRPr="00E76BAD">
        <w:rPr>
          <w:rFonts w:ascii="Times New Roman" w:eastAsia="Times New Roman" w:hAnsi="Times New Roman" w:cs="Times New Roman"/>
          <w:i/>
          <w:iCs/>
          <w:sz w:val="24"/>
          <w:szCs w:val="24"/>
          <w:lang w:val="en-GB" w:eastAsia="en-GB"/>
        </w:rPr>
        <w:t>Local Authority Social Services Act 1970</w:t>
      </w:r>
      <w:r w:rsidRPr="00E76BAD">
        <w:rPr>
          <w:rFonts w:ascii="Times New Roman" w:eastAsia="Times New Roman" w:hAnsi="Times New Roman" w:cs="Times New Roman"/>
          <w:sz w:val="24"/>
          <w:szCs w:val="24"/>
          <w:lang w:val="en-GB" w:eastAsia="en-GB"/>
        </w:rPr>
        <w:t xml:space="preserve">. Available at: </w:t>
      </w:r>
      <w:hyperlink r:id="rId20" w:tgtFrame="_new" w:history="1">
        <w:r w:rsidRPr="00E76BAD">
          <w:rPr>
            <w:rFonts w:ascii="Times New Roman" w:eastAsia="Times New Roman" w:hAnsi="Times New Roman" w:cs="Times New Roman"/>
            <w:color w:val="0000FF"/>
            <w:sz w:val="24"/>
            <w:szCs w:val="24"/>
            <w:u w:val="single"/>
            <w:lang w:val="en-GB" w:eastAsia="en-GB"/>
          </w:rPr>
          <w:t>https://www.legislation.gov.uk/ukpga/1970/42</w:t>
        </w:r>
      </w:hyperlink>
      <w:r w:rsidRPr="00E76BAD">
        <w:rPr>
          <w:rFonts w:ascii="Times New Roman" w:eastAsia="Times New Roman" w:hAnsi="Times New Roman" w:cs="Times New Roman"/>
          <w:sz w:val="24"/>
          <w:szCs w:val="24"/>
          <w:lang w:val="en-GB" w:eastAsia="en-GB"/>
        </w:rPr>
        <w:t xml:space="preserve"> (Accessed: 1 December 2025).</w:t>
      </w:r>
    </w:p>
    <w:p w14:paraId="6B643064"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Leicestershire.gov.uk (2025) </w:t>
      </w:r>
      <w:r w:rsidRPr="00E76BAD">
        <w:rPr>
          <w:rFonts w:ascii="Times New Roman" w:eastAsia="Times New Roman" w:hAnsi="Times New Roman" w:cs="Times New Roman"/>
          <w:i/>
          <w:iCs/>
          <w:sz w:val="24"/>
          <w:szCs w:val="24"/>
          <w:lang w:val="en-GB" w:eastAsia="en-GB"/>
        </w:rPr>
        <w:t>Serving the people of Leicestershire</w:t>
      </w:r>
      <w:r w:rsidRPr="00E76BAD">
        <w:rPr>
          <w:rFonts w:ascii="Times New Roman" w:eastAsia="Times New Roman" w:hAnsi="Times New Roman" w:cs="Times New Roman"/>
          <w:sz w:val="24"/>
          <w:szCs w:val="24"/>
          <w:lang w:val="en-GB" w:eastAsia="en-GB"/>
        </w:rPr>
        <w:t xml:space="preserve">. Available at: </w:t>
      </w:r>
      <w:hyperlink r:id="rId21" w:tgtFrame="_new" w:history="1">
        <w:r w:rsidRPr="00E76BAD">
          <w:rPr>
            <w:rFonts w:ascii="Times New Roman" w:eastAsia="Times New Roman" w:hAnsi="Times New Roman" w:cs="Times New Roman"/>
            <w:color w:val="0000FF"/>
            <w:sz w:val="24"/>
            <w:szCs w:val="24"/>
            <w:u w:val="single"/>
            <w:lang w:val="en-GB" w:eastAsia="en-GB"/>
          </w:rPr>
          <w:t>https://www.leicestershire.gov.uk/</w:t>
        </w:r>
      </w:hyperlink>
      <w:r w:rsidRPr="00E76BAD">
        <w:rPr>
          <w:rFonts w:ascii="Times New Roman" w:eastAsia="Times New Roman" w:hAnsi="Times New Roman" w:cs="Times New Roman"/>
          <w:sz w:val="24"/>
          <w:szCs w:val="24"/>
          <w:lang w:val="en-GB" w:eastAsia="en-GB"/>
        </w:rPr>
        <w:t xml:space="preserve"> (Accessed: 2 December 2025).</w:t>
      </w:r>
    </w:p>
    <w:p w14:paraId="7DA14FFB"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Owens, R. and Lloyd, J. (2023) ‘From behaviour-based to ecological: Multi-agency partnership responses to extra-familial harm’, </w:t>
      </w:r>
      <w:r w:rsidRPr="00E76BAD">
        <w:rPr>
          <w:rFonts w:ascii="Times New Roman" w:eastAsia="Times New Roman" w:hAnsi="Times New Roman" w:cs="Times New Roman"/>
          <w:i/>
          <w:iCs/>
          <w:sz w:val="24"/>
          <w:szCs w:val="24"/>
          <w:lang w:val="en-GB" w:eastAsia="en-GB"/>
        </w:rPr>
        <w:t>Journal of Social Work</w:t>
      </w:r>
      <w:r w:rsidRPr="00E76BAD">
        <w:rPr>
          <w:rFonts w:ascii="Times New Roman" w:eastAsia="Times New Roman" w:hAnsi="Times New Roman" w:cs="Times New Roman"/>
          <w:sz w:val="24"/>
          <w:szCs w:val="24"/>
          <w:lang w:val="en-GB" w:eastAsia="en-GB"/>
        </w:rPr>
        <w:t xml:space="preserve">, 23(4), pp. 741–760. Available at: </w:t>
      </w:r>
      <w:hyperlink r:id="rId22" w:tgtFrame="_new" w:history="1">
        <w:r w:rsidRPr="00E76BAD">
          <w:rPr>
            <w:rFonts w:ascii="Times New Roman" w:eastAsia="Times New Roman" w:hAnsi="Times New Roman" w:cs="Times New Roman"/>
            <w:color w:val="0000FF"/>
            <w:sz w:val="24"/>
            <w:szCs w:val="24"/>
            <w:u w:val="single"/>
            <w:lang w:val="en-GB" w:eastAsia="en-GB"/>
          </w:rPr>
          <w:t>https://journals.sagepub.com/doi/pdf/10.1177/14680173231162553</w:t>
        </w:r>
      </w:hyperlink>
    </w:p>
    <w:p w14:paraId="30864081"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Roland, D. et al. (2023) ‘Paediatric early warning systems: not a simple answer to a complex question’, </w:t>
      </w:r>
      <w:r w:rsidRPr="00E76BAD">
        <w:rPr>
          <w:rFonts w:ascii="Times New Roman" w:eastAsia="Times New Roman" w:hAnsi="Times New Roman" w:cs="Times New Roman"/>
          <w:i/>
          <w:iCs/>
          <w:sz w:val="24"/>
          <w:szCs w:val="24"/>
          <w:lang w:val="en-GB" w:eastAsia="en-GB"/>
        </w:rPr>
        <w:t>Archives of Disease in Childhood</w:t>
      </w:r>
      <w:r w:rsidRPr="00E76BAD">
        <w:rPr>
          <w:rFonts w:ascii="Times New Roman" w:eastAsia="Times New Roman" w:hAnsi="Times New Roman" w:cs="Times New Roman"/>
          <w:sz w:val="24"/>
          <w:szCs w:val="24"/>
          <w:lang w:val="en-GB" w:eastAsia="en-GB"/>
        </w:rPr>
        <w:t xml:space="preserve">, 108(5), pp. 338–343. Available at: </w:t>
      </w:r>
      <w:hyperlink r:id="rId23" w:tgtFrame="_new" w:history="1">
        <w:r w:rsidRPr="00E76BAD">
          <w:rPr>
            <w:rFonts w:ascii="Times New Roman" w:eastAsia="Times New Roman" w:hAnsi="Times New Roman" w:cs="Times New Roman"/>
            <w:color w:val="0000FF"/>
            <w:sz w:val="24"/>
            <w:szCs w:val="24"/>
            <w:u w:val="single"/>
            <w:lang w:val="en-GB" w:eastAsia="en-GB"/>
          </w:rPr>
          <w:t>https://adc.bmj.com/content/archdischild/108/5/338.full.pdf</w:t>
        </w:r>
      </w:hyperlink>
    </w:p>
    <w:p w14:paraId="29655321"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Shorrock, S., McManus, M.M. and Kirby, S. (2020) ‘Practitioner perspectives of multi-agency safeguarding hubs (MASH)’, </w:t>
      </w:r>
      <w:r w:rsidRPr="00E76BAD">
        <w:rPr>
          <w:rFonts w:ascii="Times New Roman" w:eastAsia="Times New Roman" w:hAnsi="Times New Roman" w:cs="Times New Roman"/>
          <w:i/>
          <w:iCs/>
          <w:sz w:val="24"/>
          <w:szCs w:val="24"/>
          <w:lang w:val="en-GB" w:eastAsia="en-GB"/>
        </w:rPr>
        <w:t>The Journal of Adult Protection</w:t>
      </w:r>
      <w:r w:rsidRPr="00E76BAD">
        <w:rPr>
          <w:rFonts w:ascii="Times New Roman" w:eastAsia="Times New Roman" w:hAnsi="Times New Roman" w:cs="Times New Roman"/>
          <w:sz w:val="24"/>
          <w:szCs w:val="24"/>
          <w:lang w:val="en-GB" w:eastAsia="en-GB"/>
        </w:rPr>
        <w:t xml:space="preserve">, 22(1), pp. 9–20. Available at: </w:t>
      </w:r>
      <w:hyperlink r:id="rId24" w:tgtFrame="_new" w:history="1">
        <w:r w:rsidRPr="00E76BAD">
          <w:rPr>
            <w:rFonts w:ascii="Times New Roman" w:eastAsia="Times New Roman" w:hAnsi="Times New Roman" w:cs="Times New Roman"/>
            <w:color w:val="0000FF"/>
            <w:sz w:val="24"/>
            <w:szCs w:val="24"/>
            <w:u w:val="single"/>
            <w:lang w:val="en-GB" w:eastAsia="en-GB"/>
          </w:rPr>
          <w:t>https://clok.uclan.ac.uk/id/eprint/31074/1/Accepted%20Proof%20Copy.pdf</w:t>
        </w:r>
      </w:hyperlink>
    </w:p>
    <w:p w14:paraId="2F32F0A8"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Southwark.gov.uk (2025) </w:t>
      </w:r>
      <w:r w:rsidRPr="00E76BAD">
        <w:rPr>
          <w:rFonts w:ascii="Times New Roman" w:eastAsia="Times New Roman" w:hAnsi="Times New Roman" w:cs="Times New Roman"/>
          <w:i/>
          <w:iCs/>
          <w:sz w:val="24"/>
          <w:szCs w:val="24"/>
          <w:lang w:val="en-GB" w:eastAsia="en-GB"/>
        </w:rPr>
        <w:t>Hello, welcome to Southwark</w:t>
      </w:r>
      <w:r w:rsidRPr="00E76BAD">
        <w:rPr>
          <w:rFonts w:ascii="Times New Roman" w:eastAsia="Times New Roman" w:hAnsi="Times New Roman" w:cs="Times New Roman"/>
          <w:sz w:val="24"/>
          <w:szCs w:val="24"/>
          <w:lang w:val="en-GB" w:eastAsia="en-GB"/>
        </w:rPr>
        <w:t xml:space="preserve">. Available at: </w:t>
      </w:r>
      <w:hyperlink r:id="rId25" w:tgtFrame="_new" w:history="1">
        <w:r w:rsidRPr="00E76BAD">
          <w:rPr>
            <w:rFonts w:ascii="Times New Roman" w:eastAsia="Times New Roman" w:hAnsi="Times New Roman" w:cs="Times New Roman"/>
            <w:color w:val="0000FF"/>
            <w:sz w:val="24"/>
            <w:szCs w:val="24"/>
            <w:u w:val="single"/>
            <w:lang w:val="en-GB" w:eastAsia="en-GB"/>
          </w:rPr>
          <w:t>https://www.southwark.gov.uk/</w:t>
        </w:r>
      </w:hyperlink>
      <w:r w:rsidRPr="00E76BAD">
        <w:rPr>
          <w:rFonts w:ascii="Times New Roman" w:eastAsia="Times New Roman" w:hAnsi="Times New Roman" w:cs="Times New Roman"/>
          <w:sz w:val="24"/>
          <w:szCs w:val="24"/>
          <w:lang w:val="en-GB" w:eastAsia="en-GB"/>
        </w:rPr>
        <w:t xml:space="preserve"> (Accessed: 2 December 2025).</w:t>
      </w:r>
    </w:p>
    <w:p w14:paraId="50472470"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Winston, N. (2022) ‘Sustainable community development: Integrating social and environmental sustainability for sustainable housing and communities’, </w:t>
      </w:r>
      <w:r w:rsidRPr="00E76BAD">
        <w:rPr>
          <w:rFonts w:ascii="Times New Roman" w:eastAsia="Times New Roman" w:hAnsi="Times New Roman" w:cs="Times New Roman"/>
          <w:i/>
          <w:iCs/>
          <w:sz w:val="24"/>
          <w:szCs w:val="24"/>
          <w:lang w:val="en-GB" w:eastAsia="en-GB"/>
        </w:rPr>
        <w:t>Sustainable Development</w:t>
      </w:r>
      <w:r w:rsidRPr="00E76BAD">
        <w:rPr>
          <w:rFonts w:ascii="Times New Roman" w:eastAsia="Times New Roman" w:hAnsi="Times New Roman" w:cs="Times New Roman"/>
          <w:sz w:val="24"/>
          <w:szCs w:val="24"/>
          <w:lang w:val="en-GB" w:eastAsia="en-GB"/>
        </w:rPr>
        <w:t xml:space="preserve">, 30(1), pp. 191–202. Available at: </w:t>
      </w:r>
      <w:hyperlink r:id="rId26" w:tgtFrame="_new" w:history="1">
        <w:r w:rsidRPr="00E76BAD">
          <w:rPr>
            <w:rFonts w:ascii="Times New Roman" w:eastAsia="Times New Roman" w:hAnsi="Times New Roman" w:cs="Times New Roman"/>
            <w:color w:val="0000FF"/>
            <w:sz w:val="24"/>
            <w:szCs w:val="24"/>
            <w:u w:val="single"/>
            <w:lang w:val="en-GB" w:eastAsia="en-GB"/>
          </w:rPr>
          <w:t>https://onlinelibrary.wiley.com/doi/pdf/10.1002/sd.2238</w:t>
        </w:r>
      </w:hyperlink>
    </w:p>
    <w:p w14:paraId="465B14E1" w14:textId="77777777" w:rsidR="00D86D1B" w:rsidRPr="00C048C2" w:rsidRDefault="00D86D1B" w:rsidP="00091250">
      <w:pPr>
        <w:pStyle w:val="Normal1"/>
        <w:spacing w:before="120" w:after="120" w:line="360" w:lineRule="auto"/>
        <w:jc w:val="both"/>
        <w:rPr>
          <w:color w:val="000000" w:themeColor="text1"/>
          <w:sz w:val="24"/>
          <w:szCs w:val="24"/>
          <w:lang w:val="en-GB"/>
        </w:rPr>
      </w:pPr>
    </w:p>
    <w:p w14:paraId="2F3CD92D" w14:textId="77777777" w:rsidR="00D86D1B" w:rsidRPr="00C048C2" w:rsidRDefault="00D86D1B" w:rsidP="00091250">
      <w:pPr>
        <w:pStyle w:val="Normal1"/>
        <w:spacing w:before="120" w:after="120" w:line="360" w:lineRule="auto"/>
        <w:jc w:val="both"/>
        <w:rPr>
          <w:color w:val="000000" w:themeColor="text1"/>
          <w:sz w:val="24"/>
          <w:szCs w:val="24"/>
          <w:lang w:val="en-GB"/>
        </w:rPr>
      </w:pPr>
    </w:p>
    <w:sectPr w:rsidR="00D86D1B" w:rsidRPr="00C048C2" w:rsidSect="00E729E8">
      <w:footerReference w:type="default" r:id="rId2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81B11" w14:textId="77777777" w:rsidR="00A357F7" w:rsidRDefault="00A357F7" w:rsidP="00E729E8">
      <w:pPr>
        <w:spacing w:line="240" w:lineRule="auto"/>
      </w:pPr>
      <w:r>
        <w:separator/>
      </w:r>
    </w:p>
  </w:endnote>
  <w:endnote w:type="continuationSeparator" w:id="0">
    <w:p w14:paraId="4E962EA8" w14:textId="77777777" w:rsidR="00A357F7" w:rsidRDefault="00A357F7" w:rsidP="00E729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01E910E-319D-4B47-AB96-594DA4A891FE}"/>
  </w:font>
  <w:font w:name="Calibri">
    <w:panose1 w:val="020F0502020204030204"/>
    <w:charset w:val="00"/>
    <w:family w:val="swiss"/>
    <w:pitch w:val="variable"/>
    <w:sig w:usb0="E4002EFF" w:usb1="C200247B" w:usb2="00000009" w:usb3="00000000" w:csb0="000001FF" w:csb1="00000000"/>
    <w:embedRegular r:id="rId2" w:fontKey="{BF633D5F-E045-4116-B720-077DD5FFED95}"/>
    <w:embedBold r:id="rId3" w:fontKey="{558A50BF-0FC7-4737-AAE0-B2BE549B94C8}"/>
  </w:font>
  <w:font w:name="Cambria">
    <w:panose1 w:val="02040503050406030204"/>
    <w:charset w:val="00"/>
    <w:family w:val="roman"/>
    <w:pitch w:val="variable"/>
    <w:sig w:usb0="E00006FF" w:usb1="420024FF" w:usb2="02000000" w:usb3="00000000" w:csb0="0000019F" w:csb1="00000000"/>
    <w:embedRegular r:id="rId4" w:fontKey="{A17A2F87-956D-4D80-BA06-19548DEB9F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774137"/>
      <w:docPartObj>
        <w:docPartGallery w:val="Page Numbers (Bottom of Page)"/>
        <w:docPartUnique/>
      </w:docPartObj>
    </w:sdtPr>
    <w:sdtContent>
      <w:p w14:paraId="7BAD8E04" w14:textId="77777777" w:rsidR="00E729E8" w:rsidRDefault="009C2043">
        <w:pPr>
          <w:pStyle w:val="Footer"/>
          <w:jc w:val="right"/>
        </w:pPr>
        <w:r>
          <w:rPr>
            <w:noProof/>
          </w:rPr>
          <w:fldChar w:fldCharType="begin"/>
        </w:r>
        <w:r>
          <w:rPr>
            <w:noProof/>
          </w:rPr>
          <w:instrText xml:space="preserve"> PAGE   \* MERGEFORMAT </w:instrText>
        </w:r>
        <w:r>
          <w:rPr>
            <w:noProof/>
          </w:rPr>
          <w:fldChar w:fldCharType="separate"/>
        </w:r>
        <w:r w:rsidR="00C048C2">
          <w:rPr>
            <w:noProof/>
          </w:rPr>
          <w:t>3</w:t>
        </w:r>
        <w:r>
          <w:rPr>
            <w:noProof/>
          </w:rPr>
          <w:fldChar w:fldCharType="end"/>
        </w:r>
      </w:p>
    </w:sdtContent>
  </w:sdt>
  <w:p w14:paraId="4C2E2D42" w14:textId="77777777" w:rsidR="00E729E8" w:rsidRDefault="00E72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453FC" w14:textId="77777777" w:rsidR="00A357F7" w:rsidRDefault="00A357F7" w:rsidP="00E729E8">
      <w:pPr>
        <w:spacing w:line="240" w:lineRule="auto"/>
      </w:pPr>
      <w:r>
        <w:separator/>
      </w:r>
    </w:p>
  </w:footnote>
  <w:footnote w:type="continuationSeparator" w:id="0">
    <w:p w14:paraId="0F5F7D6F" w14:textId="77777777" w:rsidR="00A357F7" w:rsidRDefault="00A357F7" w:rsidP="00E729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B4AA7"/>
    <w:multiLevelType w:val="hybridMultilevel"/>
    <w:tmpl w:val="761EDD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92694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D1B"/>
    <w:rsid w:val="00091250"/>
    <w:rsid w:val="00180519"/>
    <w:rsid w:val="001813E0"/>
    <w:rsid w:val="001F3FED"/>
    <w:rsid w:val="002C0D6A"/>
    <w:rsid w:val="00306FE8"/>
    <w:rsid w:val="003848E9"/>
    <w:rsid w:val="004267CB"/>
    <w:rsid w:val="00687117"/>
    <w:rsid w:val="006E4016"/>
    <w:rsid w:val="00711A36"/>
    <w:rsid w:val="0078164B"/>
    <w:rsid w:val="00871801"/>
    <w:rsid w:val="009C2043"/>
    <w:rsid w:val="00A07C63"/>
    <w:rsid w:val="00A357F7"/>
    <w:rsid w:val="00A37A0F"/>
    <w:rsid w:val="00B4053E"/>
    <w:rsid w:val="00B474C2"/>
    <w:rsid w:val="00B75FAD"/>
    <w:rsid w:val="00C048C2"/>
    <w:rsid w:val="00C35B67"/>
    <w:rsid w:val="00C52921"/>
    <w:rsid w:val="00C544C2"/>
    <w:rsid w:val="00C56D84"/>
    <w:rsid w:val="00C9359A"/>
    <w:rsid w:val="00D31C00"/>
    <w:rsid w:val="00D86D1B"/>
    <w:rsid w:val="00E729E8"/>
    <w:rsid w:val="00E76BAD"/>
    <w:rsid w:val="00F003FB"/>
    <w:rsid w:val="00FE1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3340"/>
  <w15:docId w15:val="{258652AB-A5A6-4A34-88E9-55386A8A9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D31C00"/>
    <w:pPr>
      <w:keepNext/>
      <w:keepLines/>
      <w:spacing w:line="360" w:lineRule="auto"/>
      <w:jc w:val="both"/>
      <w:outlineLvl w:val="0"/>
    </w:pPr>
    <w:rPr>
      <w:b/>
      <w:color w:val="000000" w:themeColor="text1"/>
      <w:sz w:val="24"/>
      <w:szCs w:val="40"/>
    </w:rPr>
  </w:style>
  <w:style w:type="paragraph" w:styleId="Heading2">
    <w:name w:val="heading 2"/>
    <w:basedOn w:val="Normal1"/>
    <w:next w:val="Normal1"/>
    <w:autoRedefine/>
    <w:rsid w:val="00D31C00"/>
    <w:pPr>
      <w:keepNext/>
      <w:keepLines/>
      <w:spacing w:line="360" w:lineRule="auto"/>
      <w:jc w:val="both"/>
      <w:outlineLvl w:val="1"/>
    </w:pPr>
    <w:rPr>
      <w:b/>
      <w:color w:val="000000" w:themeColor="text1"/>
      <w:sz w:val="24"/>
      <w:szCs w:val="32"/>
    </w:rPr>
  </w:style>
  <w:style w:type="paragraph" w:styleId="Heading3">
    <w:name w:val="heading 3"/>
    <w:basedOn w:val="Normal1"/>
    <w:next w:val="Normal1"/>
    <w:rsid w:val="00D86D1B"/>
    <w:pPr>
      <w:keepNext/>
      <w:keepLines/>
      <w:spacing w:before="320" w:after="80"/>
      <w:outlineLvl w:val="2"/>
    </w:pPr>
    <w:rPr>
      <w:color w:val="434343"/>
      <w:sz w:val="28"/>
      <w:szCs w:val="28"/>
    </w:rPr>
  </w:style>
  <w:style w:type="paragraph" w:styleId="Heading4">
    <w:name w:val="heading 4"/>
    <w:basedOn w:val="Normal1"/>
    <w:next w:val="Normal1"/>
    <w:rsid w:val="00D86D1B"/>
    <w:pPr>
      <w:keepNext/>
      <w:keepLines/>
      <w:spacing w:before="280" w:after="80"/>
      <w:outlineLvl w:val="3"/>
    </w:pPr>
    <w:rPr>
      <w:color w:val="666666"/>
      <w:sz w:val="24"/>
      <w:szCs w:val="24"/>
    </w:rPr>
  </w:style>
  <w:style w:type="paragraph" w:styleId="Heading5">
    <w:name w:val="heading 5"/>
    <w:basedOn w:val="Normal1"/>
    <w:next w:val="Normal1"/>
    <w:rsid w:val="00D86D1B"/>
    <w:pPr>
      <w:keepNext/>
      <w:keepLines/>
      <w:spacing w:before="240" w:after="80"/>
      <w:outlineLvl w:val="4"/>
    </w:pPr>
    <w:rPr>
      <w:color w:val="666666"/>
    </w:rPr>
  </w:style>
  <w:style w:type="paragraph" w:styleId="Heading6">
    <w:name w:val="heading 6"/>
    <w:basedOn w:val="Normal1"/>
    <w:next w:val="Normal1"/>
    <w:rsid w:val="00D86D1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86D1B"/>
    <w:tblPr>
      <w:tblCellMar>
        <w:top w:w="100" w:type="dxa"/>
        <w:left w:w="100" w:type="dxa"/>
        <w:bottom w:w="100" w:type="dxa"/>
        <w:right w:w="100" w:type="dxa"/>
      </w:tblCellMar>
    </w:tblPr>
  </w:style>
  <w:style w:type="paragraph" w:customStyle="1" w:styleId="Normal1">
    <w:name w:val="Normal1"/>
    <w:rsid w:val="00D86D1B"/>
  </w:style>
  <w:style w:type="paragraph" w:styleId="Title">
    <w:name w:val="Title"/>
    <w:basedOn w:val="Normal1"/>
    <w:next w:val="Normal1"/>
    <w:rsid w:val="00D86D1B"/>
    <w:pPr>
      <w:keepNext/>
      <w:keepLines/>
      <w:spacing w:after="60"/>
    </w:pPr>
    <w:rPr>
      <w:sz w:val="52"/>
      <w:szCs w:val="52"/>
    </w:rPr>
  </w:style>
  <w:style w:type="paragraph" w:styleId="Subtitle">
    <w:name w:val="Subtitle"/>
    <w:basedOn w:val="Normal1"/>
    <w:next w:val="Normal1"/>
    <w:rsid w:val="00D86D1B"/>
    <w:pPr>
      <w:keepNext/>
      <w:keepLines/>
      <w:spacing w:after="320"/>
    </w:pPr>
    <w:rPr>
      <w:color w:val="666666"/>
      <w:sz w:val="30"/>
      <w:szCs w:val="30"/>
    </w:rPr>
  </w:style>
  <w:style w:type="table" w:customStyle="1" w:styleId="a">
    <w:basedOn w:val="TableNormal0"/>
    <w:rsid w:val="00D86D1B"/>
    <w:tblPr>
      <w:tblStyleRowBandSize w:val="1"/>
      <w:tblStyleColBandSize w:val="1"/>
    </w:tblPr>
  </w:style>
  <w:style w:type="paragraph" w:styleId="BalloonText">
    <w:name w:val="Balloon Text"/>
    <w:basedOn w:val="Normal"/>
    <w:link w:val="BalloonTextChar"/>
    <w:uiPriority w:val="99"/>
    <w:semiHidden/>
    <w:unhideWhenUsed/>
    <w:rsid w:val="001805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519"/>
    <w:rPr>
      <w:rFonts w:ascii="Tahoma" w:hAnsi="Tahoma" w:cs="Tahoma"/>
      <w:sz w:val="16"/>
      <w:szCs w:val="16"/>
    </w:rPr>
  </w:style>
  <w:style w:type="table" w:styleId="LightGrid-Accent6">
    <w:name w:val="Light Grid Accent 6"/>
    <w:basedOn w:val="TableNormal"/>
    <w:uiPriority w:val="62"/>
    <w:rsid w:val="00A07C63"/>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
    <w:name w:val="Light Grid"/>
    <w:basedOn w:val="TableNormal"/>
    <w:uiPriority w:val="62"/>
    <w:rsid w:val="00A07C63"/>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TOCHeading">
    <w:name w:val="TOC Heading"/>
    <w:basedOn w:val="Heading1"/>
    <w:next w:val="Normal"/>
    <w:uiPriority w:val="39"/>
    <w:semiHidden/>
    <w:unhideWhenUsed/>
    <w:qFormat/>
    <w:rsid w:val="00C35B6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35B67"/>
    <w:pPr>
      <w:spacing w:after="100"/>
    </w:pPr>
  </w:style>
  <w:style w:type="paragraph" w:styleId="TOC2">
    <w:name w:val="toc 2"/>
    <w:basedOn w:val="Normal"/>
    <w:next w:val="Normal"/>
    <w:autoRedefine/>
    <w:uiPriority w:val="39"/>
    <w:unhideWhenUsed/>
    <w:rsid w:val="00C35B67"/>
    <w:pPr>
      <w:spacing w:after="100"/>
      <w:ind w:left="220"/>
    </w:pPr>
  </w:style>
  <w:style w:type="character" w:styleId="Hyperlink">
    <w:name w:val="Hyperlink"/>
    <w:basedOn w:val="DefaultParagraphFont"/>
    <w:uiPriority w:val="99"/>
    <w:unhideWhenUsed/>
    <w:rsid w:val="00C35B67"/>
    <w:rPr>
      <w:color w:val="0000FF" w:themeColor="hyperlink"/>
      <w:u w:val="single"/>
    </w:rPr>
  </w:style>
  <w:style w:type="paragraph" w:styleId="Header">
    <w:name w:val="header"/>
    <w:basedOn w:val="Normal"/>
    <w:link w:val="HeaderChar"/>
    <w:uiPriority w:val="99"/>
    <w:semiHidden/>
    <w:unhideWhenUsed/>
    <w:rsid w:val="00E729E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29E8"/>
  </w:style>
  <w:style w:type="paragraph" w:styleId="Footer">
    <w:name w:val="footer"/>
    <w:basedOn w:val="Normal"/>
    <w:link w:val="FooterChar"/>
    <w:uiPriority w:val="99"/>
    <w:unhideWhenUsed/>
    <w:rsid w:val="00E729E8"/>
    <w:pPr>
      <w:tabs>
        <w:tab w:val="center" w:pos="4680"/>
        <w:tab w:val="right" w:pos="9360"/>
      </w:tabs>
      <w:spacing w:line="240" w:lineRule="auto"/>
    </w:pPr>
  </w:style>
  <w:style w:type="character" w:customStyle="1" w:styleId="FooterChar">
    <w:name w:val="Footer Char"/>
    <w:basedOn w:val="DefaultParagraphFont"/>
    <w:link w:val="Footer"/>
    <w:uiPriority w:val="99"/>
    <w:rsid w:val="00E72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mh.onlinelibrary.wiley.com/doi/pdf/10.1111/camh.12381"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onlinelibrary.wiley.com/doi/pdf/10.1002/sd.2238" TargetMode="External"/><Relationship Id="rId3" Type="http://schemas.openxmlformats.org/officeDocument/2006/relationships/styles" Target="styles.xml"/><Relationship Id="rId21" Type="http://schemas.openxmlformats.org/officeDocument/2006/relationships/hyperlink" Target="https://www.leicestershire.gov.uk/" TargetMode="External"/><Relationship Id="rId7" Type="http://schemas.openxmlformats.org/officeDocument/2006/relationships/endnotes" Target="endnotes.xml"/><Relationship Id="rId12" Type="http://schemas.openxmlformats.org/officeDocument/2006/relationships/hyperlink" Target="https://www.researchgate.net/profile/Andrew-Eaton-10/publication/384635928_Processes_of_Co-Response_Crisis_Mental_Health_Models_A_Scoping_Review/links/67007ca2f599e0392fb67806/Processes-of-Co-Response-Crisis-Mental-Health-Models-A-Scoping-Review.pdf" TargetMode="External"/><Relationship Id="rId17" Type="http://schemas.openxmlformats.org/officeDocument/2006/relationships/hyperlink" Target="https://www.leeds.gov.uk/" TargetMode="External"/><Relationship Id="rId25" Type="http://schemas.openxmlformats.org/officeDocument/2006/relationships/hyperlink" Target="https://www.southwark.gov.uk/" TargetMode="External"/><Relationship Id="rId2" Type="http://schemas.openxmlformats.org/officeDocument/2006/relationships/numbering" Target="numbering.xml"/><Relationship Id="rId16" Type="http://schemas.openxmlformats.org/officeDocument/2006/relationships/hyperlink" Target="https://repository.uantwerpen.be/docstore/d:irua:26044" TargetMode="External"/><Relationship Id="rId20" Type="http://schemas.openxmlformats.org/officeDocument/2006/relationships/hyperlink" Target="https://www.legislation.gov.uk/ukpga/1970/4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ancis-press.com/uploads/papers/suMNCbVEShMZtdVF3GEURphmJQrUDCCT5foI8AOS.pdf" TargetMode="External"/><Relationship Id="rId24" Type="http://schemas.openxmlformats.org/officeDocument/2006/relationships/hyperlink" Target="https://clok.uclan.ac.uk/id/eprint/31074/1/Accepted%20Proof%20Copy.pdf" TargetMode="External"/><Relationship Id="rId5" Type="http://schemas.openxmlformats.org/officeDocument/2006/relationships/webSettings" Target="webSettings.xml"/><Relationship Id="rId15" Type="http://schemas.openxmlformats.org/officeDocument/2006/relationships/hyperlink" Target="https://assets.publishing.service.gov.uk/media/65803fe31c0c2a000d18cf40/Working_together_to_safeguard_children_2023_-_statutory_guidance.pdf" TargetMode="External"/><Relationship Id="rId23" Type="http://schemas.openxmlformats.org/officeDocument/2006/relationships/hyperlink" Target="https://adc.bmj.com/content/archdischild/108/5/338.full.pdf" TargetMode="External"/><Relationship Id="rId28" Type="http://schemas.openxmlformats.org/officeDocument/2006/relationships/fontTable" Target="fontTable.xml"/><Relationship Id="rId10" Type="http://schemas.openxmlformats.org/officeDocument/2006/relationships/hyperlink" Target="https://www.nature.com/articles/s41467-023-37626-2.pdf" TargetMode="External"/><Relationship Id="rId19" Type="http://schemas.openxmlformats.org/officeDocument/2006/relationships/hyperlink" Target="https://www.legislation.gov.uk/ukpga/2002/32/contents" TargetMode="External"/><Relationship Id="rId4" Type="http://schemas.openxmlformats.org/officeDocument/2006/relationships/settings" Target="settings.xml"/><Relationship Id="rId9" Type="http://schemas.openxmlformats.org/officeDocument/2006/relationships/hyperlink" Target="https://bmjopen.bmj.com/content/bmjopen/12/2/e047814.full.pdf" TargetMode="External"/><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hyperlink" Target="https://journals.sagepub.com/doi/pdf/10.1177/14680173231162553"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9784E2-8D71-4B70-9CCC-8F94E0E76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3000</Words>
  <Characters>17796</Characters>
  <Application>Microsoft Office Word</Application>
  <DocSecurity>0</DocSecurity>
  <Lines>480</Lines>
  <Paragraphs>110</Paragraphs>
  <ScaleCrop>false</ScaleCrop>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TURCITU</dc:creator>
  <cp:lastModifiedBy>RADU TURCITU</cp:lastModifiedBy>
  <cp:revision>2</cp:revision>
  <dcterms:created xsi:type="dcterms:W3CDTF">2025-12-11T14:26:00Z</dcterms:created>
  <dcterms:modified xsi:type="dcterms:W3CDTF">2025-12-11T14:26:00Z</dcterms:modified>
</cp:coreProperties>
</file>