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1B198F2" wp14:paraId="241DBBF1" wp14:textId="37CBA0F0">
      <w:pPr>
        <w:pStyle w:val="Normal"/>
        <w:rPr>
          <w:rFonts w:ascii="Arial" w:hAnsi="Arial" w:eastAsia="Arial" w:cs="Arial"/>
        </w:rPr>
      </w:pPr>
      <w:r w:rsidR="4557B00A">
        <w:drawing>
          <wp:inline xmlns:wp14="http://schemas.microsoft.com/office/word/2010/wordprocessingDrawing" wp14:editId="11B198F2" wp14:anchorId="2863B464">
            <wp:extent cx="6638925" cy="3695700"/>
            <wp:effectExtent l="0" t="0" r="0" b="0"/>
            <wp:docPr id="192913229" name="" title=""/>
            <wp:cNvGraphicFramePr>
              <a:graphicFrameLocks noChangeAspect="1"/>
            </wp:cNvGraphicFramePr>
            <a:graphic>
              <a:graphicData uri="http://schemas.openxmlformats.org/drawingml/2006/picture">
                <pic:pic>
                  <pic:nvPicPr>
                    <pic:cNvPr id="0" name=""/>
                    <pic:cNvPicPr/>
                  </pic:nvPicPr>
                  <pic:blipFill>
                    <a:blip r:embed="R349567e3438e4467">
                      <a:extLst>
                        <a:ext xmlns:a="http://schemas.openxmlformats.org/drawingml/2006/main" uri="{28A0092B-C50C-407E-A947-70E740481C1C}">
                          <a14:useLocalDpi val="0"/>
                        </a:ext>
                      </a:extLst>
                    </a:blip>
                    <a:stretch>
                      <a:fillRect/>
                    </a:stretch>
                  </pic:blipFill>
                  <pic:spPr>
                    <a:xfrm>
                      <a:off x="0" y="0"/>
                      <a:ext cx="6638925" cy="3695700"/>
                    </a:xfrm>
                    <a:prstGeom prst="rect">
                      <a:avLst/>
                    </a:prstGeom>
                  </pic:spPr>
                </pic:pic>
              </a:graphicData>
            </a:graphic>
          </wp:inline>
        </w:drawing>
      </w:r>
      <w:r w:rsidRPr="11B198F2" w:rsidR="4883DEAF">
        <w:rPr>
          <w:rFonts w:ascii="Arial" w:hAnsi="Arial" w:eastAsia="Arial" w:cs="Arial"/>
        </w:rPr>
        <w:t>(newdealsonline.co.uk,2020)</w:t>
      </w:r>
    </w:p>
    <w:p xmlns:wp14="http://schemas.microsoft.com/office/word/2010/wordml" w:rsidP="11B198F2" wp14:paraId="5D099DB3" wp14:textId="0210C025">
      <w:pPr>
        <w:ind w:left="2160" w:firstLine="0"/>
        <w:rPr>
          <w:rFonts w:ascii="Cavolini" w:hAnsi="Cavolini" w:eastAsia="Cavolini" w:cs="Cavolini"/>
          <w:b w:val="1"/>
          <w:bCs w:val="1"/>
          <w:sz w:val="48"/>
          <w:szCs w:val="48"/>
          <w:u w:val="single"/>
        </w:rPr>
      </w:pPr>
      <w:r w:rsidRPr="11B198F2" w:rsidR="4557B00A">
        <w:rPr>
          <w:rFonts w:ascii="Cavolini" w:hAnsi="Cavolini" w:eastAsia="Cavolini" w:cs="Cavolini"/>
          <w:b w:val="1"/>
          <w:bCs w:val="1"/>
          <w:sz w:val="48"/>
          <w:szCs w:val="48"/>
          <w:u w:val="single"/>
        </w:rPr>
        <w:t>READING WONDERLAND</w:t>
      </w:r>
    </w:p>
    <w:p xmlns:wp14="http://schemas.microsoft.com/office/word/2010/wordml" w:rsidP="11B198F2" wp14:paraId="3868A44F" wp14:textId="6D18F19F">
      <w:pPr>
        <w:pStyle w:val="Normal"/>
        <w:ind w:left="2160" w:firstLine="0"/>
        <w:rPr>
          <w:rFonts w:ascii="Cavolini" w:hAnsi="Cavolini" w:eastAsia="Cavolini" w:cs="Cavolini"/>
          <w:b w:val="1"/>
          <w:bCs w:val="1"/>
          <w:sz w:val="48"/>
          <w:szCs w:val="48"/>
          <w:u w:val="single"/>
        </w:rPr>
      </w:pPr>
      <w:r w:rsidR="3FE09014">
        <w:drawing>
          <wp:inline xmlns:wp14="http://schemas.microsoft.com/office/word/2010/wordprocessingDrawing" wp14:editId="176E3451" wp14:anchorId="3DD07777">
            <wp:extent cx="4724400" cy="2514600"/>
            <wp:effectExtent l="0" t="0" r="0" b="0"/>
            <wp:docPr id="1713234507" name="" title=""/>
            <wp:cNvGraphicFramePr>
              <a:graphicFrameLocks noChangeAspect="1"/>
            </wp:cNvGraphicFramePr>
            <a:graphic>
              <a:graphicData uri="http://schemas.openxmlformats.org/drawingml/2006/picture">
                <pic:pic>
                  <pic:nvPicPr>
                    <pic:cNvPr id="0" name=""/>
                    <pic:cNvPicPr/>
                  </pic:nvPicPr>
                  <pic:blipFill>
                    <a:blip r:embed="Rfe5b2256c1784e67">
                      <a:extLst>
                        <a:ext xmlns:a="http://schemas.openxmlformats.org/drawingml/2006/main" uri="{28A0092B-C50C-407E-A947-70E740481C1C}">
                          <a14:useLocalDpi val="0"/>
                        </a:ext>
                      </a:extLst>
                    </a:blip>
                    <a:stretch>
                      <a:fillRect/>
                    </a:stretch>
                  </pic:blipFill>
                  <pic:spPr>
                    <a:xfrm>
                      <a:off x="0" y="0"/>
                      <a:ext cx="4724400" cy="2514600"/>
                    </a:xfrm>
                    <a:prstGeom prst="rect">
                      <a:avLst/>
                    </a:prstGeom>
                  </pic:spPr>
                </pic:pic>
              </a:graphicData>
            </a:graphic>
          </wp:inline>
        </w:drawing>
      </w:r>
    </w:p>
    <w:p xmlns:wp14="http://schemas.microsoft.com/office/word/2010/wordml" w:rsidP="11B198F2" wp14:paraId="4694D187" wp14:textId="75311439">
      <w:pPr>
        <w:rPr>
          <w:rFonts w:ascii="Arial" w:hAnsi="Arial" w:eastAsia="Arial" w:cs="Arial"/>
        </w:rPr>
      </w:pPr>
    </w:p>
    <w:p xmlns:wp14="http://schemas.microsoft.com/office/word/2010/wordml" w:rsidP="11B198F2" wp14:paraId="66640E19" wp14:textId="7AFFBB20">
      <w:pPr>
        <w:rPr>
          <w:rFonts w:ascii="Arial" w:hAnsi="Arial" w:eastAsia="Arial" w:cs="Arial"/>
        </w:rPr>
      </w:pPr>
    </w:p>
    <w:p xmlns:wp14="http://schemas.microsoft.com/office/word/2010/wordml" w:rsidP="11B198F2" wp14:paraId="2C078E63" wp14:textId="147E8FD7">
      <w:pPr>
        <w:pStyle w:val="Normal"/>
        <w:rPr>
          <w:rFonts w:ascii="Arial" w:hAnsi="Arial" w:eastAsia="Arial" w:cs="Arial"/>
          <w:b w:val="1"/>
          <w:bCs w:val="1"/>
          <w:u w:val="single"/>
        </w:rPr>
      </w:pPr>
      <w:bookmarkStart w:name="_Int_8vy7GoXg" w:id="1659566354"/>
      <w:r w:rsidRPr="11B198F2" w:rsidR="3724FD31">
        <w:rPr>
          <w:rFonts w:ascii="Arial" w:hAnsi="Arial" w:eastAsia="Arial" w:cs="Arial"/>
          <w:b w:val="1"/>
          <w:bCs w:val="1"/>
          <w:u w:val="single"/>
        </w:rPr>
        <w:t>Introduction to business</w:t>
      </w:r>
      <w:bookmarkEnd w:id="1659566354"/>
    </w:p>
    <w:p w:rsidR="521690A0" w:rsidP="11B198F2" w:rsidRDefault="521690A0" w14:paraId="79BEAA54" w14:textId="7F6B36ED">
      <w:pPr>
        <w:pStyle w:val="Normal"/>
        <w:spacing w:line="360" w:lineRule="auto"/>
        <w:ind w:left="-20" w:right="-20" w:hanging="567"/>
        <w:jc w:val="left"/>
        <w:rPr>
          <w:rFonts w:ascii="Arial" w:hAnsi="Arial" w:eastAsia="Arial" w:cs="Arial"/>
          <w:noProof w:val="0"/>
          <w:sz w:val="24"/>
          <w:szCs w:val="24"/>
          <w:lang w:val="en-US"/>
        </w:rPr>
      </w:pPr>
      <w:r w:rsidRPr="11B198F2" w:rsidR="521690A0">
        <w:rPr>
          <w:rFonts w:ascii="Arial" w:hAnsi="Arial" w:eastAsia="Arial" w:cs="Arial"/>
          <w:b w:val="0"/>
          <w:bCs w:val="0"/>
          <w:i w:val="0"/>
          <w:iCs w:val="0"/>
          <w:caps w:val="0"/>
          <w:smallCaps w:val="0"/>
          <w:color w:val="000000" w:themeColor="text1" w:themeTint="FF" w:themeShade="FF"/>
          <w:sz w:val="24"/>
          <w:szCs w:val="24"/>
        </w:rPr>
        <w:t xml:space="preserve">For children aged two to eleven, Reading Wonderland is a bus full of multicultural and other genre books. Books based on the mythology of St. Vincent and the Grenadines as well as other Hispanic islands and nations, including Cuba, Puerto Rico, Venezuela, etc., would be available aboard this bus. Every week, the bus would go around the island's towns while playing child-friendly music. </w:t>
      </w:r>
    </w:p>
    <w:p w:rsidR="521690A0" w:rsidP="11B198F2" w:rsidRDefault="521690A0" w14:paraId="3B3075AF" w14:textId="2DC26CA9">
      <w:pPr>
        <w:pStyle w:val="Normal"/>
        <w:spacing w:line="360" w:lineRule="auto"/>
        <w:ind w:left="-20" w:right="-20" w:hanging="567"/>
        <w:jc w:val="left"/>
        <w:rPr>
          <w:rFonts w:ascii="Arial" w:hAnsi="Arial" w:eastAsia="Arial" w:cs="Arial"/>
          <w:noProof w:val="0"/>
          <w:sz w:val="24"/>
          <w:szCs w:val="24"/>
          <w:lang w:val="en-US"/>
        </w:rPr>
      </w:pPr>
      <w:r w:rsidRPr="11B198F2" w:rsidR="521690A0">
        <w:rPr>
          <w:rFonts w:ascii="Arial" w:hAnsi="Arial" w:eastAsia="Arial" w:cs="Arial"/>
          <w:b w:val="0"/>
          <w:bCs w:val="0"/>
          <w:i w:val="0"/>
          <w:iCs w:val="0"/>
          <w:caps w:val="0"/>
          <w:smallCaps w:val="0"/>
          <w:color w:val="000000" w:themeColor="text1" w:themeTint="FF" w:themeShade="FF"/>
          <w:sz w:val="24"/>
          <w:szCs w:val="24"/>
        </w:rPr>
        <w:t xml:space="preserve">Reading Wonderland was created to increase the island's literacy rate and encourage the </w:t>
      </w:r>
      <w:r w:rsidRPr="11B198F2" w:rsidR="23595C7C">
        <w:rPr>
          <w:rFonts w:ascii="Arial" w:hAnsi="Arial" w:eastAsia="Arial" w:cs="Arial"/>
          <w:b w:val="0"/>
          <w:bCs w:val="0"/>
          <w:i w:val="0"/>
          <w:iCs w:val="0"/>
          <w:caps w:val="0"/>
          <w:smallCaps w:val="0"/>
          <w:color w:val="000000" w:themeColor="text1" w:themeTint="FF" w:themeShade="FF"/>
          <w:sz w:val="24"/>
          <w:szCs w:val="24"/>
        </w:rPr>
        <w:t>-</w:t>
      </w:r>
      <w:r w:rsidRPr="11B198F2" w:rsidR="521690A0">
        <w:rPr>
          <w:rFonts w:ascii="Arial" w:hAnsi="Arial" w:eastAsia="Arial" w:cs="Arial"/>
          <w:b w:val="0"/>
          <w:bCs w:val="0"/>
          <w:i w:val="0"/>
          <w:iCs w:val="0"/>
          <w:caps w:val="0"/>
          <w:smallCaps w:val="0"/>
          <w:color w:val="000000" w:themeColor="text1" w:themeTint="FF" w:themeShade="FF"/>
          <w:sz w:val="24"/>
          <w:szCs w:val="24"/>
        </w:rPr>
        <w:t xml:space="preserve">merging of various ethnic groups, which fosters inclusion. As more Hispanic families have moved to the island over the years and their children have started attending school and speaking English as a second language, there have been barriers to integration, such as linguistic and cultural differences between native speakers and migrants. </w:t>
      </w:r>
      <w:bookmarkStart w:name="_Int_KUMj2zeP" w:id="1959465131"/>
      <w:r w:rsidRPr="11B198F2" w:rsidR="521690A0">
        <w:rPr>
          <w:rFonts w:ascii="Arial" w:hAnsi="Arial" w:eastAsia="Arial" w:cs="Arial"/>
          <w:b w:val="0"/>
          <w:bCs w:val="0"/>
          <w:i w:val="0"/>
          <w:iCs w:val="0"/>
          <w:caps w:val="0"/>
          <w:smallCaps w:val="0"/>
          <w:color w:val="000000" w:themeColor="text1" w:themeTint="FF" w:themeShade="FF"/>
          <w:sz w:val="24"/>
          <w:szCs w:val="24"/>
        </w:rPr>
        <w:t>The "unique child," which is a practice principle in the EYFS curriculum (DfE, 2014) and highlights the individual strengths and attributes of a young child as well as the diversity of children, parents, and families with differing cultural heritages, family structures, genders, abilities, social and economic status, is one important point that stuck with me after I finished my studies in early years education.</w:t>
      </w:r>
      <w:bookmarkEnd w:id="1959465131"/>
      <w:r w:rsidRPr="11B198F2" w:rsidR="521690A0">
        <w:rPr>
          <w:rFonts w:ascii="Arial" w:hAnsi="Arial" w:eastAsia="Arial" w:cs="Arial"/>
          <w:b w:val="0"/>
          <w:bCs w:val="0"/>
          <w:i w:val="0"/>
          <w:iCs w:val="0"/>
          <w:caps w:val="0"/>
          <w:smallCaps w:val="0"/>
          <w:color w:val="000000" w:themeColor="text1" w:themeTint="FF" w:themeShade="FF"/>
          <w:sz w:val="24"/>
          <w:szCs w:val="24"/>
        </w:rPr>
        <w:t xml:space="preserve"> </w:t>
      </w:r>
    </w:p>
    <w:p w:rsidR="521690A0" w:rsidP="11B198F2" w:rsidRDefault="521690A0" w14:paraId="2E57FABE" w14:textId="425A8119">
      <w:pPr>
        <w:pStyle w:val="Normal"/>
        <w:spacing w:line="360" w:lineRule="auto"/>
        <w:ind w:left="-20" w:right="-20" w:hanging="567"/>
        <w:jc w:val="left"/>
        <w:rPr>
          <w:rFonts w:ascii="Arial" w:hAnsi="Arial" w:eastAsia="Arial" w:cs="Arial"/>
          <w:noProof w:val="0"/>
          <w:sz w:val="24"/>
          <w:szCs w:val="24"/>
          <w:lang w:val="en-US"/>
        </w:rPr>
      </w:pPr>
      <w:r w:rsidRPr="11B198F2" w:rsidR="521690A0">
        <w:rPr>
          <w:rFonts w:ascii="Arial" w:hAnsi="Arial" w:eastAsia="Arial" w:cs="Arial"/>
          <w:b w:val="0"/>
          <w:bCs w:val="0"/>
          <w:i w:val="0"/>
          <w:iCs w:val="0"/>
          <w:caps w:val="0"/>
          <w:smallCaps w:val="0"/>
          <w:color w:val="000000" w:themeColor="text1" w:themeTint="FF" w:themeShade="FF"/>
          <w:sz w:val="24"/>
          <w:szCs w:val="24"/>
        </w:rPr>
        <w:t>This has motivated me to look beyond the present and go farther in addressing the needs of families with children. The bus would have translators to help native children learn and understand Hispanic books, and vice versa. With this approach, it is critical for children to make connections between their own and other experiences, to be aware of similarities and differences, and to feel a sense of belonging and connection to their communities. This conforms with Article 30 of the UNCRC and corresponds to Maslow's hierarchy of needs</w:t>
      </w:r>
      <w:r w:rsidRPr="11B198F2" w:rsidR="2851209C">
        <w:rPr>
          <w:rFonts w:ascii="Arial" w:hAnsi="Arial" w:eastAsia="Arial" w:cs="Arial"/>
          <w:b w:val="0"/>
          <w:bCs w:val="0"/>
          <w:i w:val="0"/>
          <w:iCs w:val="0"/>
          <w:caps w:val="0"/>
          <w:smallCaps w:val="0"/>
          <w:color w:val="000000" w:themeColor="text1" w:themeTint="FF" w:themeShade="FF"/>
          <w:sz w:val="24"/>
          <w:szCs w:val="24"/>
        </w:rPr>
        <w:t>. (</w:t>
      </w:r>
      <w:r w:rsidRPr="11B198F2" w:rsidR="2851209C">
        <w:rPr>
          <w:rFonts w:ascii="Arial" w:hAnsi="Arial" w:eastAsia="Arial" w:cs="Arial"/>
          <w:i w:val="1"/>
          <w:iCs w:val="1"/>
          <w:sz w:val="24"/>
          <w:szCs w:val="24"/>
        </w:rPr>
        <w:t>UN Convention on the rights of the child</w:t>
      </w:r>
      <w:r w:rsidRPr="11B198F2" w:rsidR="2851209C">
        <w:rPr>
          <w:rFonts w:ascii="Arial" w:hAnsi="Arial" w:eastAsia="Arial" w:cs="Arial"/>
          <w:sz w:val="24"/>
          <w:szCs w:val="24"/>
        </w:rPr>
        <w:t xml:space="preserve"> (2022) </w:t>
      </w:r>
      <w:r w:rsidRPr="11B198F2" w:rsidR="2851209C">
        <w:rPr>
          <w:rFonts w:ascii="Arial" w:hAnsi="Arial" w:eastAsia="Arial" w:cs="Arial"/>
          <w:i w:val="1"/>
          <w:iCs w:val="1"/>
          <w:sz w:val="24"/>
          <w:szCs w:val="24"/>
        </w:rPr>
        <w:t>UNICEF UK</w:t>
      </w:r>
      <w:r w:rsidRPr="11B198F2" w:rsidR="2851209C">
        <w:rPr>
          <w:rFonts w:ascii="Arial" w:hAnsi="Arial" w:eastAsia="Arial" w:cs="Arial"/>
          <w:sz w:val="24"/>
          <w:szCs w:val="24"/>
        </w:rPr>
        <w:t xml:space="preserve">. Available at: </w:t>
      </w:r>
      <w:hyperlink r:id="R35bf290b09d64186">
        <w:r w:rsidRPr="11B198F2" w:rsidR="2851209C">
          <w:rPr>
            <w:rStyle w:val="Hyperlink"/>
            <w:rFonts w:ascii="Arial" w:hAnsi="Arial" w:eastAsia="Arial" w:cs="Arial"/>
            <w:sz w:val="24"/>
            <w:szCs w:val="24"/>
          </w:rPr>
          <w:t>https://www.unicef.org.uk/what-we-do/un-convention-child-rights</w:t>
        </w:r>
        <w:r w:rsidRPr="11B198F2" w:rsidR="26E44B80">
          <w:rPr>
            <w:rStyle w:val="Hyperlink"/>
            <w:rFonts w:ascii="Arial" w:hAnsi="Arial" w:eastAsia="Arial" w:cs="Arial"/>
            <w:sz w:val="24"/>
            <w:szCs w:val="24"/>
          </w:rPr>
          <w:t>,</w:t>
        </w:r>
      </w:hyperlink>
      <w:r w:rsidRPr="11B198F2" w:rsidR="26E44B80">
        <w:rPr>
          <w:rFonts w:ascii="Arial" w:hAnsi="Arial" w:eastAsia="Arial" w:cs="Arial"/>
          <w:sz w:val="24"/>
          <w:szCs w:val="24"/>
        </w:rPr>
        <w:t xml:space="preserve"> Maslow in Stratigos, Bradley and, Sumsion,2014)</w:t>
      </w:r>
    </w:p>
    <w:p w:rsidR="7261891B" w:rsidP="11B198F2" w:rsidRDefault="7261891B" w14:paraId="08258DD7" w14:textId="6299C3C7">
      <w:pPr>
        <w:pStyle w:val="Normal"/>
        <w:spacing w:line="360" w:lineRule="auto"/>
        <w:ind w:left="-20" w:right="-20" w:hanging="567"/>
        <w:jc w:val="left"/>
        <w:rPr>
          <w:rFonts w:ascii="Arial" w:hAnsi="Arial" w:eastAsia="Arial" w:cs="Arial"/>
          <w:noProof w:val="0"/>
          <w:sz w:val="24"/>
          <w:szCs w:val="24"/>
          <w:lang w:val="en-US"/>
        </w:rPr>
      </w:pPr>
      <w:r w:rsidRPr="11B198F2" w:rsidR="7261891B">
        <w:rPr>
          <w:rFonts w:ascii="Arial" w:hAnsi="Arial" w:eastAsia="Arial" w:cs="Arial"/>
          <w:sz w:val="24"/>
          <w:szCs w:val="24"/>
        </w:rPr>
        <w:t>The reasons why reading wonderland was founded are:</w:t>
      </w:r>
    </w:p>
    <w:p w:rsidR="7261891B" w:rsidP="11B198F2" w:rsidRDefault="7261891B" w14:paraId="507AB1F1" w14:textId="4F220E9A">
      <w:pPr>
        <w:pStyle w:val="ListParagraph"/>
        <w:numPr>
          <w:ilvl w:val="0"/>
          <w:numId w:val="1"/>
        </w:numPr>
        <w:spacing w:line="360" w:lineRule="auto"/>
        <w:ind w:right="-20"/>
        <w:jc w:val="left"/>
        <w:rPr>
          <w:rFonts w:ascii="Arial" w:hAnsi="Arial" w:eastAsia="Arial" w:cs="Arial"/>
          <w:sz w:val="24"/>
          <w:szCs w:val="24"/>
        </w:rPr>
      </w:pPr>
      <w:r w:rsidRPr="11B198F2" w:rsidR="7261891B">
        <w:rPr>
          <w:rFonts w:ascii="Arial" w:hAnsi="Arial" w:eastAsia="Arial" w:cs="Arial"/>
          <w:sz w:val="24"/>
          <w:szCs w:val="24"/>
        </w:rPr>
        <w:t>To promote culture and differences amongst children and communities.</w:t>
      </w:r>
      <w:r w:rsidR="57E67D18">
        <w:rPr/>
        <w:t xml:space="preserve"> </w:t>
      </w:r>
      <w:r w:rsidRPr="11B198F2" w:rsidR="57E67D18">
        <w:rPr>
          <w:rFonts w:ascii="Arial" w:hAnsi="Arial" w:eastAsia="Arial" w:cs="Arial"/>
          <w:sz w:val="24"/>
          <w:szCs w:val="24"/>
        </w:rPr>
        <w:t xml:space="preserve">Everywhere they go, children carry with them their own set of culturally based expectations, skills, talents, abilities, and values. Moreover, individuals start to form their self-concept (at least) based on what other people think of them. Children need to </w:t>
      </w:r>
      <w:r w:rsidRPr="11B198F2" w:rsidR="177DEBB3">
        <w:rPr>
          <w:rFonts w:ascii="Arial" w:hAnsi="Arial" w:eastAsia="Arial" w:cs="Arial"/>
          <w:sz w:val="24"/>
          <w:szCs w:val="24"/>
        </w:rPr>
        <w:t>honour</w:t>
      </w:r>
      <w:r w:rsidRPr="11B198F2" w:rsidR="57E67D18">
        <w:rPr>
          <w:rFonts w:ascii="Arial" w:hAnsi="Arial" w:eastAsia="Arial" w:cs="Arial"/>
          <w:sz w:val="24"/>
          <w:szCs w:val="24"/>
        </w:rPr>
        <w:t xml:space="preserve"> and respect their own families and cultures, as well as having others </w:t>
      </w:r>
      <w:r w:rsidRPr="11B198F2" w:rsidR="4E991270">
        <w:rPr>
          <w:rFonts w:ascii="Arial" w:hAnsi="Arial" w:eastAsia="Arial" w:cs="Arial"/>
          <w:sz w:val="24"/>
          <w:szCs w:val="24"/>
        </w:rPr>
        <w:t>honour</w:t>
      </w:r>
      <w:r w:rsidRPr="11B198F2" w:rsidR="57E67D18">
        <w:rPr>
          <w:rFonts w:ascii="Arial" w:hAnsi="Arial" w:eastAsia="Arial" w:cs="Arial"/>
          <w:sz w:val="24"/>
          <w:szCs w:val="24"/>
        </w:rPr>
        <w:t xml:space="preserve"> and respect these important aspects of their identities, for them to develop good self-concepts. Children may feel invisible, irrelevant, incompetent, and ashamed of who they are if their communities do not reflect and </w:t>
      </w:r>
      <w:r w:rsidRPr="11B198F2" w:rsidR="2F0EAD19">
        <w:rPr>
          <w:rFonts w:ascii="Arial" w:hAnsi="Arial" w:eastAsia="Arial" w:cs="Arial"/>
          <w:sz w:val="24"/>
          <w:szCs w:val="24"/>
        </w:rPr>
        <w:t>confirm</w:t>
      </w:r>
      <w:r w:rsidRPr="11B198F2" w:rsidR="57E67D18">
        <w:rPr>
          <w:rFonts w:ascii="Arial" w:hAnsi="Arial" w:eastAsia="Arial" w:cs="Arial"/>
          <w:sz w:val="24"/>
          <w:szCs w:val="24"/>
        </w:rPr>
        <w:t xml:space="preserve"> their families and traditions</w:t>
      </w:r>
      <w:r w:rsidRPr="11B198F2" w:rsidR="315E11E4">
        <w:rPr>
          <w:rFonts w:ascii="Arial" w:hAnsi="Arial" w:eastAsia="Arial" w:cs="Arial"/>
          <w:sz w:val="24"/>
          <w:szCs w:val="24"/>
        </w:rPr>
        <w:t xml:space="preserve"> (Nacey,</w:t>
      </w:r>
      <w:r w:rsidRPr="11B198F2" w:rsidR="315E11E4">
        <w:rPr>
          <w:rFonts w:ascii="Arial" w:hAnsi="Arial" w:eastAsia="Arial" w:cs="Arial"/>
          <w:sz w:val="24"/>
          <w:szCs w:val="24"/>
        </w:rPr>
        <w:t>2019</w:t>
      </w:r>
      <w:r w:rsidRPr="11B198F2" w:rsidR="7F2333C5">
        <w:rPr>
          <w:rFonts w:ascii="Arial" w:hAnsi="Arial" w:eastAsia="Arial" w:cs="Arial"/>
          <w:sz w:val="24"/>
          <w:szCs w:val="24"/>
        </w:rPr>
        <w:t>, UWI</w:t>
      </w:r>
      <w:r w:rsidRPr="11B198F2" w:rsidR="7F2333C5">
        <w:rPr>
          <w:rFonts w:ascii="Arial" w:hAnsi="Arial" w:eastAsia="Arial" w:cs="Arial"/>
          <w:sz w:val="24"/>
          <w:szCs w:val="24"/>
        </w:rPr>
        <w:t>,2021</w:t>
      </w:r>
      <w:r w:rsidRPr="11B198F2" w:rsidR="315E11E4">
        <w:rPr>
          <w:rFonts w:ascii="Arial" w:hAnsi="Arial" w:eastAsia="Arial" w:cs="Arial"/>
          <w:sz w:val="24"/>
          <w:szCs w:val="24"/>
        </w:rPr>
        <w:t>).</w:t>
      </w:r>
    </w:p>
    <w:p w:rsidR="315E11E4" w:rsidP="11B198F2" w:rsidRDefault="315E11E4" w14:paraId="3DC6B90F" w14:textId="522865DA">
      <w:pPr>
        <w:pStyle w:val="ListParagraph"/>
        <w:numPr>
          <w:ilvl w:val="0"/>
          <w:numId w:val="1"/>
        </w:numPr>
        <w:spacing w:line="360" w:lineRule="auto"/>
        <w:ind w:right="-20"/>
        <w:jc w:val="left"/>
        <w:rPr>
          <w:rFonts w:ascii="Arial" w:hAnsi="Arial" w:eastAsia="Arial" w:cs="Arial"/>
          <w:color w:val="000000" w:themeColor="text1" w:themeTint="FF" w:themeShade="FF"/>
          <w:sz w:val="24"/>
          <w:szCs w:val="24"/>
        </w:rPr>
      </w:pPr>
      <w:r w:rsidRPr="11B198F2" w:rsidR="315E11E4">
        <w:rPr>
          <w:rFonts w:ascii="Arial" w:hAnsi="Arial" w:eastAsia="Arial" w:cs="Arial"/>
          <w:sz w:val="24"/>
          <w:szCs w:val="24"/>
        </w:rPr>
        <w:t xml:space="preserve">Support for deprived areas within the country. </w:t>
      </w:r>
      <w:r w:rsidRPr="11B198F2" w:rsidR="5F57AA41">
        <w:rPr>
          <w:rFonts w:ascii="Arial" w:hAnsi="Arial" w:eastAsia="Arial" w:cs="Arial"/>
          <w:sz w:val="24"/>
          <w:szCs w:val="24"/>
        </w:rPr>
        <w:t>To</w:t>
      </w:r>
      <w:r w:rsidRPr="11B198F2" w:rsidR="637B95F2">
        <w:rPr>
          <w:rFonts w:ascii="Arial" w:hAnsi="Arial" w:eastAsia="Arial" w:cs="Arial"/>
          <w:sz w:val="24"/>
          <w:szCs w:val="24"/>
        </w:rPr>
        <w:t xml:space="preserve"> promote general community development and guarantee that all citizens have fair access to opportunities and resources, support for impoverished communities in St. Vincent and the Grenadines is essential. As it </w:t>
      </w:r>
      <w:r w:rsidRPr="11B198F2" w:rsidR="6B25D85A">
        <w:rPr>
          <w:rFonts w:ascii="Arial" w:hAnsi="Arial" w:eastAsia="Arial" w:cs="Arial"/>
          <w:sz w:val="24"/>
          <w:szCs w:val="24"/>
        </w:rPr>
        <w:t>sets up</w:t>
      </w:r>
      <w:r w:rsidRPr="11B198F2" w:rsidR="637B95F2">
        <w:rPr>
          <w:rFonts w:ascii="Arial" w:hAnsi="Arial" w:eastAsia="Arial" w:cs="Arial"/>
          <w:sz w:val="24"/>
          <w:szCs w:val="24"/>
        </w:rPr>
        <w:t xml:space="preserve"> the groundwork for children's future academic performance, social-emotional growth, and general well-being, early childhood education is essential to this effort (</w:t>
      </w:r>
      <w:r w:rsidRPr="11B198F2" w:rsidR="217F02FE">
        <w:rPr>
          <w:rFonts w:ascii="Arial" w:hAnsi="Arial" w:eastAsia="Arial" w:cs="Arial"/>
          <w:i w:val="1"/>
          <w:iCs w:val="1"/>
          <w:sz w:val="24"/>
          <w:szCs w:val="24"/>
        </w:rPr>
        <w:t>More news →</w:t>
      </w:r>
      <w:r w:rsidRPr="11B198F2" w:rsidR="217F02FE">
        <w:rPr>
          <w:rFonts w:ascii="Arial" w:hAnsi="Arial" w:eastAsia="Arial" w:cs="Arial"/>
          <w:sz w:val="24"/>
          <w:szCs w:val="24"/>
        </w:rPr>
        <w:t xml:space="preserve"> (no date) </w:t>
      </w:r>
      <w:r w:rsidRPr="11B198F2" w:rsidR="217F02FE">
        <w:rPr>
          <w:rFonts w:ascii="Arial" w:hAnsi="Arial" w:eastAsia="Arial" w:cs="Arial"/>
          <w:i w:val="1"/>
          <w:iCs w:val="1"/>
          <w:sz w:val="24"/>
          <w:szCs w:val="24"/>
        </w:rPr>
        <w:t>Government</w:t>
      </w:r>
      <w:r w:rsidRPr="11B198F2" w:rsidR="217F02FE">
        <w:rPr>
          <w:rFonts w:ascii="Arial" w:hAnsi="Arial" w:eastAsia="Arial" w:cs="Arial"/>
          <w:sz w:val="24"/>
          <w:szCs w:val="24"/>
        </w:rPr>
        <w:t xml:space="preserve">. Available at: </w:t>
      </w:r>
      <w:hyperlink r:id="R6512e6380f254e75">
        <w:r w:rsidRPr="11B198F2" w:rsidR="217F02FE">
          <w:rPr>
            <w:rStyle w:val="Hyperlink"/>
            <w:rFonts w:ascii="Arial" w:hAnsi="Arial" w:eastAsia="Arial" w:cs="Arial"/>
            <w:color w:val="000000" w:themeColor="text1" w:themeTint="FF" w:themeShade="FF"/>
            <w:sz w:val="24"/>
            <w:szCs w:val="24"/>
          </w:rPr>
          <w:t>https://www.gov.vc/</w:t>
        </w:r>
      </w:hyperlink>
      <w:r w:rsidRPr="11B198F2" w:rsidR="217F02FE">
        <w:rPr>
          <w:rFonts w:ascii="Arial" w:hAnsi="Arial" w:eastAsia="Arial" w:cs="Arial"/>
          <w:color w:val="000000" w:themeColor="text1" w:themeTint="FF" w:themeShade="FF"/>
          <w:sz w:val="24"/>
          <w:szCs w:val="24"/>
        </w:rPr>
        <w:t xml:space="preserve"> </w:t>
      </w:r>
    </w:p>
    <w:p w:rsidR="32FFFDC7" w:rsidP="11B198F2" w:rsidRDefault="32FFFDC7" w14:paraId="0427C1A2" w14:textId="2867C25E">
      <w:pPr>
        <w:pStyle w:val="ListParagraph"/>
        <w:numPr>
          <w:ilvl w:val="0"/>
          <w:numId w:val="1"/>
        </w:numPr>
        <w:spacing w:line="360" w:lineRule="auto"/>
        <w:ind w:right="-20"/>
        <w:jc w:val="left"/>
        <w:rPr>
          <w:rFonts w:ascii="Arial" w:hAnsi="Arial" w:eastAsia="Arial" w:cs="Arial"/>
          <w:sz w:val="24"/>
          <w:szCs w:val="24"/>
        </w:rPr>
      </w:pPr>
      <w:r w:rsidRPr="11B198F2" w:rsidR="32FFFDC7">
        <w:rPr>
          <w:rFonts w:ascii="Arial" w:hAnsi="Arial" w:eastAsia="Arial" w:cs="Arial"/>
          <w:sz w:val="24"/>
          <w:szCs w:val="24"/>
        </w:rPr>
        <w:t xml:space="preserve">In St. Vincent and the Grenadines (SVG), increasing literacy is essential for promoting social advancement, economic growth, and individual empowerment. Early literacy </w:t>
      </w:r>
      <w:r w:rsidRPr="11B198F2" w:rsidR="32FFFDC7">
        <w:rPr>
          <w:rFonts w:ascii="Arial" w:hAnsi="Arial" w:eastAsia="Arial" w:cs="Arial"/>
          <w:sz w:val="24"/>
          <w:szCs w:val="24"/>
        </w:rPr>
        <w:t>programme</w:t>
      </w:r>
      <w:r w:rsidRPr="11B198F2" w:rsidR="32FFFDC7">
        <w:rPr>
          <w:rFonts w:ascii="Arial" w:hAnsi="Arial" w:eastAsia="Arial" w:cs="Arial"/>
          <w:sz w:val="24"/>
          <w:szCs w:val="24"/>
        </w:rPr>
        <w:t xml:space="preserve"> investment can </w:t>
      </w:r>
      <w:bookmarkStart w:name="_Int_h3hFdsi6" w:id="1309639392"/>
      <w:r w:rsidRPr="11B198F2" w:rsidR="32FFFDC7">
        <w:rPr>
          <w:rFonts w:ascii="Arial" w:hAnsi="Arial" w:eastAsia="Arial" w:cs="Arial"/>
          <w:sz w:val="24"/>
          <w:szCs w:val="24"/>
        </w:rPr>
        <w:t>provide</w:t>
      </w:r>
      <w:bookmarkEnd w:id="1309639392"/>
      <w:r w:rsidRPr="11B198F2" w:rsidR="32FFFDC7">
        <w:rPr>
          <w:rFonts w:ascii="Arial" w:hAnsi="Arial" w:eastAsia="Arial" w:cs="Arial"/>
          <w:sz w:val="24"/>
          <w:szCs w:val="24"/>
        </w:rPr>
        <w:t xml:space="preserve"> a solid basis for future academic achievement. Preschool programmes, library story times, and community-based literacy initiatives are a few examples of initiatives that can </w:t>
      </w:r>
      <w:r w:rsidRPr="11B198F2" w:rsidR="1B7B33D0">
        <w:rPr>
          <w:rFonts w:ascii="Arial" w:hAnsi="Arial" w:eastAsia="Arial" w:cs="Arial"/>
          <w:sz w:val="24"/>
          <w:szCs w:val="24"/>
        </w:rPr>
        <w:t>help</w:t>
      </w:r>
      <w:r w:rsidRPr="11B198F2" w:rsidR="32FFFDC7">
        <w:rPr>
          <w:rFonts w:ascii="Arial" w:hAnsi="Arial" w:eastAsia="Arial" w:cs="Arial"/>
          <w:sz w:val="24"/>
          <w:szCs w:val="24"/>
        </w:rPr>
        <w:t xml:space="preserve"> young children learn to read and improve their language skills </w:t>
      </w:r>
      <w:r w:rsidRPr="11B198F2" w:rsidR="33061EB8">
        <w:rPr>
          <w:rFonts w:ascii="Arial" w:hAnsi="Arial" w:eastAsia="Arial" w:cs="Arial"/>
          <w:sz w:val="24"/>
          <w:szCs w:val="24"/>
        </w:rPr>
        <w:t>(</w:t>
      </w:r>
      <w:r w:rsidRPr="11B198F2" w:rsidR="33061EB8">
        <w:rPr>
          <w:rFonts w:ascii="Arial" w:hAnsi="Arial" w:eastAsia="Arial" w:cs="Arial"/>
          <w:b w:val="0"/>
          <w:bCs w:val="0"/>
          <w:i w:val="0"/>
          <w:iCs w:val="0"/>
          <w:caps w:val="0"/>
          <w:smallCaps w:val="0"/>
          <w:color w:val="000000" w:themeColor="text1" w:themeTint="FF" w:themeShade="FF"/>
          <w:sz w:val="24"/>
          <w:szCs w:val="24"/>
        </w:rPr>
        <w:t xml:space="preserve">education.gov.vc. (n.d.). </w:t>
      </w:r>
      <w:r w:rsidRPr="11B198F2" w:rsidR="33061EB8">
        <w:rPr>
          <w:rFonts w:ascii="Arial" w:hAnsi="Arial" w:eastAsia="Arial" w:cs="Arial"/>
          <w:b w:val="0"/>
          <w:bCs w:val="0"/>
          <w:i w:val="1"/>
          <w:iCs w:val="1"/>
          <w:caps w:val="0"/>
          <w:smallCaps w:val="0"/>
          <w:color w:val="000000" w:themeColor="text1" w:themeTint="FF" w:themeShade="FF"/>
          <w:sz w:val="24"/>
          <w:szCs w:val="24"/>
        </w:rPr>
        <w:t>Ministry of Education</w:t>
      </w:r>
      <w:r w:rsidRPr="11B198F2" w:rsidR="33061EB8">
        <w:rPr>
          <w:rFonts w:ascii="Arial" w:hAnsi="Arial" w:eastAsia="Arial" w:cs="Arial"/>
          <w:b w:val="0"/>
          <w:bCs w:val="0"/>
          <w:i w:val="0"/>
          <w:iCs w:val="0"/>
          <w:caps w:val="0"/>
          <w:smallCaps w:val="0"/>
          <w:color w:val="000000" w:themeColor="text1" w:themeTint="FF" w:themeShade="FF"/>
          <w:sz w:val="24"/>
          <w:szCs w:val="24"/>
        </w:rPr>
        <w:t xml:space="preserve">. [online] Available at: </w:t>
      </w:r>
      <w:hyperlink r:id="R58651762b38641a5">
        <w:r w:rsidRPr="11B198F2" w:rsidR="33061EB8">
          <w:rPr>
            <w:rStyle w:val="Hyperlink"/>
            <w:rFonts w:ascii="Arial" w:hAnsi="Arial" w:eastAsia="Arial" w:cs="Arial"/>
            <w:b w:val="0"/>
            <w:bCs w:val="0"/>
            <w:i w:val="0"/>
            <w:iCs w:val="0"/>
            <w:caps w:val="0"/>
            <w:smallCaps w:val="0"/>
            <w:sz w:val="24"/>
            <w:szCs w:val="24"/>
          </w:rPr>
          <w:t>https://education.gov.vc/education/</w:t>
        </w:r>
      </w:hyperlink>
      <w:r w:rsidRPr="11B198F2" w:rsidR="33061EB8">
        <w:rPr>
          <w:rFonts w:ascii="Arial" w:hAnsi="Arial" w:eastAsia="Arial" w:cs="Arial"/>
          <w:b w:val="0"/>
          <w:bCs w:val="0"/>
          <w:i w:val="0"/>
          <w:iCs w:val="0"/>
          <w:caps w:val="0"/>
          <w:smallCaps w:val="0"/>
          <w:color w:val="000000" w:themeColor="text1" w:themeTint="FF" w:themeShade="FF"/>
          <w:sz w:val="24"/>
          <w:szCs w:val="24"/>
        </w:rPr>
        <w:t>.</w:t>
      </w:r>
      <w:r w:rsidRPr="11B198F2" w:rsidR="33061EB8">
        <w:rPr>
          <w:rFonts w:ascii="Arial" w:hAnsi="Arial" w:eastAsia="Arial" w:cs="Arial"/>
          <w:b w:val="0"/>
          <w:bCs w:val="0"/>
          <w:i w:val="0"/>
          <w:iCs w:val="0"/>
          <w:caps w:val="0"/>
          <w:smallCaps w:val="0"/>
          <w:color w:val="2C3E50"/>
          <w:sz w:val="24"/>
          <w:szCs w:val="24"/>
        </w:rPr>
        <w:t>)</w:t>
      </w:r>
    </w:p>
    <w:p w:rsidR="11B198F2" w:rsidP="11B198F2" w:rsidRDefault="11B198F2" w14:paraId="049326AF" w14:textId="4FED9556">
      <w:pPr>
        <w:pStyle w:val="Normal"/>
        <w:spacing w:line="360" w:lineRule="auto"/>
        <w:ind w:left="0" w:right="-20"/>
        <w:jc w:val="left"/>
        <w:rPr>
          <w:rFonts w:ascii="Arial" w:hAnsi="Arial" w:eastAsia="Arial" w:cs="Arial"/>
          <w:sz w:val="24"/>
          <w:szCs w:val="24"/>
        </w:rPr>
      </w:pPr>
    </w:p>
    <w:p w:rsidR="0D608B26" w:rsidP="11B198F2" w:rsidRDefault="0D608B26" w14:paraId="7FCA1931" w14:textId="028E410A">
      <w:pPr>
        <w:pStyle w:val="Normal"/>
        <w:spacing w:line="360" w:lineRule="auto"/>
        <w:ind w:left="0" w:right="-20"/>
        <w:jc w:val="left"/>
        <w:rPr>
          <w:rFonts w:ascii="Arial" w:hAnsi="Arial" w:eastAsia="Arial" w:cs="Arial"/>
          <w:noProof w:val="0"/>
          <w:sz w:val="24"/>
          <w:szCs w:val="24"/>
          <w:lang w:val="en-US"/>
        </w:rPr>
      </w:pPr>
      <w:r w:rsidRPr="11B198F2" w:rsidR="0D608B26">
        <w:rPr>
          <w:rFonts w:ascii="Arial" w:hAnsi="Arial" w:eastAsia="Arial" w:cs="Arial"/>
          <w:sz w:val="24"/>
          <w:szCs w:val="24"/>
        </w:rPr>
        <w:t xml:space="preserve">Reading Wonderland's distinctive feature is that it functions as a portable library, as previously mentioned in this business plan. By breaking down barriers within communities, its services </w:t>
      </w:r>
      <w:r w:rsidRPr="11B198F2" w:rsidR="7AB38D34">
        <w:rPr>
          <w:rFonts w:ascii="Arial" w:hAnsi="Arial" w:eastAsia="Arial" w:cs="Arial"/>
          <w:sz w:val="24"/>
          <w:szCs w:val="24"/>
        </w:rPr>
        <w:t>prove</w:t>
      </w:r>
      <w:r w:rsidRPr="11B198F2" w:rsidR="0D608B26">
        <w:rPr>
          <w:rFonts w:ascii="Arial" w:hAnsi="Arial" w:eastAsia="Arial" w:cs="Arial"/>
          <w:sz w:val="24"/>
          <w:szCs w:val="24"/>
        </w:rPr>
        <w:t xml:space="preserve"> that each child has the right to an education, as </w:t>
      </w:r>
      <w:r w:rsidRPr="11B198F2" w:rsidR="4FBC3A80">
        <w:rPr>
          <w:rFonts w:ascii="Arial" w:hAnsi="Arial" w:eastAsia="Arial" w:cs="Arial"/>
          <w:sz w:val="24"/>
          <w:szCs w:val="24"/>
        </w:rPr>
        <w:t>said</w:t>
      </w:r>
      <w:r w:rsidRPr="11B198F2" w:rsidR="0D608B26">
        <w:rPr>
          <w:rFonts w:ascii="Arial" w:hAnsi="Arial" w:eastAsia="Arial" w:cs="Arial"/>
          <w:sz w:val="24"/>
          <w:szCs w:val="24"/>
        </w:rPr>
        <w:t xml:space="preserve"> in article 29 of the UNCRC, and that children's rights are fundamental under the Children's Act of 1989</w:t>
      </w:r>
      <w:r w:rsidRPr="11B198F2" w:rsidR="0D608B26">
        <w:rPr>
          <w:rFonts w:ascii="Arial" w:hAnsi="Arial" w:eastAsia="Arial" w:cs="Arial"/>
          <w:sz w:val="24"/>
          <w:szCs w:val="24"/>
        </w:rPr>
        <w:t xml:space="preserve">(GOV UK,2009 and, </w:t>
      </w:r>
      <w:r w:rsidRPr="11B198F2" w:rsidR="4C057057">
        <w:rPr>
          <w:rFonts w:ascii="Arial" w:hAnsi="Arial" w:eastAsia="Arial" w:cs="Arial"/>
          <w:sz w:val="24"/>
          <w:szCs w:val="24"/>
        </w:rPr>
        <w:t>UNICEF,2016)</w:t>
      </w:r>
      <w:r w:rsidRPr="11B198F2" w:rsidR="3CA10F13">
        <w:rPr>
          <w:rFonts w:ascii="Arial" w:hAnsi="Arial" w:eastAsia="Arial" w:cs="Arial"/>
          <w:sz w:val="24"/>
          <w:szCs w:val="24"/>
        </w:rPr>
        <w:t xml:space="preserve">. </w:t>
      </w:r>
      <w:r w:rsidRPr="11B198F2" w:rsidR="0D608B26">
        <w:rPr>
          <w:rFonts w:ascii="Arial" w:hAnsi="Arial" w:eastAsia="Arial" w:cs="Arial"/>
          <w:sz w:val="24"/>
          <w:szCs w:val="24"/>
        </w:rPr>
        <w:t>Reading Wonderland helps young children reach three key developmental milestones: learning a new language, which will further strengthen their multilingual brains, being supported by their environment, and having their general welfare promoted.</w:t>
      </w:r>
    </w:p>
    <w:p w:rsidR="11B198F2" w:rsidP="11B198F2" w:rsidRDefault="11B198F2" w14:paraId="45425948" w14:textId="626EB7AF">
      <w:pPr>
        <w:pStyle w:val="Normal"/>
        <w:spacing w:line="360" w:lineRule="auto"/>
        <w:ind w:left="0" w:right="-20"/>
        <w:jc w:val="left"/>
        <w:rPr>
          <w:rFonts w:ascii="Arial" w:hAnsi="Arial" w:eastAsia="Arial" w:cs="Arial"/>
          <w:sz w:val="24"/>
          <w:szCs w:val="24"/>
        </w:rPr>
      </w:pPr>
    </w:p>
    <w:p w:rsidR="2B57E2F0" w:rsidP="11B198F2" w:rsidRDefault="2B57E2F0" w14:paraId="7E41F211" w14:textId="55583482">
      <w:pPr>
        <w:pStyle w:val="Normal"/>
        <w:spacing w:line="360" w:lineRule="auto"/>
        <w:ind w:left="0" w:right="-20"/>
        <w:jc w:val="left"/>
        <w:rPr>
          <w:rFonts w:ascii="Arial" w:hAnsi="Arial" w:eastAsia="Arial" w:cs="Arial"/>
          <w:b w:val="1"/>
          <w:bCs w:val="1"/>
          <w:noProof w:val="0"/>
          <w:sz w:val="24"/>
          <w:szCs w:val="24"/>
          <w:u w:val="single"/>
          <w:lang w:val="en-US"/>
        </w:rPr>
      </w:pPr>
      <w:r w:rsidRPr="11B198F2" w:rsidR="2B57E2F0">
        <w:rPr>
          <w:rFonts w:ascii="Arial" w:hAnsi="Arial" w:eastAsia="Arial" w:cs="Arial"/>
          <w:b w:val="1"/>
          <w:bCs w:val="1"/>
          <w:sz w:val="24"/>
          <w:szCs w:val="24"/>
          <w:u w:val="single"/>
        </w:rPr>
        <w:t>The benefits of ‘Reading Wonderland’</w:t>
      </w:r>
    </w:p>
    <w:p w:rsidR="11B198F2" w:rsidP="11B198F2" w:rsidRDefault="11B198F2" w14:paraId="4C30919A" w14:textId="3815133E">
      <w:pPr>
        <w:pStyle w:val="Normal"/>
        <w:spacing w:line="360" w:lineRule="auto"/>
        <w:ind w:left="0" w:right="-20"/>
        <w:jc w:val="left"/>
        <w:rPr>
          <w:rFonts w:ascii="Arial" w:hAnsi="Arial" w:eastAsia="Arial" w:cs="Arial"/>
          <w:sz w:val="24"/>
          <w:szCs w:val="24"/>
        </w:rPr>
      </w:pPr>
    </w:p>
    <w:p w:rsidR="216DC994" w:rsidP="11B198F2" w:rsidRDefault="216DC994" w14:paraId="52C07C7F" w14:textId="3D0DBF67">
      <w:pPr>
        <w:pStyle w:val="Normal"/>
        <w:spacing w:line="360" w:lineRule="auto"/>
        <w:ind w:left="0" w:right="-20"/>
        <w:jc w:val="left"/>
        <w:rPr>
          <w:rFonts w:ascii="Arial" w:hAnsi="Arial" w:eastAsia="Arial" w:cs="Arial"/>
          <w:sz w:val="24"/>
          <w:szCs w:val="24"/>
        </w:rPr>
      </w:pPr>
      <w:r w:rsidRPr="11B198F2" w:rsidR="216DC994">
        <w:rPr>
          <w:rFonts w:ascii="Arial" w:hAnsi="Arial" w:eastAsia="Arial" w:cs="Arial"/>
          <w:sz w:val="24"/>
          <w:szCs w:val="24"/>
        </w:rPr>
        <w:t xml:space="preserve">When this project was being planned, several advantages shone </w:t>
      </w:r>
      <w:r w:rsidRPr="11B198F2" w:rsidR="2EBDAE69">
        <w:rPr>
          <w:rFonts w:ascii="Arial" w:hAnsi="Arial" w:eastAsia="Arial" w:cs="Arial"/>
          <w:sz w:val="24"/>
          <w:szCs w:val="24"/>
        </w:rPr>
        <w:t>clear</w:t>
      </w:r>
      <w:r w:rsidRPr="11B198F2" w:rsidR="216DC994">
        <w:rPr>
          <w:rFonts w:ascii="Arial" w:hAnsi="Arial" w:eastAsia="Arial" w:cs="Arial"/>
          <w:sz w:val="24"/>
          <w:szCs w:val="24"/>
        </w:rPr>
        <w:t xml:space="preserve">, and these include: </w:t>
      </w:r>
    </w:p>
    <w:p w:rsidR="216DC994" w:rsidP="11B198F2" w:rsidRDefault="216DC994" w14:paraId="138DD0BA" w14:textId="3B4093E3">
      <w:pPr>
        <w:pStyle w:val="Normal"/>
        <w:spacing w:line="360" w:lineRule="auto"/>
        <w:ind w:left="0" w:right="-20"/>
        <w:jc w:val="left"/>
        <w:rPr>
          <w:rFonts w:ascii="Arial" w:hAnsi="Arial" w:eastAsia="Arial" w:cs="Arial"/>
          <w:noProof w:val="0"/>
          <w:sz w:val="24"/>
          <w:szCs w:val="24"/>
          <w:lang w:val="en-US"/>
        </w:rPr>
      </w:pPr>
      <w:r w:rsidRPr="11B198F2" w:rsidR="216DC994">
        <w:rPr>
          <w:rFonts w:ascii="Arial" w:hAnsi="Arial" w:eastAsia="Arial" w:cs="Arial"/>
          <w:sz w:val="24"/>
          <w:szCs w:val="24"/>
        </w:rPr>
        <w:t xml:space="preserve">Accessibility to all- </w:t>
      </w:r>
      <w:r w:rsidRPr="11B198F2" w:rsidR="52C4E161">
        <w:rPr>
          <w:rFonts w:ascii="Arial" w:hAnsi="Arial" w:eastAsia="Arial" w:cs="Arial"/>
          <w:sz w:val="24"/>
          <w:szCs w:val="24"/>
        </w:rPr>
        <w:t xml:space="preserve">Mobile libraries </w:t>
      </w:r>
      <w:bookmarkStart w:name="_Int_ZvhAAbwM" w:id="525624726"/>
      <w:r w:rsidRPr="11B198F2" w:rsidR="52C4E161">
        <w:rPr>
          <w:rFonts w:ascii="Arial" w:hAnsi="Arial" w:eastAsia="Arial" w:cs="Arial"/>
          <w:sz w:val="24"/>
          <w:szCs w:val="24"/>
        </w:rPr>
        <w:t>are</w:t>
      </w:r>
      <w:bookmarkEnd w:id="525624726"/>
      <w:r w:rsidRPr="11B198F2" w:rsidR="52C4E161">
        <w:rPr>
          <w:rFonts w:ascii="Arial" w:hAnsi="Arial" w:eastAsia="Arial" w:cs="Arial"/>
          <w:sz w:val="24"/>
          <w:szCs w:val="24"/>
        </w:rPr>
        <w:t xml:space="preserve"> excellent at bridging the accessibility gap, making books and educational resources available to people from all backgrounds and places. Through their ability to reach out to isolated rural communities, underprivileged </w:t>
      </w:r>
      <w:r w:rsidRPr="11B198F2" w:rsidR="3AD67BCD">
        <w:rPr>
          <w:rFonts w:ascii="Arial" w:hAnsi="Arial" w:eastAsia="Arial" w:cs="Arial"/>
          <w:sz w:val="24"/>
          <w:szCs w:val="24"/>
        </w:rPr>
        <w:t>neighbourhoods</w:t>
      </w:r>
      <w:r w:rsidRPr="11B198F2" w:rsidR="52C4E161">
        <w:rPr>
          <w:rFonts w:ascii="Arial" w:hAnsi="Arial" w:eastAsia="Arial" w:cs="Arial"/>
          <w:sz w:val="24"/>
          <w:szCs w:val="24"/>
        </w:rPr>
        <w:t>, and underdeveloped places, mobile libraries offer a vital link to knowledge and awareness. These mobile libraries dismantle obstacles associated with physical constraints, transportation, and distance, enabling everyone, regardless of situation, to have access to knowledge (Rapp and Corral-Granados,2021).</w:t>
      </w:r>
    </w:p>
    <w:p w:rsidR="3DE23D6F" w:rsidP="11B198F2" w:rsidRDefault="3DE23D6F" w14:paraId="5A68E1A7" w14:textId="15D9C8C9">
      <w:pPr>
        <w:pStyle w:val="Normal"/>
        <w:spacing w:line="360" w:lineRule="auto"/>
        <w:ind w:left="0" w:right="-20"/>
        <w:jc w:val="left"/>
        <w:rPr>
          <w:rFonts w:ascii="Arial" w:hAnsi="Arial" w:eastAsia="Arial" w:cs="Arial"/>
          <w:noProof w:val="0"/>
          <w:sz w:val="24"/>
          <w:szCs w:val="24"/>
          <w:lang w:val="en-US"/>
        </w:rPr>
      </w:pPr>
      <w:r w:rsidRPr="11B198F2" w:rsidR="3DE23D6F">
        <w:rPr>
          <w:rFonts w:ascii="Arial" w:hAnsi="Arial" w:eastAsia="Arial" w:cs="Arial"/>
          <w:sz w:val="24"/>
          <w:szCs w:val="24"/>
        </w:rPr>
        <w:t xml:space="preserve">Encouraging Literacy: Mobile libraries are effective instruments for fostering literacy, which is the cornerstone of both individual and societal growth. Through engrossing storytelling sessions, reading programmes, and instructive activities, they engage children and adolescents, alike. Mobile libraries increase literacy rates and create a lifetime love of learning by encouraging a love of reading from </w:t>
      </w:r>
      <w:r w:rsidRPr="11B198F2" w:rsidR="0539280F">
        <w:rPr>
          <w:rFonts w:ascii="Arial" w:hAnsi="Arial" w:eastAsia="Arial" w:cs="Arial"/>
          <w:sz w:val="24"/>
          <w:szCs w:val="24"/>
        </w:rPr>
        <w:t>an early age</w:t>
      </w:r>
      <w:r w:rsidRPr="11B198F2" w:rsidR="3DE23D6F">
        <w:rPr>
          <w:rFonts w:ascii="Arial" w:hAnsi="Arial" w:eastAsia="Arial" w:cs="Arial"/>
          <w:sz w:val="24"/>
          <w:szCs w:val="24"/>
        </w:rPr>
        <w:t>. They turn into inspiration hotspots, igniting people's interest and pushing them to discover novel concepts, viewpoints, and universes (National literacy trust,2021</w:t>
      </w:r>
      <w:r w:rsidRPr="11B198F2" w:rsidR="1F801F12">
        <w:rPr>
          <w:rFonts w:ascii="Arial" w:hAnsi="Arial" w:eastAsia="Arial" w:cs="Arial"/>
          <w:sz w:val="24"/>
          <w:szCs w:val="24"/>
        </w:rPr>
        <w:t xml:space="preserve"> and Gov.VC n.d.</w:t>
      </w:r>
      <w:r w:rsidRPr="11B198F2" w:rsidR="3DE23D6F">
        <w:rPr>
          <w:rFonts w:ascii="Arial" w:hAnsi="Arial" w:eastAsia="Arial" w:cs="Arial"/>
          <w:sz w:val="24"/>
          <w:szCs w:val="24"/>
        </w:rPr>
        <w:t>).</w:t>
      </w:r>
    </w:p>
    <w:p w:rsidR="56A65083" w:rsidP="11B198F2" w:rsidRDefault="56A65083" w14:paraId="72C968C4" w14:textId="72523D76">
      <w:pPr>
        <w:pStyle w:val="Normal"/>
        <w:spacing w:line="360" w:lineRule="auto"/>
        <w:ind w:left="0" w:right="-20"/>
        <w:jc w:val="left"/>
        <w:rPr>
          <w:rFonts w:ascii="Arial" w:hAnsi="Arial" w:eastAsia="Arial" w:cs="Arial"/>
          <w:noProof w:val="0"/>
          <w:sz w:val="24"/>
          <w:szCs w:val="24"/>
          <w:lang w:val="en-US"/>
        </w:rPr>
      </w:pPr>
      <w:r w:rsidRPr="11B198F2" w:rsidR="56A65083">
        <w:rPr>
          <w:rFonts w:ascii="Arial" w:hAnsi="Arial" w:eastAsia="Arial" w:cs="Arial"/>
          <w:sz w:val="24"/>
          <w:szCs w:val="24"/>
        </w:rPr>
        <w:t xml:space="preserve">Serving Marginalized and Underserved groups: As advocates of inclusivity, mobile libraries </w:t>
      </w:r>
      <w:r w:rsidRPr="11B198F2" w:rsidR="28A2F763">
        <w:rPr>
          <w:rFonts w:ascii="Arial" w:hAnsi="Arial" w:eastAsia="Arial" w:cs="Arial"/>
          <w:sz w:val="24"/>
          <w:szCs w:val="24"/>
        </w:rPr>
        <w:t>aid</w:t>
      </w:r>
      <w:r w:rsidRPr="11B198F2" w:rsidR="56A65083">
        <w:rPr>
          <w:rFonts w:ascii="Arial" w:hAnsi="Arial" w:eastAsia="Arial" w:cs="Arial"/>
          <w:sz w:val="24"/>
          <w:szCs w:val="24"/>
        </w:rPr>
        <w:t xml:space="preserve"> marginalized and underprivileged groups. These mobile units remove obstacles to information and education, whether they are reaching out to impoverished </w:t>
      </w:r>
      <w:r w:rsidRPr="11B198F2" w:rsidR="56A65083">
        <w:rPr>
          <w:rFonts w:ascii="Arial" w:hAnsi="Arial" w:eastAsia="Arial" w:cs="Arial"/>
          <w:sz w:val="24"/>
          <w:szCs w:val="24"/>
        </w:rPr>
        <w:t>neighbourhoods</w:t>
      </w:r>
      <w:r w:rsidRPr="11B198F2" w:rsidR="56A65083">
        <w:rPr>
          <w:rFonts w:ascii="Arial" w:hAnsi="Arial" w:eastAsia="Arial" w:cs="Arial"/>
          <w:sz w:val="24"/>
          <w:szCs w:val="24"/>
        </w:rPr>
        <w:t xml:space="preserve">, delivering books to isolated towns, or offering services to those who are incarcerated. By delivering the library right to their door, they </w:t>
      </w:r>
      <w:bookmarkStart w:name="_Int_z0ZuvuEY" w:id="525924171"/>
      <w:r w:rsidRPr="11B198F2" w:rsidR="56A65083">
        <w:rPr>
          <w:rFonts w:ascii="Arial" w:hAnsi="Arial" w:eastAsia="Arial" w:cs="Arial"/>
          <w:sz w:val="24"/>
          <w:szCs w:val="24"/>
        </w:rPr>
        <w:t>provide</w:t>
      </w:r>
      <w:bookmarkEnd w:id="525924171"/>
      <w:r w:rsidRPr="11B198F2" w:rsidR="56A65083">
        <w:rPr>
          <w:rFonts w:ascii="Arial" w:hAnsi="Arial" w:eastAsia="Arial" w:cs="Arial"/>
          <w:sz w:val="24"/>
          <w:szCs w:val="24"/>
        </w:rPr>
        <w:t xml:space="preserve"> access to the library for those who might not have access to transportation or suffer physical difficulties. All people, no matter what their circumstances, have the chance to study, develop, and flourish thanks to mobile libraries.</w:t>
      </w:r>
      <w:r w:rsidRPr="11B198F2" w:rsidR="23A2F483">
        <w:rPr>
          <w:rFonts w:ascii="Arial" w:hAnsi="Arial" w:eastAsia="Arial" w:cs="Arial"/>
          <w:sz w:val="24"/>
          <w:szCs w:val="24"/>
        </w:rPr>
        <w:t xml:space="preserve"> (Leicester Gov n.d.)</w:t>
      </w:r>
      <w:r w:rsidRPr="11B198F2" w:rsidR="3652858D">
        <w:rPr>
          <w:rFonts w:ascii="Arial" w:hAnsi="Arial" w:eastAsia="Arial" w:cs="Arial"/>
          <w:sz w:val="24"/>
          <w:szCs w:val="24"/>
        </w:rPr>
        <w:t>.</w:t>
      </w:r>
    </w:p>
    <w:p w:rsidR="11B198F2" w:rsidP="11B198F2" w:rsidRDefault="11B198F2" w14:paraId="1AB65B3F" w14:textId="0B250766">
      <w:pPr>
        <w:pStyle w:val="Normal"/>
        <w:spacing w:line="360" w:lineRule="auto"/>
        <w:ind w:left="0" w:right="-20"/>
        <w:jc w:val="left"/>
        <w:rPr>
          <w:rFonts w:ascii="Arial" w:hAnsi="Arial" w:eastAsia="Arial" w:cs="Arial"/>
          <w:sz w:val="24"/>
          <w:szCs w:val="24"/>
        </w:rPr>
      </w:pPr>
    </w:p>
    <w:p w:rsidR="001A6506" w:rsidP="11B198F2" w:rsidRDefault="001A6506" w14:paraId="203AFF7D" w14:textId="514BF0DC">
      <w:pPr>
        <w:pStyle w:val="Normal"/>
        <w:spacing w:line="360" w:lineRule="auto"/>
        <w:ind w:left="0" w:right="-20"/>
        <w:jc w:val="left"/>
        <w:rPr>
          <w:rFonts w:ascii="Arial" w:hAnsi="Arial" w:eastAsia="Arial" w:cs="Arial"/>
          <w:b w:val="1"/>
          <w:bCs w:val="1"/>
          <w:noProof w:val="0"/>
          <w:sz w:val="24"/>
          <w:szCs w:val="24"/>
          <w:u w:val="single"/>
          <w:lang w:val="en-US"/>
        </w:rPr>
      </w:pPr>
      <w:r w:rsidRPr="11B198F2" w:rsidR="001A6506">
        <w:rPr>
          <w:rFonts w:ascii="Arial" w:hAnsi="Arial" w:eastAsia="Arial" w:cs="Arial"/>
          <w:b w:val="1"/>
          <w:bCs w:val="1"/>
          <w:sz w:val="24"/>
          <w:szCs w:val="24"/>
          <w:u w:val="single"/>
        </w:rPr>
        <w:t>Challenges faced whilst setting up ‘Reading wonderland’</w:t>
      </w:r>
    </w:p>
    <w:p w:rsidR="3EBF4A37" w:rsidP="11B198F2" w:rsidRDefault="3EBF4A37" w14:paraId="47C2A6CF" w14:textId="708A58E1">
      <w:pPr>
        <w:pStyle w:val="Normal"/>
        <w:spacing w:line="360" w:lineRule="auto"/>
        <w:ind w:left="0" w:right="-20"/>
        <w:jc w:val="left"/>
        <w:rPr>
          <w:rFonts w:ascii="Arial" w:hAnsi="Arial" w:eastAsia="Arial" w:cs="Arial"/>
          <w:noProof w:val="0"/>
          <w:sz w:val="24"/>
          <w:szCs w:val="24"/>
          <w:lang w:val="en-US"/>
        </w:rPr>
      </w:pPr>
      <w:r w:rsidRPr="11B198F2" w:rsidR="3EBF4A37">
        <w:rPr>
          <w:rFonts w:ascii="Arial" w:hAnsi="Arial" w:eastAsia="Arial" w:cs="Arial"/>
          <w:b w:val="0"/>
          <w:bCs w:val="0"/>
          <w:i w:val="0"/>
          <w:iCs w:val="0"/>
          <w:caps w:val="0"/>
          <w:smallCaps w:val="0"/>
          <w:color w:val="000000" w:themeColor="text1" w:themeTint="FF" w:themeShade="FF"/>
          <w:sz w:val="24"/>
          <w:szCs w:val="24"/>
        </w:rPr>
        <w:t xml:space="preserve">Establishing a business is not an easy task; there are </w:t>
      </w:r>
      <w:r w:rsidRPr="11B198F2" w:rsidR="3FAD39B6">
        <w:rPr>
          <w:rFonts w:ascii="Arial" w:hAnsi="Arial" w:eastAsia="Arial" w:cs="Arial"/>
          <w:b w:val="0"/>
          <w:bCs w:val="0"/>
          <w:i w:val="0"/>
          <w:iCs w:val="0"/>
          <w:caps w:val="0"/>
          <w:smallCaps w:val="0"/>
          <w:color w:val="000000" w:themeColor="text1" w:themeTint="FF" w:themeShade="FF"/>
          <w:sz w:val="24"/>
          <w:szCs w:val="24"/>
        </w:rPr>
        <w:t>many</w:t>
      </w:r>
      <w:r w:rsidRPr="11B198F2" w:rsidR="3EBF4A37">
        <w:rPr>
          <w:rFonts w:ascii="Arial" w:hAnsi="Arial" w:eastAsia="Arial" w:cs="Arial"/>
          <w:b w:val="0"/>
          <w:bCs w:val="0"/>
          <w:i w:val="0"/>
          <w:iCs w:val="0"/>
          <w:caps w:val="0"/>
          <w:smallCaps w:val="0"/>
          <w:color w:val="000000" w:themeColor="text1" w:themeTint="FF" w:themeShade="FF"/>
          <w:sz w:val="24"/>
          <w:szCs w:val="24"/>
        </w:rPr>
        <w:t xml:space="preserve"> obstacles to overcome, and I am no exception. Among the many challenges I have thought of when planning my business are the following: </w:t>
      </w:r>
    </w:p>
    <w:p w:rsidR="43B6B9E9" w:rsidP="11B198F2" w:rsidRDefault="43B6B9E9" w14:paraId="1BE82609" w14:textId="5757EA67">
      <w:pPr>
        <w:pStyle w:val="Normal"/>
        <w:spacing w:line="360" w:lineRule="auto"/>
        <w:ind w:left="0" w:right="-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3B6B9E9">
        <w:rPr>
          <w:rFonts w:ascii="Arial" w:hAnsi="Arial" w:eastAsia="Arial" w:cs="Arial"/>
          <w:b w:val="0"/>
          <w:bCs w:val="0"/>
          <w:i w:val="0"/>
          <w:iCs w:val="0"/>
          <w:caps w:val="0"/>
          <w:smallCaps w:val="0"/>
          <w:color w:val="000000" w:themeColor="text1" w:themeTint="FF" w:themeShade="FF"/>
          <w:sz w:val="24"/>
          <w:szCs w:val="24"/>
        </w:rPr>
        <w:t>Getting</w:t>
      </w:r>
      <w:r w:rsidRPr="11B198F2" w:rsidR="76FD9904">
        <w:rPr>
          <w:rFonts w:ascii="Arial" w:hAnsi="Arial" w:eastAsia="Arial" w:cs="Arial"/>
          <w:b w:val="0"/>
          <w:bCs w:val="0"/>
          <w:i w:val="0"/>
          <w:iCs w:val="0"/>
          <w:caps w:val="0"/>
          <w:smallCaps w:val="0"/>
          <w:color w:val="000000" w:themeColor="text1" w:themeTint="FF" w:themeShade="FF"/>
          <w:sz w:val="24"/>
          <w:szCs w:val="24"/>
        </w:rPr>
        <w:t xml:space="preserve"> equipment</w:t>
      </w:r>
      <w:r w:rsidRPr="11B198F2" w:rsidR="21A099DF">
        <w:rPr>
          <w:rFonts w:ascii="Arial" w:hAnsi="Arial" w:eastAsia="Arial" w:cs="Arial"/>
          <w:b w:val="0"/>
          <w:bCs w:val="0"/>
          <w:i w:val="0"/>
          <w:iCs w:val="0"/>
          <w:caps w:val="0"/>
          <w:smallCaps w:val="0"/>
          <w:color w:val="000000" w:themeColor="text1" w:themeTint="FF" w:themeShade="FF"/>
          <w:sz w:val="24"/>
          <w:szCs w:val="24"/>
        </w:rPr>
        <w:t xml:space="preserve">- </w:t>
      </w:r>
      <w:r w:rsidRPr="11B198F2" w:rsidR="21A099DF">
        <w:rPr>
          <w:rFonts w:ascii="Arial" w:hAnsi="Arial" w:eastAsia="Arial" w:cs="Arial"/>
          <w:sz w:val="24"/>
          <w:szCs w:val="24"/>
        </w:rPr>
        <w:t xml:space="preserve">Restricted Funding and Resources: Obtaining long-term funding and resources is one of the biggest problems facing mobile libraries. Funding is needed for personnel wages, fuel, upkeep of the vehicles, collection development, and </w:t>
      </w:r>
      <w:r w:rsidRPr="11B198F2" w:rsidR="21A099DF">
        <w:rPr>
          <w:rFonts w:ascii="Arial" w:hAnsi="Arial" w:eastAsia="Arial" w:cs="Arial"/>
          <w:sz w:val="24"/>
          <w:szCs w:val="24"/>
        </w:rPr>
        <w:t>programme</w:t>
      </w:r>
      <w:r w:rsidRPr="11B198F2" w:rsidR="21A099DF">
        <w:rPr>
          <w:rFonts w:ascii="Arial" w:hAnsi="Arial" w:eastAsia="Arial" w:cs="Arial"/>
          <w:sz w:val="24"/>
          <w:szCs w:val="24"/>
        </w:rPr>
        <w:t xml:space="preserve"> execution for mobile libraries. It can be risky to depend just on grants or contributions, which could restrict the mobile library's reach and influence. Partnerships with community sponsors, philanthropic groups, and local government agencies can </w:t>
      </w:r>
      <w:r w:rsidRPr="11B198F2" w:rsidR="46114F01">
        <w:rPr>
          <w:rFonts w:ascii="Arial" w:hAnsi="Arial" w:eastAsia="Arial" w:cs="Arial"/>
          <w:sz w:val="24"/>
          <w:szCs w:val="24"/>
        </w:rPr>
        <w:t>aid</w:t>
      </w:r>
      <w:r w:rsidRPr="11B198F2" w:rsidR="21A099DF">
        <w:rPr>
          <w:rFonts w:ascii="Arial" w:hAnsi="Arial" w:eastAsia="Arial" w:cs="Arial"/>
          <w:sz w:val="24"/>
          <w:szCs w:val="24"/>
        </w:rPr>
        <w:t xml:space="preserve"> ensure long-term financing and resources to solve this issue</w:t>
      </w:r>
      <w:r w:rsidRPr="11B198F2" w:rsidR="0F7A4BFD">
        <w:rPr>
          <w:rFonts w:ascii="Arial" w:hAnsi="Arial" w:eastAsia="Arial" w:cs="Arial"/>
          <w:sz w:val="24"/>
          <w:szCs w:val="24"/>
        </w:rPr>
        <w:t xml:space="preserve"> (medwar,2021).</w:t>
      </w:r>
    </w:p>
    <w:p w:rsidR="16FF5CC9" w:rsidP="11B198F2" w:rsidRDefault="16FF5CC9" w14:paraId="20BF0797" w14:textId="43C2EDF7">
      <w:pPr>
        <w:pStyle w:val="Normal"/>
        <w:spacing w:line="360" w:lineRule="auto"/>
        <w:ind w:left="0" w:right="-20"/>
        <w:jc w:val="left"/>
      </w:pPr>
      <w:r w:rsidRPr="11B198F2" w:rsidR="16FF5CC9">
        <w:rPr>
          <w:rFonts w:ascii="Arial" w:hAnsi="Arial" w:eastAsia="Arial" w:cs="Arial"/>
          <w:sz w:val="24"/>
          <w:szCs w:val="24"/>
        </w:rPr>
        <w:t xml:space="preserve">Staffing and Training: Finding and keeping competent employees who are enthusiastic about community involvement and are open to working in a mobile library environment might be difficult. A broad range of abilities, such as </w:t>
      </w:r>
      <w:r w:rsidRPr="11B198F2" w:rsidR="16FF5CC9">
        <w:rPr>
          <w:rFonts w:ascii="Arial" w:hAnsi="Arial" w:eastAsia="Arial" w:cs="Arial"/>
          <w:sz w:val="24"/>
          <w:szCs w:val="24"/>
        </w:rPr>
        <w:t>programme</w:t>
      </w:r>
      <w:r w:rsidRPr="11B198F2" w:rsidR="16FF5CC9">
        <w:rPr>
          <w:rFonts w:ascii="Arial" w:hAnsi="Arial" w:eastAsia="Arial" w:cs="Arial"/>
          <w:sz w:val="24"/>
          <w:szCs w:val="24"/>
        </w:rPr>
        <w:t xml:space="preserve"> planning, community engagement </w:t>
      </w:r>
      <w:r w:rsidRPr="11B198F2" w:rsidR="19713DE7">
        <w:rPr>
          <w:rFonts w:ascii="Arial" w:hAnsi="Arial" w:eastAsia="Arial" w:cs="Arial"/>
          <w:sz w:val="24"/>
          <w:szCs w:val="24"/>
        </w:rPr>
        <w:t>ability</w:t>
      </w:r>
      <w:r w:rsidRPr="11B198F2" w:rsidR="16FF5CC9">
        <w:rPr>
          <w:rFonts w:ascii="Arial" w:hAnsi="Arial" w:eastAsia="Arial" w:cs="Arial"/>
          <w:sz w:val="24"/>
          <w:szCs w:val="24"/>
        </w:rPr>
        <w:t xml:space="preserve">, and flexibility in dealing with constrained space and resources, are </w:t>
      </w:r>
      <w:r w:rsidRPr="11B198F2" w:rsidR="38A3D476">
        <w:rPr>
          <w:rFonts w:ascii="Arial" w:hAnsi="Arial" w:eastAsia="Arial" w:cs="Arial"/>
          <w:sz w:val="24"/>
          <w:szCs w:val="24"/>
        </w:rPr>
        <w:t>needed from</w:t>
      </w:r>
      <w:r w:rsidRPr="11B198F2" w:rsidR="16FF5CC9">
        <w:rPr>
          <w:rFonts w:ascii="Arial" w:hAnsi="Arial" w:eastAsia="Arial" w:cs="Arial"/>
          <w:sz w:val="24"/>
          <w:szCs w:val="24"/>
        </w:rPr>
        <w:t xml:space="preserve"> mobile librarians. Building </w:t>
      </w:r>
      <w:r w:rsidRPr="11B198F2" w:rsidR="16FF5CC9">
        <w:rPr>
          <w:rFonts w:ascii="Arial" w:hAnsi="Arial" w:eastAsia="Arial" w:cs="Arial"/>
          <w:sz w:val="24"/>
          <w:szCs w:val="24"/>
        </w:rPr>
        <w:t>competent</w:t>
      </w:r>
      <w:r w:rsidRPr="11B198F2" w:rsidR="16FF5CC9">
        <w:rPr>
          <w:rFonts w:ascii="Arial" w:hAnsi="Arial" w:eastAsia="Arial" w:cs="Arial"/>
          <w:sz w:val="24"/>
          <w:szCs w:val="24"/>
        </w:rPr>
        <w:t xml:space="preserve"> and committed personnel for mobile libraries can be </w:t>
      </w:r>
      <w:r w:rsidRPr="11B198F2" w:rsidR="15DB6403">
        <w:rPr>
          <w:rFonts w:ascii="Arial" w:hAnsi="Arial" w:eastAsia="Arial" w:cs="Arial"/>
          <w:sz w:val="24"/>
          <w:szCs w:val="24"/>
        </w:rPr>
        <w:t>eased</w:t>
      </w:r>
      <w:r w:rsidRPr="11B198F2" w:rsidR="16FF5CC9">
        <w:rPr>
          <w:rFonts w:ascii="Arial" w:hAnsi="Arial" w:eastAsia="Arial" w:cs="Arial"/>
          <w:sz w:val="24"/>
          <w:szCs w:val="24"/>
        </w:rPr>
        <w:t xml:space="preserve"> by offering chances for ongoing professional development and training</w:t>
      </w:r>
      <w:r w:rsidRPr="11B198F2" w:rsidR="6ECCBE95">
        <w:rPr>
          <w:rFonts w:ascii="Arial" w:hAnsi="Arial" w:eastAsia="Arial" w:cs="Arial"/>
          <w:sz w:val="24"/>
          <w:szCs w:val="24"/>
        </w:rPr>
        <w:t xml:space="preserve"> (IFLA,2019</w:t>
      </w:r>
      <w:r w:rsidRPr="11B198F2" w:rsidR="1861F391">
        <w:rPr>
          <w:rFonts w:ascii="Arial" w:hAnsi="Arial" w:eastAsia="Arial" w:cs="Arial"/>
          <w:sz w:val="24"/>
          <w:szCs w:val="24"/>
        </w:rPr>
        <w:t xml:space="preserve"> and Lingchen,2014</w:t>
      </w:r>
      <w:r w:rsidRPr="11B198F2" w:rsidR="6ECCBE95">
        <w:rPr>
          <w:rFonts w:ascii="Arial" w:hAnsi="Arial" w:eastAsia="Arial" w:cs="Arial"/>
          <w:sz w:val="24"/>
          <w:szCs w:val="24"/>
        </w:rPr>
        <w:t>).</w:t>
      </w:r>
    </w:p>
    <w:p w:rsidR="7651CF61" w:rsidP="11B198F2" w:rsidRDefault="7651CF61" w14:paraId="727B6AC9" w14:textId="066107EC">
      <w:pPr>
        <w:pStyle w:val="Normal"/>
        <w:spacing w:line="360" w:lineRule="auto"/>
        <w:ind w:left="0" w:right="-20"/>
        <w:jc w:val="left"/>
      </w:pPr>
      <w:r w:rsidRPr="11B198F2" w:rsidR="7651CF61">
        <w:rPr>
          <w:rFonts w:ascii="Arial" w:hAnsi="Arial" w:eastAsia="Arial" w:cs="Arial"/>
          <w:sz w:val="24"/>
          <w:szCs w:val="24"/>
        </w:rPr>
        <w:t xml:space="preserve">Maintenance and Upkeep: To guarantee the efficiency and safety of the mobile library bus, it is necessary to perform routine maintenance and upkeep on its physical state. This covers routine maintenance, upkeep, and inspections. </w:t>
      </w:r>
      <w:r w:rsidRPr="11B198F2" w:rsidR="7651CF61">
        <w:rPr>
          <w:rFonts w:ascii="Arial" w:hAnsi="Arial" w:eastAsia="Arial" w:cs="Arial"/>
          <w:sz w:val="24"/>
          <w:szCs w:val="24"/>
        </w:rPr>
        <w:t>To</w:t>
      </w:r>
      <w:r w:rsidRPr="11B198F2" w:rsidR="7651CF61">
        <w:rPr>
          <w:rFonts w:ascii="Arial" w:hAnsi="Arial" w:eastAsia="Arial" w:cs="Arial"/>
          <w:sz w:val="24"/>
          <w:szCs w:val="24"/>
        </w:rPr>
        <w:t xml:space="preserve"> guarantee a dependable and effective operation, mobile libraries should set up maintenance procedures and set aside funds for continuous vehicle repair</w:t>
      </w:r>
      <w:r w:rsidRPr="11B198F2" w:rsidR="7C70BA31">
        <w:rPr>
          <w:rFonts w:ascii="Arial" w:hAnsi="Arial" w:eastAsia="Arial" w:cs="Arial"/>
          <w:sz w:val="24"/>
          <w:szCs w:val="24"/>
        </w:rPr>
        <w:t xml:space="preserve"> (Fong, </w:t>
      </w:r>
      <w:r w:rsidRPr="11B198F2" w:rsidR="7C70BA31">
        <w:rPr>
          <w:rFonts w:ascii="Arial" w:hAnsi="Arial" w:eastAsia="Arial" w:cs="Arial"/>
          <w:sz w:val="24"/>
          <w:szCs w:val="24"/>
        </w:rPr>
        <w:t>Jabor</w:t>
      </w:r>
      <w:r w:rsidRPr="11B198F2" w:rsidR="7C70BA31">
        <w:rPr>
          <w:rFonts w:ascii="Arial" w:hAnsi="Arial" w:eastAsia="Arial" w:cs="Arial"/>
          <w:sz w:val="24"/>
          <w:szCs w:val="24"/>
        </w:rPr>
        <w:t>, Zul</w:t>
      </w:r>
      <w:r w:rsidRPr="11B198F2" w:rsidR="1CEAC910">
        <w:rPr>
          <w:rFonts w:ascii="Arial" w:hAnsi="Arial" w:eastAsia="Arial" w:cs="Arial"/>
          <w:sz w:val="24"/>
          <w:szCs w:val="24"/>
        </w:rPr>
        <w:t>kifli, and Hashim,2019).</w:t>
      </w:r>
    </w:p>
    <w:p w:rsidR="1A2B8B6E" w:rsidP="11B198F2" w:rsidRDefault="1A2B8B6E" w14:paraId="39CF594F" w14:textId="4686F6DE">
      <w:pPr>
        <w:pStyle w:val="Normal"/>
        <w:spacing w:line="360" w:lineRule="auto"/>
        <w:ind w:left="0" w:right="-20"/>
        <w:jc w:val="left"/>
      </w:pPr>
      <w:r w:rsidRPr="11B198F2" w:rsidR="1A2B8B6E">
        <w:rPr>
          <w:rFonts w:ascii="Arial" w:hAnsi="Arial" w:eastAsia="Arial" w:cs="Arial"/>
          <w:sz w:val="24"/>
          <w:szCs w:val="24"/>
        </w:rPr>
        <w:t xml:space="preserve">Limited Space and Collections: It is difficult to </w:t>
      </w:r>
      <w:r w:rsidRPr="11B198F2" w:rsidR="1A2B8B6E">
        <w:rPr>
          <w:rFonts w:ascii="Arial" w:hAnsi="Arial" w:eastAsia="Arial" w:cs="Arial"/>
          <w:sz w:val="24"/>
          <w:szCs w:val="24"/>
        </w:rPr>
        <w:t>provide</w:t>
      </w:r>
      <w:r w:rsidRPr="11B198F2" w:rsidR="1A2B8B6E">
        <w:rPr>
          <w:rFonts w:ascii="Arial" w:hAnsi="Arial" w:eastAsia="Arial" w:cs="Arial"/>
          <w:sz w:val="24"/>
          <w:szCs w:val="24"/>
        </w:rPr>
        <w:t xml:space="preserve"> a wide and varied selection of books and resources in mobile libraries due to their cramped layout. The collections of mobile libraries must be carefully chosen to suit the needs and interests of its patrons. Incorporating digital resources and regularly evaluating and rotating books can </w:t>
      </w:r>
      <w:r w:rsidRPr="11B198F2" w:rsidR="2A8934F9">
        <w:rPr>
          <w:rFonts w:ascii="Arial" w:hAnsi="Arial" w:eastAsia="Arial" w:cs="Arial"/>
          <w:sz w:val="24"/>
          <w:szCs w:val="24"/>
        </w:rPr>
        <w:t>aid</w:t>
      </w:r>
      <w:r w:rsidRPr="11B198F2" w:rsidR="739B99C4">
        <w:rPr>
          <w:rFonts w:ascii="Arial" w:hAnsi="Arial" w:eastAsia="Arial" w:cs="Arial"/>
          <w:sz w:val="24"/>
          <w:szCs w:val="24"/>
        </w:rPr>
        <w:t xml:space="preserve"> in maximizing</w:t>
      </w:r>
      <w:r w:rsidRPr="11B198F2" w:rsidR="1A2B8B6E">
        <w:rPr>
          <w:rFonts w:ascii="Arial" w:hAnsi="Arial" w:eastAsia="Arial" w:cs="Arial"/>
          <w:sz w:val="24"/>
          <w:szCs w:val="24"/>
        </w:rPr>
        <w:t xml:space="preserve"> the limited space and give users access to a wider variety of items.</w:t>
      </w:r>
    </w:p>
    <w:p w:rsidR="112BB6FC" w:rsidP="11B198F2" w:rsidRDefault="112BB6FC" w14:paraId="6EAADB23" w14:textId="171EC957">
      <w:pPr>
        <w:pStyle w:val="Normal"/>
        <w:spacing w:line="360" w:lineRule="auto"/>
        <w:ind w:left="0" w:right="-20"/>
        <w:jc w:val="left"/>
      </w:pPr>
      <w:r w:rsidRPr="11B198F2" w:rsidR="112BB6FC">
        <w:rPr>
          <w:rFonts w:ascii="Arial" w:hAnsi="Arial" w:eastAsia="Arial" w:cs="Arial"/>
          <w:sz w:val="24"/>
          <w:szCs w:val="24"/>
        </w:rPr>
        <w:t xml:space="preserve">Outreach and Targeting: For mobile libraries, it might be challenging to effectively reach and target the intended audience. Careful study and community engagement are needed to </w:t>
      </w:r>
      <w:r w:rsidRPr="11B198F2" w:rsidR="6F61AC03">
        <w:rPr>
          <w:rFonts w:ascii="Arial" w:hAnsi="Arial" w:eastAsia="Arial" w:cs="Arial"/>
          <w:sz w:val="24"/>
          <w:szCs w:val="24"/>
        </w:rPr>
        <w:t>name</w:t>
      </w:r>
      <w:r w:rsidRPr="11B198F2" w:rsidR="112BB6FC">
        <w:rPr>
          <w:rFonts w:ascii="Arial" w:hAnsi="Arial" w:eastAsia="Arial" w:cs="Arial"/>
          <w:sz w:val="24"/>
          <w:szCs w:val="24"/>
        </w:rPr>
        <w:t xml:space="preserve"> communities who have limited access to traditional libraries, understand their requirements, and promote the services offered by the mobile library. Effective outreach and targeting techniques can be ensured by collaborating with nearby schools, community </w:t>
      </w:r>
      <w:r w:rsidRPr="11B198F2" w:rsidR="2BD9E892">
        <w:rPr>
          <w:rFonts w:ascii="Arial" w:hAnsi="Arial" w:eastAsia="Arial" w:cs="Arial"/>
          <w:sz w:val="24"/>
          <w:szCs w:val="24"/>
        </w:rPr>
        <w:t>centres</w:t>
      </w:r>
      <w:r w:rsidRPr="11B198F2" w:rsidR="112BB6FC">
        <w:rPr>
          <w:rFonts w:ascii="Arial" w:hAnsi="Arial" w:eastAsia="Arial" w:cs="Arial"/>
          <w:sz w:val="24"/>
          <w:szCs w:val="24"/>
        </w:rPr>
        <w:t xml:space="preserve">, and </w:t>
      </w:r>
      <w:r w:rsidRPr="11B198F2" w:rsidR="6B359BEE">
        <w:rPr>
          <w:rFonts w:ascii="Arial" w:hAnsi="Arial" w:eastAsia="Arial" w:cs="Arial"/>
          <w:sz w:val="24"/>
          <w:szCs w:val="24"/>
        </w:rPr>
        <w:t>organizations</w:t>
      </w:r>
      <w:r w:rsidRPr="11B198F2" w:rsidR="112BB6FC">
        <w:rPr>
          <w:rFonts w:ascii="Arial" w:hAnsi="Arial" w:eastAsia="Arial" w:cs="Arial"/>
          <w:sz w:val="24"/>
          <w:szCs w:val="24"/>
        </w:rPr>
        <w:t xml:space="preserve"> to </w:t>
      </w:r>
      <w:r w:rsidRPr="11B198F2" w:rsidR="4B269423">
        <w:rPr>
          <w:rFonts w:ascii="Arial" w:hAnsi="Arial" w:eastAsia="Arial" w:cs="Arial"/>
          <w:sz w:val="24"/>
          <w:szCs w:val="24"/>
        </w:rPr>
        <w:t>find</w:t>
      </w:r>
      <w:r w:rsidRPr="11B198F2" w:rsidR="112BB6FC">
        <w:rPr>
          <w:rFonts w:ascii="Arial" w:hAnsi="Arial" w:eastAsia="Arial" w:cs="Arial"/>
          <w:sz w:val="24"/>
          <w:szCs w:val="24"/>
        </w:rPr>
        <w:t xml:space="preserve"> the areas that are most underserved.</w:t>
      </w:r>
    </w:p>
    <w:p w:rsidR="3575437D" w:rsidP="11B198F2" w:rsidRDefault="3575437D" w14:paraId="7726544F" w14:textId="57196B06">
      <w:pPr>
        <w:pStyle w:val="Normal"/>
        <w:spacing w:line="360" w:lineRule="auto"/>
        <w:ind w:left="0" w:right="-20"/>
        <w:jc w:val="left"/>
        <w:rPr>
          <w:rFonts w:ascii="Arial" w:hAnsi="Arial" w:eastAsia="Arial" w:cs="Arial"/>
          <w:b w:val="1"/>
          <w:bCs w:val="1"/>
          <w:sz w:val="24"/>
          <w:szCs w:val="24"/>
          <w:u w:val="single"/>
        </w:rPr>
      </w:pPr>
      <w:r w:rsidRPr="11B198F2" w:rsidR="3575437D">
        <w:rPr>
          <w:rFonts w:ascii="Arial" w:hAnsi="Arial" w:eastAsia="Arial" w:cs="Arial"/>
          <w:b w:val="1"/>
          <w:bCs w:val="1"/>
          <w:sz w:val="24"/>
          <w:szCs w:val="24"/>
          <w:u w:val="single"/>
        </w:rPr>
        <w:t xml:space="preserve">Marketing and financial feasibility </w:t>
      </w:r>
    </w:p>
    <w:p w:rsidR="29828017" w:rsidP="11B198F2" w:rsidRDefault="29828017" w14:paraId="3004A53C" w14:textId="2FE53542">
      <w:pPr>
        <w:pStyle w:val="Normal"/>
        <w:spacing w:line="360" w:lineRule="auto"/>
        <w:ind w:left="0" w:right="-20"/>
        <w:jc w:val="left"/>
      </w:pPr>
      <w:r w:rsidRPr="11B198F2" w:rsidR="29828017">
        <w:rPr>
          <w:rFonts w:ascii="Arial" w:hAnsi="Arial" w:eastAsia="Arial" w:cs="Arial"/>
          <w:noProof w:val="0"/>
          <w:sz w:val="24"/>
          <w:szCs w:val="24"/>
          <w:lang w:val="en-GB"/>
        </w:rPr>
        <w:t xml:space="preserve">Children and parents alike would be the target market for Reading Wonderland. As the initiative grows, other investors and the St. Vincent and the Grenadines government would also be taken into consideration. As the year goes on, I would receive financial </w:t>
      </w:r>
      <w:bookmarkStart w:name="_Int_mdGgJoXO" w:id="1215487946"/>
      <w:r w:rsidRPr="11B198F2" w:rsidR="29828017">
        <w:rPr>
          <w:rFonts w:ascii="Arial" w:hAnsi="Arial" w:eastAsia="Arial" w:cs="Arial"/>
          <w:noProof w:val="0"/>
          <w:sz w:val="24"/>
          <w:szCs w:val="24"/>
          <w:lang w:val="en-GB"/>
        </w:rPr>
        <w:t>assistance</w:t>
      </w:r>
      <w:bookmarkEnd w:id="1215487946"/>
      <w:r w:rsidRPr="11B198F2" w:rsidR="29828017">
        <w:rPr>
          <w:rFonts w:ascii="Arial" w:hAnsi="Arial" w:eastAsia="Arial" w:cs="Arial"/>
          <w:noProof w:val="0"/>
          <w:sz w:val="24"/>
          <w:szCs w:val="24"/>
          <w:lang w:val="en-GB"/>
        </w:rPr>
        <w:t xml:space="preserve"> from the government's "PRYME" public aids for small businesses, which would help me </w:t>
      </w:r>
      <w:bookmarkStart w:name="_Int_58jVb6F2" w:id="1457529447"/>
      <w:r w:rsidRPr="11B198F2" w:rsidR="29828017">
        <w:rPr>
          <w:rFonts w:ascii="Arial" w:hAnsi="Arial" w:eastAsia="Arial" w:cs="Arial"/>
          <w:noProof w:val="0"/>
          <w:sz w:val="24"/>
          <w:szCs w:val="24"/>
          <w:lang w:val="en-GB"/>
        </w:rPr>
        <w:t>acquire</w:t>
      </w:r>
      <w:bookmarkEnd w:id="1457529447"/>
      <w:r w:rsidRPr="11B198F2" w:rsidR="29828017">
        <w:rPr>
          <w:rFonts w:ascii="Arial" w:hAnsi="Arial" w:eastAsia="Arial" w:cs="Arial"/>
          <w:noProof w:val="0"/>
          <w:sz w:val="24"/>
          <w:szCs w:val="24"/>
          <w:lang w:val="en-GB"/>
        </w:rPr>
        <w:t xml:space="preserve"> some of the materials </w:t>
      </w:r>
      <w:bookmarkStart w:name="_Int_yAIUsdZG" w:id="1181240573"/>
      <w:r w:rsidRPr="11B198F2" w:rsidR="29828017">
        <w:rPr>
          <w:rFonts w:ascii="Arial" w:hAnsi="Arial" w:eastAsia="Arial" w:cs="Arial"/>
          <w:noProof w:val="0"/>
          <w:sz w:val="24"/>
          <w:szCs w:val="24"/>
          <w:lang w:val="en-GB"/>
        </w:rPr>
        <w:t>required</w:t>
      </w:r>
      <w:bookmarkEnd w:id="1181240573"/>
      <w:r w:rsidRPr="11B198F2" w:rsidR="29828017">
        <w:rPr>
          <w:rFonts w:ascii="Arial" w:hAnsi="Arial" w:eastAsia="Arial" w:cs="Arial"/>
          <w:noProof w:val="0"/>
          <w:sz w:val="24"/>
          <w:szCs w:val="24"/>
          <w:lang w:val="en-GB"/>
        </w:rPr>
        <w:t xml:space="preserve"> to formally launch this business. However, the first year of this endeavour would be devoted to research and data collection.</w:t>
      </w:r>
      <w:r w:rsidRPr="11B198F2" w:rsidR="588BAD16">
        <w:rPr>
          <w:rFonts w:ascii="Arial" w:hAnsi="Arial" w:eastAsia="Arial" w:cs="Arial"/>
          <w:noProof w:val="0"/>
          <w:sz w:val="24"/>
          <w:szCs w:val="24"/>
          <w:lang w:val="en-GB"/>
        </w:rPr>
        <w:t xml:space="preserve"> </w:t>
      </w:r>
    </w:p>
    <w:p w:rsidR="1A279C80" w:rsidP="11B198F2" w:rsidRDefault="1A279C80" w14:paraId="0B09DD92" w14:textId="7CEA4836">
      <w:pPr>
        <w:pStyle w:val="Normal"/>
        <w:spacing w:line="360" w:lineRule="auto"/>
        <w:ind w:left="0" w:right="-20"/>
        <w:jc w:val="left"/>
        <w:rPr>
          <w:rFonts w:ascii="Arial" w:hAnsi="Arial" w:eastAsia="Arial" w:cs="Arial"/>
          <w:noProof w:val="0"/>
          <w:sz w:val="24"/>
          <w:szCs w:val="24"/>
          <w:lang w:val="en-GB"/>
        </w:rPr>
      </w:pPr>
      <w:r w:rsidRPr="11B198F2" w:rsidR="1A279C80">
        <w:rPr>
          <w:rFonts w:ascii="Arial" w:hAnsi="Arial" w:eastAsia="Arial" w:cs="Arial"/>
          <w:noProof w:val="0"/>
          <w:sz w:val="24"/>
          <w:szCs w:val="24"/>
          <w:lang w:val="en-GB"/>
        </w:rPr>
        <w:t xml:space="preserve">A fully functional mobile/portable library will then require the following </w:t>
      </w:r>
      <w:r w:rsidRPr="11B198F2" w:rsidR="1A279C80">
        <w:rPr>
          <w:rFonts w:ascii="Arial" w:hAnsi="Arial" w:eastAsia="Arial" w:cs="Arial"/>
          <w:noProof w:val="0"/>
          <w:sz w:val="24"/>
          <w:szCs w:val="24"/>
          <w:lang w:val="en-GB"/>
        </w:rPr>
        <w:t>equipment</w:t>
      </w:r>
      <w:r w:rsidRPr="11B198F2" w:rsidR="1A279C80">
        <w:rPr>
          <w:rFonts w:ascii="Arial" w:hAnsi="Arial" w:eastAsia="Arial" w:cs="Arial"/>
          <w:noProof w:val="0"/>
          <w:sz w:val="24"/>
          <w:szCs w:val="24"/>
          <w:lang w:val="en-GB"/>
        </w:rPr>
        <w:t>:</w:t>
      </w:r>
    </w:p>
    <w:p w:rsidR="797A0F18" w:rsidP="11B198F2" w:rsidRDefault="797A0F18" w14:paraId="6A8A52BF" w14:textId="0FC9B403">
      <w:pPr>
        <w:pStyle w:val="ListParagraph"/>
        <w:numPr>
          <w:ilvl w:val="0"/>
          <w:numId w:val="3"/>
        </w:numPr>
        <w:spacing w:line="360" w:lineRule="auto"/>
        <w:ind w:right="-20"/>
        <w:jc w:val="left"/>
        <w:rPr>
          <w:rFonts w:ascii="Arial" w:hAnsi="Arial" w:eastAsia="Arial" w:cs="Arial"/>
          <w:noProof w:val="0"/>
          <w:sz w:val="24"/>
          <w:szCs w:val="24"/>
          <w:lang w:val="en-GB"/>
        </w:rPr>
      </w:pPr>
      <w:r w:rsidRPr="11B198F2" w:rsidR="797A0F18">
        <w:rPr>
          <w:rFonts w:ascii="Arial" w:hAnsi="Arial" w:eastAsia="Arial" w:cs="Arial"/>
          <w:noProof w:val="0"/>
          <w:sz w:val="24"/>
          <w:szCs w:val="24"/>
          <w:lang w:val="en-GB"/>
        </w:rPr>
        <w:t>Books</w:t>
      </w:r>
    </w:p>
    <w:p w:rsidR="797A0F18" w:rsidP="11B198F2" w:rsidRDefault="797A0F18" w14:paraId="3503A0F4" w14:textId="1D96C4C4">
      <w:pPr>
        <w:pStyle w:val="ListParagraph"/>
        <w:numPr>
          <w:ilvl w:val="0"/>
          <w:numId w:val="3"/>
        </w:numPr>
        <w:spacing w:line="360" w:lineRule="auto"/>
        <w:ind w:right="-20"/>
        <w:jc w:val="left"/>
        <w:rPr>
          <w:rFonts w:ascii="Arial" w:hAnsi="Arial" w:eastAsia="Arial" w:cs="Arial"/>
          <w:noProof w:val="0"/>
          <w:sz w:val="24"/>
          <w:szCs w:val="24"/>
          <w:lang w:val="en-GB"/>
        </w:rPr>
      </w:pPr>
      <w:r w:rsidRPr="11B198F2" w:rsidR="797A0F18">
        <w:rPr>
          <w:rFonts w:ascii="Arial" w:hAnsi="Arial" w:eastAsia="Arial" w:cs="Arial"/>
          <w:noProof w:val="0"/>
          <w:sz w:val="24"/>
          <w:szCs w:val="24"/>
          <w:lang w:val="en-GB"/>
        </w:rPr>
        <w:t>Minibus</w:t>
      </w:r>
    </w:p>
    <w:p w:rsidR="797A0F18" w:rsidP="11B198F2" w:rsidRDefault="797A0F18" w14:paraId="731A2E47" w14:textId="54715833">
      <w:pPr>
        <w:pStyle w:val="ListParagraph"/>
        <w:numPr>
          <w:ilvl w:val="0"/>
          <w:numId w:val="3"/>
        </w:numPr>
        <w:spacing w:line="360" w:lineRule="auto"/>
        <w:ind w:right="-20"/>
        <w:jc w:val="left"/>
        <w:rPr>
          <w:rFonts w:ascii="Arial" w:hAnsi="Arial" w:eastAsia="Arial" w:cs="Arial"/>
          <w:noProof w:val="0"/>
          <w:sz w:val="24"/>
          <w:szCs w:val="24"/>
          <w:lang w:val="en-GB"/>
        </w:rPr>
      </w:pPr>
      <w:r w:rsidRPr="11B198F2" w:rsidR="797A0F18">
        <w:rPr>
          <w:rFonts w:ascii="Arial" w:hAnsi="Arial" w:eastAsia="Arial" w:cs="Arial"/>
          <w:noProof w:val="0"/>
          <w:sz w:val="24"/>
          <w:szCs w:val="24"/>
          <w:lang w:val="en-GB"/>
        </w:rPr>
        <w:t>Trained professionals</w:t>
      </w:r>
    </w:p>
    <w:p w:rsidR="797A0F18" w:rsidP="11B198F2" w:rsidRDefault="797A0F18" w14:paraId="6B577936" w14:textId="5659CEAD">
      <w:pPr>
        <w:pStyle w:val="ListParagraph"/>
        <w:numPr>
          <w:ilvl w:val="0"/>
          <w:numId w:val="3"/>
        </w:numPr>
        <w:spacing w:line="360" w:lineRule="auto"/>
        <w:ind w:right="-20"/>
        <w:jc w:val="left"/>
        <w:rPr>
          <w:rFonts w:ascii="Arial" w:hAnsi="Arial" w:eastAsia="Arial" w:cs="Arial"/>
          <w:noProof w:val="0"/>
          <w:sz w:val="24"/>
          <w:szCs w:val="24"/>
          <w:lang w:val="en-GB"/>
        </w:rPr>
      </w:pPr>
      <w:r w:rsidRPr="11B198F2" w:rsidR="797A0F18">
        <w:rPr>
          <w:rFonts w:ascii="Arial" w:hAnsi="Arial" w:eastAsia="Arial" w:cs="Arial"/>
          <w:noProof w:val="0"/>
          <w:sz w:val="24"/>
          <w:szCs w:val="24"/>
          <w:lang w:val="en-GB"/>
        </w:rPr>
        <w:t>Computers to manage the loan system and membership</w:t>
      </w:r>
    </w:p>
    <w:p w:rsidR="797A0F18" w:rsidP="11B198F2" w:rsidRDefault="797A0F18" w14:paraId="2A22821E" w14:textId="4CE305E3">
      <w:pPr>
        <w:pStyle w:val="ListParagraph"/>
        <w:numPr>
          <w:ilvl w:val="0"/>
          <w:numId w:val="3"/>
        </w:numPr>
        <w:spacing w:line="360" w:lineRule="auto"/>
        <w:ind w:right="-20"/>
        <w:jc w:val="left"/>
        <w:rPr>
          <w:rFonts w:ascii="Arial" w:hAnsi="Arial" w:eastAsia="Arial" w:cs="Arial"/>
          <w:noProof w:val="0"/>
          <w:sz w:val="24"/>
          <w:szCs w:val="24"/>
          <w:lang w:val="en-GB"/>
        </w:rPr>
      </w:pPr>
      <w:r w:rsidRPr="11B198F2" w:rsidR="797A0F18">
        <w:rPr>
          <w:rFonts w:ascii="Arial" w:hAnsi="Arial" w:eastAsia="Arial" w:cs="Arial"/>
          <w:noProof w:val="0"/>
          <w:sz w:val="24"/>
          <w:szCs w:val="24"/>
          <w:lang w:val="en-GB"/>
        </w:rPr>
        <w:t xml:space="preserve">Trained translators </w:t>
      </w:r>
    </w:p>
    <w:p w:rsidR="13E635D4" w:rsidP="11B198F2" w:rsidRDefault="13E635D4" w14:paraId="1994826E" w14:textId="70DE4699">
      <w:pPr>
        <w:pStyle w:val="Normal"/>
        <w:spacing w:line="360" w:lineRule="auto"/>
        <w:ind w:left="0" w:right="-20"/>
        <w:jc w:val="left"/>
        <w:rPr>
          <w:rFonts w:ascii="Arial" w:hAnsi="Arial" w:eastAsia="Arial" w:cs="Arial"/>
          <w:noProof w:val="0"/>
          <w:sz w:val="24"/>
          <w:szCs w:val="24"/>
          <w:lang w:val="en-GB"/>
        </w:rPr>
      </w:pPr>
      <w:r w:rsidRPr="11B198F2" w:rsidR="13E635D4">
        <w:rPr>
          <w:rFonts w:ascii="Arial" w:hAnsi="Arial" w:eastAsia="Arial" w:cs="Arial"/>
          <w:noProof w:val="0"/>
          <w:sz w:val="24"/>
          <w:szCs w:val="24"/>
          <w:lang w:val="en-GB"/>
        </w:rPr>
        <w:t xml:space="preserve">The expenses </w:t>
      </w:r>
      <w:r w:rsidRPr="11B198F2" w:rsidR="4C2484A1">
        <w:rPr>
          <w:rFonts w:ascii="Arial" w:hAnsi="Arial" w:eastAsia="Arial" w:cs="Arial"/>
          <w:noProof w:val="0"/>
          <w:sz w:val="24"/>
          <w:szCs w:val="24"/>
          <w:lang w:val="en-GB"/>
        </w:rPr>
        <w:t xml:space="preserve">needed for each are; </w:t>
      </w:r>
    </w:p>
    <w:p w:rsidR="0AC969D3" w:rsidP="11B198F2" w:rsidRDefault="0AC969D3" w14:paraId="65AB9400" w14:textId="05F32597">
      <w:pPr>
        <w:pStyle w:val="ListParagraph"/>
        <w:numPr>
          <w:ilvl w:val="0"/>
          <w:numId w:val="4"/>
        </w:numPr>
        <w:spacing w:line="360" w:lineRule="auto"/>
        <w:ind w:right="-20"/>
        <w:jc w:val="left"/>
        <w:rPr>
          <w:rFonts w:ascii="Arial" w:hAnsi="Arial" w:eastAsia="Arial" w:cs="Arial"/>
          <w:noProof w:val="0"/>
          <w:sz w:val="24"/>
          <w:szCs w:val="24"/>
          <w:lang w:val="en-GB"/>
        </w:rPr>
      </w:pPr>
      <w:r w:rsidRPr="11B198F2" w:rsidR="0AC969D3">
        <w:rPr>
          <w:rFonts w:ascii="Arial" w:hAnsi="Arial" w:eastAsia="Arial" w:cs="Arial"/>
          <w:noProof w:val="0"/>
          <w:sz w:val="24"/>
          <w:szCs w:val="24"/>
          <w:lang w:val="en-GB"/>
        </w:rPr>
        <w:t>8,000</w:t>
      </w:r>
    </w:p>
    <w:p w:rsidR="0AC969D3" w:rsidP="11B198F2" w:rsidRDefault="0AC969D3" w14:paraId="70A9068A" w14:textId="06E509AB">
      <w:pPr>
        <w:pStyle w:val="ListParagraph"/>
        <w:numPr>
          <w:ilvl w:val="0"/>
          <w:numId w:val="4"/>
        </w:numPr>
        <w:spacing w:line="360" w:lineRule="auto"/>
        <w:ind w:right="-20"/>
        <w:jc w:val="left"/>
        <w:rPr>
          <w:rFonts w:ascii="Arial" w:hAnsi="Arial" w:eastAsia="Arial" w:cs="Arial"/>
          <w:noProof w:val="0"/>
          <w:sz w:val="24"/>
          <w:szCs w:val="24"/>
          <w:lang w:val="en-GB"/>
        </w:rPr>
      </w:pPr>
      <w:r w:rsidRPr="11B198F2" w:rsidR="0AC969D3">
        <w:rPr>
          <w:rFonts w:ascii="Arial" w:hAnsi="Arial" w:eastAsia="Arial" w:cs="Arial"/>
          <w:noProof w:val="0"/>
          <w:sz w:val="24"/>
          <w:szCs w:val="24"/>
          <w:lang w:val="en-GB"/>
        </w:rPr>
        <w:t>15,000</w:t>
      </w:r>
    </w:p>
    <w:p w:rsidR="0AC969D3" w:rsidP="11B198F2" w:rsidRDefault="0AC969D3" w14:paraId="059242CF" w14:textId="7CB0C8A0">
      <w:pPr>
        <w:pStyle w:val="ListParagraph"/>
        <w:numPr>
          <w:ilvl w:val="0"/>
          <w:numId w:val="4"/>
        </w:numPr>
        <w:spacing w:line="360" w:lineRule="auto"/>
        <w:ind w:right="-20"/>
        <w:jc w:val="left"/>
        <w:rPr>
          <w:rFonts w:ascii="Arial" w:hAnsi="Arial" w:eastAsia="Arial" w:cs="Arial"/>
          <w:noProof w:val="0"/>
          <w:sz w:val="24"/>
          <w:szCs w:val="24"/>
          <w:lang w:val="en-GB"/>
        </w:rPr>
      </w:pPr>
      <w:r w:rsidRPr="11B198F2" w:rsidR="0AC969D3">
        <w:rPr>
          <w:rFonts w:ascii="Arial" w:hAnsi="Arial" w:eastAsia="Arial" w:cs="Arial"/>
          <w:noProof w:val="0"/>
          <w:sz w:val="24"/>
          <w:szCs w:val="24"/>
          <w:lang w:val="en-GB"/>
        </w:rPr>
        <w:t>5,000</w:t>
      </w:r>
    </w:p>
    <w:p w:rsidR="0AC969D3" w:rsidP="11B198F2" w:rsidRDefault="0AC969D3" w14:paraId="5868F53A" w14:textId="318D6CE1">
      <w:pPr>
        <w:pStyle w:val="ListParagraph"/>
        <w:numPr>
          <w:ilvl w:val="0"/>
          <w:numId w:val="4"/>
        </w:numPr>
        <w:spacing w:line="360" w:lineRule="auto"/>
        <w:ind w:right="-20"/>
        <w:jc w:val="left"/>
        <w:rPr>
          <w:rFonts w:ascii="Arial" w:hAnsi="Arial" w:eastAsia="Arial" w:cs="Arial"/>
          <w:noProof w:val="0"/>
          <w:sz w:val="24"/>
          <w:szCs w:val="24"/>
          <w:lang w:val="en-GB"/>
        </w:rPr>
      </w:pPr>
      <w:r w:rsidRPr="11B198F2" w:rsidR="0AC969D3">
        <w:rPr>
          <w:rFonts w:ascii="Arial" w:hAnsi="Arial" w:eastAsia="Arial" w:cs="Arial"/>
          <w:noProof w:val="0"/>
          <w:sz w:val="24"/>
          <w:szCs w:val="24"/>
          <w:lang w:val="en-GB"/>
        </w:rPr>
        <w:t>7,000</w:t>
      </w:r>
    </w:p>
    <w:p w:rsidR="0AC969D3" w:rsidP="11B198F2" w:rsidRDefault="0AC969D3" w14:paraId="345A3078" w14:textId="188E1635">
      <w:pPr>
        <w:pStyle w:val="ListParagraph"/>
        <w:numPr>
          <w:ilvl w:val="0"/>
          <w:numId w:val="4"/>
        </w:numPr>
        <w:spacing w:line="360" w:lineRule="auto"/>
        <w:ind w:right="-20"/>
        <w:jc w:val="left"/>
        <w:rPr>
          <w:rFonts w:ascii="Arial" w:hAnsi="Arial" w:eastAsia="Arial" w:cs="Arial"/>
          <w:noProof w:val="0"/>
          <w:sz w:val="24"/>
          <w:szCs w:val="24"/>
          <w:lang w:val="en-GB"/>
        </w:rPr>
      </w:pPr>
      <w:r w:rsidRPr="11B198F2" w:rsidR="0AC969D3">
        <w:rPr>
          <w:rFonts w:ascii="Arial" w:hAnsi="Arial" w:eastAsia="Arial" w:cs="Arial"/>
          <w:noProof w:val="0"/>
          <w:sz w:val="24"/>
          <w:szCs w:val="24"/>
          <w:lang w:val="en-GB"/>
        </w:rPr>
        <w:t>4,000</w:t>
      </w:r>
    </w:p>
    <w:p w:rsidR="0AC969D3" w:rsidP="11B198F2" w:rsidRDefault="0AC969D3" w14:paraId="76043AD5" w14:textId="78DC144E">
      <w:pPr>
        <w:pStyle w:val="Normal"/>
        <w:spacing w:line="360" w:lineRule="auto"/>
        <w:ind w:left="0" w:right="-20"/>
        <w:jc w:val="left"/>
        <w:rPr>
          <w:rFonts w:ascii="Arial" w:hAnsi="Arial" w:eastAsia="Arial" w:cs="Arial"/>
          <w:noProof w:val="0"/>
          <w:sz w:val="24"/>
          <w:szCs w:val="24"/>
          <w:lang w:val="en-GB"/>
        </w:rPr>
      </w:pPr>
      <w:r w:rsidRPr="11B198F2" w:rsidR="0AC969D3">
        <w:rPr>
          <w:rFonts w:ascii="Arial" w:hAnsi="Arial" w:eastAsia="Arial" w:cs="Arial"/>
          <w:noProof w:val="0"/>
          <w:sz w:val="24"/>
          <w:szCs w:val="24"/>
          <w:lang w:val="en-GB"/>
        </w:rPr>
        <w:t xml:space="preserve">The grant alone cannot fund the entirety of this business, with the help of other investors, the expenses </w:t>
      </w:r>
      <w:r w:rsidRPr="11B198F2" w:rsidR="0E79CA9A">
        <w:rPr>
          <w:rFonts w:ascii="Arial" w:hAnsi="Arial" w:eastAsia="Arial" w:cs="Arial"/>
          <w:noProof w:val="0"/>
          <w:sz w:val="24"/>
          <w:szCs w:val="24"/>
          <w:lang w:val="en-GB"/>
        </w:rPr>
        <w:t>needed can be covered.</w:t>
      </w:r>
    </w:p>
    <w:p w:rsidR="11B198F2" w:rsidP="11B198F2" w:rsidRDefault="11B198F2" w14:paraId="4EC838CB" w14:textId="4476C98B">
      <w:pPr>
        <w:pStyle w:val="Normal"/>
        <w:spacing w:line="360" w:lineRule="auto"/>
        <w:ind w:left="0" w:right="-20"/>
        <w:jc w:val="left"/>
        <w:rPr>
          <w:rFonts w:ascii="Arial" w:hAnsi="Arial" w:eastAsia="Arial" w:cs="Arial"/>
          <w:noProof w:val="0"/>
          <w:sz w:val="24"/>
          <w:szCs w:val="24"/>
          <w:lang w:val="en-GB"/>
        </w:rPr>
      </w:pPr>
    </w:p>
    <w:p w:rsidR="19493107" w:rsidP="11B198F2" w:rsidRDefault="19493107" w14:paraId="28965E66" w14:textId="0D0BBCFB">
      <w:pPr>
        <w:pStyle w:val="Normal"/>
        <w:spacing w:line="360" w:lineRule="auto"/>
        <w:ind w:left="0" w:right="-20"/>
        <w:jc w:val="left"/>
        <w:rPr>
          <w:rFonts w:ascii="Arial" w:hAnsi="Arial" w:eastAsia="Arial" w:cs="Arial"/>
          <w:b w:val="1"/>
          <w:bCs w:val="1"/>
          <w:noProof w:val="0"/>
          <w:sz w:val="24"/>
          <w:szCs w:val="24"/>
          <w:u w:val="single"/>
          <w:lang w:val="en-GB"/>
        </w:rPr>
      </w:pPr>
      <w:r w:rsidRPr="11B198F2" w:rsidR="19493107">
        <w:rPr>
          <w:rFonts w:ascii="Arial" w:hAnsi="Arial" w:eastAsia="Arial" w:cs="Arial"/>
          <w:b w:val="1"/>
          <w:bCs w:val="1"/>
          <w:noProof w:val="0"/>
          <w:sz w:val="24"/>
          <w:szCs w:val="24"/>
          <w:u w:val="single"/>
          <w:lang w:val="en-GB"/>
        </w:rPr>
        <w:t xml:space="preserve">Background </w:t>
      </w:r>
    </w:p>
    <w:p w:rsidR="7462E02A" w:rsidP="11B198F2" w:rsidRDefault="7462E02A" w14:paraId="4214DF00" w14:textId="0DFF0C3A">
      <w:pPr>
        <w:pStyle w:val="Normal"/>
        <w:spacing w:line="360" w:lineRule="auto"/>
        <w:ind w:left="0" w:right="-20"/>
        <w:jc w:val="left"/>
      </w:pPr>
      <w:r w:rsidRPr="11B198F2" w:rsidR="7462E02A">
        <w:rPr>
          <w:rFonts w:ascii="Arial" w:hAnsi="Arial" w:eastAsia="Arial" w:cs="Arial"/>
          <w:noProof w:val="0"/>
          <w:sz w:val="24"/>
          <w:szCs w:val="24"/>
          <w:lang w:val="en-GB"/>
        </w:rPr>
        <w:t xml:space="preserve">As a graduate student at the University of Wales Trinity Saint David, where I received my bachelor's degree in early childhood education and care, I am confident in the knowledge I have gained about early childhood development thus far. What inspired me to launch this business was my understanding of the basic needs of children. With the knowledge I now </w:t>
      </w:r>
      <w:bookmarkStart w:name="_Int_x7LhTjUD" w:id="1176512212"/>
      <w:r w:rsidRPr="11B198F2" w:rsidR="7462E02A">
        <w:rPr>
          <w:rFonts w:ascii="Arial" w:hAnsi="Arial" w:eastAsia="Arial" w:cs="Arial"/>
          <w:noProof w:val="0"/>
          <w:sz w:val="24"/>
          <w:szCs w:val="24"/>
          <w:lang w:val="en-GB"/>
        </w:rPr>
        <w:t>poss</w:t>
      </w:r>
      <w:r w:rsidRPr="11B198F2" w:rsidR="7462E02A">
        <w:rPr>
          <w:rFonts w:ascii="Arial" w:hAnsi="Arial" w:eastAsia="Arial" w:cs="Arial"/>
          <w:noProof w:val="0"/>
          <w:sz w:val="24"/>
          <w:szCs w:val="24"/>
          <w:lang w:val="en-GB"/>
        </w:rPr>
        <w:t>ess</w:t>
      </w:r>
      <w:bookmarkEnd w:id="1176512212"/>
      <w:r w:rsidRPr="11B198F2" w:rsidR="7462E02A">
        <w:rPr>
          <w:rFonts w:ascii="Arial" w:hAnsi="Arial" w:eastAsia="Arial" w:cs="Arial"/>
          <w:noProof w:val="0"/>
          <w:sz w:val="24"/>
          <w:szCs w:val="24"/>
          <w:lang w:val="en-GB"/>
        </w:rPr>
        <w:t>, it</w:t>
      </w:r>
      <w:r w:rsidRPr="11B198F2" w:rsidR="7462E02A">
        <w:rPr>
          <w:rFonts w:ascii="Arial" w:hAnsi="Arial" w:eastAsia="Arial" w:cs="Arial"/>
          <w:noProof w:val="0"/>
          <w:sz w:val="24"/>
          <w:szCs w:val="24"/>
          <w:lang w:val="en-GB"/>
        </w:rPr>
        <w:t xml:space="preserve"> is imperative that I make use of it to empower not just myself but also the children of my nation and to be the one to impart that knowledge to others.</w:t>
      </w:r>
    </w:p>
    <w:p w:rsidR="4F5E279F" w:rsidP="11B198F2" w:rsidRDefault="4F5E279F" w14:paraId="1053B775" w14:textId="3DD96FFA">
      <w:pPr>
        <w:pStyle w:val="Normal"/>
        <w:ind w:right="-20"/>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bookmarkStart w:name="_Int_3VAG6nqv" w:id="911046912"/>
      <w:r w:rsidRPr="11B198F2" w:rsidR="4F5E279F">
        <w:rPr>
          <w:rFonts w:ascii="Arial" w:hAnsi="Arial" w:eastAsia="Arial" w:cs="Arial"/>
          <w:b w:val="1"/>
          <w:bCs w:val="1"/>
          <w:i w:val="0"/>
          <w:iCs w:val="0"/>
          <w:caps w:val="0"/>
          <w:smallCaps w:val="0"/>
          <w:noProof w:val="0"/>
          <w:color w:val="000000" w:themeColor="text1" w:themeTint="FF" w:themeShade="FF"/>
          <w:sz w:val="24"/>
          <w:szCs w:val="24"/>
          <w:u w:val="single"/>
          <w:lang w:val="en-GB"/>
        </w:rPr>
        <w:t>Part 2</w:t>
      </w:r>
      <w:bookmarkEnd w:id="911046912"/>
    </w:p>
    <w:p w:rsidR="4F5E279F" w:rsidP="11B198F2" w:rsidRDefault="4F5E279F" w14:paraId="3835890F" w14:textId="70D06A7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Early reading skill development is essential for children's learning and later academic success (Bennet, 2002). Numerous early reading skill categories have </w:t>
      </w:r>
      <w:bookmarkStart w:name="_Int_PHK3wtpN" w:id="680286925"/>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come to light</w:t>
      </w:r>
      <w:bookmarkEnd w:id="680286925"/>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in early childhood studies. Oral language comprehension, print awareness, and phonological skills are typically included in the core early literacy skills (Rohde</w:t>
      </w:r>
      <w:r w:rsidRPr="11B198F2" w:rsidR="692DDA12">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2015). Early reading skills development in kindergarten is often handled by teacher-led literacy instruction, which is followed by drill-and-practice activities (Zettler-Greeley et al. </w:t>
      </w:r>
      <w:r w:rsidRPr="11B198F2" w:rsidR="625706B7">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2018). According to several long-term research, these activities have a major positive impact on children's development of literacy abilities (Piasta, Purpura, and Wagner</w:t>
      </w:r>
      <w:r w:rsidRPr="11B198F2" w:rsidR="761CFF21">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2010). However, despite these encouraging results, opinions </w:t>
      </w:r>
      <w:bookmarkStart w:name="_Int_bhvMLrOL" w:id="1439123896"/>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regarding</w:t>
      </w:r>
      <w:bookmarkEnd w:id="1439123896"/>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how best to organize this kind of instruction in early childhood education vary. That is, according to other studies, teachers should not rely on overly structured conventional instructional approaches in this situation as they do not necessarily guarantee long-term achievement (</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Bodrova</w:t>
      </w:r>
      <w:r w:rsidRPr="11B198F2" w:rsidR="0063C14A">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2008). </w:t>
      </w:r>
    </w:p>
    <w:p w:rsidR="4F5E279F" w:rsidP="11B198F2" w:rsidRDefault="4F5E279F" w14:paraId="3EE36B85" w14:textId="1B9E6E6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Rather, a method of instructional design that complements children's innate learning styles should be used, with carefully thought-out, methodical guidance for developing early reading skills (Hirsh-Pasek et al.,2009). According to Kennedy et al. (2012), literacy is broadly defined as the capacity for reading, writing, speaking, and interacting with others through print and digital media. Early literacy development is a lifelong process that is constantly evolving (Banerjee, Alsalman, and </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Alqafari</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2016). Its fundamentals must therefore be covered in early childhood education. According to Missall et al. (2008), early literacy development should concentrate on the abilities that serve as the foundation for more traditional kinds of writing and reading. A semiotic system is a language symbol and a cognitive tool, according to Vygotsky. Children learn to think through speaking and interacting with others. They do this by taking in other people's ideas and words on a social level and </w:t>
      </w:r>
      <w:bookmarkStart w:name="_Int_nhyOFk97" w:id="1725497031"/>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subsequently</w:t>
      </w:r>
      <w:bookmarkEnd w:id="1725497031"/>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internalizing them on a psychological one. Sociocultural theory (SCT) and Vygotsky both hold that the mind and the culture of a community are semiotically organized functional systems that are dialectical (Vygotsky 1978; </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Wertsch</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1985). "During ontogenesis the biologically specified mental endowment of infants is modified in specific ways once it interfaces with cultural factors as children are apprenticed into their local culture," according to </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Lantolf</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(1999), is how the process of cultural acquisition in children is described. Integrating both cultural and linguistic aspects are two main benefits that support early years development. </w:t>
      </w:r>
    </w:p>
    <w:p w:rsidR="4F5E279F" w:rsidP="11B198F2" w:rsidRDefault="4F5E279F" w14:paraId="2D3F3541" w14:textId="0A8E5F67">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The theory behind extensive parenting, also known as sensitive or responsive parenting (Belsky, Lerner, </w:t>
      </w:r>
      <w:r w:rsidRPr="11B198F2" w:rsidR="24DCEC1B">
        <w:rPr>
          <w:rFonts w:ascii="Arial" w:hAnsi="Arial" w:eastAsia="Arial" w:cs="Arial"/>
          <w:b w:val="0"/>
          <w:bCs w:val="0"/>
          <w:i w:val="0"/>
          <w:iCs w:val="0"/>
          <w:caps w:val="0"/>
          <w:smallCaps w:val="0"/>
          <w:noProof w:val="0"/>
          <w:color w:val="000000" w:themeColor="text1" w:themeTint="FF" w:themeShade="FF"/>
          <w:sz w:val="24"/>
          <w:szCs w:val="24"/>
          <w:lang w:val="en-GB"/>
        </w:rPr>
        <w:t>and</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Spanier, 1984), holds that a mother's (or caregiver's) consistent involvement, her emotional and verbal responsiveness, and her provision of developmentally </w:t>
      </w:r>
      <w:bookmarkStart w:name="_Int_BJUFc8Or" w:id="937534944"/>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appropriate stimulation</w:t>
      </w:r>
      <w:bookmarkEnd w:id="937534944"/>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that is specifically customized for each child are vital for a child's healthy growth. Hays (1996) highlighted the gendered nature of this theory. The premise of parental determinism—that individual parents' efforts to develop their children's abilities and skills </w:t>
      </w:r>
      <w:bookmarkStart w:name="_Int_5SLcAMUz" w:id="771224027"/>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determine</w:t>
      </w:r>
      <w:bookmarkEnd w:id="771224027"/>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children's developmental and educational outcomes—is a key </w:t>
      </w:r>
      <w:bookmarkStart w:name="_Int_OkxBtTYi" w:id="607566499"/>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component</w:t>
      </w:r>
      <w:bookmarkEnd w:id="607566499"/>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of intensive parenting, which can jeopardize the wellbeing of parents (Faircloth, 2014; Milkie </w:t>
      </w:r>
      <w:r w:rsidRPr="11B198F2" w:rsidR="5D1B3AE8">
        <w:rPr>
          <w:rFonts w:ascii="Arial" w:hAnsi="Arial" w:eastAsia="Arial" w:cs="Arial"/>
          <w:b w:val="0"/>
          <w:bCs w:val="0"/>
          <w:i w:val="0"/>
          <w:iCs w:val="0"/>
          <w:caps w:val="0"/>
          <w:smallCaps w:val="0"/>
          <w:noProof w:val="0"/>
          <w:color w:val="000000" w:themeColor="text1" w:themeTint="FF" w:themeShade="FF"/>
          <w:sz w:val="24"/>
          <w:szCs w:val="24"/>
          <w:lang w:val="en-GB"/>
        </w:rPr>
        <w:t>and</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Warner, 2014; Villalobos, 2014). For the brain to grow to its full potential and for socio-emotional, linguistic, and cognitive skills to </w:t>
      </w:r>
      <w:bookmarkStart w:name="_Int_lHVKcvds" w:id="1286732373"/>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emerge</w:t>
      </w:r>
      <w:bookmarkEnd w:id="1286732373"/>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early infancy is essential (Sheridan et al., 2018). Children learn in the framework of connections and shared influences in their homes, communities, and places. </w:t>
      </w:r>
    </w:p>
    <w:p w:rsidR="4F5E279F" w:rsidP="11B198F2" w:rsidRDefault="4F5E279F" w14:paraId="4F8F538D" w14:textId="47DB88B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Creating alliances in these contexts is vitally crucial. Consequently, one of the standards for community involvement in the national quality framework for early childhood education and care (ECECC) settings is found in the Centre for Early Childhood Development </w:t>
      </w:r>
      <w:r w:rsidRPr="11B198F2" w:rsidR="751BFA89">
        <w:rPr>
          <w:rFonts w:ascii="Arial" w:hAnsi="Arial" w:eastAsia="Arial" w:cs="Arial"/>
          <w:b w:val="0"/>
          <w:bCs w:val="0"/>
          <w:i w:val="0"/>
          <w:iCs w:val="0"/>
          <w:caps w:val="0"/>
          <w:smallCaps w:val="0"/>
          <w:noProof w:val="0"/>
          <w:color w:val="000000" w:themeColor="text1" w:themeTint="FF" w:themeShade="FF"/>
          <w:sz w:val="24"/>
          <w:szCs w:val="24"/>
          <w:lang w:val="en-GB"/>
        </w:rPr>
        <w:t>and</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 </w:t>
      </w:r>
      <w:r w:rsidRPr="11B198F2" w:rsidR="0F96343B">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CECDE</w:t>
      </w:r>
      <w:r w:rsidRPr="11B198F2" w:rsidR="6A8230EA">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2006, which states that "the establishment of networks and connections evidenced by policies, procedures and actions which extend and support all adult's and children's engagement with the wider community" (CECDE, 16.1). Moreover, the significance of children's families and communities is often emphasized in Aistear, a national curriculum framework for ECEC (National Council for Curriculum and Assessment </w:t>
      </w:r>
      <w:r w:rsidRPr="11B198F2" w:rsidR="2EDD68DE">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NCCA</w:t>
      </w:r>
      <w:r w:rsidRPr="11B198F2" w:rsidR="62DF95DF">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2009). The Department of Education and Skills </w:t>
      </w:r>
      <w:r w:rsidRPr="11B198F2" w:rsidR="122C8ED9">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DES</w:t>
      </w:r>
      <w:r w:rsidRPr="11B198F2" w:rsidR="1ECD1D57">
        <w:rPr>
          <w:rFonts w:ascii="Arial" w:hAnsi="Arial" w:eastAsia="Arial" w:cs="Arial"/>
          <w:b w:val="0"/>
          <w:bCs w:val="0"/>
          <w:i w:val="0"/>
          <w:iCs w:val="0"/>
          <w:caps w:val="0"/>
          <w:smallCaps w:val="0"/>
          <w:noProof w:val="0"/>
          <w:color w:val="000000" w:themeColor="text1" w:themeTint="FF" w:themeShade="FF"/>
          <w:sz w:val="24"/>
          <w:szCs w:val="24"/>
          <w:lang w:val="en-GB"/>
        </w:rPr>
        <w:t>)</w:t>
      </w: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2011; DES, 2017 define community engagement as schools collaborating with community initiatives that could be found in libraries, health services, family resource centres, clubs, organisations, and adult and family literacy services. However, the idea of community engagement is nuanced and acknowledges that it is a two-way process that governments use to involve communities and other stakeholders in policy development, planning, decision-making, service delivery, and assessment. It is based on "the aspirations, concerns, needs, and values of citizens and communities" (United Nations, 2005, p.1). As such, the realisation that community engagement is a two-way street. </w:t>
      </w:r>
    </w:p>
    <w:p w:rsidR="4F5E279F" w:rsidP="11B198F2" w:rsidRDefault="4F5E279F" w14:paraId="57748AC9" w14:textId="47FEB121">
      <w:pPr>
        <w:pStyle w:val="Normal"/>
        <w:spacing w:line="360" w:lineRule="auto"/>
        <w:ind w:right="-2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cvW5rHwm" w:id="461448814"/>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Throughout the National Strategy to Improve Literacy among Children and Young People 2011-2020 (DES, 2011), the community's role in fostering children's literacy is interwoven. Government "raising public awareness of the role that the family, community, school system, libraries and other bodies may play together in fostering successful reading and numeracy learning" was one of the strategies' main points. </w:t>
      </w:r>
      <w:bookmarkEnd w:id="461448814"/>
    </w:p>
    <w:p w:rsidR="4F5E279F" w:rsidP="11B198F2" w:rsidRDefault="4F5E279F" w14:paraId="79EA70C8" w14:textId="377443B8">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Currently in St. Vincent and the Grenadines </w:t>
      </w:r>
      <w:bookmarkStart w:name="_Int_MZqPuL74" w:id="2133963241"/>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2133963241"/>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fulfil its mission of creating children's libraries that are sustainable, Keeping Hands Across the Sea must adapt to the sometimes-urgent demands of its clients. In the Eastern Caribbean, where climate change poses a persistent threat of volatility, this </w:t>
      </w:r>
      <w:bookmarkStart w:name="_Int_9PBWecZT" w:id="2135568325"/>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frequently</w:t>
      </w:r>
      <w:bookmarkEnd w:id="2135568325"/>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entails acting swiftly and decisively to shield thousands of underprivileged children from learning deficits that could last a lifetime. Many schools were forced to turn their libraries into auxiliary rooms in the months that followed the 2021 volcanic eruption, while the schools themselves functioned as shelters for displaced families and children. </w:t>
      </w:r>
    </w:p>
    <w:p w:rsidR="4F5E279F" w:rsidP="11B198F2" w:rsidRDefault="4F5E279F" w14:paraId="0390BB8E" w14:textId="12B50AF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Many of the 12 primary schools in the Red Zone, which serve 2,230 pupils, would not have had the chance to invite children back into the library for regular or structured study until the 2022–2023 school year reopened more than a year later. Unfortunately, school leadership is limited in its ability due to a combination of teacher shortages and growing learning losses. The state of the libraries, the majority of which experienced severe damage to the building and collections because of the volcano and </w:t>
      </w:r>
      <w:bookmarkStart w:name="_Int_i2Th4l9t" w:id="1233685460"/>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subsequent</w:t>
      </w:r>
      <w:bookmarkEnd w:id="1233685460"/>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cyclone, only makes the situation worse (Gov.vc, n.d. and Hands Across the Sea, n.d.). Similarly, reading wonderland plans to support underserved communities.</w:t>
      </w:r>
    </w:p>
    <w:p w:rsidR="11B198F2" w:rsidP="11B198F2" w:rsidRDefault="11B198F2" w14:paraId="1762223F" w14:textId="6750B93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F5E279F" w:rsidP="11B198F2" w:rsidRDefault="4F5E279F" w14:paraId="1F0D64A9" w14:textId="2C5E15A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Without looking for </w:t>
      </w:r>
      <w:bookmarkStart w:name="_Int_OHZZw0w8" w:id="1086929853"/>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additional</w:t>
      </w:r>
      <w:bookmarkEnd w:id="1086929853"/>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funding or taking out a high-interest business loan, business equipment finance can help the business </w:t>
      </w:r>
      <w:bookmarkStart w:name="_Int_HqX3xvf3" w:id="462241112"/>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acquire</w:t>
      </w:r>
      <w:bookmarkEnd w:id="462241112"/>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the essential assets and equipment that is needed to meet the growth KPIs. It also gives SMEs the financial flexibility they need. the company can simplify budgeting by extending the lease charges over a longer length of time with a fixed interest rate. This will help to precisely forecast for recurring direct debit payments, enhancing cash flow, and avoiding significant upfront costs. </w:t>
      </w:r>
    </w:p>
    <w:p w:rsidR="4F5E279F" w:rsidP="11B198F2" w:rsidRDefault="4F5E279F" w14:paraId="6AEB38A2" w14:textId="61A3307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Additionally, since the equipment can be returned at the conclusion of the lease, businesses can lease it without worrying about natural depreciation. Furthermore, rented equipment can </w:t>
      </w:r>
      <w:bookmarkStart w:name="_Int_kU2Tj8j5" w:id="1434693079"/>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frequently</w:t>
      </w:r>
      <w:bookmarkEnd w:id="1434693079"/>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be upgraded for a little rental difference at the conclusion of the lease, giving the business access to the newest innovations (Shire leasing,2020). Density of population is one major factor. Dense populations will yield higher service levels, but the mobile device is best suited for dispersed populations by design. It is important to keep this in mind while comparing the efficiency of branch libraries. </w:t>
      </w:r>
    </w:p>
    <w:p w:rsidR="4F5E279F" w:rsidP="11B198F2" w:rsidRDefault="4F5E279F" w14:paraId="11ED0DE1" w14:textId="5553906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The less mobile population, such as the elderly, those without cars, and areas with inadequate or non-existent public transportation, must be given priority. </w:t>
      </w:r>
    </w:p>
    <w:p w:rsidR="4F5E279F" w:rsidP="11B198F2" w:rsidRDefault="4F5E279F" w14:paraId="2D87AEF1" w14:textId="3904F90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Road conditions, staffing availability, operating hours, service centre locations, and power supply should all be considered (IFLA,2019).</w:t>
      </w:r>
    </w:p>
    <w:p w:rsidR="4F5E279F" w:rsidP="11B198F2" w:rsidRDefault="4F5E279F" w14:paraId="4F770BB4" w14:textId="19066BE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The cost of mobile library vehicles varies significantly based on the vehicle type selected, the fittings' quality, import taxes, local market pressures, and technical standards. Every car should be designed with a specific purpose in mind to avoid the </w:t>
      </w:r>
      <w:bookmarkStart w:name="_Int_laQn4wuh" w:id="1854442473"/>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numerous</w:t>
      </w:r>
      <w:bookmarkEnd w:id="1854442473"/>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issues that might occur when a vehicle's kind and intended function are incompatible. Funds can be raised directly from the government or through a mix of loan funding, bank overdraft, and fund raising.</w:t>
      </w:r>
    </w:p>
    <w:p w:rsidR="4F5E279F" w:rsidP="11B198F2" w:rsidRDefault="4F5E279F" w14:paraId="41F728FC" w14:textId="236F4C03">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planning should start as soon as a car is bought to set aside money for future repairs. When the expense of repairs is combined with the inconvenience of the automobile being off the road and having antiquated design elements, it becomes imperative to replace the vehicle. Outweigh the advantages and costs of </w:t>
      </w:r>
      <w:bookmarkStart w:name="_Int_sAmwhi0A" w:id="1400031067"/>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purchasing</w:t>
      </w:r>
      <w:bookmarkEnd w:id="1400031067"/>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an updated vehicle with contemporary amenities The vehicle's life may be estimated to be 10 years on average, with a negligible trade-in value at the conclusion of the term (Ford and Despeisse,2016 and IFLA,2019).</w:t>
      </w:r>
    </w:p>
    <w:p w:rsidR="4F5E279F" w:rsidP="11B198F2" w:rsidRDefault="4F5E279F" w14:paraId="13B37088" w14:textId="57C86D93">
      <w:pPr>
        <w:pStyle w:val="Normal"/>
        <w:spacing w:line="360" w:lineRule="auto"/>
        <w:ind w:right="-2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c99otZDM" w:id="506078984"/>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The yearly budget of the authority should include a replacement fund for mobile libraries, with enough money set out to cover replacements after ten years. It is necessary to include annual inflation rates when creating the budget (Luthra and Mangla,2018).</w:t>
      </w:r>
      <w:bookmarkEnd w:id="506078984"/>
    </w:p>
    <w:p w:rsidR="4F5E279F" w:rsidP="11B198F2" w:rsidRDefault="4F5E279F" w14:paraId="3745E75B" w14:textId="1F59A1B6">
      <w:pPr>
        <w:pStyle w:val="Normal"/>
        <w:spacing w:line="360" w:lineRule="auto"/>
        <w:ind w:right="-2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w48d9GSn" w:id="960640155"/>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the business initiative "Reading Wonderland" hopes to expand across the island, fight poverty via the power of books, and eventually bring in </w:t>
      </w:r>
      <w:bookmarkStart w:name="_Int_Dp2w6i3K" w:id="1292704880"/>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additional</w:t>
      </w:r>
      <w:bookmarkEnd w:id="1292704880"/>
      <w:r w:rsidRPr="11B198F2" w:rsidR="4F5E279F">
        <w:rPr>
          <w:rFonts w:ascii="Arial" w:hAnsi="Arial" w:eastAsia="Arial" w:cs="Arial"/>
          <w:b w:val="0"/>
          <w:bCs w:val="0"/>
          <w:i w:val="0"/>
          <w:iCs w:val="0"/>
          <w:caps w:val="0"/>
          <w:smallCaps w:val="0"/>
          <w:noProof w:val="0"/>
          <w:color w:val="000000" w:themeColor="text1" w:themeTint="FF" w:themeShade="FF"/>
          <w:sz w:val="24"/>
          <w:szCs w:val="24"/>
          <w:lang w:val="en-GB"/>
        </w:rPr>
        <w:t xml:space="preserve"> cultures. As time goes on, things change, and "reading wonderland" will keep researching culture and unity to create a more inclusive nation. This business will have an impact not only locally but also regionally, encouraging other Caribbean islands to implement similar practices within their own borders and eventually drawing in more investors.</w:t>
      </w:r>
      <w:bookmarkEnd w:id="960640155"/>
    </w:p>
    <w:p w:rsidR="11B198F2" w:rsidP="11B198F2" w:rsidRDefault="11B198F2" w14:paraId="17CF2887" w14:textId="142AE8B8">
      <w:pPr>
        <w:pStyle w:val="Normal"/>
        <w:spacing w:line="360" w:lineRule="auto"/>
        <w:ind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63248CB" w:rsidP="11B198F2" w:rsidRDefault="563248CB" w14:paraId="23141E72" w14:textId="41B259DB">
      <w:pPr>
        <w:pStyle w:val="Normal"/>
        <w:spacing w:line="360" w:lineRule="auto"/>
        <w:ind w:right="-20"/>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1B198F2" w:rsidR="563248CB">
        <w:rPr>
          <w:rFonts w:ascii="Arial" w:hAnsi="Arial" w:eastAsia="Arial" w:cs="Arial"/>
          <w:b w:val="1"/>
          <w:bCs w:val="1"/>
          <w:i w:val="0"/>
          <w:iCs w:val="0"/>
          <w:caps w:val="0"/>
          <w:smallCaps w:val="0"/>
          <w:noProof w:val="0"/>
          <w:color w:val="000000" w:themeColor="text1" w:themeTint="FF" w:themeShade="FF"/>
          <w:sz w:val="24"/>
          <w:szCs w:val="24"/>
          <w:u w:val="single"/>
          <w:lang w:val="en-GB"/>
        </w:rPr>
        <w:t>References</w:t>
      </w:r>
    </w:p>
    <w:p w:rsidR="6ED1731A" w:rsidP="11B198F2" w:rsidRDefault="6ED1731A" w14:paraId="2EB7E8BA" w14:textId="17599A8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Banerjee, R., A. Alsalman, and S. </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Alqafari</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2016. “Supporting Sociodramatic Play in Preschools to Promote Language and Literacy Skills of English Language Learners.”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Early Childhood Education Journal</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1B198F2" w:rsidR="30107EF4">
        <w:rPr>
          <w:rFonts w:ascii="Arial" w:hAnsi="Arial" w:eastAsia="Arial" w:cs="Arial"/>
          <w:b w:val="0"/>
          <w:bCs w:val="0"/>
          <w:i w:val="0"/>
          <w:iCs w:val="0"/>
          <w:caps w:val="0"/>
          <w:smallCaps w:val="0"/>
          <w:noProof w:val="0"/>
          <w:color w:val="000000" w:themeColor="text1" w:themeTint="FF" w:themeShade="FF"/>
          <w:sz w:val="24"/>
          <w:szCs w:val="24"/>
          <w:lang w:val="en-US"/>
        </w:rPr>
        <w:t xml:space="preserve">44 </w:t>
      </w:r>
      <w:r w:rsidRPr="11B198F2" w:rsidR="062CBB13">
        <w:rPr>
          <w:rFonts w:ascii="Arial" w:hAnsi="Arial" w:eastAsia="Arial" w:cs="Arial"/>
          <w:b w:val="0"/>
          <w:bCs w:val="0"/>
          <w:i w:val="0"/>
          <w:iCs w:val="0"/>
          <w:caps w:val="0"/>
          <w:smallCaps w:val="0"/>
          <w:noProof w:val="0"/>
          <w:color w:val="000000" w:themeColor="text1" w:themeTint="FF" w:themeShade="FF"/>
          <w:sz w:val="24"/>
          <w:szCs w:val="24"/>
          <w:lang w:val="en-US"/>
        </w:rPr>
        <w:t>(4)</w:t>
      </w:r>
      <w:r w:rsidRPr="11B198F2" w:rsidR="36771558">
        <w:rPr>
          <w:rFonts w:ascii="Arial" w:hAnsi="Arial" w:eastAsia="Arial" w:cs="Arial"/>
          <w:b w:val="0"/>
          <w:bCs w:val="0"/>
          <w:i w:val="0"/>
          <w:iCs w:val="0"/>
          <w:caps w:val="0"/>
          <w:smallCaps w:val="0"/>
          <w:noProof w:val="0"/>
          <w:color w:val="000000" w:themeColor="text1" w:themeTint="FF" w:themeShade="FF"/>
          <w:sz w:val="24"/>
          <w:szCs w:val="24"/>
          <w:lang w:val="en-US"/>
        </w:rPr>
        <w:t>, pp.</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299–305. doi:10.1007/s10643-015-0715-4.</w:t>
      </w:r>
    </w:p>
    <w:p w:rsidR="6ED1731A" w:rsidP="11B198F2" w:rsidRDefault="6ED1731A" w14:paraId="16E0DB9E" w14:textId="0E6E349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Belsky, J., Lerner, R. M., &amp; Spanier, G. B. (1984).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The child in the family</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Reading, MA: Addison-Wesley.</w:t>
      </w:r>
    </w:p>
    <w:p w:rsidR="6ED1731A" w:rsidP="11B198F2" w:rsidRDefault="6ED1731A" w14:paraId="5BC6FF4B" w14:textId="6E303A8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Bennett, Kymberley K, Daniel J Weigel, and Sally S Martin. (2002) “Children’s acquisition of early literacy skills: examining family contributions.”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Early Childhood Research Quarterly</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17 </w:t>
      </w:r>
      <w:r w:rsidRPr="11B198F2" w:rsidR="4EAE81F8">
        <w:rPr>
          <w:rFonts w:ascii="Arial" w:hAnsi="Arial" w:eastAsia="Arial" w:cs="Arial"/>
          <w:b w:val="0"/>
          <w:bCs w:val="0"/>
          <w:i w:val="0"/>
          <w:iCs w:val="0"/>
          <w:caps w:val="0"/>
          <w:smallCaps w:val="0"/>
          <w:noProof w:val="0"/>
          <w:color w:val="000000" w:themeColor="text1" w:themeTint="FF" w:themeShade="FF"/>
          <w:sz w:val="24"/>
          <w:szCs w:val="24"/>
          <w:lang w:val="en-US"/>
        </w:rPr>
        <w:t>(3)</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r w:rsidRPr="11B198F2" w:rsidR="31289815">
        <w:rPr>
          <w:rFonts w:ascii="Arial" w:hAnsi="Arial" w:eastAsia="Arial" w:cs="Arial"/>
          <w:b w:val="0"/>
          <w:bCs w:val="0"/>
          <w:i w:val="0"/>
          <w:iCs w:val="0"/>
          <w:caps w:val="0"/>
          <w:smallCaps w:val="0"/>
          <w:noProof w:val="0"/>
          <w:color w:val="000000" w:themeColor="text1" w:themeTint="FF" w:themeShade="FF"/>
          <w:sz w:val="24"/>
          <w:szCs w:val="24"/>
          <w:lang w:val="en-US"/>
        </w:rPr>
        <w:t xml:space="preserve"> pp.</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295–317.</w:t>
      </w:r>
    </w:p>
    <w:p w:rsidR="6ED1731A" w:rsidP="11B198F2" w:rsidRDefault="6ED1731A" w14:paraId="49FAF79E" w14:textId="3E2B153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Bodrova</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E. (2008) “Make-Believe Play Versus Academic Skills: A Vygotskian Approach to Today’s Dilemma of Early Childhood Education.”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European Early Childhood Education Research Journal</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16(3), </w:t>
      </w:r>
      <w:r w:rsidRPr="11B198F2" w:rsidR="755AEADE">
        <w:rPr>
          <w:rFonts w:ascii="Arial" w:hAnsi="Arial" w:eastAsia="Arial" w:cs="Arial"/>
          <w:b w:val="0"/>
          <w:bCs w:val="0"/>
          <w:i w:val="0"/>
          <w:iCs w:val="0"/>
          <w:caps w:val="0"/>
          <w:smallCaps w:val="0"/>
          <w:noProof w:val="0"/>
          <w:color w:val="000000" w:themeColor="text1" w:themeTint="FF" w:themeShade="FF"/>
          <w:sz w:val="24"/>
          <w:szCs w:val="24"/>
          <w:lang w:val="en-US"/>
        </w:rPr>
        <w:t>pp.</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357–369.</w:t>
      </w:r>
    </w:p>
    <w:p w:rsidR="6ED1731A" w:rsidP="11B198F2" w:rsidRDefault="6ED1731A" w14:paraId="222E3F00" w14:textId="32C7B84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of Education and Skills (DES), (2011). National strategy to improve literacy and numeracy among children and young people 2011-2020. (2011-2020). Dublin: DES. </w:t>
      </w:r>
    </w:p>
    <w:p w:rsidR="6ED1731A" w:rsidP="11B198F2" w:rsidRDefault="6ED1731A" w14:paraId="51126D7B" w14:textId="1B8A3D7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Department of Education and Skills (DES), (2017). Interim review of national strategy to improve literacy and numeracy among children and young people. (2011 – 2020). Dublin: DES.</w:t>
      </w:r>
    </w:p>
    <w:p w:rsidR="6ED1731A" w:rsidP="11B198F2" w:rsidRDefault="6ED1731A" w14:paraId="1209CAD0" w14:textId="16BD61D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noProof w:val="0"/>
          <w:lang w:val="en-US"/>
        </w:rPr>
        <w:t xml:space="preserve">education.gov.vc. (n.d.). </w:t>
      </w:r>
      <w:r w:rsidRPr="11B198F2" w:rsidR="6ED1731A">
        <w:rPr>
          <w:rFonts w:ascii="Arial" w:hAnsi="Arial" w:eastAsia="Arial" w:cs="Arial"/>
          <w:b w:val="0"/>
          <w:bCs w:val="0"/>
          <w:i w:val="1"/>
          <w:iCs w:val="1"/>
          <w:noProof w:val="0"/>
          <w:lang w:val="en-US"/>
        </w:rPr>
        <w:t>Ministry of Education</w:t>
      </w:r>
      <w:r w:rsidRPr="11B198F2" w:rsidR="6ED1731A">
        <w:rPr>
          <w:rFonts w:ascii="Arial" w:hAnsi="Arial" w:eastAsia="Arial" w:cs="Arial"/>
          <w:b w:val="0"/>
          <w:bCs w:val="0"/>
          <w:i w:val="0"/>
          <w:iCs w:val="0"/>
          <w:noProof w:val="0"/>
          <w:lang w:val="en-US"/>
        </w:rPr>
        <w:t>. [online] Available at:</w:t>
      </w:r>
    </w:p>
    <w:p w:rsidR="6ED1731A" w:rsidP="11B198F2" w:rsidRDefault="6ED1731A" w14:paraId="6568BB98" w14:textId="7149FC98">
      <w:pPr>
        <w:spacing w:before="0" w:beforeAutospacing="off" w:after="160" w:afterAutospacing="off" w:line="360" w:lineRule="auto"/>
        <w:ind w:left="0" w:right="-2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0bfdd627d03c48f9">
        <w:r w:rsidRPr="11B198F2" w:rsidR="6ED1731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https://education.gov.vc/</w:t>
        </w:r>
      </w:hyperlink>
    </w:p>
    <w:p w:rsidR="11B198F2" w:rsidP="11B198F2" w:rsidRDefault="11B198F2" w14:paraId="29EE46A5" w14:textId="3BA9041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612F8B0D" w14:textId="5D0675FC">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Faircloth, C. (2014). Intensive parenting and the expansion of parenting. In L. Ellie, J. Bristow, C. Faircloth, &amp; J. Macvarish (Eds.),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Parenting culture studies</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pp. 25–50, London, UK: Palgrave Macmillan.</w:t>
      </w:r>
    </w:p>
    <w:p w:rsidR="6ED1731A" w:rsidP="11B198F2" w:rsidRDefault="6ED1731A" w14:paraId="6E879EEC" w14:textId="06D3507C">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Fong, E.Y., </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Jabor</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M.K.B., Zulkifli, A.H., and Hashim, M.R. (2020). Challenges Faced by New Entrepreneurs and </w:t>
      </w:r>
      <w:bookmarkStart w:name="_Int_adXPLHfR" w:id="1978543137"/>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Suggestions</w:t>
      </w:r>
      <w:bookmarkEnd w:id="1978543137"/>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How to Overcome Them.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Proceedings of the International Conference on Student and Disable Student Development 2019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ICoSD</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 xml:space="preserve"> 2019)</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470.</w:t>
      </w:r>
    </w:p>
    <w:p w:rsidR="6ED1731A" w:rsidP="11B198F2" w:rsidRDefault="6ED1731A" w14:paraId="42313C96" w14:textId="4F876BA8">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Hands Across the Sea. (n.d.).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Home</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46d118203774d0b">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https://handsacrossthesea.org/</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11B198F2" w:rsidP="11B198F2" w:rsidRDefault="11B198F2" w14:paraId="661FA3B0" w14:textId="2BB150A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6BA65EE1" w14:textId="51D30C6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Hays, S. (1996).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The cultural contradictions of motherhood</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New Haven, CT: Yale University Press.</w:t>
      </w:r>
    </w:p>
    <w:p w:rsidR="6ED1731A" w:rsidP="11B198F2" w:rsidRDefault="6ED1731A" w14:paraId="313008E6" w14:textId="1E567FE2">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Hirsh-Pasek, K., R. Golinkoff, L. Berk, and D. Singer. 2009.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A Mandate for Playful Learning in Preschool: Presenting the Evidence</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New York: Oxford University Press.</w:t>
      </w:r>
    </w:p>
    <w:p w:rsidR="11B198F2" w:rsidP="11B198F2" w:rsidRDefault="11B198F2" w14:paraId="7AA50963" w14:textId="49D5FD0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70A220ED" w14:textId="3B6A2D5C">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Ifla.org. (2019).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International Federation of Library Associations and Institutions (IFLA)</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96aecbb75bd45d6">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https://www.ifla.org/</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11B198F2" w:rsidP="11B198F2" w:rsidRDefault="11B198F2" w14:paraId="64C25331" w14:textId="18AEB98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3282E22B" w14:textId="06A41072">
      <w:pPr>
        <w:spacing w:line="360" w:lineRule="auto"/>
        <w:jc w:val="left"/>
        <w:rPr>
          <w:rFonts w:ascii="Arial" w:hAnsi="Arial" w:eastAsia="Arial" w:cs="Arial"/>
          <w:b w:val="0"/>
          <w:bCs w:val="0"/>
          <w:i w:val="0"/>
          <w:iCs w:val="0"/>
          <w:caps w:val="0"/>
          <w:smallCaps w:val="0"/>
          <w:noProof w:val="0"/>
          <w:color w:val="333333"/>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Kennedy, E., E. Dunphy, B. Dwyer, G. Hayes, T. McPhillips, J. Marsh, and G. Shiel. 2012. “Literacy in Early Childhood and Primary Education.”</w:t>
      </w:r>
      <w:r w:rsidRPr="11B198F2" w:rsidR="6ED1731A">
        <w:rPr>
          <w:rFonts w:ascii="Arial" w:hAnsi="Arial" w:eastAsia="Arial" w:cs="Arial"/>
          <w:b w:val="0"/>
          <w:bCs w:val="0"/>
          <w:i w:val="0"/>
          <w:iCs w:val="0"/>
          <w:caps w:val="0"/>
          <w:smallCaps w:val="0"/>
          <w:noProof w:val="0"/>
          <w:color w:val="333333"/>
          <w:sz w:val="24"/>
          <w:szCs w:val="24"/>
          <w:lang w:val="en-US"/>
        </w:rPr>
        <w:t xml:space="preserve"> </w:t>
      </w:r>
      <w:hyperlink r:id="R545e29ab5c034a63">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https://www.ncca.ie/media/2137/literacy_in_early_childhood_and_primary_education_3-8_years.pdf</w:t>
        </w:r>
      </w:hyperlink>
      <w:r w:rsidRPr="11B198F2" w:rsidR="6ED1731A">
        <w:rPr>
          <w:rFonts w:ascii="Arial" w:hAnsi="Arial" w:eastAsia="Arial" w:cs="Arial"/>
          <w:b w:val="0"/>
          <w:bCs w:val="0"/>
          <w:i w:val="0"/>
          <w:iCs w:val="0"/>
          <w:caps w:val="0"/>
          <w:smallCaps w:val="0"/>
          <w:noProof w:val="0"/>
          <w:color w:val="333333"/>
          <w:sz w:val="24"/>
          <w:szCs w:val="24"/>
          <w:lang w:val="en-US"/>
        </w:rPr>
        <w:t>.</w:t>
      </w:r>
    </w:p>
    <w:p w:rsidR="6ED1731A" w:rsidP="11B198F2" w:rsidRDefault="6ED1731A" w14:paraId="5BC3785E" w14:textId="22194F2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Lantolf, J. 1999. Second culture acquisition: Cognitive considerations. In Culture in Second Language Teaching and Learning, E. Hinkel (ed.), pp.8–46. Cambridge: CUP.</w:t>
      </w:r>
    </w:p>
    <w:p w:rsidR="6ED1731A" w:rsidP="11B198F2" w:rsidRDefault="6ED1731A" w14:paraId="34091CC1" w14:textId="21C08A1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Luthra, S. and Mangla, S.K. (2018). Evaluating Challenges to Industry 4.0 Initiatives for Supply Chain Sustainability in Emerging Economies.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Process Safety and Environmental Protection</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,117, pp.168–179.</w:t>
      </w:r>
    </w:p>
    <w:p w:rsidR="6ED1731A" w:rsidP="11B198F2" w:rsidRDefault="6ED1731A" w14:paraId="4003B849" w14:textId="6FE8324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McCarthy, Jerome E. (1964).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Basic Marketing. A Managerial Approach</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Homewood, IL: Irwin.</w:t>
      </w:r>
    </w:p>
    <w:p w:rsidR="6ED1731A" w:rsidP="11B198F2" w:rsidRDefault="6ED1731A" w14:paraId="2A8166AC" w14:textId="29AC7CF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Milkie, M. A., and Warner, C. H. (2014). Status safeguarding: Mothering </w:t>
      </w:r>
      <w:bookmarkStart w:name="_Int_0u1BmguT" w:id="1295114261"/>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work</w:t>
      </w:r>
      <w:bookmarkEnd w:id="1295114261"/>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as </w:t>
      </w:r>
      <w:bookmarkStart w:name="_Int_8edPDpzt" w:id="1604551632"/>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safety</w:t>
      </w:r>
      <w:bookmarkEnd w:id="1604551632"/>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net. In L. Ennis (Ed.),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Intensive mothering: The cultural contradictions of modern motherhood’</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(pp. 66–85). Bradford, ON: Demeter.</w:t>
      </w:r>
    </w:p>
    <w:p w:rsidR="6ED1731A" w:rsidP="11B198F2" w:rsidRDefault="6ED1731A" w14:paraId="447C05FD" w14:textId="285AD467">
      <w:pPr>
        <w:spacing w:line="360" w:lineRule="auto"/>
        <w:jc w:val="left"/>
        <w:rPr>
          <w:rFonts w:ascii="Arial" w:hAnsi="Arial" w:eastAsia="Arial" w:cs="Arial"/>
          <w:b w:val="0"/>
          <w:bCs w:val="0"/>
          <w:i w:val="0"/>
          <w:iCs w:val="0"/>
          <w:caps w:val="0"/>
          <w:smallCaps w:val="0"/>
          <w:noProof w:val="0"/>
          <w:color w:val="333333"/>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Missall, K. N., J. J. Carta, S. R. McConnell, D. Walker, and C. R. Greenwood. 2008. “Using Individual Growth and Development Indicators to Measure Early Language and Literacy.”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Infants and Young Children</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f1735e6ab71d44e0">
        <w:r w:rsidRPr="11B198F2" w:rsidR="6ED1731A">
          <w:rPr>
            <w:rStyle w:val="Hyperlink"/>
            <w:rFonts w:ascii="Arial" w:hAnsi="Arial" w:eastAsia="Arial" w:cs="Arial"/>
            <w:b w:val="0"/>
            <w:bCs w:val="0"/>
            <w:i w:val="0"/>
            <w:iCs w:val="0"/>
            <w:caps w:val="0"/>
            <w:smallCaps w:val="0"/>
            <w:strike w:val="0"/>
            <w:dstrike w:val="0"/>
            <w:noProof w:val="0"/>
            <w:sz w:val="24"/>
            <w:szCs w:val="24"/>
            <w:lang w:val="en-US"/>
          </w:rPr>
          <w:t>21</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(3), pp. 241–253</w:t>
      </w:r>
      <w:r w:rsidRPr="11B198F2" w:rsidR="6ED1731A">
        <w:rPr>
          <w:rFonts w:ascii="Arial" w:hAnsi="Arial" w:eastAsia="Arial" w:cs="Arial"/>
          <w:b w:val="0"/>
          <w:bCs w:val="0"/>
          <w:i w:val="0"/>
          <w:iCs w:val="0"/>
          <w:caps w:val="0"/>
          <w:smallCaps w:val="0"/>
          <w:noProof w:val="0"/>
          <w:color w:val="333333"/>
          <w:sz w:val="24"/>
          <w:szCs w:val="24"/>
          <w:lang w:val="en-US"/>
        </w:rPr>
        <w:t>.</w:t>
      </w:r>
    </w:p>
    <w:p w:rsidR="6ED1731A" w:rsidP="11B198F2" w:rsidRDefault="6ED1731A" w14:paraId="0540F9D1" w14:textId="4FA4402D">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Association for the Education of Young Children (2019).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NAEYC</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Naeyc.org. Available at: </w:t>
      </w:r>
      <w:hyperlink r:id="Rbb9ab1f96be64460">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https://www.naeyc.org/</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4A4D14F8" w14:textId="56341735">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National Council for Curriculum and Assessment. (2009). Aistear: The early childhood curriculum framework. Dublin: National Council for Curriculum and Assessment.</w:t>
      </w:r>
    </w:p>
    <w:p w:rsidR="6ED1731A" w:rsidP="11B198F2" w:rsidRDefault="6ED1731A" w14:paraId="5CB67747" w14:textId="042F2ED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Literacy Trust (2019).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National Literacy Trust</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National Literacy Trust. Available at: </w:t>
      </w:r>
      <w:hyperlink r:id="R5c9fe16969ec4586">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https://literacytrust.org.uk/</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30772F6E" w14:textId="00B8647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Ohchr.org. (2019).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OHCHR | Home</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394721431a947c8">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https://www.ohchr.org/</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11B198F2" w:rsidP="11B198F2" w:rsidRDefault="11B198F2" w14:paraId="31B5315A" w14:textId="07733CC3">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5F8B9DB9" w14:textId="1B8530A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Piasta, S. B., D. J. Purpura, and R. K. Wagner. 2010. “Fostering Alphabet Knowledge Development: A Comparison of Two Instructional Approaches.”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Reading and Writing,</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23 (6), pp.607–626.</w:t>
      </w:r>
    </w:p>
    <w:p w:rsidR="6ED1731A" w:rsidP="11B198F2" w:rsidRDefault="6ED1731A" w14:paraId="64201796" w14:textId="493A5B40">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Rapp, A.C. and Corral-Granados, A. (2021). Understanding inclusive education – a theoretical contribution from system theory and the constructionist perspective.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International Journal of Inclusive Education</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pp.1–17</w:t>
      </w:r>
      <w:r w:rsidRPr="11B198F2" w:rsidR="131352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1B198F2" w:rsidP="11B198F2" w:rsidRDefault="11B198F2" w14:paraId="3837F4B2" w14:textId="51166415">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175670B1" w14:textId="2C1E17B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Rohde, L. 2015. “The Comprehensive Emergent Literacy Model: Early Literacy in </w:t>
      </w:r>
    </w:p>
    <w:p w:rsidR="11B198F2" w:rsidP="11B198F2" w:rsidRDefault="11B198F2" w14:paraId="0B37A02C" w14:textId="3F95D1DD">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748BFA9C" w14:textId="4B612542">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Sheridan, S., Knoche., L. &amp; White A. (2018). Family-school partnerships in early childhood: </w:t>
      </w:r>
      <w:bookmarkStart w:name="_Int_DGv9quYv" w:id="1747681654"/>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exemplars</w:t>
      </w:r>
      <w:bookmarkEnd w:id="1747681654"/>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of evidence-based interventions. In Sheldon, S. &amp; Turner-Vorbeck., A (Eds.). The Wiley handbook of family, school, and community relationships in education (pp.294-232). Hoboken, New Jersey: Wiley-Blackwell. Context.”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SAGE Open</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5 (1). UNICEF (2016). </w:t>
      </w:r>
    </w:p>
    <w:p w:rsidR="6ED1731A" w:rsidP="11B198F2" w:rsidRDefault="6ED1731A" w14:paraId="63601BA4" w14:textId="31868E17">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Shire. (n.d.).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Asset Finance | Equipment Leasing Finance Company | Shire Leasing</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27626847fae48f7">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http://shireleasing.co.uk</w:t>
        </w:r>
      </w:hyperlink>
    </w:p>
    <w:p w:rsidR="11B198F2" w:rsidP="11B198F2" w:rsidRDefault="11B198F2" w14:paraId="23374690" w14:textId="7B8CD3C8">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37A132EF" w14:textId="2AC6C306">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UNICEF UK</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(2016) UNICEF UK. Available at: </w:t>
      </w:r>
      <w:hyperlink r:id="R4fc3493f2b3a44a2">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https://www.unicef.org.uk/</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11B198F2" w:rsidP="11B198F2" w:rsidRDefault="11B198F2" w14:paraId="03FDD9BD" w14:textId="1A96C825">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563CE522" w14:textId="562FC647">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UNICEF (2023).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UNICEF</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Unicef.org. Available at: </w:t>
      </w:r>
      <w:hyperlink r:id="Rb056560c1e4a412b">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https://www.unicef.org/</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027175FC" w14:textId="69D72D7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UK Legislation (2022).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Legislation.gov.uk</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Legislation.gov.uk. Available at: </w:t>
      </w:r>
      <w:hyperlink r:id="R67de906d657e4b91">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https://www.legislation.gov.uk/</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3D08A8C7" w14:textId="4CA10C59">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United Nations. (2005). Brisbane declaration – United Nations charter on community engagement. International Conference on Engaging in Communities, Brisbane.</w:t>
      </w:r>
    </w:p>
    <w:p w:rsidR="6ED1731A" w:rsidP="11B198F2" w:rsidRDefault="6ED1731A" w14:paraId="5F26C480" w14:textId="773C424C">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Uwi.edu. (2021). Available at: </w:t>
      </w:r>
      <w:hyperlink r:id="R2d5492f4c43d4ee4">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https://uwispace.sta.uwi.edu/</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11B198F2" w:rsidP="11B198F2" w:rsidRDefault="11B198F2" w14:paraId="2B36A3B9" w14:textId="7DB026D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69CC6623" w14:textId="7485766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Villalobos, A. (2014).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Motherload: Making it all better in insecure times</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Berkeley, CA: University of California Press.</w:t>
      </w:r>
    </w:p>
    <w:p w:rsidR="6ED1731A" w:rsidP="11B198F2" w:rsidRDefault="6ED1731A" w14:paraId="1C935B06" w14:textId="2E385D7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Vygotsky, L. 1978. Mind in Society. The Development of Higher Psychological Processes. Cambridge MA: Harvard University Press.</w:t>
      </w:r>
    </w:p>
    <w:p w:rsidR="6ED1731A" w:rsidP="11B198F2" w:rsidRDefault="6ED1731A" w14:paraId="68C10906" w14:textId="095BA13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Wertsch, J. 1985. Vygotsky and the Social Formation of Mind. Cambridge MA: Harvard University Press.</w:t>
      </w:r>
    </w:p>
    <w:p w:rsidR="6ED1731A" w:rsidP="11B198F2" w:rsidRDefault="6ED1731A" w14:paraId="37D549C9" w14:textId="6129CDB2">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w:r w:rsidRPr="11B198F2" w:rsidR="6ED1731A">
          <w:rPr>
            <w:rStyle w:val="Hyperlink"/>
            <w:rFonts w:ascii="Arial" w:hAnsi="Arial" w:eastAsia="Arial" w:cs="Arial"/>
            <w:b w:val="0"/>
            <w:bCs w:val="0"/>
            <w:i w:val="0"/>
            <w:iCs w:val="0"/>
            <w:caps w:val="0"/>
            <w:smallCaps w:val="0"/>
            <w:noProof w:val="0"/>
            <w:sz w:val="24"/>
            <w:szCs w:val="24"/>
            <w:lang w:val="en-US"/>
          </w:rPr>
          <w:t>www.gov.vc</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Government</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251b63ec1814227">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https://www.gov.vc/</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7C0DBB2F" w14:textId="5D653039">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w:r w:rsidRPr="11B198F2" w:rsidR="6ED1731A">
          <w:rPr>
            <w:rStyle w:val="Hyperlink"/>
            <w:rFonts w:ascii="Arial" w:hAnsi="Arial" w:eastAsia="Arial" w:cs="Arial"/>
            <w:b w:val="0"/>
            <w:bCs w:val="0"/>
            <w:i w:val="0"/>
            <w:iCs w:val="0"/>
            <w:caps w:val="0"/>
            <w:smallCaps w:val="0"/>
            <w:noProof w:val="0"/>
            <w:sz w:val="24"/>
            <w:szCs w:val="24"/>
            <w:lang w:val="en-US"/>
          </w:rPr>
          <w:t>www.gov.vc</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Government</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d72b1b3e06b444a">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https://www.gov.vc/</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284BD2BB" w14:textId="73403B12">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w:r w:rsidRPr="11B198F2" w:rsidR="6ED1731A">
          <w:rPr>
            <w:rStyle w:val="Hyperlink"/>
            <w:rFonts w:ascii="Arial" w:hAnsi="Arial" w:eastAsia="Arial" w:cs="Arial"/>
            <w:b w:val="0"/>
            <w:bCs w:val="0"/>
            <w:i w:val="0"/>
            <w:iCs w:val="0"/>
            <w:caps w:val="0"/>
            <w:smallCaps w:val="0"/>
            <w:noProof w:val="0"/>
            <w:sz w:val="24"/>
            <w:szCs w:val="24"/>
            <w:lang w:val="en-US"/>
          </w:rPr>
          <w:t>www.leicester.gov.uk</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Home</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7367094289d141d2">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https://www.leicester.gov.uk/</w:t>
        </w:r>
      </w:hyperlink>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w:t>
      </w:r>
    </w:p>
    <w:p w:rsidR="6ED1731A" w:rsidP="11B198F2" w:rsidRDefault="6ED1731A" w14:paraId="3B566D47" w14:textId="0B16B085">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Yang, K. C. (2018). Multi-Platform Advertising as a Global Phenomenon. In K. Yang (Ed.),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Multi-Platform Advertising Strategies in the Global Marketplace</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(pp. 1-28). IGI Global. </w:t>
      </w:r>
      <w:hyperlink r:id="R333b80166cc341ca">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https://doi-org.ezproxy.uwtsd.ac.uk/10.4018/978-1-5225-3114-2.ch001</w:t>
        </w:r>
      </w:hyperlink>
    </w:p>
    <w:p w:rsidR="11B198F2" w:rsidP="11B198F2" w:rsidRDefault="11B198F2" w14:paraId="6D30196F" w14:textId="70E2C121">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D1731A" w:rsidP="11B198F2" w:rsidRDefault="6ED1731A" w14:paraId="6254FE12" w14:textId="7759D4B3">
      <w:pPr>
        <w:spacing w:before="200" w:beforeAutospacing="off" w:after="0" w:afterAutospacing="off" w:line="360" w:lineRule="auto"/>
        <w:ind w:left="-20" w:right="-2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Yeboah-Banin, A. A. &amp; Amoakohene, M. I. (2018). The Dark Side of Multi-Platform Advertising in an Emerging Economy Context. In K. Yang (Ed.),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Multi-Platform Advertising Strategies in the Global Marketplace</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(pp. 30-53). IGI Global. </w:t>
      </w:r>
      <w:hyperlink r:id="Re06c8a81265643cf">
        <w:r w:rsidRPr="11B198F2" w:rsidR="6ED1731A">
          <w:rPr>
            <w:rStyle w:val="Hyperlink"/>
            <w:rFonts w:ascii="Arial" w:hAnsi="Arial" w:eastAsia="Arial" w:cs="Arial"/>
            <w:b w:val="0"/>
            <w:bCs w:val="0"/>
            <w:i w:val="0"/>
            <w:iCs w:val="0"/>
            <w:caps w:val="0"/>
            <w:smallCaps w:val="0"/>
            <w:strike w:val="0"/>
            <w:dstrike w:val="0"/>
            <w:noProof w:val="0"/>
            <w:sz w:val="24"/>
            <w:szCs w:val="24"/>
            <w:lang w:val="en-US"/>
          </w:rPr>
          <w:t>https://doi-org.ezproxy.uwtsd.ac.uk/10.4018/978-1-5225-3114-2.ch002</w:t>
        </w:r>
      </w:hyperlink>
    </w:p>
    <w:p w:rsidR="6ED1731A" w:rsidP="11B198F2" w:rsidRDefault="6ED1731A" w14:paraId="47BFA3C8" w14:textId="00113C7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Zettler-Greeley, C. M., L. L. Bailet, S. Murphy, T. DeLucca, and L. Branum-Martin. 2018. “Efficacy of the Nemours BrightStart! Early Literacy Program: Treatment Outcomes from a Randomized Trial with At-Risk Prekindergartners.” </w:t>
      </w:r>
      <w:r w:rsidRPr="11B198F2" w:rsidR="6ED1731A">
        <w:rPr>
          <w:rFonts w:ascii="Arial" w:hAnsi="Arial" w:eastAsia="Arial" w:cs="Arial"/>
          <w:b w:val="0"/>
          <w:bCs w:val="0"/>
          <w:i w:val="1"/>
          <w:iCs w:val="1"/>
          <w:caps w:val="0"/>
          <w:smallCaps w:val="0"/>
          <w:noProof w:val="0"/>
          <w:color w:val="000000" w:themeColor="text1" w:themeTint="FF" w:themeShade="FF"/>
          <w:sz w:val="24"/>
          <w:szCs w:val="24"/>
          <w:lang w:val="en-US"/>
        </w:rPr>
        <w:t>Early Education and Development</w:t>
      </w:r>
      <w:r w:rsidRPr="11B198F2" w:rsidR="6ED1731A">
        <w:rPr>
          <w:rFonts w:ascii="Arial" w:hAnsi="Arial" w:eastAsia="Arial" w:cs="Arial"/>
          <w:b w:val="0"/>
          <w:bCs w:val="0"/>
          <w:i w:val="0"/>
          <w:iCs w:val="0"/>
          <w:caps w:val="0"/>
          <w:smallCaps w:val="0"/>
          <w:noProof w:val="0"/>
          <w:color w:val="000000" w:themeColor="text1" w:themeTint="FF" w:themeShade="FF"/>
          <w:sz w:val="24"/>
          <w:szCs w:val="24"/>
          <w:lang w:val="en-US"/>
        </w:rPr>
        <w:t xml:space="preserve"> 29 (6), pp. 873–892.</w:t>
      </w:r>
    </w:p>
    <w:p w:rsidR="11B198F2" w:rsidP="11B198F2" w:rsidRDefault="11B198F2" w14:paraId="74C868F3" w14:textId="1E8D69F5">
      <w:pPr>
        <w:pStyle w:val="Normal"/>
        <w:spacing w:line="360" w:lineRule="auto"/>
        <w:ind w:right="-2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11B198F2" w:rsidP="11B198F2" w:rsidRDefault="11B198F2" w14:paraId="149897D6" w14:textId="7E001A5C">
      <w:pPr>
        <w:pStyle w:val="Normal"/>
        <w:ind w:left="0" w:right="-20"/>
        <w:jc w:val="both"/>
        <w:rPr>
          <w:rFonts w:ascii="Arial" w:hAnsi="Arial" w:eastAsia="Arial" w:cs="Arial"/>
          <w:noProof w:val="0"/>
          <w:sz w:val="24"/>
          <w:szCs w:val="24"/>
          <w:lang w:val="en-GB"/>
        </w:rPr>
      </w:pPr>
    </w:p>
    <w:p w:rsidR="11B198F2" w:rsidP="11B198F2" w:rsidRDefault="11B198F2" w14:paraId="5735F047" w14:textId="7AABD6A5">
      <w:pPr>
        <w:pStyle w:val="Normal"/>
        <w:ind w:left="0" w:right="-20"/>
        <w:jc w:val="both"/>
        <w:rPr>
          <w:rFonts w:ascii="Arial" w:hAnsi="Arial" w:eastAsia="Arial" w:cs="Arial"/>
          <w:sz w:val="24"/>
          <w:szCs w:val="24"/>
        </w:rPr>
      </w:pPr>
    </w:p>
    <w:p w:rsidR="11B198F2" w:rsidP="11B198F2" w:rsidRDefault="11B198F2" w14:paraId="3C69B9AE" w14:textId="2CD4E129">
      <w:pPr>
        <w:pStyle w:val="Normal"/>
        <w:ind w:left="-20" w:right="-20" w:hanging="567"/>
        <w:rPr>
          <w:rFonts w:ascii="Arial" w:hAnsi="Arial" w:eastAsia="Arial" w:cs="Arial"/>
          <w:sz w:val="24"/>
          <w:szCs w:val="24"/>
        </w:rPr>
      </w:pPr>
    </w:p>
    <w:p w:rsidR="11B198F2" w:rsidP="11B198F2" w:rsidRDefault="11B198F2" w14:paraId="2ECC6BEB" w14:textId="71CE663E">
      <w:pPr>
        <w:pStyle w:val="Normal"/>
        <w:rPr>
          <w:rFonts w:ascii="Arial" w:hAnsi="Arial" w:eastAsia="Arial" w:cs="Arial"/>
          <w:b w:val="0"/>
          <w:bCs w:val="0"/>
          <w:i w:val="0"/>
          <w:iCs w:val="0"/>
          <w:caps w:val="0"/>
          <w:smallCaps w:val="0"/>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a2fc5954b0a74263"/>
      <w:footerReference w:type="default" r:id="R303294987a494a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B198F2" w:rsidTr="11B198F2" w14:paraId="49BEADAD">
      <w:trPr>
        <w:trHeight w:val="300"/>
      </w:trPr>
      <w:tc>
        <w:tcPr>
          <w:tcW w:w="3120" w:type="dxa"/>
          <w:tcMar/>
        </w:tcPr>
        <w:p w:rsidR="11B198F2" w:rsidP="11B198F2" w:rsidRDefault="11B198F2" w14:paraId="76207436" w14:textId="50EBA9DF">
          <w:pPr>
            <w:pStyle w:val="Header"/>
            <w:bidi w:val="0"/>
            <w:ind w:left="-115"/>
            <w:jc w:val="left"/>
          </w:pPr>
        </w:p>
      </w:tc>
      <w:tc>
        <w:tcPr>
          <w:tcW w:w="3120" w:type="dxa"/>
          <w:tcMar/>
        </w:tcPr>
        <w:p w:rsidR="11B198F2" w:rsidP="11B198F2" w:rsidRDefault="11B198F2" w14:paraId="255F0E8A" w14:textId="1294E60F">
          <w:pPr>
            <w:pStyle w:val="Header"/>
            <w:bidi w:val="0"/>
            <w:jc w:val="center"/>
          </w:pPr>
        </w:p>
      </w:tc>
      <w:tc>
        <w:tcPr>
          <w:tcW w:w="3120" w:type="dxa"/>
          <w:tcMar/>
        </w:tcPr>
        <w:p w:rsidR="11B198F2" w:rsidP="11B198F2" w:rsidRDefault="11B198F2" w14:paraId="70666869" w14:textId="0E0C6D51">
          <w:pPr>
            <w:pStyle w:val="Header"/>
            <w:bidi w:val="0"/>
            <w:ind w:right="-115"/>
            <w:jc w:val="right"/>
          </w:pPr>
        </w:p>
      </w:tc>
    </w:tr>
  </w:tbl>
  <w:p w:rsidR="11B198F2" w:rsidP="11B198F2" w:rsidRDefault="11B198F2" w14:paraId="77803E6F" w14:textId="49E5D6E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B198F2" w:rsidTr="11B198F2" w14:paraId="0DB3FDAA">
      <w:trPr>
        <w:trHeight w:val="300"/>
      </w:trPr>
      <w:tc>
        <w:tcPr>
          <w:tcW w:w="3120" w:type="dxa"/>
          <w:tcMar/>
        </w:tcPr>
        <w:p w:rsidR="11B198F2" w:rsidP="11B198F2" w:rsidRDefault="11B198F2" w14:paraId="29EEB366" w14:textId="6710C368">
          <w:pPr>
            <w:pStyle w:val="Header"/>
            <w:bidi w:val="0"/>
            <w:ind w:left="-115"/>
            <w:jc w:val="left"/>
          </w:pPr>
          <w:r w:rsidR="11B198F2">
            <w:rPr/>
            <w:t>Name: Samiya Alexander</w:t>
          </w:r>
        </w:p>
      </w:tc>
      <w:tc>
        <w:tcPr>
          <w:tcW w:w="3120" w:type="dxa"/>
          <w:tcMar/>
        </w:tcPr>
        <w:p w:rsidR="11B198F2" w:rsidP="11B198F2" w:rsidRDefault="11B198F2" w14:paraId="4C19A6F4" w14:textId="02E3259D">
          <w:pPr>
            <w:pStyle w:val="Header"/>
            <w:bidi w:val="0"/>
            <w:jc w:val="center"/>
          </w:pPr>
          <w:r w:rsidR="11B198F2">
            <w:rPr/>
            <w:t xml:space="preserve">Student No.:2114405            </w:t>
          </w:r>
        </w:p>
      </w:tc>
      <w:tc>
        <w:tcPr>
          <w:tcW w:w="3120" w:type="dxa"/>
          <w:tcMar/>
        </w:tcPr>
        <w:p w:rsidR="11B198F2" w:rsidP="11B198F2" w:rsidRDefault="11B198F2" w14:paraId="4D6DA384" w14:textId="28DD3B67">
          <w:pPr>
            <w:pStyle w:val="Header"/>
            <w:bidi w:val="0"/>
            <w:ind w:right="-115"/>
            <w:jc w:val="right"/>
          </w:pPr>
          <w:r w:rsidR="11B198F2">
            <w:rPr/>
            <w:t xml:space="preserve">Module </w:t>
          </w:r>
          <w:r w:rsidR="11B198F2">
            <w:rPr/>
            <w:t>No.: ECEY</w:t>
          </w:r>
          <w:r w:rsidR="11B198F2">
            <w:rPr/>
            <w:t>6012            Word count3,052</w:t>
          </w:r>
        </w:p>
      </w:tc>
    </w:tr>
  </w:tbl>
  <w:p w:rsidR="11B198F2" w:rsidP="11B198F2" w:rsidRDefault="11B198F2" w14:paraId="3972BABA" w14:textId="3B3C9E4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ve3TkMdz0Yv75l" int2:id="6vl5umSD">
      <int2:state int2:type="AugLoop_Text_Critique" int2:value="Rejected"/>
    </int2:textHash>
    <int2:textHash int2:hashCode="KCBD5sunHrrPoe" int2:id="Mbsh47xC">
      <int2:state int2:type="AugLoop_Text_Critique" int2:value="Rejected"/>
    </int2:textHash>
    <int2:textHash int2:hashCode="u2C+QmCbZMgRqP" int2:id="TFJaGRIU">
      <int2:state int2:type="AugLoop_Text_Critique" int2:value="Rejected"/>
    </int2:textHash>
    <int2:textHash int2:hashCode="ydaIob/g4CojTB" int2:id="2uq8N3do">
      <int2:state int2:type="AugLoop_Text_Critique" int2:value="Rejected"/>
    </int2:textHash>
    <int2:textHash int2:hashCode="2NEbCYGeba4hVE" int2:id="Mv04OLV5">
      <int2:state int2:type="AugLoop_Text_Critique" int2:value="Rejected"/>
    </int2:textHash>
    <int2:textHash int2:hashCode="ubUJ9Az3KkV1rz" int2:id="sp5FcLYV">
      <int2:state int2:type="AugLoop_Text_Critique" int2:value="Rejected"/>
    </int2:textHash>
    <int2:textHash int2:hashCode="/hWyS92sWXKxuh" int2:id="mQUNmlTP">
      <int2:state int2:type="AugLoop_Text_Critique" int2:value="Rejected"/>
    </int2:textHash>
    <int2:textHash int2:hashCode="uG26IEd+FPxHDy" int2:id="hbbNVgKJ">
      <int2:state int2:type="AugLoop_Text_Critique" int2:value="Rejected"/>
    </int2:textHash>
    <int2:textHash int2:hashCode="FpdhgnM8kughf1" int2:id="TvsHFXO2">
      <int2:state int2:type="AugLoop_Text_Critique" int2:value="Rejected"/>
    </int2:textHash>
    <int2:textHash int2:hashCode="liUYptCuMG03td" int2:id="O3GSfdk5">
      <int2:state int2:type="AugLoop_Text_Critique" int2:value="Rejected"/>
    </int2:textHash>
    <int2:textHash int2:hashCode="OaKPJdXRMbA5IO" int2:id="k3bseFhd">
      <int2:state int2:type="AugLoop_Text_Critique" int2:value="Rejected"/>
    </int2:textHash>
    <int2:textHash int2:hashCode="6BU9mcu2FzqXK5" int2:id="9BRVKKjV">
      <int2:state int2:type="AugLoop_Text_Critique" int2:value="Rejected"/>
    </int2:textHash>
    <int2:textHash int2:hashCode="0ULwbkDCZF2lCW" int2:id="4DAxcVe7">
      <int2:state int2:type="AugLoop_Text_Critique" int2:value="Rejected"/>
    </int2:textHash>
    <int2:textHash int2:hashCode="kuku5Ek2vmv0CX" int2:id="nQf2Ddv8">
      <int2:state int2:type="AugLoop_Text_Critique" int2:value="Rejected"/>
    </int2:textHash>
    <int2:textHash int2:hashCode="ni8UUdXdlt6RIo" int2:id="CrPk4yME">
      <int2:state int2:type="AugLoop_Text_Critique" int2:value="Rejected"/>
    </int2:textHash>
    <int2:bookmark int2:bookmarkName="_Int_8edPDpzt" int2:invalidationBookmarkName="" int2:hashCode="vmwyTAXdH0cMmr" int2:id="eJBWu7I6">
      <int2:state int2:type="AugLoop_Text_Critique" int2:value="Rejected"/>
    </int2:bookmark>
    <int2:bookmark int2:bookmarkName="_Int_z0ZuvuEY" int2:invalidationBookmarkName="" int2:hashCode="SradH0SdDJdch8" int2:id="m4SYhYmr">
      <int2:state int2:type="AugLoop_Text_Critique" int2:value="Rejected"/>
    </int2:bookmark>
    <int2:bookmark int2:bookmarkName="_Int_DGv9quYv" int2:invalidationBookmarkName="" int2:hashCode="Ifn6g2EMTr5qy6" int2:id="vkqT6HXV">
      <int2:state int2:type="AugLoop_Text_Critique" int2:value="Rejected"/>
    </int2:bookmark>
    <int2:bookmark int2:bookmarkName="_Int_0u1BmguT" int2:invalidationBookmarkName="" int2:hashCode="4nTu/3aMY5YIjs" int2:id="9nogUJY4">
      <int2:state int2:type="AugLoop_Text_Critique" int2:value="Rejected"/>
    </int2:bookmark>
    <int2:bookmark int2:bookmarkName="_Int_adXPLHfR" int2:invalidationBookmarkName="" int2:hashCode="hh7boAVHvJznoI" int2:id="ZSAnxEWg">
      <int2:state int2:type="AugLoop_Text_Critique" int2:value="Rejected"/>
    </int2:bookmark>
    <int2:bookmark int2:bookmarkName="_Int_cvW5rHwm" int2:invalidationBookmarkName="" int2:hashCode="xop8ximZYeAg57" int2:id="G6LrJP84">
      <int2:state int2:type="WordDesignerDefaultAnnotation" int2:value="Rejected"/>
    </int2:bookmark>
    <int2:bookmark int2:bookmarkName="_Int_3VAG6nqv" int2:invalidationBookmarkName="" int2:hashCode="WgHbby1gbypwG3" int2:id="Vdmlfc9i">
      <int2:state int2:type="WordDesignerDefaultAnnotation" int2:value="Rejected"/>
    </int2:bookmark>
    <int2:bookmark int2:bookmarkName="_Int_PHK3wtpN" int2:invalidationBookmarkName="" int2:hashCode="9RlKRnUnFBa/Mm" int2:id="tTpe8it6">
      <int2:state int2:type="AugLoop_Text_Critique" int2:value="Rejected"/>
    </int2:bookmark>
    <int2:bookmark int2:bookmarkName="_Int_BJUFc8Or" int2:invalidationBookmarkName="" int2:hashCode="a+KR4MDIYuy630" int2:id="oPdz5SQc">
      <int2:state int2:type="AugLoop_Text_Critique" int2:value="Rejected"/>
    </int2:bookmark>
    <int2:bookmark int2:bookmarkName="_Int_MZqPuL74" int2:invalidationBookmarkName="" int2:hashCode="e0dMsLOcF3PXGS" int2:id="oFWnSgoa">
      <int2:state int2:type="AugLoop_Text_Critique" int2:value="Rejected"/>
    </int2:bookmark>
    <int2:bookmark int2:bookmarkName="_Int_h3hFdsi6" int2:invalidationBookmarkName="" int2:hashCode="SradH0SdDJdch8" int2:id="8N8a5OXM">
      <int2:state int2:type="AugLoop_Text_Critique" int2:value="Rejected"/>
    </int2:bookmark>
    <int2:bookmark int2:bookmarkName="_Int_sAmwhi0A" int2:invalidationBookmarkName="" int2:hashCode="Dgcw1gwHv/ZQV2" int2:id="dcKddpaA">
      <int2:state int2:type="AugLoop_Text_Critique" int2:value="Rejected"/>
    </int2:bookmark>
    <int2:bookmark int2:bookmarkName="_Int_OkxBtTYi" int2:invalidationBookmarkName="" int2:hashCode="M1xMHi8FtSl6Vn" int2:id="NjMoMY48">
      <int2:state int2:type="AugLoop_Text_Critique" int2:value="Rejected"/>
    </int2:bookmark>
    <int2:bookmark int2:bookmarkName="_Int_HqX3xvf3" int2:invalidationBookmarkName="" int2:hashCode="ZX08dxT7jZ8t+M" int2:id="apcQY3tA">
      <int2:state int2:type="AugLoop_Text_Critique" int2:value="Rejected"/>
    </int2:bookmark>
    <int2:bookmark int2:bookmarkName="_Int_laQn4wuh" int2:invalidationBookmarkName="" int2:hashCode="S8qKDge4dSoLbY" int2:id="2NzRnofB">
      <int2:state int2:type="AugLoop_Text_Critique" int2:value="Rejected"/>
    </int2:bookmark>
    <int2:bookmark int2:bookmarkName="_Int_kU2Tj8j5" int2:invalidationBookmarkName="" int2:hashCode="2i9M6eDcqD4Mt6" int2:id="IllXc337">
      <int2:state int2:type="AugLoop_Text_Critique" int2:value="Rejected"/>
    </int2:bookmark>
    <int2:bookmark int2:bookmarkName="_Int_OHZZw0w8" int2:invalidationBookmarkName="" int2:hashCode="IEEkdmk2qlIoq+" int2:id="GnzK9qrq">
      <int2:state int2:type="AugLoop_Text_Critique" int2:value="Rejected"/>
    </int2:bookmark>
    <int2:bookmark int2:bookmarkName="_Int_i2Th4l9t" int2:invalidationBookmarkName="" int2:hashCode="N7dBRKxbARt7Js" int2:id="cRVzfSoz">
      <int2:state int2:type="AugLoop_Text_Critique" int2:value="Rejected"/>
    </int2:bookmark>
    <int2:bookmark int2:bookmarkName="_Int_9PBWecZT" int2:invalidationBookmarkName="" int2:hashCode="2i9M6eDcqD4Mt6" int2:id="8aCsF55q">
      <int2:state int2:type="AugLoop_Text_Critique" int2:value="Rejected"/>
    </int2:bookmark>
    <int2:bookmark int2:bookmarkName="_Int_lHVKcvds" int2:invalidationBookmarkName="" int2:hashCode="BTuE3t1VGiGpUi" int2:id="HCGEqecu">
      <int2:state int2:type="AugLoop_Text_Critique" int2:value="Rejected"/>
    </int2:bookmark>
    <int2:bookmark int2:bookmarkName="_Int_5SLcAMUz" int2:invalidationBookmarkName="" int2:hashCode="351r0XWD+hEdsL" int2:id="3SBKI5bD">
      <int2:state int2:type="AugLoop_Text_Critique" int2:value="Rejected"/>
    </int2:bookmark>
    <int2:bookmark int2:bookmarkName="_Int_nhyOFk97" int2:invalidationBookmarkName="" int2:hashCode="tNMsyySVbuW8nd" int2:id="O3wEH7RP">
      <int2:state int2:type="AugLoop_Text_Critique" int2:value="Rejected"/>
    </int2:bookmark>
    <int2:bookmark int2:bookmarkName="_Int_bhvMLrOL" int2:invalidationBookmarkName="" int2:hashCode="43K/JlIt1QZTyM" int2:id="WTA9kNHL">
      <int2:state int2:type="AugLoop_Text_Critique" int2:value="Rejected"/>
    </int2:bookmark>
    <int2:bookmark int2:bookmarkName="_Int_Dp2w6i3K" int2:invalidationBookmarkName="" int2:hashCode="IEEkdmk2qlIoq+" int2:id="fWtlegUJ">
      <int2:state int2:type="AugLoop_Text_Critique" int2:value="Rejected"/>
    </int2:bookmark>
    <int2:bookmark int2:bookmarkName="_Int_w48d9GSn" int2:invalidationBookmarkName="" int2:hashCode="9Radoioxolf49n" int2:id="cgAJ46ri">
      <int2:state int2:type="WordDesignerDefaultAnnotation" int2:value="Rejected"/>
    </int2:bookmark>
    <int2:bookmark int2:bookmarkName="_Int_c99otZDM" int2:invalidationBookmarkName="" int2:hashCode="KYkS+xdTYsT+Vl" int2:id="8N61Mi9m">
      <int2:state int2:type="WordDesignerDefaultAnnotation" int2:value="Rejected"/>
    </int2:bookmark>
    <int2:bookmark int2:bookmarkName="_Int_x7LhTjUD" int2:invalidationBookmarkName="" int2:hashCode="VdYP0cZV/W893q" int2:id="PhPYBL4A">
      <int2:state int2:type="AugLoop_Text_Critique" int2:value="Rejected"/>
    </int2:bookmark>
    <int2:bookmark int2:bookmarkName="_Int_oIciIIpR" int2:invalidationBookmarkName="" int2:hashCode="/GEKYUMiMplfhJ" int2:id="zjnTQzPr">
      <int2:state int2:type="AugLoop_Text_Critique" int2:value="Rejected"/>
    </int2:bookmark>
    <int2:bookmark int2:bookmarkName="_Int_yAIUsdZG" int2:invalidationBookmarkName="" int2:hashCode="GnfUFiJMu+d6Q5" int2:id="vja9mHUS">
      <int2:state int2:type="AugLoop_Text_Critique" int2:value="Rejected"/>
    </int2:bookmark>
    <int2:bookmark int2:bookmarkName="_Int_58jVb6F2" int2:invalidationBookmarkName="" int2:hashCode="ZX08dxT7jZ8t+M" int2:id="rWJX28Vn">
      <int2:state int2:type="AugLoop_Text_Critique" int2:value="Rejected"/>
    </int2:bookmark>
    <int2:bookmark int2:bookmarkName="_Int_mdGgJoXO" int2:invalidationBookmarkName="" int2:hashCode="nooB8ljuYJMKIn" int2:id="tWEO5vv8">
      <int2:state int2:type="AugLoop_Text_Critique" int2:value="Rejected"/>
    </int2:bookmark>
    <int2:bookmark int2:bookmarkName="_Int_8vy7GoXg" int2:invalidationBookmarkName="" int2:hashCode="kJoaphMw0SKAix" int2:id="XHZ9BnTO">
      <int2:state int2:type="WordDesignerSuggestedImageAnnotation" int2:value="Reviewed"/>
    </int2:bookmark>
    <int2:bookmark int2:bookmarkName="_Int_KUMj2zeP" int2:invalidationBookmarkName="" int2:hashCode="Ozb/5NA6cQqCjk" int2:id="5jUhE21u">
      <int2:state int2:type="WordDesignerPullQuotesAnnotation" int2:value="Reviewed"/>
    </int2:bookmark>
    <int2:bookmark int2:bookmarkName="_Int_ZvhAAbwM" int2:invalidationBookmarkName="" int2:hashCode="X55YArurxx+Sdf" int2:id="UR0D3Ujr">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4">
    <w:nsid w:val="212c5d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d6161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3af07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75ff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4F5692"/>
    <w:rsid w:val="001A6506"/>
    <w:rsid w:val="0063C14A"/>
    <w:rsid w:val="0163D0D1"/>
    <w:rsid w:val="01914DE1"/>
    <w:rsid w:val="01993B67"/>
    <w:rsid w:val="02316A08"/>
    <w:rsid w:val="02FFA132"/>
    <w:rsid w:val="0539280F"/>
    <w:rsid w:val="05690ACA"/>
    <w:rsid w:val="062CBB13"/>
    <w:rsid w:val="063741F4"/>
    <w:rsid w:val="0704DB2B"/>
    <w:rsid w:val="0752682B"/>
    <w:rsid w:val="07D31255"/>
    <w:rsid w:val="0873428C"/>
    <w:rsid w:val="090EE8CD"/>
    <w:rsid w:val="096EE2B6"/>
    <w:rsid w:val="0992B3AA"/>
    <w:rsid w:val="09A6870D"/>
    <w:rsid w:val="0AAAB92E"/>
    <w:rsid w:val="0AC969D3"/>
    <w:rsid w:val="0B42576E"/>
    <w:rsid w:val="0B9194AE"/>
    <w:rsid w:val="0C46898F"/>
    <w:rsid w:val="0CA68378"/>
    <w:rsid w:val="0CDE27CF"/>
    <w:rsid w:val="0D608B26"/>
    <w:rsid w:val="0D8F472D"/>
    <w:rsid w:val="0DCB18BE"/>
    <w:rsid w:val="0DE259F0"/>
    <w:rsid w:val="0E79CA9A"/>
    <w:rsid w:val="0F7A4BFD"/>
    <w:rsid w:val="0F7E2A51"/>
    <w:rsid w:val="0F96343B"/>
    <w:rsid w:val="10565AB0"/>
    <w:rsid w:val="107D8667"/>
    <w:rsid w:val="112BB6FC"/>
    <w:rsid w:val="11759F78"/>
    <w:rsid w:val="119F8064"/>
    <w:rsid w:val="11B198F2"/>
    <w:rsid w:val="11EEDE64"/>
    <w:rsid w:val="121956C8"/>
    <w:rsid w:val="122C8ED9"/>
    <w:rsid w:val="13116FD9"/>
    <w:rsid w:val="131340D9"/>
    <w:rsid w:val="13135254"/>
    <w:rsid w:val="131DB282"/>
    <w:rsid w:val="1363A590"/>
    <w:rsid w:val="138AAEC5"/>
    <w:rsid w:val="13B52729"/>
    <w:rsid w:val="13E635D4"/>
    <w:rsid w:val="14D69BBC"/>
    <w:rsid w:val="15BCFC6A"/>
    <w:rsid w:val="15DB6403"/>
    <w:rsid w:val="16C24F87"/>
    <w:rsid w:val="16FF5CC9"/>
    <w:rsid w:val="177DEBB3"/>
    <w:rsid w:val="1861F391"/>
    <w:rsid w:val="18F93B4B"/>
    <w:rsid w:val="19493107"/>
    <w:rsid w:val="19713DE7"/>
    <w:rsid w:val="198CF406"/>
    <w:rsid w:val="19BA7116"/>
    <w:rsid w:val="19F9F049"/>
    <w:rsid w:val="1A279C80"/>
    <w:rsid w:val="1A2B8B6E"/>
    <w:rsid w:val="1B283787"/>
    <w:rsid w:val="1B75C8A4"/>
    <w:rsid w:val="1B7B33D0"/>
    <w:rsid w:val="1C30DC0D"/>
    <w:rsid w:val="1CC407E8"/>
    <w:rsid w:val="1CEAC910"/>
    <w:rsid w:val="1DCCAC6E"/>
    <w:rsid w:val="1E0D81CF"/>
    <w:rsid w:val="1ECD1D57"/>
    <w:rsid w:val="1F687CCF"/>
    <w:rsid w:val="1F801F12"/>
    <w:rsid w:val="216DC994"/>
    <w:rsid w:val="217F02FE"/>
    <w:rsid w:val="21A099DF"/>
    <w:rsid w:val="21C63CF5"/>
    <w:rsid w:val="22A01D91"/>
    <w:rsid w:val="2333496C"/>
    <w:rsid w:val="23595C7C"/>
    <w:rsid w:val="23A2F483"/>
    <w:rsid w:val="243BEDF2"/>
    <w:rsid w:val="24DCEC1B"/>
    <w:rsid w:val="25074B04"/>
    <w:rsid w:val="25D7BE53"/>
    <w:rsid w:val="261893B4"/>
    <w:rsid w:val="2665A384"/>
    <w:rsid w:val="26D2EE43"/>
    <w:rsid w:val="26E44B80"/>
    <w:rsid w:val="27B30DE7"/>
    <w:rsid w:val="280173E5"/>
    <w:rsid w:val="2851209C"/>
    <w:rsid w:val="28A2F763"/>
    <w:rsid w:val="29828017"/>
    <w:rsid w:val="2A8934F9"/>
    <w:rsid w:val="2ACB80EC"/>
    <w:rsid w:val="2AEC04D7"/>
    <w:rsid w:val="2B57E2F0"/>
    <w:rsid w:val="2BD9E892"/>
    <w:rsid w:val="2BDE4A5E"/>
    <w:rsid w:val="2C46FFD7"/>
    <w:rsid w:val="2C7F4E7B"/>
    <w:rsid w:val="2C87D538"/>
    <w:rsid w:val="2DE2D038"/>
    <w:rsid w:val="2E0C73BB"/>
    <w:rsid w:val="2EBDAE69"/>
    <w:rsid w:val="2EDD68DE"/>
    <w:rsid w:val="2F0EAD19"/>
    <w:rsid w:val="2FB4C943"/>
    <w:rsid w:val="30107EF4"/>
    <w:rsid w:val="311A70FA"/>
    <w:rsid w:val="31289815"/>
    <w:rsid w:val="315E11E4"/>
    <w:rsid w:val="32852CE3"/>
    <w:rsid w:val="32FFFDC7"/>
    <w:rsid w:val="33061EB8"/>
    <w:rsid w:val="3420FD44"/>
    <w:rsid w:val="3575437D"/>
    <w:rsid w:val="35E43601"/>
    <w:rsid w:val="35F80964"/>
    <w:rsid w:val="3652858D"/>
    <w:rsid w:val="36771558"/>
    <w:rsid w:val="368DFE44"/>
    <w:rsid w:val="36C3C413"/>
    <w:rsid w:val="36D5A18F"/>
    <w:rsid w:val="3724FD31"/>
    <w:rsid w:val="3738E2A2"/>
    <w:rsid w:val="38063C15"/>
    <w:rsid w:val="38A3D476"/>
    <w:rsid w:val="3A001D75"/>
    <w:rsid w:val="3AD67BCD"/>
    <w:rsid w:val="3B43279E"/>
    <w:rsid w:val="3C674AE8"/>
    <w:rsid w:val="3CA10F13"/>
    <w:rsid w:val="3DE23D6F"/>
    <w:rsid w:val="3EBF4A37"/>
    <w:rsid w:val="3FAD39B6"/>
    <w:rsid w:val="3FE09014"/>
    <w:rsid w:val="424C04BB"/>
    <w:rsid w:val="428C3A6A"/>
    <w:rsid w:val="433E4A42"/>
    <w:rsid w:val="43B6B9E9"/>
    <w:rsid w:val="4557B00A"/>
    <w:rsid w:val="46114F01"/>
    <w:rsid w:val="4883DEAF"/>
    <w:rsid w:val="4AAE5018"/>
    <w:rsid w:val="4B269423"/>
    <w:rsid w:val="4C057057"/>
    <w:rsid w:val="4C2484A1"/>
    <w:rsid w:val="4C4D2B01"/>
    <w:rsid w:val="4D2CDE88"/>
    <w:rsid w:val="4D625575"/>
    <w:rsid w:val="4D96A4E8"/>
    <w:rsid w:val="4E991270"/>
    <w:rsid w:val="4EAE81F8"/>
    <w:rsid w:val="4EBB6C04"/>
    <w:rsid w:val="4EC8AEE9"/>
    <w:rsid w:val="4ED8778B"/>
    <w:rsid w:val="4F5E279F"/>
    <w:rsid w:val="4F84CBC3"/>
    <w:rsid w:val="4FBC3A80"/>
    <w:rsid w:val="50CE45AA"/>
    <w:rsid w:val="50DEE74A"/>
    <w:rsid w:val="51778A96"/>
    <w:rsid w:val="51F3D614"/>
    <w:rsid w:val="521690A0"/>
    <w:rsid w:val="526A160B"/>
    <w:rsid w:val="528E72E4"/>
    <w:rsid w:val="52BC6C85"/>
    <w:rsid w:val="52C4E161"/>
    <w:rsid w:val="5491A44F"/>
    <w:rsid w:val="554F5692"/>
    <w:rsid w:val="55A1B6CD"/>
    <w:rsid w:val="562D74B0"/>
    <w:rsid w:val="563248CB"/>
    <w:rsid w:val="56A65083"/>
    <w:rsid w:val="56D1EFCE"/>
    <w:rsid w:val="57C94511"/>
    <w:rsid w:val="57E67D18"/>
    <w:rsid w:val="586DC02F"/>
    <w:rsid w:val="588BAD16"/>
    <w:rsid w:val="596B2F3E"/>
    <w:rsid w:val="5BE44D68"/>
    <w:rsid w:val="5CDAD79E"/>
    <w:rsid w:val="5D1B3AE8"/>
    <w:rsid w:val="5ED306BF"/>
    <w:rsid w:val="5F316735"/>
    <w:rsid w:val="5F401256"/>
    <w:rsid w:val="5F57AA41"/>
    <w:rsid w:val="61EC7C5E"/>
    <w:rsid w:val="625706B7"/>
    <w:rsid w:val="6265BB4A"/>
    <w:rsid w:val="62DF95DF"/>
    <w:rsid w:val="631566C7"/>
    <w:rsid w:val="637B95F2"/>
    <w:rsid w:val="63BA4C20"/>
    <w:rsid w:val="63E12EFE"/>
    <w:rsid w:val="654D78A2"/>
    <w:rsid w:val="656A4D97"/>
    <w:rsid w:val="6633D950"/>
    <w:rsid w:val="66BFED81"/>
    <w:rsid w:val="66CC302A"/>
    <w:rsid w:val="66E4CBA7"/>
    <w:rsid w:val="67392C6D"/>
    <w:rsid w:val="685D8EE2"/>
    <w:rsid w:val="68B6085D"/>
    <w:rsid w:val="692DDA12"/>
    <w:rsid w:val="69701831"/>
    <w:rsid w:val="6A70CD2F"/>
    <w:rsid w:val="6A8230EA"/>
    <w:rsid w:val="6B25D85A"/>
    <w:rsid w:val="6B359BEE"/>
    <w:rsid w:val="6DA86DF1"/>
    <w:rsid w:val="6ECCBE95"/>
    <w:rsid w:val="6ED1731A"/>
    <w:rsid w:val="6F39FF7A"/>
    <w:rsid w:val="6F61AC03"/>
    <w:rsid w:val="70155866"/>
    <w:rsid w:val="72155D83"/>
    <w:rsid w:val="7261891B"/>
    <w:rsid w:val="7357CFD8"/>
    <w:rsid w:val="739B99C4"/>
    <w:rsid w:val="73B12DE4"/>
    <w:rsid w:val="7462E02A"/>
    <w:rsid w:val="751BFA89"/>
    <w:rsid w:val="755AEADE"/>
    <w:rsid w:val="761CFF21"/>
    <w:rsid w:val="7651CF61"/>
    <w:rsid w:val="766B18D9"/>
    <w:rsid w:val="76916719"/>
    <w:rsid w:val="769C6503"/>
    <w:rsid w:val="76FD9904"/>
    <w:rsid w:val="77610A9C"/>
    <w:rsid w:val="790136F7"/>
    <w:rsid w:val="797A0F18"/>
    <w:rsid w:val="79C907DB"/>
    <w:rsid w:val="7A4BC328"/>
    <w:rsid w:val="7A9D0758"/>
    <w:rsid w:val="7AB38D34"/>
    <w:rsid w:val="7B220C5C"/>
    <w:rsid w:val="7C70BA31"/>
    <w:rsid w:val="7CBDDCBD"/>
    <w:rsid w:val="7E51D202"/>
    <w:rsid w:val="7F2333C5"/>
    <w:rsid w:val="7FA9F08F"/>
    <w:rsid w:val="7FBD8E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F5692"/>
  <w15:chartTrackingRefBased/>
  <w15:docId w15:val="{4D1BF678-D899-4D9F-B5C3-C7EF08A413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1B198F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1B198F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1B198F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1B198F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1B198F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1B198F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1B198F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1B198F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1B198F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1B198F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1B198F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1B198F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1B198F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1B198F2"/>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B198F2"/>
    <w:pPr>
      <w:spacing/>
      <w:ind w:left="720"/>
      <w:contextualSpacing/>
    </w:pPr>
  </w:style>
  <w:style w:type="paragraph" w:styleId="TOC1">
    <w:uiPriority w:val="39"/>
    <w:name w:val="toc 1"/>
    <w:basedOn w:val="Normal"/>
    <w:next w:val="Normal"/>
    <w:unhideWhenUsed/>
    <w:rsid w:val="11B198F2"/>
    <w:pPr>
      <w:spacing w:after="100"/>
    </w:pPr>
  </w:style>
  <w:style w:type="paragraph" w:styleId="TOC2">
    <w:uiPriority w:val="39"/>
    <w:name w:val="toc 2"/>
    <w:basedOn w:val="Normal"/>
    <w:next w:val="Normal"/>
    <w:unhideWhenUsed/>
    <w:rsid w:val="11B198F2"/>
    <w:pPr>
      <w:spacing w:after="100"/>
      <w:ind w:left="220"/>
    </w:pPr>
  </w:style>
  <w:style w:type="paragraph" w:styleId="TOC3">
    <w:uiPriority w:val="39"/>
    <w:name w:val="toc 3"/>
    <w:basedOn w:val="Normal"/>
    <w:next w:val="Normal"/>
    <w:unhideWhenUsed/>
    <w:rsid w:val="11B198F2"/>
    <w:pPr>
      <w:spacing w:after="100"/>
      <w:ind w:left="440"/>
    </w:pPr>
  </w:style>
  <w:style w:type="paragraph" w:styleId="TOC4">
    <w:uiPriority w:val="39"/>
    <w:name w:val="toc 4"/>
    <w:basedOn w:val="Normal"/>
    <w:next w:val="Normal"/>
    <w:unhideWhenUsed/>
    <w:rsid w:val="11B198F2"/>
    <w:pPr>
      <w:spacing w:after="100"/>
      <w:ind w:left="660"/>
    </w:pPr>
  </w:style>
  <w:style w:type="paragraph" w:styleId="TOC5">
    <w:uiPriority w:val="39"/>
    <w:name w:val="toc 5"/>
    <w:basedOn w:val="Normal"/>
    <w:next w:val="Normal"/>
    <w:unhideWhenUsed/>
    <w:rsid w:val="11B198F2"/>
    <w:pPr>
      <w:spacing w:after="100"/>
      <w:ind w:left="880"/>
    </w:pPr>
  </w:style>
  <w:style w:type="paragraph" w:styleId="TOC6">
    <w:uiPriority w:val="39"/>
    <w:name w:val="toc 6"/>
    <w:basedOn w:val="Normal"/>
    <w:next w:val="Normal"/>
    <w:unhideWhenUsed/>
    <w:rsid w:val="11B198F2"/>
    <w:pPr>
      <w:spacing w:after="100"/>
      <w:ind w:left="1100"/>
    </w:pPr>
  </w:style>
  <w:style w:type="paragraph" w:styleId="TOC7">
    <w:uiPriority w:val="39"/>
    <w:name w:val="toc 7"/>
    <w:basedOn w:val="Normal"/>
    <w:next w:val="Normal"/>
    <w:unhideWhenUsed/>
    <w:rsid w:val="11B198F2"/>
    <w:pPr>
      <w:spacing w:after="100"/>
      <w:ind w:left="1320"/>
    </w:pPr>
  </w:style>
  <w:style w:type="paragraph" w:styleId="TOC8">
    <w:uiPriority w:val="39"/>
    <w:name w:val="toc 8"/>
    <w:basedOn w:val="Normal"/>
    <w:next w:val="Normal"/>
    <w:unhideWhenUsed/>
    <w:rsid w:val="11B198F2"/>
    <w:pPr>
      <w:spacing w:after="100"/>
      <w:ind w:left="1540"/>
    </w:pPr>
  </w:style>
  <w:style w:type="paragraph" w:styleId="TOC9">
    <w:uiPriority w:val="39"/>
    <w:name w:val="toc 9"/>
    <w:basedOn w:val="Normal"/>
    <w:next w:val="Normal"/>
    <w:unhideWhenUsed/>
    <w:rsid w:val="11B198F2"/>
    <w:pPr>
      <w:spacing w:after="100"/>
      <w:ind w:left="1760"/>
    </w:pPr>
  </w:style>
  <w:style w:type="paragraph" w:styleId="EndnoteText">
    <w:uiPriority w:val="99"/>
    <w:name w:val="endnote text"/>
    <w:basedOn w:val="Normal"/>
    <w:semiHidden/>
    <w:unhideWhenUsed/>
    <w:link w:val="EndnoteTextChar"/>
    <w:rsid w:val="11B198F2"/>
    <w:rPr>
      <w:sz w:val="20"/>
      <w:szCs w:val="20"/>
    </w:rPr>
    <w:pPr>
      <w:spacing w:after="0" w:line="240" w:lineRule="auto"/>
    </w:pPr>
  </w:style>
  <w:style w:type="paragraph" w:styleId="Footer">
    <w:uiPriority w:val="99"/>
    <w:name w:val="footer"/>
    <w:basedOn w:val="Normal"/>
    <w:unhideWhenUsed/>
    <w:link w:val="FooterChar"/>
    <w:rsid w:val="11B198F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1B198F2"/>
    <w:rPr>
      <w:sz w:val="20"/>
      <w:szCs w:val="20"/>
    </w:rPr>
    <w:pPr>
      <w:spacing w:after="0" w:line="240" w:lineRule="auto"/>
    </w:pPr>
  </w:style>
  <w:style w:type="paragraph" w:styleId="Header">
    <w:uiPriority w:val="99"/>
    <w:name w:val="header"/>
    <w:basedOn w:val="Normal"/>
    <w:unhideWhenUsed/>
    <w:link w:val="HeaderChar"/>
    <w:rsid w:val="11B198F2"/>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349567e3438e4467" /><Relationship Type="http://schemas.openxmlformats.org/officeDocument/2006/relationships/image" Target="/media/image2.jpg" Id="Rfe5b2256c1784e67" /><Relationship Type="http://schemas.openxmlformats.org/officeDocument/2006/relationships/hyperlink" Target="https://www.unicef.org.uk/what-we-do/un-convention-child-rights," TargetMode="External" Id="R35bf290b09d64186" /><Relationship Type="http://schemas.openxmlformats.org/officeDocument/2006/relationships/hyperlink" Target="https://www.gov.vc/" TargetMode="External" Id="R6512e6380f254e75" /><Relationship Type="http://schemas.openxmlformats.org/officeDocument/2006/relationships/hyperlink" Target="https://education.gov.vc/education/" TargetMode="External" Id="R58651762b38641a5" /><Relationship Type="http://schemas.openxmlformats.org/officeDocument/2006/relationships/hyperlink" Target="https://education.gov.vc/" TargetMode="External" Id="R0bfdd627d03c48f9" /><Relationship Type="http://schemas.openxmlformats.org/officeDocument/2006/relationships/hyperlink" Target="https://handsacrossthesea.org/" TargetMode="External" Id="Re46d118203774d0b" /><Relationship Type="http://schemas.openxmlformats.org/officeDocument/2006/relationships/hyperlink" Target="https://www.ifla.org/" TargetMode="External" Id="R396aecbb75bd45d6" /><Relationship Type="http://schemas.openxmlformats.org/officeDocument/2006/relationships/hyperlink" Target="https://www.ncca.ie/media/2137/literacy_in_early_childhood_and_primary_education_3-8_years.pdf" TargetMode="External" Id="R545e29ab5c034a63" /><Relationship Type="http://schemas.openxmlformats.org/officeDocument/2006/relationships/hyperlink" Target="https://doi.org/10.1097/01.IYC.0000324553.85187.dc" TargetMode="External" Id="Rf1735e6ab71d44e0" /><Relationship Type="http://schemas.openxmlformats.org/officeDocument/2006/relationships/hyperlink" Target="https://www.naeyc.org/" TargetMode="External" Id="Rbb9ab1f96be64460" /><Relationship Type="http://schemas.openxmlformats.org/officeDocument/2006/relationships/hyperlink" Target="https://literacytrust.org.uk/" TargetMode="External" Id="R5c9fe16969ec4586" /><Relationship Type="http://schemas.openxmlformats.org/officeDocument/2006/relationships/hyperlink" Target="https://www.ohchr.org/" TargetMode="External" Id="R9394721431a947c8" /><Relationship Type="http://schemas.openxmlformats.org/officeDocument/2006/relationships/hyperlink" Target="http://shireleasing.co.uk/" TargetMode="External" Id="R427626847fae48f7" /><Relationship Type="http://schemas.openxmlformats.org/officeDocument/2006/relationships/hyperlink" Target="https://www.unicef.org.uk/" TargetMode="External" Id="R4fc3493f2b3a44a2" /><Relationship Type="http://schemas.openxmlformats.org/officeDocument/2006/relationships/hyperlink" Target="https://www.unicef.org/" TargetMode="External" Id="Rb056560c1e4a412b" /><Relationship Type="http://schemas.openxmlformats.org/officeDocument/2006/relationships/hyperlink" Target="https://www.legislation.gov.uk/" TargetMode="External" Id="R67de906d657e4b91" /><Relationship Type="http://schemas.openxmlformats.org/officeDocument/2006/relationships/hyperlink" Target="https://uwispace.sta.uwi.edu/" TargetMode="External" Id="R2d5492f4c43d4ee4" /><Relationship Type="http://schemas.openxmlformats.org/officeDocument/2006/relationships/hyperlink" Target="https://www.gov.vc/" TargetMode="External" Id="R2251b63ec1814227" /><Relationship Type="http://schemas.openxmlformats.org/officeDocument/2006/relationships/hyperlink" Target="https://www.gov.vc/" TargetMode="External" Id="R4d72b1b3e06b444a" /><Relationship Type="http://schemas.openxmlformats.org/officeDocument/2006/relationships/hyperlink" Target="https://www.leicester.gov.uk/" TargetMode="External" Id="R7367094289d141d2" /><Relationship Type="http://schemas.openxmlformats.org/officeDocument/2006/relationships/hyperlink" Target="https://doi-org.ezproxy.uwtsd.ac.uk/10.4018/978-1-5225-3114-2.ch001" TargetMode="External" Id="R333b80166cc341ca" /><Relationship Type="http://schemas.openxmlformats.org/officeDocument/2006/relationships/hyperlink" Target="https://doi-org.ezproxy.uwtsd.ac.uk/10.4018/978-1-5225-3114-2.ch002" TargetMode="External" Id="Re06c8a81265643cf" /><Relationship Type="http://schemas.openxmlformats.org/officeDocument/2006/relationships/header" Target="header.xml" Id="Ra2fc5954b0a74263" /><Relationship Type="http://schemas.openxmlformats.org/officeDocument/2006/relationships/footer" Target="footer.xml" Id="R303294987a494a9e" /><Relationship Type="http://schemas.microsoft.com/office/2020/10/relationships/intelligence" Target="intelligence2.xml" Id="Reb474be2687b432d" /><Relationship Type="http://schemas.openxmlformats.org/officeDocument/2006/relationships/numbering" Target="numbering.xml" Id="R73eaeff85bc445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2024-02-28T15:26:58.5141781Z</dcterms:created>
  <dcterms:modified xsi:type="dcterms:W3CDTF">2024-03-03T19:00:28.3399970Z</dcterms:modified>
  <dc:creator>Samiya Alexander (2114405)</dc:creator>
  <lastModifiedBy>Samiya Alexander (2114405)</lastModifiedBy>
</coreProperties>
</file>