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65C15" w14:textId="77777777" w:rsidR="00584207" w:rsidRDefault="00584207" w:rsidP="00584207">
      <w:pPr>
        <w:spacing w:line="360" w:lineRule="auto"/>
        <w:rPr>
          <w:rFonts w:ascii="Arial" w:hAnsi="Arial" w:cs="Arial"/>
        </w:rPr>
      </w:pPr>
    </w:p>
    <w:p w14:paraId="322764E0" w14:textId="77777777" w:rsidR="00584207" w:rsidRDefault="00584207" w:rsidP="00584207">
      <w:pPr>
        <w:spacing w:line="360" w:lineRule="auto"/>
        <w:rPr>
          <w:rFonts w:ascii="Arial" w:hAnsi="Arial" w:cs="Arial"/>
        </w:rPr>
      </w:pPr>
    </w:p>
    <w:p w14:paraId="2C55B7A6" w14:textId="77777777" w:rsidR="00584207" w:rsidRDefault="00584207" w:rsidP="00584207">
      <w:pPr>
        <w:spacing w:line="360" w:lineRule="auto"/>
        <w:rPr>
          <w:rFonts w:ascii="Arial" w:hAnsi="Arial" w:cs="Arial"/>
        </w:rPr>
      </w:pPr>
    </w:p>
    <w:p w14:paraId="6F731FB6" w14:textId="77777777" w:rsidR="00584207" w:rsidRDefault="00584207" w:rsidP="00584207">
      <w:pPr>
        <w:spacing w:line="360" w:lineRule="auto"/>
        <w:jc w:val="center"/>
        <w:rPr>
          <w:rFonts w:ascii="Arial" w:hAnsi="Arial" w:cs="Arial"/>
          <w:b/>
          <w:bCs/>
        </w:rPr>
      </w:pPr>
      <w:r>
        <w:rPr>
          <w:rFonts w:ascii="Arial" w:hAnsi="Arial" w:cs="Arial"/>
          <w:b/>
          <w:bCs/>
        </w:rPr>
        <w:t>Health and Social Care Practice</w:t>
      </w:r>
    </w:p>
    <w:p w14:paraId="2E94831A" w14:textId="7FE1DD50" w:rsidR="00584207" w:rsidRDefault="00584207" w:rsidP="00584207">
      <w:pPr>
        <w:spacing w:line="360" w:lineRule="auto"/>
        <w:jc w:val="center"/>
        <w:rPr>
          <w:rFonts w:ascii="Arial" w:hAnsi="Arial" w:cs="Arial"/>
        </w:rPr>
      </w:pPr>
      <w:r>
        <w:rPr>
          <w:rFonts w:ascii="Arial" w:hAnsi="Arial" w:cs="Arial"/>
          <w:b/>
          <w:bCs/>
        </w:rPr>
        <w:t xml:space="preserve">Student’s </w:t>
      </w:r>
      <w:r w:rsidRPr="00584207">
        <w:rPr>
          <w:rFonts w:ascii="Arial" w:hAnsi="Arial" w:cs="Arial"/>
          <w:b/>
          <w:bCs/>
        </w:rPr>
        <w:t>Name:</w:t>
      </w:r>
      <w:r>
        <w:rPr>
          <w:rFonts w:ascii="Arial" w:hAnsi="Arial" w:cs="Arial"/>
        </w:rPr>
        <w:t xml:space="preserve"> </w:t>
      </w:r>
      <w:r w:rsidR="0024136A">
        <w:rPr>
          <w:rFonts w:ascii="Arial" w:hAnsi="Arial" w:cs="Arial"/>
        </w:rPr>
        <w:t xml:space="preserve">Nasreen Akhtar </w:t>
      </w:r>
    </w:p>
    <w:p w14:paraId="12764B33" w14:textId="7834E5F9" w:rsidR="00584207" w:rsidRDefault="00584207" w:rsidP="00584207">
      <w:pPr>
        <w:spacing w:line="360" w:lineRule="auto"/>
        <w:jc w:val="center"/>
        <w:rPr>
          <w:rFonts w:ascii="Arial" w:hAnsi="Arial" w:cs="Arial"/>
        </w:rPr>
      </w:pPr>
      <w:r w:rsidRPr="00584207">
        <w:rPr>
          <w:rFonts w:ascii="Arial" w:hAnsi="Arial" w:cs="Arial"/>
          <w:b/>
          <w:bCs/>
        </w:rPr>
        <w:t>Student Number:</w:t>
      </w:r>
      <w:r>
        <w:rPr>
          <w:rFonts w:ascii="Arial" w:hAnsi="Arial" w:cs="Arial"/>
        </w:rPr>
        <w:t xml:space="preserve"> </w:t>
      </w:r>
      <w:r w:rsidR="0024136A">
        <w:rPr>
          <w:rFonts w:ascii="Arial" w:hAnsi="Arial" w:cs="Arial"/>
        </w:rPr>
        <w:t>2407148</w:t>
      </w:r>
    </w:p>
    <w:p w14:paraId="5F2F9354" w14:textId="77777777" w:rsidR="00584207" w:rsidRDefault="00584207" w:rsidP="00584207">
      <w:pPr>
        <w:spacing w:line="360" w:lineRule="auto"/>
        <w:jc w:val="center"/>
        <w:rPr>
          <w:rFonts w:ascii="Arial" w:hAnsi="Arial" w:cs="Arial"/>
        </w:rPr>
      </w:pPr>
      <w:r w:rsidRPr="00584207">
        <w:rPr>
          <w:rFonts w:ascii="Arial" w:hAnsi="Arial" w:cs="Arial"/>
          <w:b/>
          <w:bCs/>
        </w:rPr>
        <w:t>Module Code and Title:</w:t>
      </w:r>
      <w:r w:rsidRPr="00584207">
        <w:rPr>
          <w:rFonts w:ascii="Arial" w:hAnsi="Arial" w:cs="Arial"/>
        </w:rPr>
        <w:t xml:space="preserve"> BMHP5016 – Principles of </w:t>
      </w:r>
      <w:r>
        <w:rPr>
          <w:rFonts w:ascii="Arial" w:hAnsi="Arial" w:cs="Arial"/>
        </w:rPr>
        <w:t>Health and Social Care Practice</w:t>
      </w:r>
    </w:p>
    <w:p w14:paraId="3F33F95F" w14:textId="301B8A5E" w:rsidR="00584207" w:rsidRDefault="00584207" w:rsidP="00584207">
      <w:pPr>
        <w:spacing w:line="360" w:lineRule="auto"/>
        <w:jc w:val="center"/>
        <w:rPr>
          <w:rFonts w:ascii="Arial" w:hAnsi="Arial" w:cs="Arial"/>
        </w:rPr>
      </w:pPr>
      <w:r>
        <w:rPr>
          <w:rFonts w:ascii="Arial" w:hAnsi="Arial" w:cs="Arial"/>
          <w:b/>
          <w:bCs/>
        </w:rPr>
        <w:t>Due</w:t>
      </w:r>
      <w:r w:rsidRPr="00584207">
        <w:rPr>
          <w:rFonts w:ascii="Arial" w:hAnsi="Arial" w:cs="Arial"/>
          <w:b/>
          <w:bCs/>
        </w:rPr>
        <w:t xml:space="preserve"> Date:</w:t>
      </w:r>
      <w:r w:rsidR="0024136A">
        <w:rPr>
          <w:rFonts w:ascii="Arial" w:hAnsi="Arial" w:cs="Arial"/>
          <w:b/>
          <w:bCs/>
        </w:rPr>
        <w:t xml:space="preserve"> 29/03/2026</w:t>
      </w:r>
    </w:p>
    <w:p w14:paraId="47F29504" w14:textId="77777777" w:rsidR="00584207" w:rsidRDefault="00584207" w:rsidP="00584207">
      <w:pPr>
        <w:spacing w:line="360" w:lineRule="auto"/>
        <w:rPr>
          <w:rFonts w:ascii="Arial" w:hAnsi="Arial" w:cs="Arial"/>
        </w:rPr>
      </w:pPr>
    </w:p>
    <w:p w14:paraId="404B9CAF" w14:textId="77777777" w:rsidR="00584207" w:rsidRDefault="00584207" w:rsidP="00584207">
      <w:pPr>
        <w:spacing w:line="360" w:lineRule="auto"/>
        <w:rPr>
          <w:rFonts w:ascii="Arial" w:hAnsi="Arial" w:cs="Arial"/>
        </w:rPr>
      </w:pPr>
    </w:p>
    <w:p w14:paraId="2FC6C46F" w14:textId="77777777" w:rsidR="00584207" w:rsidRDefault="00584207" w:rsidP="00584207">
      <w:pPr>
        <w:spacing w:line="360" w:lineRule="auto"/>
        <w:rPr>
          <w:rFonts w:ascii="Arial" w:hAnsi="Arial" w:cs="Arial"/>
        </w:rPr>
      </w:pPr>
    </w:p>
    <w:p w14:paraId="776AAE83" w14:textId="77777777" w:rsidR="00584207" w:rsidRDefault="00584207" w:rsidP="00584207">
      <w:pPr>
        <w:spacing w:line="360" w:lineRule="auto"/>
        <w:rPr>
          <w:rFonts w:ascii="Arial" w:hAnsi="Arial" w:cs="Arial"/>
        </w:rPr>
      </w:pPr>
    </w:p>
    <w:p w14:paraId="52B5CFC6" w14:textId="77777777" w:rsidR="00584207" w:rsidRDefault="00584207" w:rsidP="00584207">
      <w:pPr>
        <w:spacing w:line="360" w:lineRule="auto"/>
        <w:rPr>
          <w:rFonts w:ascii="Arial" w:hAnsi="Arial" w:cs="Arial"/>
        </w:rPr>
      </w:pPr>
    </w:p>
    <w:p w14:paraId="23F0C642" w14:textId="77777777" w:rsidR="00584207" w:rsidRDefault="00584207" w:rsidP="00584207">
      <w:pPr>
        <w:spacing w:line="360" w:lineRule="auto"/>
        <w:rPr>
          <w:rFonts w:ascii="Arial" w:hAnsi="Arial" w:cs="Arial"/>
        </w:rPr>
      </w:pPr>
    </w:p>
    <w:p w14:paraId="66F297F5" w14:textId="77777777" w:rsidR="00584207" w:rsidRDefault="00584207" w:rsidP="00584207">
      <w:pPr>
        <w:spacing w:line="360" w:lineRule="auto"/>
        <w:rPr>
          <w:rFonts w:ascii="Arial" w:hAnsi="Arial" w:cs="Arial"/>
        </w:rPr>
      </w:pPr>
    </w:p>
    <w:p w14:paraId="03BC84DF" w14:textId="77777777" w:rsidR="00584207" w:rsidRDefault="00584207" w:rsidP="00584207">
      <w:pPr>
        <w:spacing w:line="360" w:lineRule="auto"/>
        <w:rPr>
          <w:rFonts w:ascii="Arial" w:hAnsi="Arial" w:cs="Arial"/>
        </w:rPr>
      </w:pPr>
    </w:p>
    <w:p w14:paraId="724223F1" w14:textId="77777777" w:rsidR="00584207" w:rsidRDefault="00584207" w:rsidP="00584207">
      <w:pPr>
        <w:spacing w:line="360" w:lineRule="auto"/>
        <w:rPr>
          <w:rFonts w:ascii="Arial" w:hAnsi="Arial" w:cs="Arial"/>
        </w:rPr>
      </w:pPr>
    </w:p>
    <w:p w14:paraId="6E69D8F2" w14:textId="77777777" w:rsidR="00584207" w:rsidRDefault="00584207" w:rsidP="00584207">
      <w:pPr>
        <w:spacing w:line="360" w:lineRule="auto"/>
        <w:rPr>
          <w:rFonts w:ascii="Arial" w:hAnsi="Arial" w:cs="Arial"/>
        </w:rPr>
      </w:pPr>
    </w:p>
    <w:p w14:paraId="6DB4BA9E" w14:textId="77777777" w:rsidR="00584207" w:rsidRDefault="00584207" w:rsidP="00584207">
      <w:pPr>
        <w:spacing w:line="360" w:lineRule="auto"/>
        <w:rPr>
          <w:rFonts w:ascii="Arial" w:hAnsi="Arial" w:cs="Arial"/>
        </w:rPr>
      </w:pPr>
    </w:p>
    <w:p w14:paraId="49681F3B" w14:textId="77777777" w:rsidR="00584207" w:rsidRDefault="00584207" w:rsidP="00584207">
      <w:pPr>
        <w:spacing w:line="360" w:lineRule="auto"/>
        <w:rPr>
          <w:rFonts w:ascii="Arial" w:hAnsi="Arial" w:cs="Arial"/>
        </w:rPr>
      </w:pPr>
    </w:p>
    <w:p w14:paraId="3A830090" w14:textId="77777777" w:rsidR="00584207" w:rsidRDefault="00584207" w:rsidP="00584207">
      <w:pPr>
        <w:spacing w:line="360" w:lineRule="auto"/>
        <w:rPr>
          <w:rFonts w:ascii="Arial" w:hAnsi="Arial" w:cs="Arial"/>
        </w:rPr>
      </w:pPr>
    </w:p>
    <w:p w14:paraId="4EB95DE4" w14:textId="77777777" w:rsidR="00584207" w:rsidRDefault="00584207" w:rsidP="00584207">
      <w:pPr>
        <w:spacing w:line="360" w:lineRule="auto"/>
        <w:rPr>
          <w:rFonts w:ascii="Arial" w:hAnsi="Arial" w:cs="Arial"/>
        </w:rPr>
      </w:pPr>
    </w:p>
    <w:p w14:paraId="3853DBE8" w14:textId="77777777" w:rsidR="00584207" w:rsidRDefault="00584207" w:rsidP="00584207">
      <w:pPr>
        <w:spacing w:line="360" w:lineRule="auto"/>
        <w:rPr>
          <w:rFonts w:ascii="Arial" w:hAnsi="Arial" w:cs="Arial"/>
        </w:rPr>
      </w:pPr>
    </w:p>
    <w:p w14:paraId="0428123A" w14:textId="77777777" w:rsidR="00584207" w:rsidRDefault="00584207" w:rsidP="00584207">
      <w:pPr>
        <w:spacing w:line="360" w:lineRule="auto"/>
        <w:rPr>
          <w:rFonts w:ascii="Arial" w:hAnsi="Arial" w:cs="Arial"/>
        </w:rPr>
      </w:pPr>
    </w:p>
    <w:p w14:paraId="104FDE5D" w14:textId="77777777" w:rsidR="00584207" w:rsidRPr="00584207" w:rsidRDefault="00584207" w:rsidP="00584207">
      <w:pPr>
        <w:spacing w:line="360" w:lineRule="auto"/>
        <w:rPr>
          <w:rFonts w:ascii="Arial" w:hAnsi="Arial" w:cs="Arial"/>
          <w:b/>
        </w:rPr>
      </w:pPr>
      <w:r w:rsidRPr="00584207">
        <w:rPr>
          <w:rFonts w:ascii="Arial" w:hAnsi="Arial" w:cs="Arial"/>
          <w:b/>
        </w:rPr>
        <w:t>Introduction</w:t>
      </w:r>
    </w:p>
    <w:p w14:paraId="63125E77" w14:textId="7247D71B" w:rsidR="00584207" w:rsidRPr="00584207" w:rsidRDefault="00584207" w:rsidP="00584207">
      <w:pPr>
        <w:spacing w:line="360" w:lineRule="auto"/>
        <w:ind w:firstLine="720"/>
        <w:rPr>
          <w:rFonts w:ascii="Arial" w:hAnsi="Arial" w:cs="Arial"/>
        </w:rPr>
      </w:pPr>
      <w:r w:rsidRPr="00584207">
        <w:rPr>
          <w:rFonts w:ascii="Arial" w:hAnsi="Arial" w:cs="Arial"/>
        </w:rPr>
        <w:t xml:space="preserve">Two of the most prominent and popular principles in the modern health and social care </w:t>
      </w:r>
      <w:r w:rsidR="009C0F58" w:rsidRPr="00584207">
        <w:rPr>
          <w:rFonts w:ascii="Arial" w:hAnsi="Arial" w:cs="Arial"/>
        </w:rPr>
        <w:t>practice</w:t>
      </w:r>
      <w:r w:rsidRPr="00584207">
        <w:rPr>
          <w:rFonts w:ascii="Arial" w:hAnsi="Arial" w:cs="Arial"/>
        </w:rPr>
        <w:t xml:space="preserve"> in the United Kingdom are person-</w:t>
      </w:r>
      <w:r w:rsidR="009C0F58" w:rsidRPr="00584207">
        <w:rPr>
          <w:rFonts w:ascii="Arial" w:hAnsi="Arial" w:cs="Arial"/>
        </w:rPr>
        <w:t>cent</w:t>
      </w:r>
      <w:r w:rsidR="00943D70">
        <w:rPr>
          <w:rFonts w:ascii="Arial" w:hAnsi="Arial" w:cs="Arial"/>
        </w:rPr>
        <w:t>r</w:t>
      </w:r>
      <w:r w:rsidR="009C0F58" w:rsidRPr="00584207">
        <w:rPr>
          <w:rFonts w:ascii="Arial" w:hAnsi="Arial" w:cs="Arial"/>
        </w:rPr>
        <w:t>ed</w:t>
      </w:r>
      <w:r w:rsidRPr="00584207">
        <w:rPr>
          <w:rFonts w:ascii="Arial" w:hAnsi="Arial" w:cs="Arial"/>
        </w:rPr>
        <w:t xml:space="preserve"> care (PCC) and partnership working (PW). The two concepts have been increasingly prominent in recent decades as the sector has abandoned paternalistic, professionally-led paradigms of care in </w:t>
      </w:r>
      <w:r w:rsidR="009C0F58" w:rsidRPr="00584207">
        <w:rPr>
          <w:rFonts w:ascii="Arial" w:hAnsi="Arial" w:cs="Arial"/>
        </w:rPr>
        <w:t>favo</w:t>
      </w:r>
      <w:r w:rsidR="00A2605F">
        <w:rPr>
          <w:rFonts w:ascii="Arial" w:hAnsi="Arial" w:cs="Arial"/>
        </w:rPr>
        <w:t>u</w:t>
      </w:r>
      <w:r w:rsidR="009C0F58" w:rsidRPr="00584207">
        <w:rPr>
          <w:rFonts w:ascii="Arial" w:hAnsi="Arial" w:cs="Arial"/>
        </w:rPr>
        <w:t>r</w:t>
      </w:r>
      <w:r w:rsidRPr="00584207">
        <w:rPr>
          <w:rFonts w:ascii="Arial" w:hAnsi="Arial" w:cs="Arial"/>
        </w:rPr>
        <w:t xml:space="preserve"> of the individual-focused model of care and collaboration across organisational and professional borders. The given report identifies and critically discusses PCC, a theoretical model that is relevant, investigates the ethical basis of health and social care, discusses partnership working, and applies these ideas to a practical setting. Relevant policy and legislation are taken into consideration and suggestions on how the development can be devel</w:t>
      </w:r>
      <w:r>
        <w:rPr>
          <w:rFonts w:ascii="Arial" w:hAnsi="Arial" w:cs="Arial"/>
        </w:rPr>
        <w:t>oped are offered in the future.</w:t>
      </w:r>
    </w:p>
    <w:p w14:paraId="52BEDC69" w14:textId="77777777" w:rsidR="00584207" w:rsidRPr="00584207" w:rsidRDefault="00584207" w:rsidP="00584207">
      <w:pPr>
        <w:spacing w:line="360" w:lineRule="auto"/>
        <w:rPr>
          <w:rFonts w:ascii="Arial" w:hAnsi="Arial" w:cs="Arial"/>
          <w:b/>
        </w:rPr>
      </w:pPr>
      <w:r w:rsidRPr="00584207">
        <w:rPr>
          <w:rFonts w:ascii="Arial" w:hAnsi="Arial" w:cs="Arial"/>
          <w:b/>
        </w:rPr>
        <w:t>Definition, Advantages and disadvantages of Person-Centred Care.</w:t>
      </w:r>
    </w:p>
    <w:p w14:paraId="7F1A9889" w14:textId="77777777" w:rsidR="00584207" w:rsidRPr="00584207" w:rsidRDefault="00584207" w:rsidP="00584207">
      <w:pPr>
        <w:spacing w:line="360" w:lineRule="auto"/>
        <w:ind w:firstLine="720"/>
        <w:rPr>
          <w:rFonts w:ascii="Arial" w:hAnsi="Arial" w:cs="Arial"/>
        </w:rPr>
      </w:pPr>
      <w:r w:rsidRPr="00584207">
        <w:rPr>
          <w:rFonts w:ascii="Arial" w:hAnsi="Arial" w:cs="Arial"/>
        </w:rPr>
        <w:t>Person-centred care is a procedure that considers people as active partners of their care instead of passive receivers of interventions defined by the professionals. According to The Health Foundation (2023), PCC is the kind of care that is responsive and respectful to patient preferences, preferences, and values and make sure that all clinical decisions are patient-focused. It entails four main components, one of which is the treatment with dignity and respect, coordinated care, personalised support, and empowering individuals to realise and build their own strengths.</w:t>
      </w:r>
    </w:p>
    <w:p w14:paraId="3A5AAB4B" w14:textId="77777777" w:rsidR="00584207" w:rsidRPr="00584207" w:rsidRDefault="00584207" w:rsidP="00584207">
      <w:pPr>
        <w:spacing w:line="360" w:lineRule="auto"/>
        <w:ind w:firstLine="720"/>
        <w:rPr>
          <w:rFonts w:ascii="Arial" w:hAnsi="Arial" w:cs="Arial"/>
        </w:rPr>
      </w:pPr>
      <w:r w:rsidRPr="00584207">
        <w:rPr>
          <w:rFonts w:ascii="Arial" w:hAnsi="Arial" w:cs="Arial"/>
        </w:rPr>
        <w:t>The advantages of PCC are highly justified. Studies have always shown that when the people are engaged in making decisions regarding themselves, there is a tremendous improvement in the outcomes. Individuals will show better compliance rates, take greater satisfaction, and report a higher quality of life (McCormack and McCance, 2021). PCC also helps in the efficient utilisation of resources by eliminating any unnecessary interventions and hospitalisation since the care is specifically directed to what people really need and desire.</w:t>
      </w:r>
    </w:p>
    <w:p w14:paraId="436A28E6" w14:textId="77777777" w:rsidR="00584207" w:rsidRPr="00584207" w:rsidRDefault="00584207" w:rsidP="00584207">
      <w:pPr>
        <w:spacing w:line="360" w:lineRule="auto"/>
        <w:ind w:firstLine="720"/>
        <w:rPr>
          <w:rFonts w:ascii="Arial" w:hAnsi="Arial" w:cs="Arial"/>
        </w:rPr>
      </w:pPr>
      <w:r w:rsidRPr="00584207">
        <w:rPr>
          <w:rFonts w:ascii="Arial" w:hAnsi="Arial" w:cs="Arial"/>
        </w:rPr>
        <w:t xml:space="preserve">Nevertheless, PCC has some drawbacks. Its consistent application in the multi-layered health and social care systems with limited resources is difficult. The inadequate quality of engagement with individuals may be hindered by time pressures, high caseloads, the organisational culture which does not adopt a hierarchical position (SCIE, 2022). Moreover, PCC presupposes some capacity, literacy and confidence, not every service user has the same, and so unless great care is taken, it may inherently be skewed against the more vulnerable groups. </w:t>
      </w:r>
    </w:p>
    <w:p w14:paraId="5AAFD26D" w14:textId="77777777" w:rsidR="00584207" w:rsidRPr="00584207" w:rsidRDefault="00584207" w:rsidP="00584207">
      <w:pPr>
        <w:spacing w:line="360" w:lineRule="auto"/>
        <w:rPr>
          <w:rFonts w:ascii="Arial" w:hAnsi="Arial" w:cs="Arial"/>
          <w:b/>
        </w:rPr>
      </w:pPr>
      <w:r w:rsidRPr="00584207">
        <w:rPr>
          <w:rFonts w:ascii="Arial" w:hAnsi="Arial" w:cs="Arial"/>
          <w:b/>
        </w:rPr>
        <w:t>Theory The McCormack and McCance Person-Centred practise Framework.</w:t>
      </w:r>
    </w:p>
    <w:p w14:paraId="26287564" w14:textId="77777777" w:rsidR="00584207" w:rsidRPr="00584207" w:rsidRDefault="00584207" w:rsidP="00584207">
      <w:pPr>
        <w:spacing w:line="360" w:lineRule="auto"/>
        <w:ind w:firstLine="720"/>
        <w:rPr>
          <w:rFonts w:ascii="Arial" w:hAnsi="Arial" w:cs="Arial"/>
        </w:rPr>
      </w:pPr>
      <w:r w:rsidRPr="00584207">
        <w:rPr>
          <w:rFonts w:ascii="Arial" w:hAnsi="Arial" w:cs="Arial"/>
        </w:rPr>
        <w:t>Person-Centred Practise Framework developed by McCormack and McCance (2021) is the theoretical model that is selected to support this discussion. It is a framework that is common in nursing and beyond health and social care and offers an evidence-based framework in the understanding of what person-centred practise entails at individual, team, and organisational levels.</w:t>
      </w:r>
    </w:p>
    <w:p w14:paraId="792C5657" w14:textId="77777777" w:rsidR="00584207" w:rsidRPr="00584207" w:rsidRDefault="00584207" w:rsidP="00584207">
      <w:pPr>
        <w:spacing w:line="360" w:lineRule="auto"/>
        <w:ind w:firstLine="720"/>
        <w:rPr>
          <w:rFonts w:ascii="Arial" w:hAnsi="Arial" w:cs="Arial"/>
        </w:rPr>
      </w:pPr>
      <w:r w:rsidRPr="00584207">
        <w:rPr>
          <w:rFonts w:ascii="Arial" w:hAnsi="Arial" w:cs="Arial"/>
        </w:rPr>
        <w:t>The framework comprises of five domains that are inter-related. The first is the macro context which means the context of the larger health and social care system including policy drivers, cultural, and societal values that form the environment within which care is provided. The second is the practise environment which includes aspects like skill mix, organisational systems, and the level of shared decision-making that is incorporated in the culture of a care setting. The third area relates to person-centred processes of working with his beliefs and values, sharing decision-making, delivering holistic care, and interacting in an authentic way. The fourth domain deals with the outcomes such as the satisfaction with care, particip</w:t>
      </w:r>
      <w:r w:rsidR="00D466ED">
        <w:rPr>
          <w:rFonts w:ascii="Arial" w:hAnsi="Arial" w:cs="Arial"/>
        </w:rPr>
        <w:t xml:space="preserve">ation in care and wellbeing. </w:t>
      </w:r>
    </w:p>
    <w:p w14:paraId="34F93FB7" w14:textId="77777777" w:rsidR="00584207" w:rsidRPr="00584207" w:rsidRDefault="00584207" w:rsidP="00584207">
      <w:pPr>
        <w:spacing w:line="360" w:lineRule="auto"/>
        <w:ind w:firstLine="720"/>
        <w:rPr>
          <w:rFonts w:ascii="Arial" w:hAnsi="Arial" w:cs="Arial"/>
        </w:rPr>
      </w:pPr>
      <w:r w:rsidRPr="00584207">
        <w:rPr>
          <w:rFonts w:ascii="Arial" w:hAnsi="Arial" w:cs="Arial"/>
        </w:rPr>
        <w:t>The value of this framework is that it acknowledges that person-centred care cannot be practised by isolated practitioners only; it needs organisational systems, leadership, and culture to contribute positively to it (McCormack and McCance, 2021). One of the weaknesses is however that the framework is sometimes complicated to operationalise in practise environments with scarce resources or where employees have not been well trained on its application. However, it is still one of the strongest and most proved frames of the development of PCC in the UK setting.</w:t>
      </w:r>
    </w:p>
    <w:p w14:paraId="590E2FE9" w14:textId="77777777" w:rsidR="00584207" w:rsidRPr="00584207" w:rsidRDefault="00584207" w:rsidP="00584207">
      <w:pPr>
        <w:spacing w:line="360" w:lineRule="auto"/>
        <w:rPr>
          <w:rFonts w:ascii="Arial" w:hAnsi="Arial" w:cs="Arial"/>
          <w:b/>
        </w:rPr>
      </w:pPr>
      <w:r w:rsidRPr="00584207">
        <w:rPr>
          <w:rFonts w:ascii="Arial" w:hAnsi="Arial" w:cs="Arial"/>
          <w:b/>
        </w:rPr>
        <w:t>Health and Social Care Ethical Foundations.</w:t>
      </w:r>
    </w:p>
    <w:p w14:paraId="1050F515" w14:textId="77777777" w:rsidR="00584207" w:rsidRPr="00584207" w:rsidRDefault="00584207" w:rsidP="00584207">
      <w:pPr>
        <w:spacing w:line="360" w:lineRule="auto"/>
        <w:ind w:firstLine="720"/>
        <w:rPr>
          <w:rFonts w:ascii="Arial" w:hAnsi="Arial" w:cs="Arial"/>
        </w:rPr>
      </w:pPr>
      <w:r w:rsidRPr="00584207">
        <w:rPr>
          <w:rFonts w:ascii="Arial" w:hAnsi="Arial" w:cs="Arial"/>
        </w:rPr>
        <w:t>Ethics is the core of every health and social care practise as it offers the moral basis to make decisions and to establish relationships. Ethical decision-making can be logically structured using the four bioethical principles of autonomy, beneficence, non-maleficence, and justice, which have been widely known as Beauchamp and Childress and are used across the UK practise (cited in McCormack and McCance, 2021).</w:t>
      </w:r>
    </w:p>
    <w:p w14:paraId="0CD6EEA3" w14:textId="77777777" w:rsidR="00584207" w:rsidRPr="00584207" w:rsidRDefault="00584207" w:rsidP="00584207">
      <w:pPr>
        <w:spacing w:line="360" w:lineRule="auto"/>
        <w:ind w:firstLine="720"/>
        <w:rPr>
          <w:rFonts w:ascii="Arial" w:hAnsi="Arial" w:cs="Arial"/>
        </w:rPr>
      </w:pPr>
      <w:r w:rsidRPr="00584207">
        <w:rPr>
          <w:rFonts w:ascii="Arial" w:hAnsi="Arial" w:cs="Arial"/>
        </w:rPr>
        <w:t>Autonomy is the right of the person to make his/her own informed choice concerning his/her own care without being pressured. The principle is legally stipulated in the Mental Capacity Act 2005, which asserts all the adults should be assumed to have the capacity unless it is determined otherwise, and that all decisions made on their behalf should be in their best interests (Office of the Public Guardian, 2020). Beneficence is the duty of the practitioner to do the best interests of the individual, non-maleficence (also referred to as first, do no harm) is the duty to avoid causing undue harm to the individual or undue distress to the individual in the course of the intervention. Justice demands that there should be fair distribution of care and equal access irrespective of age, background and social circumstances.</w:t>
      </w:r>
    </w:p>
    <w:p w14:paraId="2C8DAC0C" w14:textId="77777777" w:rsidR="001B2EE3" w:rsidRDefault="00584207" w:rsidP="00584207">
      <w:pPr>
        <w:spacing w:line="360" w:lineRule="auto"/>
        <w:ind w:firstLine="720"/>
        <w:rPr>
          <w:rFonts w:ascii="Arial" w:hAnsi="Arial" w:cs="Arial"/>
        </w:rPr>
      </w:pPr>
      <w:r w:rsidRPr="00584207">
        <w:rPr>
          <w:rFonts w:ascii="Arial" w:hAnsi="Arial" w:cs="Arial"/>
        </w:rPr>
        <w:t>All these principles are not simultaneously easy to implement. There are a lot of tensions between autonomy and beneficence, especially in cases where a person is making a choice that the practitioners do not feel that it is in their best interest. To manoeuvre through these dilemmas, it is necessary not only to be informed about ethical principles but also have good communication skills, reflective practise and a natural inclination towards keeping the perspective of the person in mind. Ethics is not rules but rather an active aspect of professional practise that has to be constantly worked with and revitalised.</w:t>
      </w:r>
    </w:p>
    <w:p w14:paraId="520E111D" w14:textId="77777777" w:rsidR="00584207" w:rsidRPr="00584207" w:rsidRDefault="00584207" w:rsidP="00584207">
      <w:pPr>
        <w:spacing w:line="360" w:lineRule="auto"/>
        <w:rPr>
          <w:rFonts w:ascii="Arial" w:hAnsi="Arial" w:cs="Arial"/>
          <w:b/>
        </w:rPr>
      </w:pPr>
      <w:r w:rsidRPr="00584207">
        <w:rPr>
          <w:rFonts w:ascii="Arial" w:hAnsi="Arial" w:cs="Arial"/>
          <w:b/>
        </w:rPr>
        <w:t>Partnership Working Evaluation.</w:t>
      </w:r>
    </w:p>
    <w:p w14:paraId="00B36DB1" w14:textId="77777777" w:rsidR="00584207" w:rsidRPr="00584207" w:rsidRDefault="00584207" w:rsidP="00584207">
      <w:pPr>
        <w:spacing w:line="360" w:lineRule="auto"/>
        <w:ind w:firstLine="720"/>
        <w:rPr>
          <w:rFonts w:ascii="Arial" w:hAnsi="Arial" w:cs="Arial"/>
        </w:rPr>
      </w:pPr>
      <w:r w:rsidRPr="00584207">
        <w:rPr>
          <w:rFonts w:ascii="Arial" w:hAnsi="Arial" w:cs="Arial"/>
        </w:rPr>
        <w:t>Partnership working in health and social care is the working relationships and relationships between the various organisations, professionals, and service users that are set up to provide more integrated, effective, and efficient care. It has become very important due to the fact that the need to address the complex needs, especially those related to long-term conditions, mental health, and social vulnerability, cannot be met sufficiently by any one professional group or agency operating in isolation.</w:t>
      </w:r>
    </w:p>
    <w:p w14:paraId="7E83BED8" w14:textId="77777777" w:rsidR="00584207" w:rsidRPr="00584207" w:rsidRDefault="00584207" w:rsidP="00584207">
      <w:pPr>
        <w:spacing w:line="360" w:lineRule="auto"/>
        <w:ind w:firstLine="720"/>
        <w:rPr>
          <w:rFonts w:ascii="Arial" w:hAnsi="Arial" w:cs="Arial"/>
        </w:rPr>
      </w:pPr>
      <w:r w:rsidRPr="00584207">
        <w:rPr>
          <w:rFonts w:ascii="Arial" w:hAnsi="Arial" w:cs="Arial"/>
        </w:rPr>
        <w:t>The Care Act 2014 sets out a statutory responsibility on local authorities to encourage the combination of care and assistance with health services, and defines collaboration operating not just as good practise, but also a duty by the law (legislation.gov.uk, 2014). This agenda was further developed under the Health and Care Act 2022, which introduced Integrated Care Systems (ICSs) across England to include and unite NHS trusts, local authorities, and organisations in the voluntary sector under formal governance arrangements to facilitate joined-up planning, sharing of resources, and pathways of care (NHS England, 2022).</w:t>
      </w:r>
    </w:p>
    <w:p w14:paraId="1F3D505E" w14:textId="77777777" w:rsidR="00584207" w:rsidRPr="00584207" w:rsidRDefault="00584207" w:rsidP="00584207">
      <w:pPr>
        <w:spacing w:line="360" w:lineRule="auto"/>
        <w:ind w:firstLine="720"/>
        <w:rPr>
          <w:rFonts w:ascii="Arial" w:hAnsi="Arial" w:cs="Arial"/>
        </w:rPr>
      </w:pPr>
      <w:r w:rsidRPr="00584207">
        <w:rPr>
          <w:rFonts w:ascii="Arial" w:hAnsi="Arial" w:cs="Arial"/>
        </w:rPr>
        <w:t>The advantages of working in partnership are high. A good collaboration between agencies leads to service users having a smoother transition of care, less repetition of the assessment process, and a better feeling that they have that supportive holistic approach. The practitioners enjoy the ability to share their expertise, enhance communication and gain a wide insight into the situations under which individuals exist. Partnership working, however, has its reality problems as well. Organisational culture variations, professional lingo, data-sharing guidelines, and funding arrangements may pose a big obstacle in the way of true incorporation. In the absence of effective leadership, common objectives, and trust, partnership arrangements may end up as being superficial only providing coordination on paper and lacks any substantive collaboration in practise (Dickinson and Glasby, 2020).</w:t>
      </w:r>
    </w:p>
    <w:p w14:paraId="0E40FABF" w14:textId="77777777" w:rsidR="00584207" w:rsidRPr="00584207" w:rsidRDefault="00584207" w:rsidP="00584207">
      <w:pPr>
        <w:spacing w:line="360" w:lineRule="auto"/>
        <w:rPr>
          <w:rFonts w:ascii="Arial" w:hAnsi="Arial" w:cs="Arial"/>
          <w:b/>
        </w:rPr>
      </w:pPr>
      <w:r w:rsidRPr="00584207">
        <w:rPr>
          <w:rFonts w:ascii="Arial" w:hAnsi="Arial" w:cs="Arial"/>
          <w:b/>
        </w:rPr>
        <w:t>Mental Health Services- Partnership Working in Practise.</w:t>
      </w:r>
    </w:p>
    <w:p w14:paraId="6DE027A2" w14:textId="77777777" w:rsidR="00584207" w:rsidRPr="00584207" w:rsidRDefault="00584207" w:rsidP="00584207">
      <w:pPr>
        <w:spacing w:line="360" w:lineRule="auto"/>
        <w:ind w:firstLine="720"/>
        <w:rPr>
          <w:rFonts w:ascii="Arial" w:hAnsi="Arial" w:cs="Arial"/>
        </w:rPr>
      </w:pPr>
      <w:r w:rsidRPr="00584207">
        <w:rPr>
          <w:rFonts w:ascii="Arial" w:hAnsi="Arial" w:cs="Arial"/>
        </w:rPr>
        <w:t>The UK mental health services offer a case study of the working of partnership working in practise specifically and specifically where the partnership working fails to work in such a complex practise environment with high needs. Mental health needs do not exist in vacuums; they are overlapping with housing instability, unemployment, substance use, physical health conditions and social isolation, i.e. to be effectively addressed, the involvement of a broad spectrum of agencies is needed.</w:t>
      </w:r>
    </w:p>
    <w:p w14:paraId="4B5D5F2C" w14:textId="77777777" w:rsidR="00584207" w:rsidRPr="00584207" w:rsidRDefault="00584207" w:rsidP="00584207">
      <w:pPr>
        <w:spacing w:line="360" w:lineRule="auto"/>
        <w:ind w:firstLine="720"/>
        <w:rPr>
          <w:rFonts w:ascii="Arial" w:hAnsi="Arial" w:cs="Arial"/>
        </w:rPr>
      </w:pPr>
      <w:r w:rsidRPr="00584207">
        <w:rPr>
          <w:rFonts w:ascii="Arial" w:hAnsi="Arial" w:cs="Arial"/>
        </w:rPr>
        <w:t>In most occasions, a community mental health team (CMHT) consists of the collaboration of psychiatrists, community psychiatric nurses, social workers, occupational therapists and psychologists all united around the needs of the individual. According to the PCC principles, the person is involved in the process of his/her care planning, and his/her goals, preferences, and recovery priorities become central. The CMHT is not the only one to work with partnerships but also includes GPs, housing services, employment support agencies, and even the voluntary sector organisations like Mind, which offer advocacy and peer support and practical help (Mind, 2021).</w:t>
      </w:r>
    </w:p>
    <w:p w14:paraId="5818F56C" w14:textId="77777777" w:rsidR="00584207" w:rsidRPr="00584207" w:rsidRDefault="00584207" w:rsidP="00584207">
      <w:pPr>
        <w:spacing w:line="360" w:lineRule="auto"/>
        <w:ind w:firstLine="720"/>
        <w:rPr>
          <w:rFonts w:ascii="Arial" w:hAnsi="Arial" w:cs="Arial"/>
        </w:rPr>
      </w:pPr>
      <w:r w:rsidRPr="00584207">
        <w:rPr>
          <w:rFonts w:ascii="Arial" w:hAnsi="Arial" w:cs="Arial"/>
        </w:rPr>
        <w:t>PCC implementation in mental health partnership working is also justified by the promises of the NHS Long Term Plan to increase the provision of community mental health and the accessibility of integrated and person-centred support (NHS England, 2022). As a matter of fact, though, there are gaps. Mental health-social care referral pathways may be ineffective and slow. The presence of stigma may hinder free communication between and among professionals. And the voluntary sector, though it is priceless, tends to be plied with large sums of money that restrict its ability to maintain partnerships in the long run. The development of these gaps will only be addressed by the long-term investment, good working relations between the agencies and commitment to PCC beyond the boundaries of the organisation.</w:t>
      </w:r>
    </w:p>
    <w:p w14:paraId="508C134A" w14:textId="77777777" w:rsidR="00584207" w:rsidRPr="00584207" w:rsidRDefault="00584207" w:rsidP="00584207">
      <w:pPr>
        <w:spacing w:line="360" w:lineRule="auto"/>
        <w:rPr>
          <w:rFonts w:ascii="Arial" w:hAnsi="Arial" w:cs="Arial"/>
          <w:b/>
        </w:rPr>
      </w:pPr>
      <w:r w:rsidRPr="00584207">
        <w:rPr>
          <w:rFonts w:ascii="Arial" w:hAnsi="Arial" w:cs="Arial"/>
          <w:b/>
        </w:rPr>
        <w:t>Policymaking and Law in regard to Person-Centred Care and Partnership Working.</w:t>
      </w:r>
    </w:p>
    <w:p w14:paraId="28CCDCAB" w14:textId="77777777" w:rsidR="00584207" w:rsidRPr="00584207" w:rsidRDefault="00584207" w:rsidP="00584207">
      <w:pPr>
        <w:spacing w:line="360" w:lineRule="auto"/>
        <w:ind w:firstLine="720"/>
        <w:rPr>
          <w:rFonts w:ascii="Arial" w:hAnsi="Arial" w:cs="Arial"/>
        </w:rPr>
      </w:pPr>
      <w:r w:rsidRPr="00584207">
        <w:rPr>
          <w:rFonts w:ascii="Arial" w:hAnsi="Arial" w:cs="Arial"/>
        </w:rPr>
        <w:t>Both PCC and partnership working are firmly supported by policy and legislative landscape in the UK, as there is a growing consensus that these are the key to a sustainable and high-quality health and social care system. With the Care Act 2014 being perhaps the most important legislation in this respect, it puts wellbeing as the primary concept of adult social care and gives a responsibility to a local authority to support it with a more personalised and integrated approach (legislation.gov.uk, 2014). Statutory care and support planning, advocacy, and car</w:t>
      </w:r>
      <w:r>
        <w:rPr>
          <w:rFonts w:ascii="Arial" w:hAnsi="Arial" w:cs="Arial"/>
        </w:rPr>
        <w:t>e</w:t>
      </w:r>
      <w:r w:rsidRPr="00584207">
        <w:rPr>
          <w:rFonts w:ascii="Arial" w:hAnsi="Arial" w:cs="Arial"/>
        </w:rPr>
        <w:t>er assessment are also presented by the Act, all of them indicating PCC values.</w:t>
      </w:r>
    </w:p>
    <w:p w14:paraId="563A5D58" w14:textId="77777777" w:rsidR="00584207" w:rsidRPr="00584207" w:rsidRDefault="00584207" w:rsidP="00584207">
      <w:pPr>
        <w:spacing w:line="360" w:lineRule="auto"/>
        <w:ind w:firstLine="720"/>
        <w:rPr>
          <w:rFonts w:ascii="Arial" w:hAnsi="Arial" w:cs="Arial"/>
        </w:rPr>
      </w:pPr>
      <w:r w:rsidRPr="00584207">
        <w:rPr>
          <w:rFonts w:ascii="Arial" w:hAnsi="Arial" w:cs="Arial"/>
        </w:rPr>
        <w:t>The Health and Care Act 2022 is the largest change to the organisation of NHS since the Health and Social Care Act 2012, which made ICSs the leading method of integration in health and care (NHS England, 2022). The ICSs are aimed at enhancing results, as well as addressing disparities, enhancing productivity, and contributing to the overall social and economic growth - the aims that are only possible to be met by real, long-term cooperation among the sectors. Patients also have a right to participate in the decision-making process about their treatment and to have personalised information as well as to be treated with dignity and respect, and this right is also reflected in the legal and ethical principles of PCC since the NHS Constitution endorses patient rights (NHS England, 2022).</w:t>
      </w:r>
    </w:p>
    <w:p w14:paraId="181BCEEA" w14:textId="77777777" w:rsidR="00584207" w:rsidRPr="00584207" w:rsidRDefault="00584207" w:rsidP="00584207">
      <w:pPr>
        <w:spacing w:line="360" w:lineRule="auto"/>
        <w:ind w:firstLine="720"/>
        <w:rPr>
          <w:rFonts w:ascii="Arial" w:hAnsi="Arial" w:cs="Arial"/>
        </w:rPr>
      </w:pPr>
      <w:r w:rsidRPr="00584207">
        <w:rPr>
          <w:rFonts w:ascii="Arial" w:hAnsi="Arial" w:cs="Arial"/>
        </w:rPr>
        <w:t>Combined, this legislative framework gives the mandate and the framework on which PCC and PW can be entrenched at all levels of the health and social care system. Nevertheless, the law does not make cultural change on its own, its application requires the participation of practitioners, leaders and organisations, who embrace its principles in their daily practise.</w:t>
      </w:r>
    </w:p>
    <w:p w14:paraId="7DDDA798" w14:textId="77777777" w:rsidR="00584207" w:rsidRPr="00584207" w:rsidRDefault="00584207" w:rsidP="00584207">
      <w:pPr>
        <w:spacing w:line="360" w:lineRule="auto"/>
        <w:rPr>
          <w:rFonts w:ascii="Arial" w:hAnsi="Arial" w:cs="Arial"/>
          <w:b/>
        </w:rPr>
      </w:pPr>
      <w:r w:rsidRPr="00584207">
        <w:rPr>
          <w:rFonts w:ascii="Arial" w:hAnsi="Arial" w:cs="Arial"/>
          <w:b/>
        </w:rPr>
        <w:t>Future Development Recommendations.</w:t>
      </w:r>
    </w:p>
    <w:p w14:paraId="3B736216" w14:textId="77777777" w:rsidR="00584207" w:rsidRPr="00584207" w:rsidRDefault="00584207" w:rsidP="00584207">
      <w:pPr>
        <w:spacing w:line="360" w:lineRule="auto"/>
        <w:ind w:firstLine="720"/>
        <w:rPr>
          <w:rFonts w:ascii="Arial" w:hAnsi="Arial" w:cs="Arial"/>
        </w:rPr>
      </w:pPr>
      <w:r w:rsidRPr="00584207">
        <w:rPr>
          <w:rFonts w:ascii="Arial" w:hAnsi="Arial" w:cs="Arial"/>
        </w:rPr>
        <w:t>Resting on the discussion of the art</w:t>
      </w:r>
      <w:r>
        <w:rPr>
          <w:rFonts w:ascii="Arial" w:hAnsi="Arial" w:cs="Arial"/>
        </w:rPr>
        <w:t>icle given in this report, two</w:t>
      </w:r>
      <w:r w:rsidRPr="00584207">
        <w:rPr>
          <w:rFonts w:ascii="Arial" w:hAnsi="Arial" w:cs="Arial"/>
        </w:rPr>
        <w:t xml:space="preserve"> main suggestions are taken to build the PCC and partnership in the UK in the future.</w:t>
      </w:r>
    </w:p>
    <w:p w14:paraId="5486C72C" w14:textId="77777777" w:rsidR="00584207" w:rsidRPr="00584207" w:rsidRDefault="00584207" w:rsidP="00584207">
      <w:pPr>
        <w:spacing w:line="360" w:lineRule="auto"/>
        <w:ind w:firstLine="720"/>
        <w:rPr>
          <w:rFonts w:ascii="Arial" w:hAnsi="Arial" w:cs="Arial"/>
        </w:rPr>
      </w:pPr>
      <w:r w:rsidRPr="00584207">
        <w:rPr>
          <w:rFonts w:ascii="Arial" w:hAnsi="Arial" w:cs="Arial"/>
        </w:rPr>
        <w:t>To begin with, there is a need to invest in training and development of the workforce. Without continuous learning, reflection supervision, and mentorship, practitioners cannot always provide person-centred and ethically based care. According to Skills for Care (2023), the most significant aspect of high-quality care delivery in this industry is a well-trained values-led workforce. The McCormack and McCance framework and bioethical principles are to be incorporated into the training programmes as an inseparable element, as they will provide the practitioners with the necessary knowledge and the relationship skills required to practise the person-centred care in its true form. One of the weaknesses of this recommendation is that training takes time and money, which are severely stretched throughout the industry.</w:t>
      </w:r>
    </w:p>
    <w:p w14:paraId="5193D360" w14:textId="77777777" w:rsidR="00584207" w:rsidRPr="00584207" w:rsidRDefault="00584207" w:rsidP="00584207">
      <w:pPr>
        <w:spacing w:line="360" w:lineRule="auto"/>
        <w:ind w:firstLine="720"/>
        <w:rPr>
          <w:rFonts w:ascii="Arial" w:hAnsi="Arial" w:cs="Arial"/>
        </w:rPr>
      </w:pPr>
      <w:r w:rsidRPr="00584207">
        <w:rPr>
          <w:rFonts w:ascii="Arial" w:hAnsi="Arial" w:cs="Arial"/>
        </w:rPr>
        <w:t>Second, the process of digital integration is to be broadened to facilitate the partnership working. Electronic care records that are shared between health and social care agencies would lead to a much greater reduction in duplication and enhanced communication and allow a smoother transition of care. The NHS Long Term Plan is dedicated to the growth of digital infrastructures, and such an intention should be expedited with the specific emphasis on the interoperability between the NHS and local authority data (NHS England, 2022). The major drawback in this regard is that digital transformation is quite expensive and should also be made to not leave people with low levels of technological literacy out.</w:t>
      </w:r>
    </w:p>
    <w:p w14:paraId="2F20F566" w14:textId="77777777" w:rsidR="00584207" w:rsidRPr="00D22962" w:rsidRDefault="00584207" w:rsidP="00584207">
      <w:pPr>
        <w:spacing w:line="360" w:lineRule="auto"/>
        <w:rPr>
          <w:rFonts w:ascii="Arial" w:hAnsi="Arial" w:cs="Arial"/>
          <w:b/>
        </w:rPr>
      </w:pPr>
      <w:r w:rsidRPr="00D22962">
        <w:rPr>
          <w:rFonts w:ascii="Arial" w:hAnsi="Arial" w:cs="Arial"/>
          <w:b/>
        </w:rPr>
        <w:t>Conclusion</w:t>
      </w:r>
    </w:p>
    <w:p w14:paraId="1E7316A2" w14:textId="77777777" w:rsidR="00584207" w:rsidRDefault="00584207" w:rsidP="00D22962">
      <w:pPr>
        <w:spacing w:line="360" w:lineRule="auto"/>
        <w:ind w:firstLine="720"/>
        <w:rPr>
          <w:rFonts w:ascii="Arial" w:hAnsi="Arial" w:cs="Arial"/>
        </w:rPr>
      </w:pPr>
      <w:r w:rsidRPr="00584207">
        <w:rPr>
          <w:rFonts w:ascii="Arial" w:hAnsi="Arial" w:cs="Arial"/>
        </w:rPr>
        <w:t>The report has shown that the concepts of person-centred care and partnership working are inseparable and the two concepts define the quality, humanity, and effectiveness of health and social care in the UK. They build on solid theoretical foundations, ethics, and effective legislative mandate to provide a clear and well-founded vision of care that truly benefits people and communities. Nevertheless, they are still not effectively implemented, and it will take constant investments to strengthen the workforce, digital infrastructure, and co-production. By adhering to these suggestions, health and social care organisations will be a step nearer to the system that is genuinely integrated, ethically based and person-centred in its aspiration and practise.</w:t>
      </w:r>
    </w:p>
    <w:p w14:paraId="403810C1" w14:textId="77777777" w:rsidR="00D22962" w:rsidRDefault="00D22962" w:rsidP="00D22962">
      <w:pPr>
        <w:spacing w:line="360" w:lineRule="auto"/>
        <w:rPr>
          <w:rFonts w:ascii="Arial" w:hAnsi="Arial" w:cs="Arial"/>
        </w:rPr>
      </w:pPr>
    </w:p>
    <w:p w14:paraId="41E79607" w14:textId="77777777" w:rsidR="00D22962" w:rsidRDefault="00D22962" w:rsidP="00D22962">
      <w:pPr>
        <w:spacing w:line="360" w:lineRule="auto"/>
        <w:rPr>
          <w:rFonts w:ascii="Arial" w:hAnsi="Arial" w:cs="Arial"/>
        </w:rPr>
      </w:pPr>
    </w:p>
    <w:p w14:paraId="6C73632E" w14:textId="77777777" w:rsidR="00D22962" w:rsidRDefault="00D22962" w:rsidP="00D22962">
      <w:pPr>
        <w:spacing w:line="360" w:lineRule="auto"/>
        <w:rPr>
          <w:rFonts w:ascii="Arial" w:hAnsi="Arial" w:cs="Arial"/>
        </w:rPr>
      </w:pPr>
    </w:p>
    <w:p w14:paraId="21B0D758" w14:textId="77777777" w:rsidR="00D22962" w:rsidRDefault="00D22962" w:rsidP="00D22962">
      <w:pPr>
        <w:spacing w:line="360" w:lineRule="auto"/>
        <w:rPr>
          <w:rFonts w:ascii="Arial" w:hAnsi="Arial" w:cs="Arial"/>
        </w:rPr>
      </w:pPr>
    </w:p>
    <w:p w14:paraId="18421992" w14:textId="77777777" w:rsidR="00D22962" w:rsidRDefault="00D22962" w:rsidP="00D22962">
      <w:pPr>
        <w:spacing w:line="360" w:lineRule="auto"/>
        <w:rPr>
          <w:rFonts w:ascii="Arial" w:hAnsi="Arial" w:cs="Arial"/>
        </w:rPr>
      </w:pPr>
    </w:p>
    <w:p w14:paraId="3ADBBE45" w14:textId="77777777" w:rsidR="00D22962" w:rsidRDefault="00D22962" w:rsidP="00D22962">
      <w:pPr>
        <w:spacing w:line="360" w:lineRule="auto"/>
        <w:rPr>
          <w:rFonts w:ascii="Arial" w:hAnsi="Arial" w:cs="Arial"/>
        </w:rPr>
      </w:pPr>
    </w:p>
    <w:p w14:paraId="1B1F3ACE" w14:textId="77777777" w:rsidR="00D22962" w:rsidRDefault="00D22962" w:rsidP="00D22962">
      <w:pPr>
        <w:spacing w:line="360" w:lineRule="auto"/>
        <w:rPr>
          <w:rFonts w:ascii="Arial" w:hAnsi="Arial" w:cs="Arial"/>
        </w:rPr>
      </w:pPr>
    </w:p>
    <w:p w14:paraId="181FAD3B" w14:textId="77777777" w:rsidR="00D22962" w:rsidRDefault="00D22962" w:rsidP="00D22962">
      <w:pPr>
        <w:spacing w:line="360" w:lineRule="auto"/>
        <w:rPr>
          <w:rFonts w:ascii="Arial" w:hAnsi="Arial" w:cs="Arial"/>
        </w:rPr>
      </w:pPr>
    </w:p>
    <w:p w14:paraId="12457359" w14:textId="77777777" w:rsidR="000F37E7" w:rsidRDefault="000F37E7" w:rsidP="00D22962">
      <w:pPr>
        <w:spacing w:line="360" w:lineRule="auto"/>
        <w:rPr>
          <w:rFonts w:ascii="Arial" w:hAnsi="Arial" w:cs="Arial"/>
          <w:b/>
          <w:bCs/>
        </w:rPr>
      </w:pPr>
    </w:p>
    <w:p w14:paraId="0D66D8AE" w14:textId="77777777" w:rsidR="00D22962" w:rsidRPr="00D22962" w:rsidRDefault="00D22962" w:rsidP="00D22962">
      <w:pPr>
        <w:spacing w:line="360" w:lineRule="auto"/>
        <w:rPr>
          <w:rFonts w:ascii="Arial" w:hAnsi="Arial" w:cs="Arial"/>
          <w:b/>
          <w:bCs/>
        </w:rPr>
      </w:pPr>
      <w:r>
        <w:rPr>
          <w:rFonts w:ascii="Arial" w:hAnsi="Arial" w:cs="Arial"/>
          <w:b/>
          <w:bCs/>
        </w:rPr>
        <w:t>Reference</w:t>
      </w:r>
    </w:p>
    <w:p w14:paraId="3D93394B" w14:textId="77777777" w:rsidR="00D22962" w:rsidRPr="00D22962" w:rsidRDefault="00D22962" w:rsidP="00D22962">
      <w:pPr>
        <w:spacing w:line="360" w:lineRule="auto"/>
        <w:rPr>
          <w:rFonts w:ascii="Arial" w:hAnsi="Arial" w:cs="Arial"/>
        </w:rPr>
      </w:pPr>
      <w:r w:rsidRPr="00D22962">
        <w:rPr>
          <w:rFonts w:ascii="Arial" w:hAnsi="Arial" w:cs="Arial"/>
        </w:rPr>
        <w:t xml:space="preserve">Dickinson, H. and Glasby, J. (2020) </w:t>
      </w:r>
      <w:r w:rsidRPr="00D22962">
        <w:rPr>
          <w:rFonts w:ascii="Arial" w:hAnsi="Arial" w:cs="Arial"/>
          <w:i/>
          <w:iCs/>
        </w:rPr>
        <w:t>Partnership working in health and social care.</w:t>
      </w:r>
      <w:r w:rsidRPr="00D22962">
        <w:rPr>
          <w:rFonts w:ascii="Arial" w:hAnsi="Arial" w:cs="Arial"/>
        </w:rPr>
        <w:t xml:space="preserve"> 3rd edn. Bristol: Policy Press.</w:t>
      </w:r>
    </w:p>
    <w:p w14:paraId="5409C0EB" w14:textId="77777777" w:rsidR="00D22962" w:rsidRPr="00D22962" w:rsidRDefault="00D22962" w:rsidP="00D22962">
      <w:pPr>
        <w:spacing w:line="360" w:lineRule="auto"/>
        <w:rPr>
          <w:rFonts w:ascii="Arial" w:hAnsi="Arial" w:cs="Arial"/>
        </w:rPr>
      </w:pPr>
      <w:r w:rsidRPr="00D22962">
        <w:rPr>
          <w:rFonts w:ascii="Arial" w:hAnsi="Arial" w:cs="Arial"/>
        </w:rPr>
        <w:t xml:space="preserve">Health Foundation (2023) </w:t>
      </w:r>
      <w:r w:rsidRPr="00D22962">
        <w:rPr>
          <w:rFonts w:ascii="Arial" w:hAnsi="Arial" w:cs="Arial"/>
          <w:i/>
          <w:iCs/>
        </w:rPr>
        <w:t>Person-centred care.</w:t>
      </w:r>
      <w:r>
        <w:rPr>
          <w:rFonts w:ascii="Arial" w:hAnsi="Arial" w:cs="Arial"/>
        </w:rPr>
        <w:t xml:space="preserve"> </w:t>
      </w:r>
      <w:hyperlink r:id="rId6" w:history="1">
        <w:r w:rsidRPr="00D22962">
          <w:rPr>
            <w:rStyle w:val="Hyperlink"/>
            <w:rFonts w:ascii="Arial" w:hAnsi="Arial" w:cs="Arial"/>
          </w:rPr>
          <w:t>https://www.health.org.uk/topics/person-centred-care</w:t>
        </w:r>
      </w:hyperlink>
      <w:r>
        <w:rPr>
          <w:rFonts w:ascii="Arial" w:hAnsi="Arial" w:cs="Arial"/>
        </w:rPr>
        <w:t xml:space="preserve"> </w:t>
      </w:r>
    </w:p>
    <w:p w14:paraId="153AECF0" w14:textId="77777777" w:rsidR="00D22962" w:rsidRPr="00D22962" w:rsidRDefault="00D22962" w:rsidP="00D22962">
      <w:pPr>
        <w:spacing w:line="360" w:lineRule="auto"/>
        <w:rPr>
          <w:rFonts w:ascii="Arial" w:hAnsi="Arial" w:cs="Arial"/>
        </w:rPr>
      </w:pPr>
      <w:r w:rsidRPr="00D22962">
        <w:rPr>
          <w:rFonts w:ascii="Arial" w:hAnsi="Arial" w:cs="Arial"/>
        </w:rPr>
        <w:t xml:space="preserve">legislation.gov.uk (2014) </w:t>
      </w:r>
      <w:r w:rsidRPr="00D22962">
        <w:rPr>
          <w:rFonts w:ascii="Arial" w:hAnsi="Arial" w:cs="Arial"/>
          <w:i/>
          <w:iCs/>
        </w:rPr>
        <w:t>Care Act 2014.</w:t>
      </w:r>
      <w:r w:rsidRPr="00D22962">
        <w:rPr>
          <w:rFonts w:ascii="Arial" w:hAnsi="Arial" w:cs="Arial"/>
        </w:rPr>
        <w:t xml:space="preserve"> </w:t>
      </w:r>
      <w:hyperlink r:id="rId7" w:history="1">
        <w:r w:rsidRPr="00D22962">
          <w:rPr>
            <w:rStyle w:val="Hyperlink"/>
            <w:rFonts w:ascii="Arial" w:hAnsi="Arial" w:cs="Arial"/>
          </w:rPr>
          <w:t>https://www.legislation.gov.uk/ukpga/2014/23/contents</w:t>
        </w:r>
      </w:hyperlink>
      <w:r>
        <w:rPr>
          <w:rFonts w:ascii="Arial" w:hAnsi="Arial" w:cs="Arial"/>
        </w:rPr>
        <w:t xml:space="preserve"> </w:t>
      </w:r>
    </w:p>
    <w:p w14:paraId="10A06671" w14:textId="77777777" w:rsidR="00D22962" w:rsidRPr="00D22962" w:rsidRDefault="00D22962" w:rsidP="00D22962">
      <w:pPr>
        <w:spacing w:line="360" w:lineRule="auto"/>
        <w:rPr>
          <w:rFonts w:ascii="Arial" w:hAnsi="Arial" w:cs="Arial"/>
        </w:rPr>
      </w:pPr>
      <w:r w:rsidRPr="00D22962">
        <w:rPr>
          <w:rFonts w:ascii="Arial" w:hAnsi="Arial" w:cs="Arial"/>
        </w:rPr>
        <w:t xml:space="preserve">McCormack, B. and McCance, T. (2021) </w:t>
      </w:r>
      <w:r w:rsidRPr="00D22962">
        <w:rPr>
          <w:rFonts w:ascii="Arial" w:hAnsi="Arial" w:cs="Arial"/>
          <w:i/>
          <w:iCs/>
        </w:rPr>
        <w:t>Person-centred practice in nursing and health care: Theory and practice.</w:t>
      </w:r>
      <w:r w:rsidRPr="00D22962">
        <w:rPr>
          <w:rFonts w:ascii="Arial" w:hAnsi="Arial" w:cs="Arial"/>
        </w:rPr>
        <w:t xml:space="preserve"> 2nd edn. Oxford: Wiley-Blackwell.</w:t>
      </w:r>
    </w:p>
    <w:p w14:paraId="7486B9D1" w14:textId="77777777" w:rsidR="00D22962" w:rsidRPr="00D22962" w:rsidRDefault="00D22962" w:rsidP="00D22962">
      <w:pPr>
        <w:spacing w:line="360" w:lineRule="auto"/>
        <w:rPr>
          <w:rFonts w:ascii="Arial" w:hAnsi="Arial" w:cs="Arial"/>
        </w:rPr>
      </w:pPr>
      <w:r w:rsidRPr="00D22962">
        <w:rPr>
          <w:rFonts w:ascii="Arial" w:hAnsi="Arial" w:cs="Arial"/>
        </w:rPr>
        <w:t xml:space="preserve">Mind (2021) </w:t>
      </w:r>
      <w:r w:rsidRPr="00D22962">
        <w:rPr>
          <w:rFonts w:ascii="Arial" w:hAnsi="Arial" w:cs="Arial"/>
          <w:i/>
          <w:iCs/>
        </w:rPr>
        <w:t>Mental health a</w:t>
      </w:r>
      <w:r>
        <w:rPr>
          <w:rFonts w:ascii="Arial" w:hAnsi="Arial" w:cs="Arial"/>
          <w:i/>
          <w:iCs/>
        </w:rPr>
        <w:t>nd the Mental Capacity Act 2005</w:t>
      </w:r>
      <w:r w:rsidRPr="00D22962">
        <w:rPr>
          <w:rFonts w:ascii="Arial" w:hAnsi="Arial" w:cs="Arial"/>
        </w:rPr>
        <w:t xml:space="preserve"> </w:t>
      </w:r>
      <w:hyperlink r:id="rId8" w:history="1">
        <w:r w:rsidRPr="00D22962">
          <w:rPr>
            <w:rStyle w:val="Hyperlink"/>
            <w:rFonts w:ascii="Arial" w:hAnsi="Arial" w:cs="Arial"/>
          </w:rPr>
          <w:t>https://www.mind.org.uk/information-support/legal-rights/mental-capacity-act-2005</w:t>
        </w:r>
      </w:hyperlink>
      <w:r>
        <w:rPr>
          <w:rFonts w:ascii="Arial" w:hAnsi="Arial" w:cs="Arial"/>
        </w:rPr>
        <w:t xml:space="preserve"> </w:t>
      </w:r>
    </w:p>
    <w:p w14:paraId="6F936CAD" w14:textId="77777777" w:rsidR="00D22962" w:rsidRPr="00D22962" w:rsidRDefault="00D22962" w:rsidP="00D22962">
      <w:pPr>
        <w:spacing w:line="360" w:lineRule="auto"/>
        <w:rPr>
          <w:rFonts w:ascii="Arial" w:hAnsi="Arial" w:cs="Arial"/>
        </w:rPr>
      </w:pPr>
      <w:r w:rsidRPr="00D22962">
        <w:rPr>
          <w:rFonts w:ascii="Arial" w:hAnsi="Arial" w:cs="Arial"/>
        </w:rPr>
        <w:t xml:space="preserve">NHS England (2022) </w:t>
      </w:r>
      <w:r w:rsidRPr="00D22962">
        <w:rPr>
          <w:rFonts w:ascii="Arial" w:hAnsi="Arial" w:cs="Arial"/>
          <w:i/>
          <w:iCs/>
        </w:rPr>
        <w:t>Integrated care systems.</w:t>
      </w:r>
      <w:r>
        <w:rPr>
          <w:rFonts w:ascii="Arial" w:hAnsi="Arial" w:cs="Arial"/>
        </w:rPr>
        <w:t xml:space="preserve"> </w:t>
      </w:r>
      <w:hyperlink r:id="rId9" w:history="1">
        <w:r w:rsidRPr="00D22962">
          <w:rPr>
            <w:rStyle w:val="Hyperlink"/>
            <w:rFonts w:ascii="Arial" w:hAnsi="Arial" w:cs="Arial"/>
          </w:rPr>
          <w:t>https://www.england.nhs.uk/integratedcare</w:t>
        </w:r>
      </w:hyperlink>
      <w:r>
        <w:rPr>
          <w:rFonts w:ascii="Arial" w:hAnsi="Arial" w:cs="Arial"/>
        </w:rPr>
        <w:t xml:space="preserve"> </w:t>
      </w:r>
    </w:p>
    <w:p w14:paraId="05BD1C51" w14:textId="77777777" w:rsidR="00D22962" w:rsidRPr="00D22962" w:rsidRDefault="00D22962" w:rsidP="00D22962">
      <w:pPr>
        <w:spacing w:line="360" w:lineRule="auto"/>
        <w:rPr>
          <w:rFonts w:ascii="Arial" w:hAnsi="Arial" w:cs="Arial"/>
        </w:rPr>
      </w:pPr>
      <w:r w:rsidRPr="00D22962">
        <w:rPr>
          <w:rFonts w:ascii="Arial" w:hAnsi="Arial" w:cs="Arial"/>
        </w:rPr>
        <w:t xml:space="preserve">Office of the Public Guardian (2020) </w:t>
      </w:r>
      <w:r w:rsidRPr="00D22962">
        <w:rPr>
          <w:rFonts w:ascii="Arial" w:hAnsi="Arial" w:cs="Arial"/>
          <w:i/>
          <w:iCs/>
        </w:rPr>
        <w:t>Mental Capacity Act 2005: Code of practice.</w:t>
      </w:r>
      <w:r>
        <w:rPr>
          <w:rFonts w:ascii="Arial" w:hAnsi="Arial" w:cs="Arial"/>
        </w:rPr>
        <w:t xml:space="preserve"> </w:t>
      </w:r>
      <w:hyperlink r:id="rId10" w:history="1">
        <w:r w:rsidRPr="00D22962">
          <w:rPr>
            <w:rStyle w:val="Hyperlink"/>
            <w:rFonts w:ascii="Arial" w:hAnsi="Arial" w:cs="Arial"/>
          </w:rPr>
          <w:t>https://www.gov.uk/government/publications/mental-capacity-act-code-of-practice</w:t>
        </w:r>
      </w:hyperlink>
      <w:r>
        <w:rPr>
          <w:rFonts w:ascii="Arial" w:hAnsi="Arial" w:cs="Arial"/>
        </w:rPr>
        <w:t xml:space="preserve"> </w:t>
      </w:r>
    </w:p>
    <w:p w14:paraId="42F3FF74" w14:textId="77777777" w:rsidR="00D22962" w:rsidRPr="00D22962" w:rsidRDefault="00D22962" w:rsidP="00D22962">
      <w:pPr>
        <w:spacing w:line="360" w:lineRule="auto"/>
        <w:rPr>
          <w:rFonts w:ascii="Arial" w:hAnsi="Arial" w:cs="Arial"/>
        </w:rPr>
      </w:pPr>
      <w:r w:rsidRPr="00D22962">
        <w:rPr>
          <w:rFonts w:ascii="Arial" w:hAnsi="Arial" w:cs="Arial"/>
        </w:rPr>
        <w:t xml:space="preserve">SCIE (2022) </w:t>
      </w:r>
      <w:r w:rsidRPr="00D22962">
        <w:rPr>
          <w:rFonts w:ascii="Arial" w:hAnsi="Arial" w:cs="Arial"/>
          <w:i/>
          <w:iCs/>
        </w:rPr>
        <w:t>Co-production in social care.</w:t>
      </w:r>
      <w:r w:rsidRPr="00D22962">
        <w:rPr>
          <w:rFonts w:ascii="Arial" w:hAnsi="Arial" w:cs="Arial"/>
        </w:rPr>
        <w:t xml:space="preserve"> </w:t>
      </w:r>
      <w:hyperlink r:id="rId11" w:history="1">
        <w:r w:rsidRPr="00D22962">
          <w:rPr>
            <w:rStyle w:val="Hyperlink"/>
            <w:rFonts w:ascii="Arial" w:hAnsi="Arial" w:cs="Arial"/>
          </w:rPr>
          <w:t>https://www.scie.org.uk/co-production</w:t>
        </w:r>
      </w:hyperlink>
      <w:r>
        <w:rPr>
          <w:rFonts w:ascii="Arial" w:hAnsi="Arial" w:cs="Arial"/>
        </w:rPr>
        <w:t xml:space="preserve"> </w:t>
      </w:r>
    </w:p>
    <w:p w14:paraId="259BEF8A" w14:textId="77777777" w:rsidR="00D22962" w:rsidRPr="00D22962" w:rsidRDefault="00D22962" w:rsidP="00D22962">
      <w:pPr>
        <w:spacing w:line="360" w:lineRule="auto"/>
        <w:rPr>
          <w:rFonts w:ascii="Arial" w:hAnsi="Arial" w:cs="Arial"/>
        </w:rPr>
      </w:pPr>
      <w:r w:rsidRPr="00D22962">
        <w:rPr>
          <w:rFonts w:ascii="Arial" w:hAnsi="Arial" w:cs="Arial"/>
        </w:rPr>
        <w:t xml:space="preserve">Skills for Care (2023) </w:t>
      </w:r>
      <w:r w:rsidRPr="00D22962">
        <w:rPr>
          <w:rFonts w:ascii="Arial" w:hAnsi="Arial" w:cs="Arial"/>
          <w:i/>
          <w:iCs/>
        </w:rPr>
        <w:t>Workforce development.</w:t>
      </w:r>
      <w:r>
        <w:rPr>
          <w:rFonts w:ascii="Arial" w:hAnsi="Arial" w:cs="Arial"/>
        </w:rPr>
        <w:t xml:space="preserve"> </w:t>
      </w:r>
      <w:hyperlink r:id="rId12" w:history="1">
        <w:r w:rsidRPr="00D22962">
          <w:rPr>
            <w:rStyle w:val="Hyperlink"/>
            <w:rFonts w:ascii="Arial" w:hAnsi="Arial" w:cs="Arial"/>
          </w:rPr>
          <w:t>https://www.skillsforcare.org.uk/workforce-development</w:t>
        </w:r>
      </w:hyperlink>
      <w:r>
        <w:rPr>
          <w:rFonts w:ascii="Arial" w:hAnsi="Arial" w:cs="Arial"/>
        </w:rPr>
        <w:t xml:space="preserve"> </w:t>
      </w:r>
    </w:p>
    <w:p w14:paraId="6A415846" w14:textId="77777777" w:rsidR="00D22962" w:rsidRPr="00A46D63" w:rsidRDefault="00D22962" w:rsidP="00D22962">
      <w:pPr>
        <w:spacing w:line="360" w:lineRule="auto"/>
        <w:rPr>
          <w:rFonts w:ascii="Arial" w:hAnsi="Arial" w:cs="Arial"/>
        </w:rPr>
      </w:pPr>
    </w:p>
    <w:sectPr w:rsidR="00D22962" w:rsidRPr="00A46D63">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B299A" w14:textId="77777777" w:rsidR="006003EC" w:rsidRDefault="006003EC" w:rsidP="00584207">
      <w:pPr>
        <w:spacing w:after="0" w:line="240" w:lineRule="auto"/>
      </w:pPr>
      <w:r>
        <w:separator/>
      </w:r>
    </w:p>
  </w:endnote>
  <w:endnote w:type="continuationSeparator" w:id="0">
    <w:p w14:paraId="6795D724" w14:textId="77777777" w:rsidR="006003EC" w:rsidRDefault="006003EC" w:rsidP="0058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6432A" w14:textId="77777777" w:rsidR="006003EC" w:rsidRDefault="006003EC" w:rsidP="00584207">
      <w:pPr>
        <w:spacing w:after="0" w:line="240" w:lineRule="auto"/>
      </w:pPr>
      <w:r>
        <w:separator/>
      </w:r>
    </w:p>
  </w:footnote>
  <w:footnote w:type="continuationSeparator" w:id="0">
    <w:p w14:paraId="1A88A0E5" w14:textId="77777777" w:rsidR="006003EC" w:rsidRDefault="006003EC" w:rsidP="00584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74EC" w14:textId="77777777" w:rsidR="00584207" w:rsidRDefault="00584207">
    <w:pPr>
      <w:pStyle w:val="Header"/>
      <w:jc w:val="right"/>
    </w:pPr>
    <w:r>
      <w:t>HEALTH AND SOCIAL CARE</w:t>
    </w:r>
    <w:r>
      <w:tab/>
    </w:r>
    <w:r>
      <w:tab/>
    </w:r>
    <w:sdt>
      <w:sdtPr>
        <w:id w:val="183140346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F37E7">
          <w:rPr>
            <w:noProof/>
          </w:rPr>
          <w:t>8</w:t>
        </w:r>
        <w:r>
          <w:rPr>
            <w:noProof/>
          </w:rPr>
          <w:fldChar w:fldCharType="end"/>
        </w:r>
      </w:sdtContent>
    </w:sdt>
  </w:p>
  <w:p w14:paraId="5E4D2E9D" w14:textId="77777777" w:rsidR="00584207" w:rsidRDefault="005842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D63"/>
    <w:rsid w:val="000F37E7"/>
    <w:rsid w:val="001B2EE3"/>
    <w:rsid w:val="0024136A"/>
    <w:rsid w:val="003669A6"/>
    <w:rsid w:val="00427ABB"/>
    <w:rsid w:val="00584207"/>
    <w:rsid w:val="006003EC"/>
    <w:rsid w:val="00943D70"/>
    <w:rsid w:val="009C0F58"/>
    <w:rsid w:val="009F1747"/>
    <w:rsid w:val="00A2605F"/>
    <w:rsid w:val="00A46D63"/>
    <w:rsid w:val="00D22962"/>
    <w:rsid w:val="00D466ED"/>
    <w:rsid w:val="00D94BCA"/>
    <w:rsid w:val="00EF5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50CEC"/>
  <w15:chartTrackingRefBased/>
  <w15:docId w15:val="{B70A925A-4EDF-4E48-8E4D-8C6B55204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207"/>
  </w:style>
  <w:style w:type="paragraph" w:styleId="Footer">
    <w:name w:val="footer"/>
    <w:basedOn w:val="Normal"/>
    <w:link w:val="FooterChar"/>
    <w:uiPriority w:val="99"/>
    <w:unhideWhenUsed/>
    <w:rsid w:val="00584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207"/>
  </w:style>
  <w:style w:type="character" w:styleId="Hyperlink">
    <w:name w:val="Hyperlink"/>
    <w:basedOn w:val="DefaultParagraphFont"/>
    <w:uiPriority w:val="99"/>
    <w:unhideWhenUsed/>
    <w:rsid w:val="00D229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65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legal-rights/mental-capacity-act-2005" TargetMode="External" /><Relationship Id="rId13"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www.legislation.gov.uk/ukpga/2014/23/contents" TargetMode="External" /><Relationship Id="rId12" Type="http://schemas.openxmlformats.org/officeDocument/2006/relationships/hyperlink" Target="https://www.skillsforcare.org.uk/workforce-development"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health.org.uk/topics/person-centred-care" TargetMode="External" /><Relationship Id="rId11" Type="http://schemas.openxmlformats.org/officeDocument/2006/relationships/hyperlink" Target="https://www.scie.org.uk/co-production" TargetMode="External" /><Relationship Id="rId5"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hyperlink" Target="https://www.gov.uk/government/publications/mental-capacity-act-code-of-practice" TargetMode="External" /><Relationship Id="rId4" Type="http://schemas.openxmlformats.org/officeDocument/2006/relationships/footnotes" Target="footnotes.xml" /><Relationship Id="rId9" Type="http://schemas.openxmlformats.org/officeDocument/2006/relationships/hyperlink" Target="https://www.england.nhs.uk/integratedcare"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nasreen akhtar</cp:lastModifiedBy>
  <cp:revision>2</cp:revision>
  <dcterms:created xsi:type="dcterms:W3CDTF">2026-03-29T12:19:00Z</dcterms:created>
  <dcterms:modified xsi:type="dcterms:W3CDTF">2026-03-29T12:19:00Z</dcterms:modified>
</cp:coreProperties>
</file>