
<file path=[Content_Types].xml><?xml version="1.0" encoding="utf-8"?>
<Types xmlns="http://schemas.openxmlformats.org/package/2006/content-types">
  <Default Extension="xml" ContentType="application/xml"/>
  <Default Extension="xlsx" ContentType="application/vnd.openxmlformats-officedocument.spreadsheetml.sheet"/>
  <Default Extension="bin" ContentType="application/vnd.openxmlformats-officedocument.oleObjec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colors9.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charts/style9.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28DAD81">
      <w:pPr>
        <w:spacing w:line="360" w:lineRule="auto"/>
        <w:rPr>
          <w:sz w:val="32"/>
          <w:szCs w:val="36"/>
          <w:lang w:val="en-US"/>
        </w:rPr>
      </w:pPr>
      <w:r>
        <w:rPr>
          <w:rFonts w:ascii="Arial" w:hAnsi="Arial" w:cs="Arial"/>
        </w:rPr>
        <w:drawing>
          <wp:anchor distT="0" distB="0" distL="114300" distR="114300" simplePos="0" relativeHeight="251659264" behindDoc="0" locked="0" layoutInCell="1" allowOverlap="1">
            <wp:simplePos x="0" y="0"/>
            <wp:positionH relativeFrom="column">
              <wp:posOffset>0</wp:posOffset>
            </wp:positionH>
            <wp:positionV relativeFrom="paragraph">
              <wp:posOffset>382270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40461351">
      <w:pPr>
        <w:spacing w:line="360" w:lineRule="auto"/>
        <w:rPr>
          <w:sz w:val="32"/>
          <w:szCs w:val="36"/>
          <w:lang w:val="en-US"/>
        </w:rPr>
      </w:pPr>
    </w:p>
    <w:p w14:paraId="5B5FE22A">
      <w:pPr>
        <w:spacing w:line="360" w:lineRule="auto"/>
        <w:rPr>
          <w:sz w:val="32"/>
          <w:szCs w:val="36"/>
          <w:lang w:val="en-US"/>
        </w:rPr>
      </w:pPr>
    </w:p>
    <w:p w14:paraId="08745A00">
      <w:pPr>
        <w:spacing w:line="360" w:lineRule="auto"/>
        <w:rPr>
          <w:sz w:val="32"/>
          <w:szCs w:val="36"/>
          <w:lang w:val="en-US"/>
        </w:rPr>
      </w:pPr>
    </w:p>
    <w:tbl>
      <w:tblPr>
        <w:tblStyle w:val="18"/>
        <w:tblW w:w="99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tblGrid>
      <w:tr w14:paraId="52B69A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tcPr>
          <w:p w14:paraId="72AD6553">
            <w:pPr>
              <w:spacing w:before="120" w:after="120" w:line="360" w:lineRule="auto"/>
              <w:rPr>
                <w:rFonts w:cs="Times New Roman"/>
                <w:b/>
                <w:bCs/>
                <w:szCs w:val="24"/>
              </w:rPr>
            </w:pPr>
            <w:r>
              <w:rPr>
                <w:b/>
                <w:bCs/>
              </w:rPr>
              <w:t>Student name:</w:t>
            </w:r>
          </w:p>
        </w:tc>
        <w:tc>
          <w:tcPr>
            <w:tcW w:w="3293" w:type="dxa"/>
          </w:tcPr>
          <w:p w14:paraId="01150B41">
            <w:pPr>
              <w:spacing w:before="120" w:after="120" w:line="360" w:lineRule="auto"/>
              <w:rPr>
                <w:rFonts w:cs="Times New Roman"/>
                <w:b/>
                <w:bCs/>
                <w:szCs w:val="24"/>
              </w:rPr>
            </w:pPr>
            <w:r>
              <w:rPr>
                <w:rFonts w:hint="default"/>
                <w:b/>
                <w:bCs/>
                <w:lang w:val="en-US"/>
              </w:rPr>
              <w:t xml:space="preserve">Md. </w:t>
            </w:r>
            <w:r>
              <w:rPr>
                <w:b/>
                <w:bCs/>
              </w:rPr>
              <w:t>Rakibul Hasan</w:t>
            </w:r>
          </w:p>
        </w:tc>
        <w:tc>
          <w:tcPr>
            <w:tcW w:w="2268" w:type="dxa"/>
          </w:tcPr>
          <w:p w14:paraId="1F5D77E2">
            <w:pPr>
              <w:spacing w:before="120" w:after="120" w:line="360" w:lineRule="auto"/>
              <w:rPr>
                <w:rFonts w:cs="Times New Roman"/>
                <w:b/>
                <w:bCs/>
                <w:szCs w:val="24"/>
              </w:rPr>
            </w:pPr>
            <w:r>
              <w:rPr>
                <w:b/>
                <w:bCs/>
              </w:rPr>
              <w:t>Student ID number:</w:t>
            </w:r>
          </w:p>
        </w:tc>
        <w:tc>
          <w:tcPr>
            <w:tcW w:w="2268" w:type="dxa"/>
          </w:tcPr>
          <w:p w14:paraId="5FCCE694">
            <w:pPr>
              <w:spacing w:before="120" w:after="120" w:line="360" w:lineRule="auto"/>
              <w:rPr>
                <w:rFonts w:cs="Times New Roman"/>
                <w:b/>
                <w:bCs/>
                <w:szCs w:val="24"/>
              </w:rPr>
            </w:pPr>
            <w:r>
              <w:rPr>
                <w:b/>
                <w:bCs/>
              </w:rPr>
              <w:t>24382</w:t>
            </w:r>
            <w:bookmarkStart w:id="26" w:name="_GoBack"/>
            <w:bookmarkEnd w:id="26"/>
            <w:r>
              <w:rPr>
                <w:b/>
                <w:bCs/>
              </w:rPr>
              <w:t>87</w:t>
            </w:r>
          </w:p>
        </w:tc>
      </w:tr>
      <w:tr w14:paraId="66C018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tcPr>
          <w:p w14:paraId="42413553">
            <w:pPr>
              <w:spacing w:before="120" w:after="120" w:line="360" w:lineRule="auto"/>
              <w:rPr>
                <w:rFonts w:cs="Times New Roman"/>
                <w:b/>
                <w:szCs w:val="24"/>
              </w:rPr>
            </w:pPr>
            <w:r>
              <w:rPr>
                <w:rFonts w:cs="Times New Roman"/>
                <w:b/>
                <w:szCs w:val="24"/>
              </w:rPr>
              <w:t>Programme:</w:t>
            </w:r>
          </w:p>
        </w:tc>
        <w:tc>
          <w:tcPr>
            <w:tcW w:w="7829" w:type="dxa"/>
            <w:gridSpan w:val="3"/>
          </w:tcPr>
          <w:p w14:paraId="5AA77F00">
            <w:pPr>
              <w:spacing w:before="120" w:after="120" w:line="360" w:lineRule="auto"/>
              <w:rPr>
                <w:rFonts w:cs="Times New Roman"/>
                <w:b/>
                <w:szCs w:val="24"/>
              </w:rPr>
            </w:pPr>
            <w:r>
              <w:rPr>
                <w:rFonts w:cs="Times New Roman"/>
                <w:szCs w:val="24"/>
              </w:rPr>
              <w:t>MBA</w:t>
            </w:r>
          </w:p>
        </w:tc>
      </w:tr>
      <w:tr w14:paraId="16425F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tcPr>
          <w:p w14:paraId="727E05CB">
            <w:pPr>
              <w:spacing w:before="120" w:after="120" w:line="360" w:lineRule="auto"/>
              <w:rPr>
                <w:rFonts w:cs="Times New Roman"/>
                <w:b/>
                <w:szCs w:val="24"/>
              </w:rPr>
            </w:pPr>
            <w:r>
              <w:rPr>
                <w:rFonts w:cs="Times New Roman"/>
                <w:b/>
                <w:szCs w:val="24"/>
              </w:rPr>
              <w:t>Module:</w:t>
            </w:r>
          </w:p>
        </w:tc>
        <w:tc>
          <w:tcPr>
            <w:tcW w:w="7829" w:type="dxa"/>
            <w:gridSpan w:val="3"/>
          </w:tcPr>
          <w:p w14:paraId="67B1421E">
            <w:pPr>
              <w:spacing w:before="120" w:after="120" w:line="360" w:lineRule="auto"/>
              <w:rPr>
                <w:rFonts w:cs="Times New Roman"/>
                <w:b/>
                <w:szCs w:val="24"/>
              </w:rPr>
            </w:pPr>
            <w:r>
              <w:rPr>
                <w:rFonts w:cs="Times New Roman"/>
                <w:szCs w:val="24"/>
              </w:rPr>
              <w:t>Finance for Business Managers</w:t>
            </w:r>
          </w:p>
        </w:tc>
      </w:tr>
      <w:tr w14:paraId="487E36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tcPr>
          <w:p w14:paraId="0B445920">
            <w:pPr>
              <w:spacing w:before="120" w:after="120" w:line="360" w:lineRule="auto"/>
              <w:rPr>
                <w:rFonts w:cs="Times New Roman"/>
                <w:b/>
                <w:szCs w:val="24"/>
              </w:rPr>
            </w:pPr>
            <w:r>
              <w:rPr>
                <w:rFonts w:cs="Times New Roman"/>
                <w:b/>
                <w:szCs w:val="24"/>
              </w:rPr>
              <w:t>Module code:</w:t>
            </w:r>
          </w:p>
        </w:tc>
        <w:tc>
          <w:tcPr>
            <w:tcW w:w="3293" w:type="dxa"/>
          </w:tcPr>
          <w:p w14:paraId="581BE256">
            <w:pPr>
              <w:spacing w:before="120" w:after="120" w:line="360" w:lineRule="auto"/>
              <w:rPr>
                <w:rFonts w:cs="Times New Roman"/>
                <w:b/>
                <w:szCs w:val="24"/>
              </w:rPr>
            </w:pPr>
            <w:r>
              <w:rPr>
                <w:rFonts w:cs="Times New Roman"/>
                <w:bCs/>
                <w:szCs w:val="24"/>
              </w:rPr>
              <w:t>BMMB7005D</w:t>
            </w:r>
          </w:p>
        </w:tc>
        <w:tc>
          <w:tcPr>
            <w:tcW w:w="2268" w:type="dxa"/>
          </w:tcPr>
          <w:p w14:paraId="40C6E28C">
            <w:pPr>
              <w:spacing w:line="360" w:lineRule="auto"/>
              <w:rPr>
                <w:b/>
                <w:bCs/>
              </w:rPr>
            </w:pPr>
            <w:r>
              <w:rPr>
                <w:b/>
                <w:bCs/>
              </w:rPr>
              <w:t>Contribution to Overall Module Assessment (%):</w:t>
            </w:r>
          </w:p>
        </w:tc>
        <w:tc>
          <w:tcPr>
            <w:tcW w:w="2268" w:type="dxa"/>
          </w:tcPr>
          <w:p w14:paraId="28EDDE84">
            <w:pPr>
              <w:spacing w:before="120" w:after="120" w:line="360" w:lineRule="auto"/>
              <w:rPr>
                <w:rFonts w:cs="Times New Roman"/>
                <w:b/>
                <w:szCs w:val="24"/>
              </w:rPr>
            </w:pPr>
            <w:r>
              <w:rPr>
                <w:rFonts w:cs="Times New Roman"/>
                <w:szCs w:val="24"/>
              </w:rPr>
              <w:t>100%</w:t>
            </w:r>
          </w:p>
        </w:tc>
      </w:tr>
      <w:tr w14:paraId="4A7DA6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tcPr>
          <w:p w14:paraId="2D02C609">
            <w:pPr>
              <w:spacing w:before="120" w:after="120" w:line="360" w:lineRule="auto"/>
              <w:rPr>
                <w:rFonts w:cs="Times New Roman"/>
                <w:b/>
                <w:szCs w:val="24"/>
              </w:rPr>
            </w:pPr>
            <w:r>
              <w:rPr>
                <w:rFonts w:cs="Times New Roman"/>
                <w:b/>
                <w:szCs w:val="24"/>
              </w:rPr>
              <w:t>Lecturer:</w:t>
            </w:r>
          </w:p>
        </w:tc>
        <w:tc>
          <w:tcPr>
            <w:tcW w:w="3293" w:type="dxa"/>
          </w:tcPr>
          <w:p w14:paraId="5E74114C">
            <w:pPr>
              <w:spacing w:before="120" w:after="120" w:line="360" w:lineRule="auto"/>
              <w:rPr>
                <w:rFonts w:cs="Times New Roman"/>
                <w:b/>
                <w:szCs w:val="24"/>
              </w:rPr>
            </w:pPr>
            <w:r>
              <w:rPr>
                <w:rFonts w:cs="Times New Roman"/>
                <w:szCs w:val="24"/>
              </w:rPr>
              <w:t>Marie Pitson</w:t>
            </w:r>
          </w:p>
        </w:tc>
        <w:tc>
          <w:tcPr>
            <w:tcW w:w="2268" w:type="dxa"/>
          </w:tcPr>
          <w:p w14:paraId="25C87C22">
            <w:pPr>
              <w:spacing w:before="120" w:after="120" w:line="360" w:lineRule="auto"/>
              <w:rPr>
                <w:rFonts w:cs="Times New Roman"/>
                <w:b/>
                <w:szCs w:val="24"/>
              </w:rPr>
            </w:pPr>
            <w:r>
              <w:rPr>
                <w:rFonts w:cs="Times New Roman"/>
                <w:b/>
                <w:szCs w:val="24"/>
              </w:rPr>
              <w:t>Internal Verifier:</w:t>
            </w:r>
          </w:p>
        </w:tc>
        <w:tc>
          <w:tcPr>
            <w:tcW w:w="2268" w:type="dxa"/>
          </w:tcPr>
          <w:p w14:paraId="174EF0EE">
            <w:pPr>
              <w:spacing w:before="120" w:after="120" w:line="360" w:lineRule="auto"/>
              <w:rPr>
                <w:rFonts w:cs="Times New Roman"/>
                <w:b/>
                <w:szCs w:val="24"/>
              </w:rPr>
            </w:pPr>
            <w:r>
              <w:rPr>
                <w:rFonts w:cs="Times New Roman"/>
                <w:szCs w:val="24"/>
              </w:rPr>
              <w:t>Badir Miftah</w:t>
            </w:r>
          </w:p>
        </w:tc>
      </w:tr>
      <w:tr w14:paraId="232DCF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tcPr>
          <w:p w14:paraId="516417B3">
            <w:pPr>
              <w:spacing w:before="120" w:after="120" w:line="360" w:lineRule="auto"/>
              <w:rPr>
                <w:rFonts w:cs="Times New Roman"/>
                <w:b/>
                <w:szCs w:val="24"/>
              </w:rPr>
            </w:pPr>
            <w:r>
              <w:rPr>
                <w:rFonts w:cs="Times New Roman"/>
                <w:b/>
                <w:szCs w:val="24"/>
              </w:rPr>
              <w:t>Assignment Title:</w:t>
            </w:r>
          </w:p>
        </w:tc>
        <w:tc>
          <w:tcPr>
            <w:tcW w:w="3293" w:type="dxa"/>
          </w:tcPr>
          <w:p w14:paraId="07EE06AC">
            <w:pPr>
              <w:spacing w:before="120" w:after="120" w:line="360" w:lineRule="auto"/>
              <w:rPr>
                <w:rFonts w:cs="Times New Roman"/>
                <w:szCs w:val="24"/>
              </w:rPr>
            </w:pPr>
            <w:r>
              <w:rPr>
                <w:rFonts w:cs="Times New Roman"/>
                <w:szCs w:val="24"/>
              </w:rPr>
              <w:t>Finance Report for</w:t>
            </w:r>
            <w:r>
              <w:rPr>
                <w:lang w:val="en-US"/>
              </w:rPr>
              <w:t xml:space="preserve"> BP</w:t>
            </w:r>
            <w:r>
              <w:rPr>
                <w:rFonts w:cs="Times New Roman"/>
                <w:szCs w:val="24"/>
              </w:rPr>
              <w:t xml:space="preserve"> Plc &amp; Westward Plc</w:t>
            </w:r>
          </w:p>
        </w:tc>
        <w:tc>
          <w:tcPr>
            <w:tcW w:w="2268" w:type="dxa"/>
          </w:tcPr>
          <w:p w14:paraId="5182A364">
            <w:pPr>
              <w:spacing w:before="120" w:after="120" w:line="360" w:lineRule="auto"/>
              <w:rPr>
                <w:rFonts w:cs="Times New Roman"/>
                <w:b/>
                <w:szCs w:val="24"/>
              </w:rPr>
            </w:pPr>
            <w:r>
              <w:rPr>
                <w:rFonts w:cs="Times New Roman"/>
                <w:b/>
                <w:szCs w:val="24"/>
              </w:rPr>
              <w:t>Word count (or equivalent):</w:t>
            </w:r>
          </w:p>
        </w:tc>
        <w:tc>
          <w:tcPr>
            <w:tcW w:w="2268" w:type="dxa"/>
          </w:tcPr>
          <w:p w14:paraId="1BC301EE">
            <w:pPr>
              <w:spacing w:before="120" w:after="120" w:line="360" w:lineRule="auto"/>
              <w:rPr>
                <w:rFonts w:cs="Times New Roman"/>
                <w:b/>
                <w:szCs w:val="24"/>
              </w:rPr>
            </w:pPr>
            <w:r>
              <w:rPr>
                <w:rFonts w:cs="Times New Roman"/>
                <w:szCs w:val="24"/>
              </w:rPr>
              <w:t>5000 words</w:t>
            </w:r>
          </w:p>
        </w:tc>
      </w:tr>
      <w:tr w14:paraId="59C0AA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tcPr>
          <w:p w14:paraId="2F85970A">
            <w:pPr>
              <w:spacing w:before="120" w:after="120" w:line="360" w:lineRule="auto"/>
              <w:rPr>
                <w:rFonts w:cs="Times New Roman"/>
                <w:b/>
                <w:szCs w:val="24"/>
              </w:rPr>
            </w:pPr>
            <w:r>
              <w:rPr>
                <w:rFonts w:cs="Times New Roman"/>
                <w:b/>
                <w:szCs w:val="24"/>
              </w:rPr>
              <w:t>Submission deadline:</w:t>
            </w:r>
          </w:p>
        </w:tc>
        <w:tc>
          <w:tcPr>
            <w:tcW w:w="3293" w:type="dxa"/>
          </w:tcPr>
          <w:p w14:paraId="33001707">
            <w:pPr>
              <w:spacing w:before="120" w:after="120" w:line="360" w:lineRule="auto"/>
              <w:rPr>
                <w:rFonts w:cs="Times New Roman"/>
                <w:szCs w:val="24"/>
              </w:rPr>
            </w:pPr>
            <w:r>
              <w:rPr>
                <w:rFonts w:cs="Times New Roman"/>
                <w:szCs w:val="24"/>
              </w:rPr>
              <w:t>12</w:t>
            </w:r>
            <w:r>
              <w:rPr>
                <w:rFonts w:cs="Times New Roman"/>
                <w:szCs w:val="24"/>
                <w:vertAlign w:val="superscript"/>
              </w:rPr>
              <w:t>th</w:t>
            </w:r>
            <w:r>
              <w:rPr>
                <w:rFonts w:cs="Times New Roman"/>
                <w:szCs w:val="24"/>
              </w:rPr>
              <w:t xml:space="preserve"> January 2026</w:t>
            </w:r>
          </w:p>
        </w:tc>
        <w:tc>
          <w:tcPr>
            <w:tcW w:w="2268" w:type="dxa"/>
          </w:tcPr>
          <w:p w14:paraId="25802A75">
            <w:pPr>
              <w:spacing w:before="120" w:after="120" w:line="360" w:lineRule="auto"/>
              <w:rPr>
                <w:rFonts w:cs="Times New Roman"/>
                <w:b/>
                <w:szCs w:val="24"/>
              </w:rPr>
            </w:pPr>
          </w:p>
        </w:tc>
        <w:tc>
          <w:tcPr>
            <w:tcW w:w="2268" w:type="dxa"/>
          </w:tcPr>
          <w:p w14:paraId="40E985D9">
            <w:pPr>
              <w:spacing w:before="120" w:after="120" w:line="360" w:lineRule="auto"/>
              <w:rPr>
                <w:rFonts w:cs="Times New Roman"/>
                <w:szCs w:val="24"/>
              </w:rPr>
            </w:pPr>
          </w:p>
        </w:tc>
      </w:tr>
    </w:tbl>
    <w:p w14:paraId="4F513478">
      <w:pPr>
        <w:spacing w:line="360" w:lineRule="auto"/>
        <w:rPr>
          <w:sz w:val="32"/>
          <w:szCs w:val="36"/>
          <w:lang w:val="en-US"/>
        </w:rPr>
      </w:pPr>
    </w:p>
    <w:p w14:paraId="5C343C9A">
      <w:pPr>
        <w:spacing w:line="360" w:lineRule="auto"/>
        <w:rPr>
          <w:sz w:val="32"/>
          <w:szCs w:val="36"/>
          <w:lang w:val="en-US"/>
        </w:rPr>
      </w:pPr>
    </w:p>
    <w:p w14:paraId="06789CE7">
      <w:pPr>
        <w:spacing w:line="360" w:lineRule="auto"/>
        <w:rPr>
          <w:sz w:val="32"/>
          <w:szCs w:val="36"/>
          <w:lang w:val="en-US"/>
        </w:rPr>
      </w:pPr>
    </w:p>
    <w:p w14:paraId="0C6AD53A">
      <w:pPr>
        <w:spacing w:after="160" w:line="360" w:lineRule="auto"/>
        <w:rPr>
          <w:sz w:val="32"/>
          <w:szCs w:val="36"/>
          <w:lang w:val="en-US"/>
        </w:rPr>
      </w:pPr>
      <w:r>
        <w:rPr>
          <w:sz w:val="32"/>
          <w:szCs w:val="36"/>
          <w:lang w:val="en-US"/>
        </w:rPr>
        <w:br w:type="page"/>
      </w:r>
    </w:p>
    <w:sdt>
      <w:sdtPr>
        <w:rPr>
          <w:rFonts w:eastAsiaTheme="minorHAnsi" w:cstheme="minorBidi"/>
          <w:b w:val="0"/>
          <w:color w:val="auto"/>
          <w:sz w:val="24"/>
          <w:szCs w:val="30"/>
        </w:rPr>
        <w:id w:val="745069294"/>
        <w:docPartObj>
          <w:docPartGallery w:val="Table of Contents"/>
          <w:docPartUnique/>
        </w:docPartObj>
      </w:sdtPr>
      <w:sdtEndPr>
        <w:rPr>
          <w:rFonts w:eastAsiaTheme="minorHAnsi" w:cstheme="minorBidi"/>
          <w:b w:val="0"/>
          <w:bCs/>
          <w:color w:val="auto"/>
          <w:sz w:val="24"/>
          <w:szCs w:val="30"/>
        </w:rPr>
      </w:sdtEndPr>
      <w:sdtContent>
        <w:p w14:paraId="4F74624B">
          <w:pPr>
            <w:pStyle w:val="2"/>
            <w:numPr>
              <w:ilvl w:val="0"/>
              <w:numId w:val="0"/>
            </w:numPr>
            <w:spacing w:line="360" w:lineRule="auto"/>
          </w:pPr>
          <w:bookmarkStart w:id="0" w:name="_Toc219049729"/>
          <w:r>
            <w:t>Table of Contents</w:t>
          </w:r>
          <w:bookmarkEnd w:id="0"/>
          <w:r>
            <w:rPr>
              <w:b w:val="0"/>
            </w:rPr>
            <w:fldChar w:fldCharType="begin"/>
          </w:r>
          <w:r>
            <w:instrText xml:space="preserve"> TOC \o "1-3" \h \z \u </w:instrText>
          </w:r>
          <w:r>
            <w:rPr>
              <w:b w:val="0"/>
            </w:rPr>
            <w:fldChar w:fldCharType="separate"/>
          </w:r>
        </w:p>
        <w:p w14:paraId="3EEBA6BF">
          <w:pPr>
            <w:pStyle w:val="20"/>
            <w:tabs>
              <w:tab w:val="left" w:pos="480"/>
              <w:tab w:val="right" w:leader="dot" w:pos="9016"/>
            </w:tabs>
            <w:rPr>
              <w:rFonts w:asciiTheme="minorHAnsi" w:hAnsiTheme="minorHAnsi" w:eastAsiaTheme="minorEastAsia"/>
              <w:lang w:eastAsia="en-GB"/>
            </w:rPr>
          </w:pPr>
          <w:r>
            <w:fldChar w:fldCharType="begin"/>
          </w:r>
          <w:r>
            <w:instrText xml:space="preserve"> HYPERLINK \l "_Toc219049730" </w:instrText>
          </w:r>
          <w:r>
            <w:fldChar w:fldCharType="separate"/>
          </w:r>
          <w:r>
            <w:rPr>
              <w:rStyle w:val="16"/>
              <w:lang w:val="en-US"/>
            </w:rPr>
            <w:t>1.</w:t>
          </w:r>
          <w:r>
            <w:rPr>
              <w:rFonts w:asciiTheme="minorHAnsi" w:hAnsiTheme="minorHAnsi" w:eastAsiaTheme="minorEastAsia"/>
              <w:lang w:eastAsia="en-GB"/>
            </w:rPr>
            <w:tab/>
          </w:r>
          <w:r>
            <w:rPr>
              <w:rStyle w:val="16"/>
              <w:lang w:val="en-US"/>
            </w:rPr>
            <w:t>Executive Summary</w:t>
          </w:r>
          <w:r>
            <w:tab/>
          </w:r>
          <w:r>
            <w:fldChar w:fldCharType="begin"/>
          </w:r>
          <w:r>
            <w:instrText xml:space="preserve"> PAGEREF _Toc219049730 \h </w:instrText>
          </w:r>
          <w:r>
            <w:fldChar w:fldCharType="separate"/>
          </w:r>
          <w:r>
            <w:t>3</w:t>
          </w:r>
          <w:r>
            <w:fldChar w:fldCharType="end"/>
          </w:r>
          <w:r>
            <w:fldChar w:fldCharType="end"/>
          </w:r>
        </w:p>
        <w:p w14:paraId="7168BC82">
          <w:pPr>
            <w:pStyle w:val="20"/>
            <w:tabs>
              <w:tab w:val="left" w:pos="480"/>
              <w:tab w:val="right" w:leader="dot" w:pos="9016"/>
            </w:tabs>
            <w:rPr>
              <w:rFonts w:asciiTheme="minorHAnsi" w:hAnsiTheme="minorHAnsi" w:eastAsiaTheme="minorEastAsia"/>
              <w:lang w:eastAsia="en-GB"/>
            </w:rPr>
          </w:pPr>
          <w:r>
            <w:fldChar w:fldCharType="begin"/>
          </w:r>
          <w:r>
            <w:instrText xml:space="preserve"> HYPERLINK \l "_Toc219049731" </w:instrText>
          </w:r>
          <w:r>
            <w:fldChar w:fldCharType="separate"/>
          </w:r>
          <w:r>
            <w:rPr>
              <w:rStyle w:val="16"/>
              <w:lang w:val="en-US"/>
            </w:rPr>
            <w:t>2.</w:t>
          </w:r>
          <w:r>
            <w:rPr>
              <w:rFonts w:asciiTheme="minorHAnsi" w:hAnsiTheme="minorHAnsi" w:eastAsiaTheme="minorEastAsia"/>
              <w:lang w:eastAsia="en-GB"/>
            </w:rPr>
            <w:tab/>
          </w:r>
          <w:r>
            <w:rPr>
              <w:rStyle w:val="16"/>
              <w:lang w:val="en-US"/>
            </w:rPr>
            <w:t>Introduction</w:t>
          </w:r>
          <w:r>
            <w:tab/>
          </w:r>
          <w:r>
            <w:fldChar w:fldCharType="begin"/>
          </w:r>
          <w:r>
            <w:instrText xml:space="preserve"> PAGEREF _Toc219049731 \h </w:instrText>
          </w:r>
          <w:r>
            <w:fldChar w:fldCharType="separate"/>
          </w:r>
          <w:r>
            <w:t>4</w:t>
          </w:r>
          <w:r>
            <w:fldChar w:fldCharType="end"/>
          </w:r>
          <w:r>
            <w:fldChar w:fldCharType="end"/>
          </w:r>
        </w:p>
        <w:p w14:paraId="5A14C03C">
          <w:pPr>
            <w:pStyle w:val="20"/>
            <w:tabs>
              <w:tab w:val="left" w:pos="480"/>
              <w:tab w:val="right" w:leader="dot" w:pos="9016"/>
            </w:tabs>
            <w:rPr>
              <w:rFonts w:asciiTheme="minorHAnsi" w:hAnsiTheme="minorHAnsi" w:eastAsiaTheme="minorEastAsia"/>
              <w:lang w:eastAsia="en-GB"/>
            </w:rPr>
          </w:pPr>
          <w:r>
            <w:fldChar w:fldCharType="begin"/>
          </w:r>
          <w:r>
            <w:instrText xml:space="preserve"> HYPERLINK \l "_Toc219049732" </w:instrText>
          </w:r>
          <w:r>
            <w:fldChar w:fldCharType="separate"/>
          </w:r>
          <w:r>
            <w:rPr>
              <w:rStyle w:val="16"/>
              <w:lang w:val="en-US"/>
            </w:rPr>
            <w:t>3.</w:t>
          </w:r>
          <w:r>
            <w:rPr>
              <w:rFonts w:asciiTheme="minorHAnsi" w:hAnsiTheme="minorHAnsi" w:eastAsiaTheme="minorEastAsia"/>
              <w:lang w:eastAsia="en-GB"/>
            </w:rPr>
            <w:tab/>
          </w:r>
          <w:r>
            <w:rPr>
              <w:rStyle w:val="16"/>
              <w:lang w:val="en-US"/>
            </w:rPr>
            <w:t>Part – 01: Analysis of Financial Ratios of BP UK</w:t>
          </w:r>
          <w:r>
            <w:tab/>
          </w:r>
          <w:r>
            <w:fldChar w:fldCharType="begin"/>
          </w:r>
          <w:r>
            <w:instrText xml:space="preserve"> PAGEREF _Toc219049732 \h </w:instrText>
          </w:r>
          <w:r>
            <w:fldChar w:fldCharType="separate"/>
          </w:r>
          <w:r>
            <w:t>4</w:t>
          </w:r>
          <w:r>
            <w:fldChar w:fldCharType="end"/>
          </w:r>
          <w:r>
            <w:fldChar w:fldCharType="end"/>
          </w:r>
        </w:p>
        <w:p w14:paraId="691FA51F">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"_Toc219049733" </w:instrText>
          </w:r>
          <w:r>
            <w:fldChar w:fldCharType="separate"/>
          </w:r>
          <w:r>
            <w:rPr>
              <w:rStyle w:val="16"/>
              <w:lang w:val="en-US"/>
            </w:rPr>
            <w:t>3.1.</w:t>
          </w:r>
          <w:r>
            <w:rPr>
              <w:rFonts w:asciiTheme="minorHAnsi" w:hAnsiTheme="minorHAnsi" w:eastAsiaTheme="minorEastAsia"/>
              <w:lang w:eastAsia="en-GB"/>
            </w:rPr>
            <w:tab/>
          </w:r>
          <w:r>
            <w:rPr>
              <w:rStyle w:val="16"/>
              <w:lang w:val="en-US"/>
            </w:rPr>
            <w:t>Overview of BP PLC</w:t>
          </w:r>
          <w:r>
            <w:tab/>
          </w:r>
          <w:r>
            <w:fldChar w:fldCharType="begin"/>
          </w:r>
          <w:r>
            <w:instrText xml:space="preserve"> PAGEREF _Toc219049733 \h </w:instrText>
          </w:r>
          <w:r>
            <w:fldChar w:fldCharType="separate"/>
          </w:r>
          <w:r>
            <w:t>4</w:t>
          </w:r>
          <w:r>
            <w:fldChar w:fldCharType="end"/>
          </w:r>
          <w:r>
            <w:fldChar w:fldCharType="end"/>
          </w:r>
        </w:p>
        <w:p w14:paraId="7E0E829B">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"_Toc219049734" </w:instrText>
          </w:r>
          <w:r>
            <w:fldChar w:fldCharType="separate"/>
          </w:r>
          <w:r>
            <w:rPr>
              <w:rStyle w:val="16"/>
              <w:lang w:val="en-US"/>
            </w:rPr>
            <w:t>3.2.</w:t>
          </w:r>
          <w:r>
            <w:rPr>
              <w:rFonts w:asciiTheme="minorHAnsi" w:hAnsiTheme="minorHAnsi" w:eastAsiaTheme="minorEastAsia"/>
              <w:lang w:eastAsia="en-GB"/>
            </w:rPr>
            <w:tab/>
          </w:r>
          <w:r>
            <w:rPr>
              <w:rStyle w:val="16"/>
              <w:lang w:val="en-US"/>
            </w:rPr>
            <w:t>Ratio Calculation and Analysis</w:t>
          </w:r>
          <w:r>
            <w:tab/>
          </w:r>
          <w:r>
            <w:fldChar w:fldCharType="begin"/>
          </w:r>
          <w:r>
            <w:instrText xml:space="preserve"> PAGEREF _Toc219049734 \h </w:instrText>
          </w:r>
          <w:r>
            <w:fldChar w:fldCharType="separate"/>
          </w:r>
          <w:r>
            <w:t>5</w:t>
          </w:r>
          <w:r>
            <w:fldChar w:fldCharType="end"/>
          </w:r>
          <w:r>
            <w:fldChar w:fldCharType="end"/>
          </w:r>
        </w:p>
        <w:p w14:paraId="0DB5672D">
          <w:pPr>
            <w:pStyle w:val="22"/>
            <w:tabs>
              <w:tab w:val="left" w:pos="1440"/>
              <w:tab w:val="right" w:leader="dot" w:pos="9016"/>
            </w:tabs>
            <w:rPr>
              <w:rFonts w:asciiTheme="minorHAnsi" w:hAnsiTheme="minorHAnsi" w:eastAsiaTheme="minorEastAsia"/>
              <w:lang w:eastAsia="en-GB"/>
            </w:rPr>
          </w:pPr>
          <w:r>
            <w:fldChar w:fldCharType="begin"/>
          </w:r>
          <w:r>
            <w:instrText xml:space="preserve"> HYPERLINK \l "_Toc219049735" </w:instrText>
          </w:r>
          <w:r>
            <w:fldChar w:fldCharType="separate"/>
          </w:r>
          <w:r>
            <w:rPr>
              <w:rStyle w:val="16"/>
              <w:rFonts w:cs="Times New Roman"/>
              <w:b/>
              <w:bCs/>
              <w:lang w:val="en-US"/>
            </w:rPr>
            <w:t>3.2.1.</w:t>
          </w:r>
          <w:r>
            <w:rPr>
              <w:rFonts w:asciiTheme="minorHAnsi" w:hAnsiTheme="minorHAnsi" w:eastAsiaTheme="minorEastAsia"/>
              <w:lang w:eastAsia="en-GB"/>
            </w:rPr>
            <w:tab/>
          </w:r>
          <w:r>
            <w:rPr>
              <w:rStyle w:val="16"/>
              <w:rFonts w:cs="Times New Roman"/>
              <w:b/>
              <w:bCs/>
              <w:lang w:val="en-US"/>
            </w:rPr>
            <w:t>Profitability Ratio</w:t>
          </w:r>
          <w:r>
            <w:tab/>
          </w:r>
          <w:r>
            <w:fldChar w:fldCharType="begin"/>
          </w:r>
          <w:r>
            <w:instrText xml:space="preserve"> PAGEREF _Toc219049735 \h </w:instrText>
          </w:r>
          <w:r>
            <w:fldChar w:fldCharType="separate"/>
          </w:r>
          <w:r>
            <w:t>5</w:t>
          </w:r>
          <w:r>
            <w:fldChar w:fldCharType="end"/>
          </w:r>
          <w:r>
            <w:fldChar w:fldCharType="end"/>
          </w:r>
        </w:p>
        <w:p w14:paraId="0343EE5C">
          <w:pPr>
            <w:pStyle w:val="22"/>
            <w:tabs>
              <w:tab w:val="left" w:pos="1440"/>
              <w:tab w:val="right" w:leader="dot" w:pos="9016"/>
            </w:tabs>
            <w:rPr>
              <w:rFonts w:asciiTheme="minorHAnsi" w:hAnsiTheme="minorHAnsi" w:eastAsiaTheme="minorEastAsia"/>
              <w:lang w:eastAsia="en-GB"/>
            </w:rPr>
          </w:pPr>
          <w:r>
            <w:fldChar w:fldCharType="begin"/>
          </w:r>
          <w:r>
            <w:instrText xml:space="preserve"> HYPERLINK \l "_Toc219049736" </w:instrText>
          </w:r>
          <w:r>
            <w:fldChar w:fldCharType="separate"/>
          </w:r>
          <w:r>
            <w:rPr>
              <w:rStyle w:val="16"/>
              <w:rFonts w:cs="Times New Roman"/>
              <w:b/>
              <w:bCs/>
              <w:lang w:val="en-US"/>
            </w:rPr>
            <w:t>3.2.2.</w:t>
          </w:r>
          <w:r>
            <w:rPr>
              <w:rFonts w:asciiTheme="minorHAnsi" w:hAnsiTheme="minorHAnsi" w:eastAsiaTheme="minorEastAsia"/>
              <w:lang w:eastAsia="en-GB"/>
            </w:rPr>
            <w:tab/>
          </w:r>
          <w:r>
            <w:rPr>
              <w:rStyle w:val="16"/>
              <w:rFonts w:cs="Times New Roman"/>
              <w:b/>
              <w:bCs/>
              <w:lang w:val="en-US"/>
            </w:rPr>
            <w:t>Liquidity Ratio</w:t>
          </w:r>
          <w:r>
            <w:tab/>
          </w:r>
          <w:r>
            <w:fldChar w:fldCharType="begin"/>
          </w:r>
          <w:r>
            <w:instrText xml:space="preserve"> PAGEREF _Toc219049736 \h </w:instrText>
          </w:r>
          <w:r>
            <w:fldChar w:fldCharType="separate"/>
          </w:r>
          <w:r>
            <w:t>7</w:t>
          </w:r>
          <w:r>
            <w:fldChar w:fldCharType="end"/>
          </w:r>
          <w:r>
            <w:fldChar w:fldCharType="end"/>
          </w:r>
        </w:p>
        <w:p w14:paraId="601BFE0F">
          <w:pPr>
            <w:pStyle w:val="22"/>
            <w:tabs>
              <w:tab w:val="left" w:pos="1440"/>
              <w:tab w:val="right" w:leader="dot" w:pos="9016"/>
            </w:tabs>
            <w:rPr>
              <w:rFonts w:asciiTheme="minorHAnsi" w:hAnsiTheme="minorHAnsi" w:eastAsiaTheme="minorEastAsia"/>
              <w:lang w:eastAsia="en-GB"/>
            </w:rPr>
          </w:pPr>
          <w:r>
            <w:fldChar w:fldCharType="begin"/>
          </w:r>
          <w:r>
            <w:instrText xml:space="preserve"> HYPERLINK \l "_Toc219049737" </w:instrText>
          </w:r>
          <w:r>
            <w:fldChar w:fldCharType="separate"/>
          </w:r>
          <w:r>
            <w:rPr>
              <w:rStyle w:val="16"/>
              <w:rFonts w:cs="Times New Roman"/>
              <w:b/>
              <w:bCs/>
              <w:lang w:val="en-US"/>
            </w:rPr>
            <w:t>3.2.3.</w:t>
          </w:r>
          <w:r>
            <w:rPr>
              <w:rFonts w:asciiTheme="minorHAnsi" w:hAnsiTheme="minorHAnsi" w:eastAsiaTheme="minorEastAsia"/>
              <w:lang w:eastAsia="en-GB"/>
            </w:rPr>
            <w:tab/>
          </w:r>
          <w:r>
            <w:rPr>
              <w:rStyle w:val="16"/>
              <w:rFonts w:cs="Times New Roman"/>
              <w:b/>
              <w:bCs/>
              <w:lang w:val="en-US"/>
            </w:rPr>
            <w:t>Efficiency Ratio</w:t>
          </w:r>
          <w:r>
            <w:tab/>
          </w:r>
          <w:r>
            <w:fldChar w:fldCharType="begin"/>
          </w:r>
          <w:r>
            <w:instrText xml:space="preserve"> PAGEREF _Toc219049737 \h </w:instrText>
          </w:r>
          <w:r>
            <w:fldChar w:fldCharType="separate"/>
          </w:r>
          <w:r>
            <w:t>9</w:t>
          </w:r>
          <w:r>
            <w:fldChar w:fldCharType="end"/>
          </w:r>
          <w:r>
            <w:fldChar w:fldCharType="end"/>
          </w:r>
        </w:p>
        <w:p w14:paraId="2CEE7FF6">
          <w:pPr>
            <w:pStyle w:val="22"/>
            <w:tabs>
              <w:tab w:val="left" w:pos="1440"/>
              <w:tab w:val="right" w:leader="dot" w:pos="9016"/>
            </w:tabs>
            <w:rPr>
              <w:rFonts w:asciiTheme="minorHAnsi" w:hAnsiTheme="minorHAnsi" w:eastAsiaTheme="minorEastAsia"/>
              <w:lang w:eastAsia="en-GB"/>
            </w:rPr>
          </w:pPr>
          <w:r>
            <w:fldChar w:fldCharType="begin"/>
          </w:r>
          <w:r>
            <w:instrText xml:space="preserve"> HYPERLINK \l "_Toc219049738" </w:instrText>
          </w:r>
          <w:r>
            <w:fldChar w:fldCharType="separate"/>
          </w:r>
          <w:r>
            <w:rPr>
              <w:rStyle w:val="16"/>
              <w:rFonts w:cs="Times New Roman"/>
              <w:b/>
              <w:bCs/>
              <w:lang w:val="en-US"/>
            </w:rPr>
            <w:t>3.2.4.</w:t>
          </w:r>
          <w:r>
            <w:rPr>
              <w:rFonts w:asciiTheme="minorHAnsi" w:hAnsiTheme="minorHAnsi" w:eastAsiaTheme="minorEastAsia"/>
              <w:lang w:eastAsia="en-GB"/>
            </w:rPr>
            <w:tab/>
          </w:r>
          <w:r>
            <w:rPr>
              <w:rStyle w:val="16"/>
              <w:rFonts w:cs="Times New Roman"/>
              <w:b/>
              <w:bCs/>
              <w:lang w:val="en-US"/>
            </w:rPr>
            <w:t>Gearing Ratio</w:t>
          </w:r>
          <w:r>
            <w:tab/>
          </w:r>
          <w:r>
            <w:fldChar w:fldCharType="begin"/>
          </w:r>
          <w:r>
            <w:instrText xml:space="preserve"> PAGEREF _Toc219049738 \h </w:instrText>
          </w:r>
          <w:r>
            <w:fldChar w:fldCharType="separate"/>
          </w:r>
          <w:r>
            <w:t>10</w:t>
          </w:r>
          <w:r>
            <w:fldChar w:fldCharType="end"/>
          </w:r>
          <w:r>
            <w:fldChar w:fldCharType="end"/>
          </w:r>
        </w:p>
        <w:p w14:paraId="54AFCA2C">
          <w:pPr>
            <w:pStyle w:val="22"/>
            <w:tabs>
              <w:tab w:val="left" w:pos="1440"/>
              <w:tab w:val="right" w:leader="dot" w:pos="9016"/>
            </w:tabs>
            <w:rPr>
              <w:rFonts w:asciiTheme="minorHAnsi" w:hAnsiTheme="minorHAnsi" w:eastAsiaTheme="minorEastAsia"/>
              <w:lang w:eastAsia="en-GB"/>
            </w:rPr>
          </w:pPr>
          <w:r>
            <w:fldChar w:fldCharType="begin"/>
          </w:r>
          <w:r>
            <w:instrText xml:space="preserve"> HYPERLINK \l "_Toc219049739" </w:instrText>
          </w:r>
          <w:r>
            <w:fldChar w:fldCharType="separate"/>
          </w:r>
          <w:r>
            <w:rPr>
              <w:rStyle w:val="16"/>
              <w:rFonts w:cs="Times New Roman"/>
              <w:b/>
              <w:bCs/>
              <w:lang w:val="en-US"/>
            </w:rPr>
            <w:t>3.2.5.</w:t>
          </w:r>
          <w:r>
            <w:rPr>
              <w:rFonts w:asciiTheme="minorHAnsi" w:hAnsiTheme="minorHAnsi" w:eastAsiaTheme="minorEastAsia"/>
              <w:lang w:eastAsia="en-GB"/>
            </w:rPr>
            <w:tab/>
          </w:r>
          <w:r>
            <w:rPr>
              <w:rStyle w:val="16"/>
              <w:rFonts w:cs="Times New Roman"/>
              <w:b/>
              <w:bCs/>
              <w:lang w:val="en-US"/>
            </w:rPr>
            <w:t>Investor Ratio</w:t>
          </w:r>
          <w:r>
            <w:tab/>
          </w:r>
          <w:r>
            <w:fldChar w:fldCharType="begin"/>
          </w:r>
          <w:r>
            <w:instrText xml:space="preserve"> PAGEREF _Toc219049739 \h </w:instrText>
          </w:r>
          <w:r>
            <w:fldChar w:fldCharType="separate"/>
          </w:r>
          <w:r>
            <w:t>12</w:t>
          </w:r>
          <w:r>
            <w:fldChar w:fldCharType="end"/>
          </w:r>
          <w:r>
            <w:fldChar w:fldCharType="end"/>
          </w:r>
        </w:p>
        <w:p w14:paraId="76EBD099">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"_Toc219049740" </w:instrText>
          </w:r>
          <w:r>
            <w:fldChar w:fldCharType="separate"/>
          </w:r>
          <w:r>
            <w:rPr>
              <w:rStyle w:val="16"/>
              <w:lang w:val="en-US"/>
            </w:rPr>
            <w:t>3.3.</w:t>
          </w:r>
          <w:r>
            <w:rPr>
              <w:rFonts w:asciiTheme="minorHAnsi" w:hAnsiTheme="minorHAnsi" w:eastAsiaTheme="minorEastAsia"/>
              <w:lang w:eastAsia="en-GB"/>
            </w:rPr>
            <w:tab/>
          </w:r>
          <w:r>
            <w:rPr>
              <w:rStyle w:val="16"/>
              <w:lang w:val="en-US"/>
            </w:rPr>
            <w:t>Critical Evaluation and Interpretation</w:t>
          </w:r>
          <w:r>
            <w:tab/>
          </w:r>
          <w:r>
            <w:fldChar w:fldCharType="begin"/>
          </w:r>
          <w:r>
            <w:instrText xml:space="preserve"> PAGEREF _Toc219049740 \h </w:instrText>
          </w:r>
          <w:r>
            <w:fldChar w:fldCharType="separate"/>
          </w:r>
          <w:r>
            <w:t>14</w:t>
          </w:r>
          <w:r>
            <w:fldChar w:fldCharType="end"/>
          </w:r>
          <w:r>
            <w:fldChar w:fldCharType="end"/>
          </w:r>
        </w:p>
        <w:p w14:paraId="4FAE7CE2">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"_Toc219049741" </w:instrText>
          </w:r>
          <w:r>
            <w:fldChar w:fldCharType="separate"/>
          </w:r>
          <w:r>
            <w:rPr>
              <w:rStyle w:val="16"/>
              <w:lang w:val="en-US"/>
            </w:rPr>
            <w:t>3.4.</w:t>
          </w:r>
          <w:r>
            <w:rPr>
              <w:rFonts w:asciiTheme="minorHAnsi" w:hAnsiTheme="minorHAnsi" w:eastAsiaTheme="minorEastAsia"/>
              <w:lang w:eastAsia="en-GB"/>
            </w:rPr>
            <w:tab/>
          </w:r>
          <w:r>
            <w:rPr>
              <w:rStyle w:val="16"/>
              <w:lang w:val="en-US"/>
            </w:rPr>
            <w:t>Recommendations for Improvements</w:t>
          </w:r>
          <w:r>
            <w:tab/>
          </w:r>
          <w:r>
            <w:fldChar w:fldCharType="begin"/>
          </w:r>
          <w:r>
            <w:instrText xml:space="preserve"> PAGEREF _Toc219049741 \h </w:instrText>
          </w:r>
          <w:r>
            <w:fldChar w:fldCharType="separate"/>
          </w:r>
          <w:r>
            <w:t>15</w:t>
          </w:r>
          <w:r>
            <w:fldChar w:fldCharType="end"/>
          </w:r>
          <w:r>
            <w:fldChar w:fldCharType="end"/>
          </w:r>
        </w:p>
        <w:p w14:paraId="73F9DB51">
          <w:pPr>
            <w:pStyle w:val="20"/>
            <w:tabs>
              <w:tab w:val="left" w:pos="480"/>
              <w:tab w:val="right" w:leader="dot" w:pos="9016"/>
            </w:tabs>
            <w:rPr>
              <w:rFonts w:asciiTheme="minorHAnsi" w:hAnsiTheme="minorHAnsi" w:eastAsiaTheme="minorEastAsia"/>
              <w:lang w:eastAsia="en-GB"/>
            </w:rPr>
          </w:pPr>
          <w:r>
            <w:fldChar w:fldCharType="begin"/>
          </w:r>
          <w:r>
            <w:instrText xml:space="preserve"> HYPERLINK \l "_Toc219049742" </w:instrText>
          </w:r>
          <w:r>
            <w:fldChar w:fldCharType="separate"/>
          </w:r>
          <w:r>
            <w:rPr>
              <w:rStyle w:val="16"/>
              <w:lang w:val="en-US"/>
            </w:rPr>
            <w:t>4.</w:t>
          </w:r>
          <w:r>
            <w:rPr>
              <w:rFonts w:asciiTheme="minorHAnsi" w:hAnsiTheme="minorHAnsi" w:eastAsiaTheme="minorEastAsia"/>
              <w:lang w:eastAsia="en-GB"/>
            </w:rPr>
            <w:tab/>
          </w:r>
          <w:r>
            <w:rPr>
              <w:rStyle w:val="16"/>
              <w:lang w:val="en-US"/>
            </w:rPr>
            <w:t>Part – 02: Investment Decision for Westward PLC</w:t>
          </w:r>
          <w:r>
            <w:tab/>
          </w:r>
          <w:r>
            <w:fldChar w:fldCharType="begin"/>
          </w:r>
          <w:r>
            <w:instrText xml:space="preserve"> PAGEREF _Toc219049742 \h </w:instrText>
          </w:r>
          <w:r>
            <w:fldChar w:fldCharType="separate"/>
          </w:r>
          <w:r>
            <w:t>16</w:t>
          </w:r>
          <w:r>
            <w:fldChar w:fldCharType="end"/>
          </w:r>
          <w:r>
            <w:fldChar w:fldCharType="end"/>
          </w:r>
        </w:p>
        <w:p w14:paraId="535F9DDF">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"_Toc219049743" </w:instrText>
          </w:r>
          <w:r>
            <w:fldChar w:fldCharType="separate"/>
          </w:r>
          <w:r>
            <w:rPr>
              <w:rStyle w:val="16"/>
              <w:lang w:val="en-US"/>
            </w:rPr>
            <w:t>4.1.</w:t>
          </w:r>
          <w:r>
            <w:rPr>
              <w:rFonts w:asciiTheme="minorHAnsi" w:hAnsiTheme="minorHAnsi" w:eastAsiaTheme="minorEastAsia"/>
              <w:lang w:eastAsia="en-GB"/>
            </w:rPr>
            <w:tab/>
          </w:r>
          <w:r>
            <w:rPr>
              <w:rStyle w:val="16"/>
              <w:lang w:val="en-US"/>
            </w:rPr>
            <w:t>Project Overview and Investment Options</w:t>
          </w:r>
          <w:r>
            <w:tab/>
          </w:r>
          <w:r>
            <w:fldChar w:fldCharType="begin"/>
          </w:r>
          <w:r>
            <w:instrText xml:space="preserve"> PAGEREF _Toc219049743 \h </w:instrText>
          </w:r>
          <w:r>
            <w:fldChar w:fldCharType="separate"/>
          </w:r>
          <w:r>
            <w:t>16</w:t>
          </w:r>
          <w:r>
            <w:fldChar w:fldCharType="end"/>
          </w:r>
          <w:r>
            <w:fldChar w:fldCharType="end"/>
          </w:r>
        </w:p>
        <w:p w14:paraId="16386023">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"_Toc219049744" </w:instrText>
          </w:r>
          <w:r>
            <w:fldChar w:fldCharType="separate"/>
          </w:r>
          <w:r>
            <w:rPr>
              <w:rStyle w:val="16"/>
              <w:lang w:val="en-US"/>
            </w:rPr>
            <w:t>4.2.</w:t>
          </w:r>
          <w:r>
            <w:rPr>
              <w:rFonts w:asciiTheme="minorHAnsi" w:hAnsiTheme="minorHAnsi" w:eastAsiaTheme="minorEastAsia"/>
              <w:lang w:eastAsia="en-GB"/>
            </w:rPr>
            <w:tab/>
          </w:r>
          <w:r>
            <w:rPr>
              <w:rStyle w:val="16"/>
              <w:lang w:val="en-US"/>
            </w:rPr>
            <w:t>Superiority of NPV as an Appraisal Method: Theoretical Foundation</w:t>
          </w:r>
          <w:r>
            <w:tab/>
          </w:r>
          <w:r>
            <w:fldChar w:fldCharType="begin"/>
          </w:r>
          <w:r>
            <w:instrText xml:space="preserve"> PAGEREF _Toc219049744 \h </w:instrText>
          </w:r>
          <w:r>
            <w:fldChar w:fldCharType="separate"/>
          </w:r>
          <w:r>
            <w:t>17</w:t>
          </w:r>
          <w:r>
            <w:fldChar w:fldCharType="end"/>
          </w:r>
          <w:r>
            <w:fldChar w:fldCharType="end"/>
          </w:r>
        </w:p>
        <w:p w14:paraId="0BCCD651">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"_Toc219049745" </w:instrText>
          </w:r>
          <w:r>
            <w:fldChar w:fldCharType="separate"/>
          </w:r>
          <w:r>
            <w:rPr>
              <w:rStyle w:val="16"/>
              <w:lang w:val="en-US"/>
            </w:rPr>
            <w:t>4.3.</w:t>
          </w:r>
          <w:r>
            <w:rPr>
              <w:rFonts w:asciiTheme="minorHAnsi" w:hAnsiTheme="minorHAnsi" w:eastAsiaTheme="minorEastAsia"/>
              <w:lang w:eastAsia="en-GB"/>
            </w:rPr>
            <w:tab/>
          </w:r>
          <w:r>
            <w:rPr>
              <w:rStyle w:val="16"/>
              <w:lang w:val="en-US"/>
            </w:rPr>
            <w:t>Calculation of NPV for all the Options</w:t>
          </w:r>
          <w:r>
            <w:tab/>
          </w:r>
          <w:r>
            <w:fldChar w:fldCharType="begin"/>
          </w:r>
          <w:r>
            <w:instrText xml:space="preserve"> PAGEREF _Toc219049745 \h </w:instrText>
          </w:r>
          <w:r>
            <w:fldChar w:fldCharType="separate"/>
          </w:r>
          <w:r>
            <w:t>17</w:t>
          </w:r>
          <w:r>
            <w:fldChar w:fldCharType="end"/>
          </w:r>
          <w:r>
            <w:fldChar w:fldCharType="end"/>
          </w:r>
        </w:p>
        <w:p w14:paraId="4C468C5C">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"_Toc219049746" </w:instrText>
          </w:r>
          <w:r>
            <w:fldChar w:fldCharType="separate"/>
          </w:r>
          <w:r>
            <w:rPr>
              <w:rStyle w:val="16"/>
              <w:lang w:val="en-US"/>
            </w:rPr>
            <w:t>4.4.</w:t>
          </w:r>
          <w:r>
            <w:rPr>
              <w:rFonts w:asciiTheme="minorHAnsi" w:hAnsiTheme="minorHAnsi" w:eastAsiaTheme="minorEastAsia"/>
              <w:lang w:eastAsia="en-GB"/>
            </w:rPr>
            <w:tab/>
          </w:r>
          <w:r>
            <w:rPr>
              <w:rStyle w:val="16"/>
              <w:lang w:val="en-US"/>
            </w:rPr>
            <w:t>Calculation of IRR for Option B</w:t>
          </w:r>
          <w:r>
            <w:tab/>
          </w:r>
          <w:r>
            <w:fldChar w:fldCharType="begin"/>
          </w:r>
          <w:r>
            <w:instrText xml:space="preserve"> PAGEREF _Toc219049746 \h </w:instrText>
          </w:r>
          <w:r>
            <w:fldChar w:fldCharType="separate"/>
          </w:r>
          <w:r>
            <w:t>19</w:t>
          </w:r>
          <w:r>
            <w:fldChar w:fldCharType="end"/>
          </w:r>
          <w:r>
            <w:fldChar w:fldCharType="end"/>
          </w:r>
        </w:p>
        <w:p w14:paraId="49838255">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"_Toc219049747" </w:instrText>
          </w:r>
          <w:r>
            <w:fldChar w:fldCharType="separate"/>
          </w:r>
          <w:r>
            <w:rPr>
              <w:rStyle w:val="16"/>
              <w:lang w:val="en-US"/>
            </w:rPr>
            <w:t>4.5.</w:t>
          </w:r>
          <w:r>
            <w:rPr>
              <w:rFonts w:asciiTheme="minorHAnsi" w:hAnsiTheme="minorHAnsi" w:eastAsiaTheme="minorEastAsia"/>
              <w:lang w:eastAsia="en-GB"/>
            </w:rPr>
            <w:tab/>
          </w:r>
          <w:r>
            <w:rPr>
              <w:rStyle w:val="16"/>
              <w:lang w:val="en-US"/>
            </w:rPr>
            <w:t>Interpretation of Results for Management</w:t>
          </w:r>
          <w:r>
            <w:tab/>
          </w:r>
          <w:r>
            <w:fldChar w:fldCharType="begin"/>
          </w:r>
          <w:r>
            <w:instrText xml:space="preserve"> PAGEREF _Toc219049747 \h </w:instrText>
          </w:r>
          <w:r>
            <w:fldChar w:fldCharType="separate"/>
          </w:r>
          <w:r>
            <w:t>20</w:t>
          </w:r>
          <w:r>
            <w:fldChar w:fldCharType="end"/>
          </w:r>
          <w:r>
            <w:fldChar w:fldCharType="end"/>
          </w:r>
        </w:p>
        <w:p w14:paraId="552BD9B5">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"_Toc219049748" </w:instrText>
          </w:r>
          <w:r>
            <w:fldChar w:fldCharType="separate"/>
          </w:r>
          <w:r>
            <w:rPr>
              <w:rStyle w:val="16"/>
              <w:lang w:val="en-US"/>
            </w:rPr>
            <w:t>4.6.</w:t>
          </w:r>
          <w:r>
            <w:rPr>
              <w:rFonts w:asciiTheme="minorHAnsi" w:hAnsiTheme="minorHAnsi" w:eastAsiaTheme="minorEastAsia"/>
              <w:lang w:eastAsia="en-GB"/>
            </w:rPr>
            <w:tab/>
          </w:r>
          <w:r>
            <w:rPr>
              <w:rStyle w:val="16"/>
              <w:lang w:val="en-US"/>
            </w:rPr>
            <w:t>Reasoning for Continued Popularity of Non-Discounting Methods</w:t>
          </w:r>
          <w:r>
            <w:tab/>
          </w:r>
          <w:r>
            <w:fldChar w:fldCharType="begin"/>
          </w:r>
          <w:r>
            <w:instrText xml:space="preserve"> PAGEREF _Toc219049748 \h </w:instrText>
          </w:r>
          <w:r>
            <w:fldChar w:fldCharType="separate"/>
          </w:r>
          <w:r>
            <w:t>20</w:t>
          </w:r>
          <w:r>
            <w:fldChar w:fldCharType="end"/>
          </w:r>
          <w:r>
            <w:fldChar w:fldCharType="end"/>
          </w:r>
        </w:p>
        <w:p w14:paraId="0E4BE500">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"_Toc219049749" </w:instrText>
          </w:r>
          <w:r>
            <w:fldChar w:fldCharType="separate"/>
          </w:r>
          <w:r>
            <w:rPr>
              <w:rStyle w:val="16"/>
              <w:lang w:val="en-US"/>
            </w:rPr>
            <w:t>4.7.</w:t>
          </w:r>
          <w:r>
            <w:rPr>
              <w:rFonts w:asciiTheme="minorHAnsi" w:hAnsiTheme="minorHAnsi" w:eastAsiaTheme="minorEastAsia"/>
              <w:lang w:eastAsia="en-GB"/>
            </w:rPr>
            <w:tab/>
          </w:r>
          <w:r>
            <w:rPr>
              <w:rStyle w:val="16"/>
              <w:lang w:val="en-US"/>
            </w:rPr>
            <w:t>Additional Factors to Consider for Investment Decisions</w:t>
          </w:r>
          <w:r>
            <w:tab/>
          </w:r>
          <w:r>
            <w:fldChar w:fldCharType="begin"/>
          </w:r>
          <w:r>
            <w:instrText xml:space="preserve"> PAGEREF _Toc219049749 \h </w:instrText>
          </w:r>
          <w:r>
            <w:fldChar w:fldCharType="separate"/>
          </w:r>
          <w:r>
            <w:t>21</w:t>
          </w:r>
          <w:r>
            <w:fldChar w:fldCharType="end"/>
          </w:r>
          <w:r>
            <w:fldChar w:fldCharType="end"/>
          </w:r>
        </w:p>
        <w:p w14:paraId="109CE83A">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"_Toc219049750" </w:instrText>
          </w:r>
          <w:r>
            <w:fldChar w:fldCharType="separate"/>
          </w:r>
          <w:r>
            <w:rPr>
              <w:rStyle w:val="16"/>
              <w:lang w:val="en-US"/>
            </w:rPr>
            <w:t>4.8.</w:t>
          </w:r>
          <w:r>
            <w:rPr>
              <w:rFonts w:asciiTheme="minorHAnsi" w:hAnsiTheme="minorHAnsi" w:eastAsiaTheme="minorEastAsia"/>
              <w:lang w:eastAsia="en-GB"/>
            </w:rPr>
            <w:tab/>
          </w:r>
          <w:r>
            <w:rPr>
              <w:rStyle w:val="16"/>
              <w:lang w:val="en-US"/>
            </w:rPr>
            <w:t>Capital Rationing Analysis</w:t>
          </w:r>
          <w:r>
            <w:tab/>
          </w:r>
          <w:r>
            <w:fldChar w:fldCharType="begin"/>
          </w:r>
          <w:r>
            <w:instrText xml:space="preserve"> PAGEREF _Toc219049750 \h </w:instrText>
          </w:r>
          <w:r>
            <w:fldChar w:fldCharType="separate"/>
          </w:r>
          <w:r>
            <w:t>22</w:t>
          </w:r>
          <w:r>
            <w:fldChar w:fldCharType="end"/>
          </w:r>
          <w:r>
            <w:fldChar w:fldCharType="end"/>
          </w:r>
        </w:p>
        <w:p w14:paraId="6E85A786">
          <w:pPr>
            <w:pStyle w:val="21"/>
            <w:tabs>
              <w:tab w:val="left" w:pos="960"/>
              <w:tab w:val="right" w:leader="dot" w:pos="9016"/>
            </w:tabs>
            <w:rPr>
              <w:rFonts w:asciiTheme="minorHAnsi" w:hAnsiTheme="minorHAnsi" w:eastAsiaTheme="minorEastAsia"/>
              <w:lang w:eastAsia="en-GB"/>
            </w:rPr>
          </w:pPr>
          <w:r>
            <w:fldChar w:fldCharType="begin"/>
          </w:r>
          <w:r>
            <w:instrText xml:space="preserve"> HYPERLINK \l "_Toc219049751" </w:instrText>
          </w:r>
          <w:r>
            <w:fldChar w:fldCharType="separate"/>
          </w:r>
          <w:r>
            <w:rPr>
              <w:rStyle w:val="16"/>
              <w:lang w:val="en-US"/>
            </w:rPr>
            <w:t>4.9.</w:t>
          </w:r>
          <w:r>
            <w:rPr>
              <w:rFonts w:asciiTheme="minorHAnsi" w:hAnsiTheme="minorHAnsi" w:eastAsiaTheme="minorEastAsia"/>
              <w:lang w:eastAsia="en-GB"/>
            </w:rPr>
            <w:tab/>
          </w:r>
          <w:r>
            <w:rPr>
              <w:rStyle w:val="16"/>
              <w:lang w:val="en-US"/>
            </w:rPr>
            <w:t>Sources of Finances for Investment Program</w:t>
          </w:r>
          <w:r>
            <w:tab/>
          </w:r>
          <w:r>
            <w:fldChar w:fldCharType="begin"/>
          </w:r>
          <w:r>
            <w:instrText xml:space="preserve"> PAGEREF _Toc219049751 \h </w:instrText>
          </w:r>
          <w:r>
            <w:fldChar w:fldCharType="separate"/>
          </w:r>
          <w:r>
            <w:t>22</w:t>
          </w:r>
          <w:r>
            <w:fldChar w:fldCharType="end"/>
          </w:r>
          <w:r>
            <w:fldChar w:fldCharType="end"/>
          </w:r>
        </w:p>
        <w:p w14:paraId="1878B133">
          <w:pPr>
            <w:pStyle w:val="20"/>
            <w:tabs>
              <w:tab w:val="left" w:pos="480"/>
              <w:tab w:val="right" w:leader="dot" w:pos="9016"/>
            </w:tabs>
            <w:rPr>
              <w:rFonts w:asciiTheme="minorHAnsi" w:hAnsiTheme="minorHAnsi" w:eastAsiaTheme="minorEastAsia"/>
              <w:lang w:eastAsia="en-GB"/>
            </w:rPr>
          </w:pPr>
          <w:r>
            <w:fldChar w:fldCharType="begin"/>
          </w:r>
          <w:r>
            <w:instrText xml:space="preserve"> HYPERLINK \l "_Toc219049752" </w:instrText>
          </w:r>
          <w:r>
            <w:fldChar w:fldCharType="separate"/>
          </w:r>
          <w:r>
            <w:rPr>
              <w:rStyle w:val="16"/>
              <w:lang w:val="en-US"/>
            </w:rPr>
            <w:t>5.</w:t>
          </w:r>
          <w:r>
            <w:rPr>
              <w:rFonts w:asciiTheme="minorHAnsi" w:hAnsiTheme="minorHAnsi" w:eastAsiaTheme="minorEastAsia"/>
              <w:lang w:eastAsia="en-GB"/>
            </w:rPr>
            <w:tab/>
          </w:r>
          <w:r>
            <w:rPr>
              <w:rStyle w:val="16"/>
              <w:lang w:val="en-US"/>
            </w:rPr>
            <w:t>Conclusion</w:t>
          </w:r>
          <w:r>
            <w:tab/>
          </w:r>
          <w:r>
            <w:fldChar w:fldCharType="begin"/>
          </w:r>
          <w:r>
            <w:instrText xml:space="preserve"> PAGEREF _Toc219049752 \h </w:instrText>
          </w:r>
          <w:r>
            <w:fldChar w:fldCharType="separate"/>
          </w:r>
          <w:r>
            <w:t>24</w:t>
          </w:r>
          <w:r>
            <w:fldChar w:fldCharType="end"/>
          </w:r>
          <w:r>
            <w:fldChar w:fldCharType="end"/>
          </w:r>
        </w:p>
        <w:p w14:paraId="6932AC32">
          <w:pPr>
            <w:pStyle w:val="20"/>
            <w:tabs>
              <w:tab w:val="left" w:pos="480"/>
              <w:tab w:val="right" w:leader="dot" w:pos="9016"/>
            </w:tabs>
            <w:rPr>
              <w:rFonts w:asciiTheme="minorHAnsi" w:hAnsiTheme="minorHAnsi" w:eastAsiaTheme="minorEastAsia"/>
              <w:lang w:eastAsia="en-GB"/>
            </w:rPr>
          </w:pPr>
          <w:r>
            <w:fldChar w:fldCharType="begin"/>
          </w:r>
          <w:r>
            <w:instrText xml:space="preserve"> HYPERLINK \l "_Toc219049753" </w:instrText>
          </w:r>
          <w:r>
            <w:fldChar w:fldCharType="separate"/>
          </w:r>
          <w:r>
            <w:rPr>
              <w:rStyle w:val="16"/>
              <w:lang w:val="en-US"/>
            </w:rPr>
            <w:t>6.</w:t>
          </w:r>
          <w:r>
            <w:rPr>
              <w:rFonts w:asciiTheme="minorHAnsi" w:hAnsiTheme="minorHAnsi" w:eastAsiaTheme="minorEastAsia"/>
              <w:lang w:eastAsia="en-GB"/>
            </w:rPr>
            <w:tab/>
          </w:r>
          <w:r>
            <w:rPr>
              <w:rStyle w:val="16"/>
              <w:lang w:val="en-US"/>
            </w:rPr>
            <w:t>References</w:t>
          </w:r>
          <w:r>
            <w:tab/>
          </w:r>
          <w:r>
            <w:fldChar w:fldCharType="begin"/>
          </w:r>
          <w:r>
            <w:instrText xml:space="preserve"> PAGEREF _Toc219049753 \h </w:instrText>
          </w:r>
          <w:r>
            <w:fldChar w:fldCharType="separate"/>
          </w:r>
          <w:r>
            <w:t>25</w:t>
          </w:r>
          <w:r>
            <w:fldChar w:fldCharType="end"/>
          </w:r>
          <w:r>
            <w:fldChar w:fldCharType="end"/>
          </w:r>
        </w:p>
        <w:p w14:paraId="5804DC9E">
          <w:pPr>
            <w:pStyle w:val="20"/>
            <w:tabs>
              <w:tab w:val="left" w:pos="480"/>
              <w:tab w:val="right" w:leader="dot" w:pos="9016"/>
            </w:tabs>
            <w:rPr>
              <w:rFonts w:asciiTheme="minorHAnsi" w:hAnsiTheme="minorHAnsi" w:eastAsiaTheme="minorEastAsia"/>
              <w:lang w:eastAsia="en-GB"/>
            </w:rPr>
          </w:pPr>
          <w:r>
            <w:fldChar w:fldCharType="begin"/>
          </w:r>
          <w:r>
            <w:instrText xml:space="preserve"> HYPERLINK \l "_Toc219049754" </w:instrText>
          </w:r>
          <w:r>
            <w:fldChar w:fldCharType="separate"/>
          </w:r>
          <w:r>
            <w:rPr>
              <w:rStyle w:val="16"/>
              <w:lang w:val="en-US"/>
            </w:rPr>
            <w:t>7.</w:t>
          </w:r>
          <w:r>
            <w:rPr>
              <w:rFonts w:asciiTheme="minorHAnsi" w:hAnsiTheme="minorHAnsi" w:eastAsiaTheme="minorEastAsia"/>
              <w:lang w:eastAsia="en-GB"/>
            </w:rPr>
            <w:tab/>
          </w:r>
          <w:r>
            <w:rPr>
              <w:rStyle w:val="16"/>
              <w:lang w:val="en-US"/>
            </w:rPr>
            <w:t>Appendix</w:t>
          </w:r>
          <w:r>
            <w:tab/>
          </w:r>
          <w:r>
            <w:fldChar w:fldCharType="begin"/>
          </w:r>
          <w:r>
            <w:instrText xml:space="preserve"> PAGEREF _Toc219049754 \h </w:instrText>
          </w:r>
          <w:r>
            <w:fldChar w:fldCharType="separate"/>
          </w:r>
          <w:r>
            <w:t>29</w:t>
          </w:r>
          <w:r>
            <w:fldChar w:fldCharType="end"/>
          </w:r>
          <w:r>
            <w:fldChar w:fldCharType="end"/>
          </w:r>
        </w:p>
        <w:p w14:paraId="6490D867">
          <w:pPr>
            <w:spacing w:line="360" w:lineRule="auto"/>
          </w:pPr>
          <w:r>
            <w:rPr>
              <w:b/>
              <w:bCs/>
            </w:rPr>
            <w:fldChar w:fldCharType="end"/>
          </w:r>
        </w:p>
      </w:sdtContent>
    </w:sdt>
    <w:p w14:paraId="73450A0B">
      <w:pPr>
        <w:spacing w:after="160" w:line="360" w:lineRule="auto"/>
        <w:rPr>
          <w:sz w:val="32"/>
          <w:szCs w:val="36"/>
          <w:lang w:val="en-US"/>
        </w:rPr>
      </w:pPr>
      <w:r>
        <w:rPr>
          <w:sz w:val="32"/>
          <w:szCs w:val="36"/>
          <w:lang w:val="en-US"/>
        </w:rPr>
        <w:br w:type="page"/>
      </w:r>
    </w:p>
    <w:p w14:paraId="4A813EF3">
      <w:pPr>
        <w:pStyle w:val="2"/>
        <w:spacing w:line="360" w:lineRule="auto"/>
        <w:rPr>
          <w:lang w:val="en-US"/>
        </w:rPr>
      </w:pPr>
      <w:bookmarkStart w:id="1" w:name="_Toc219049730"/>
      <w:r>
        <w:rPr>
          <w:lang w:val="en-US"/>
        </w:rPr>
        <w:t>Executive Summary</w:t>
      </w:r>
      <w:bookmarkEnd w:id="1"/>
    </w:p>
    <w:p w14:paraId="4A59B5DD">
      <w:pPr>
        <w:spacing w:after="160" w:line="360" w:lineRule="auto"/>
        <w:rPr>
          <w:rFonts w:eastAsiaTheme="majorEastAsia" w:cstheme="majorBidi"/>
          <w:b/>
          <w:color w:val="2F5597" w:themeColor="accent1" w:themeShade="BF"/>
          <w:sz w:val="32"/>
          <w:szCs w:val="50"/>
          <w:lang w:val="en-US"/>
        </w:rPr>
      </w:pPr>
      <w:r>
        <w:rPr>
          <w:lang w:val="en-US"/>
        </w:rPr>
        <w:t>The purpose of this report is to deliver the use cases of ratio analysis as well as investment appraisal techniques in driving decisions to maximize the value for the resources used to operate. In the first of two parts of the report, the use of ratio analysis to evaluate financial performance of BP PLC has been illustrated where crucial ratios such as profitability, efficiency, gearing, liquidity and investor ratios have been calculated for the company and interpreted to derive necessary recommendations for the company going forward. In the second part of the report, the three available options of Westward PLC have been assessed using net present value and based on the values generated, internal rate of return has been applied to further substantiate the decision suggested. The entire report has been incorporated with necessary theoretical frameworks and real-world examples have been linked to make better understanding of core concepts.</w:t>
      </w:r>
      <w:r>
        <w:rPr>
          <w:lang w:val="en-US"/>
        </w:rPr>
        <w:br w:type="page"/>
      </w:r>
    </w:p>
    <w:p w14:paraId="4ED04715">
      <w:pPr>
        <w:pStyle w:val="2"/>
        <w:spacing w:line="360" w:lineRule="auto"/>
        <w:rPr>
          <w:lang w:val="en-US"/>
        </w:rPr>
      </w:pPr>
      <w:bookmarkStart w:id="2" w:name="_Toc219049731"/>
      <w:r>
        <w:rPr>
          <w:lang w:val="en-US"/>
        </w:rPr>
        <w:t>Introduction</w:t>
      </w:r>
      <w:bookmarkEnd w:id="2"/>
    </w:p>
    <w:p w14:paraId="4AC40AE4">
      <w:pPr>
        <w:spacing w:line="360" w:lineRule="auto"/>
        <w:rPr>
          <w:lang w:val="en-US"/>
        </w:rPr>
      </w:pPr>
      <w:r>
        <w:rPr>
          <w:lang w:val="en-US"/>
        </w:rPr>
        <w:t>For sustainable business operations alongside ensuring the allocation of resources adequately, financial management works as the cornerstone which helps to evaluate financial performance effectively while making sound decisions to facilitate all of these processes. In this report, there will be dual components. One component will incorporate the analysis of the financial ratios of BP UK. For this, the overview of the company, ratio calculation and analysis, critical evaluation and interpretation and recommendations for improvements will be incorporated. For the second component, it will be produced using the various investment appraisal techniques for Westward PLC to incorporate a concrete decision about the project in which the company should invest. For this component, project overview and investment options, superiority of NPV as an appraisal method, calculation of NPV for all the options, calculation of IRR for the selected option, interpretation of all the results, popularity of non-discounted methods, additional factors to consider for investment decisions, capital rationing analysis and sources of financing for investment programs will be incorporated. Overall, the report will be a comprehensive and in-depth one to incorporate all the necessary calculations for both companies. Again, the theoretical aspects will be underpinned using necessary theoretical foundations alongside applicable examples. Thus, by evaluating historical performance and forward-looking investment assessments, this report will deliver actionable insights for the decision-makers to make sound decisions and achieve the best possible results in the process. Lastly, the recommendations which will be provided will also be based on the analysis provided in the report.</w:t>
      </w:r>
    </w:p>
    <w:p w14:paraId="1A772EB1">
      <w:pPr>
        <w:pStyle w:val="2"/>
        <w:spacing w:line="360" w:lineRule="auto"/>
        <w:rPr>
          <w:lang w:val="en-US"/>
        </w:rPr>
      </w:pPr>
      <w:bookmarkStart w:id="3" w:name="_Toc219049732"/>
      <w:r>
        <w:rPr>
          <w:lang w:val="en-US"/>
        </w:rPr>
        <w:t>Part – 01: Analysis of Financial Ratios of BP UK</w:t>
      </w:r>
      <w:bookmarkEnd w:id="3"/>
    </w:p>
    <w:p w14:paraId="26190CEC">
      <w:pPr>
        <w:pStyle w:val="3"/>
        <w:rPr>
          <w:lang w:val="en-US"/>
        </w:rPr>
      </w:pPr>
      <w:bookmarkStart w:id="4" w:name="_Toc219049733"/>
      <w:r>
        <w:rPr>
          <w:lang w:val="en-US"/>
        </w:rPr>
        <w:t>Overview of BP PLC</w:t>
      </w:r>
      <w:bookmarkEnd w:id="4"/>
    </w:p>
    <w:p w14:paraId="34D996B3">
      <w:pPr>
        <w:spacing w:line="360" w:lineRule="auto"/>
        <w:ind w:left="720"/>
        <w:rPr>
          <w:lang w:val="en-US"/>
        </w:rPr>
      </w:pPr>
      <w:r>
        <w:rPr>
          <w:lang w:val="en-US"/>
        </w:rPr>
        <w:t>BP PLC is one of the most integrated energy supermajors in the world, which is currently working across the oil and gas value chain, where it is involved in exploration, production, refinement, distribution, as well as retail operations. All in all, the company is involved greatly with its operations in the gas and oil industry across the globe. As of 2024, the company has just over 100,000 employees for its massive workforce, with which the company continues to dominate the energy sector across the world (</w:t>
      </w:r>
      <w:r>
        <w:t>BP p.l.c., 2025)</w:t>
      </w:r>
      <w:r>
        <w:rPr>
          <w:lang w:val="en-US"/>
        </w:rPr>
        <w:t>. Now, with fundamental changes engulfing the company following the strategic announcements made by the company CEO, the company has been posting more disappointing results. Although the sector-wide results are quite volatile at the moment, mainly due to the fluctuations of the macroeconomic variables, the company has also been facing operational challenges, too.</w:t>
      </w:r>
    </w:p>
    <w:p w14:paraId="608FAE99">
      <w:pPr>
        <w:spacing w:line="360" w:lineRule="auto"/>
        <w:ind w:left="720"/>
        <w:rPr>
          <w:lang w:val="en-US"/>
        </w:rPr>
      </w:pPr>
      <w:r>
        <w:rPr>
          <w:lang w:val="en-US"/>
        </w:rPr>
        <w:t>Overall, the current financial performance of BP PLC is not even near the range of satisfactory. With refinery power outages and complicated processing availability, the company has been facing severe challenges, which are only contributing to the company’s operational demise.</w:t>
      </w:r>
    </w:p>
    <w:p w14:paraId="03CECEF5">
      <w:pPr>
        <w:pStyle w:val="3"/>
        <w:rPr>
          <w:lang w:val="en-US"/>
        </w:rPr>
      </w:pPr>
      <w:bookmarkStart w:id="5" w:name="_Toc219049734"/>
      <w:r>
        <w:rPr>
          <w:lang w:val="en-US"/>
        </w:rPr>
        <w:t>Ratio Calculation and Analysis</w:t>
      </w:r>
      <w:bookmarkEnd w:id="5"/>
    </w:p>
    <w:p w14:paraId="2FE65024">
      <w:pPr>
        <w:spacing w:line="360" w:lineRule="auto"/>
        <w:ind w:left="720"/>
        <w:rPr>
          <w:lang w:val="en-US"/>
        </w:rPr>
      </w:pPr>
      <w:r>
        <w:rPr>
          <w:lang w:val="en-US"/>
        </w:rPr>
        <w:t>In this report, profitability, liquidity, gearing, efficiency and investor ratios will be calculated for BP PLC using its 2024 annual report, which has been elongated in the appendix section.</w:t>
      </w:r>
    </w:p>
    <w:p w14:paraId="37953A03">
      <w:pPr>
        <w:pStyle w:val="4"/>
        <w:numPr>
          <w:ilvl w:val="2"/>
          <w:numId w:val="2"/>
        </w:numPr>
        <w:spacing w:line="360" w:lineRule="auto"/>
        <w:rPr>
          <w:rFonts w:ascii="Times New Roman" w:hAnsi="Times New Roman" w:cs="Times New Roman"/>
          <w:b/>
          <w:bCs/>
          <w:sz w:val="24"/>
          <w:szCs w:val="32"/>
          <w:lang w:val="en-US"/>
        </w:rPr>
      </w:pPr>
      <w:bookmarkStart w:id="6" w:name="_Toc219049735"/>
      <w:r>
        <w:rPr>
          <w:rFonts w:ascii="Times New Roman" w:hAnsi="Times New Roman" w:cs="Times New Roman"/>
          <w:b/>
          <w:bCs/>
          <w:sz w:val="24"/>
          <w:szCs w:val="32"/>
          <w:lang w:val="en-US"/>
        </w:rPr>
        <w:t>Profitability Ratio</w:t>
      </w:r>
      <w:bookmarkEnd w:id="6"/>
    </w:p>
    <w:p w14:paraId="08158270">
      <w:pPr>
        <w:spacing w:line="360" w:lineRule="auto"/>
        <w:ind w:left="720"/>
        <w:rPr>
          <w:lang w:val="en-US"/>
        </w:rPr>
      </w:pPr>
      <w:r>
        <w:rPr>
          <w:lang w:val="en-US"/>
        </w:rPr>
        <w:t>Profitability ratios help to measure the profits generated by a company compared to various metrics such as revenue, assets, equity, etc. For BP, the 2024 profitability ratios are calculated below.</w:t>
      </w:r>
    </w:p>
    <w:p w14:paraId="7F67AFF0">
      <w:pPr>
        <w:spacing w:line="360" w:lineRule="auto"/>
        <w:ind w:left="720"/>
        <w:rPr>
          <w:lang w:val="en-US"/>
        </w:rPr>
      </w:pPr>
      <w:r>
        <w:rPr>
          <w:b/>
          <w:bCs/>
          <w:lang w:val="en-US"/>
        </w:rPr>
        <w:t xml:space="preserve">Net Profit Ratio: </w:t>
      </w:r>
      <w:r>
        <w:rPr>
          <w:lang w:val="en-US"/>
        </w:rPr>
        <w:t xml:space="preserve">It is the ratio which calculates the profit margin after having paid all the operational expenses and debt obligations, which remains solely to the shareholders of a company. It is also known as the bottom-line profitability indicator. </w:t>
      </w:r>
    </w:p>
    <w:p w14:paraId="41A884C5">
      <w:pPr>
        <w:spacing w:line="360" w:lineRule="auto"/>
        <w:ind w:left="720"/>
        <w:rPr>
          <w:lang w:val="en-US"/>
        </w:rPr>
      </w:pPr>
      <w:r>
        <w:rPr>
          <w:lang w:val="en-US"/>
        </w:rPr>
        <w:t>Formula = (Net Profit / Revenue) * 100</w:t>
      </w:r>
    </w:p>
    <w:p w14:paraId="19B874EB">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5"/>
        <w:gridCol w:w="4267"/>
      </w:tblGrid>
      <w:tr w14:paraId="386F6D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4D2F36A">
            <w:pPr>
              <w:spacing w:line="360" w:lineRule="auto"/>
              <w:jc w:val="center"/>
              <w:rPr>
                <w:b/>
                <w:bCs/>
                <w:lang w:val="en-US"/>
              </w:rPr>
            </w:pPr>
            <w:r>
              <w:rPr>
                <w:b/>
                <w:bCs/>
                <w:lang w:val="en-US"/>
              </w:rPr>
              <w:t>Year</w:t>
            </w:r>
          </w:p>
        </w:tc>
        <w:tc>
          <w:tcPr>
            <w:tcW w:w="4508" w:type="dxa"/>
          </w:tcPr>
          <w:p w14:paraId="1BD0E860">
            <w:pPr>
              <w:spacing w:line="360" w:lineRule="auto"/>
              <w:jc w:val="center"/>
              <w:rPr>
                <w:b/>
                <w:bCs/>
                <w:lang w:val="en-US"/>
              </w:rPr>
            </w:pPr>
            <w:r>
              <w:rPr>
                <w:b/>
                <w:bCs/>
                <w:lang w:val="en-US"/>
              </w:rPr>
              <w:t>Result</w:t>
            </w:r>
          </w:p>
        </w:tc>
      </w:tr>
      <w:tr w14:paraId="0BC1FC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5CAFA1E">
            <w:pPr>
              <w:spacing w:line="360" w:lineRule="auto"/>
              <w:jc w:val="center"/>
              <w:rPr>
                <w:lang w:val="en-US"/>
              </w:rPr>
            </w:pPr>
            <w:r>
              <w:rPr>
                <w:lang w:val="en-US"/>
              </w:rPr>
              <w:t>2023</w:t>
            </w:r>
          </w:p>
        </w:tc>
        <w:tc>
          <w:tcPr>
            <w:tcW w:w="4508" w:type="dxa"/>
          </w:tcPr>
          <w:p w14:paraId="76EA0B57">
            <w:pPr>
              <w:spacing w:line="360" w:lineRule="auto"/>
              <w:jc w:val="center"/>
              <w:rPr>
                <w:lang w:val="en-US"/>
              </w:rPr>
            </w:pPr>
            <w:r>
              <w:rPr>
                <w:lang w:val="en-US"/>
              </w:rPr>
              <w:t>7.3%</w:t>
            </w:r>
          </w:p>
        </w:tc>
      </w:tr>
      <w:tr w14:paraId="6FD928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C015428">
            <w:pPr>
              <w:spacing w:line="360" w:lineRule="auto"/>
              <w:jc w:val="center"/>
              <w:rPr>
                <w:lang w:val="en-US"/>
              </w:rPr>
            </w:pPr>
            <w:r>
              <w:rPr>
                <w:lang w:val="en-US"/>
              </w:rPr>
              <w:t>2024</w:t>
            </w:r>
          </w:p>
        </w:tc>
        <w:tc>
          <w:tcPr>
            <w:tcW w:w="4508" w:type="dxa"/>
          </w:tcPr>
          <w:p w14:paraId="4A065434">
            <w:pPr>
              <w:spacing w:line="360" w:lineRule="auto"/>
              <w:jc w:val="center"/>
              <w:rPr>
                <w:lang w:val="en-US"/>
              </w:rPr>
            </w:pPr>
            <w:r>
              <w:rPr>
                <w:lang w:val="en-US"/>
              </w:rPr>
              <w:t>0.2%</w:t>
            </w:r>
          </w:p>
        </w:tc>
      </w:tr>
    </w:tbl>
    <w:p w14:paraId="2D37C533">
      <w:pPr>
        <w:spacing w:line="360" w:lineRule="auto"/>
        <w:ind w:left="720"/>
        <w:rPr>
          <w:lang w:val="en-US"/>
        </w:rPr>
      </w:pPr>
      <w:r>
        <w:rPr>
          <w:lang w:val="en-US"/>
        </w:rPr>
        <w:drawing>
          <wp:inline distT="0" distB="0" distL="0" distR="0">
            <wp:extent cx="5486400" cy="3200400"/>
            <wp:effectExtent l="0" t="0" r="0" b="0"/>
            <wp:docPr id="11701578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D51ECA1">
      <w:pPr>
        <w:spacing w:line="360" w:lineRule="auto"/>
        <w:ind w:left="720"/>
        <w:jc w:val="center"/>
        <w:rPr>
          <w:lang w:val="en-US"/>
        </w:rPr>
      </w:pPr>
      <w:r>
        <w:rPr>
          <w:b/>
          <w:bCs/>
          <w:lang w:val="en-US"/>
        </w:rPr>
        <w:t xml:space="preserve">Figure: </w:t>
      </w:r>
      <w:r>
        <w:rPr>
          <w:lang w:val="en-US"/>
        </w:rPr>
        <w:t>Net Profit Ratio Illustrated (Source: Own)</w:t>
      </w:r>
    </w:p>
    <w:p w14:paraId="3F86DCCE">
      <w:pPr>
        <w:spacing w:line="360" w:lineRule="auto"/>
        <w:ind w:left="720"/>
        <w:rPr>
          <w:lang w:val="en-US"/>
        </w:rPr>
      </w:pPr>
      <w:r>
        <w:rPr>
          <w:lang w:val="en-US"/>
        </w:rPr>
        <w:t>From the above results, it is quite safe to assume that BP PLC has faced a major setback in its net profitability, as the results have dropped from a moderate 7.3% to just 0.2%. This is nothing short of a catastrophic collapse. Now, competing companies such as ExxonMobil and Shell also have faced a certain extent of shocks to their profitability; however, BP’s deteriorating performance directly conforms to the company’s internal operational challenges, as well. One of the major areas which have left one of the most significant impacts on the net profits of the company in 2024 is the elevated finance costs. In addition to that, the impairment charges have also significantly increased totaling around $7,000 million, contributing to the collapse of net profits (</w:t>
      </w:r>
      <w:r>
        <w:t>BP p.l.c., 2025)</w:t>
      </w:r>
      <w:r>
        <w:rPr>
          <w:lang w:val="en-US"/>
        </w:rPr>
        <w:t>.</w:t>
      </w:r>
    </w:p>
    <w:p w14:paraId="61BE11A9">
      <w:pPr>
        <w:spacing w:line="360" w:lineRule="auto"/>
        <w:ind w:left="720"/>
        <w:rPr>
          <w:lang w:val="en-US"/>
        </w:rPr>
      </w:pPr>
      <w:r>
        <w:rPr>
          <w:b/>
          <w:bCs/>
          <w:lang w:val="en-US"/>
        </w:rPr>
        <w:t xml:space="preserve">Return on Equity: </w:t>
      </w:r>
      <w:r>
        <w:rPr>
          <w:lang w:val="en-US"/>
        </w:rPr>
        <w:t>It quantifies the return generated on the invested amount by shareholders, enabling shareholders to make necessary decisions regarding investments in a company.</w:t>
      </w:r>
    </w:p>
    <w:p w14:paraId="53B87CA0">
      <w:pPr>
        <w:spacing w:line="360" w:lineRule="auto"/>
        <w:ind w:left="720"/>
        <w:rPr>
          <w:lang w:val="en-US"/>
        </w:rPr>
      </w:pPr>
      <w:r>
        <w:rPr>
          <w:lang w:val="en-US"/>
        </w:rPr>
        <w:t>Formula = (Net Profit / Shareholder’s Equity) * 100</w:t>
      </w:r>
    </w:p>
    <w:p w14:paraId="6791E61B">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35"/>
        <w:gridCol w:w="4161"/>
      </w:tblGrid>
      <w:tr w14:paraId="0E0644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35" w:type="dxa"/>
          </w:tcPr>
          <w:p w14:paraId="63358DCC">
            <w:pPr>
              <w:spacing w:line="360" w:lineRule="auto"/>
              <w:jc w:val="center"/>
              <w:rPr>
                <w:b/>
                <w:bCs/>
                <w:lang w:val="en-US"/>
              </w:rPr>
            </w:pPr>
            <w:r>
              <w:rPr>
                <w:b/>
                <w:bCs/>
                <w:lang w:val="en-US"/>
              </w:rPr>
              <w:t>Year</w:t>
            </w:r>
          </w:p>
        </w:tc>
        <w:tc>
          <w:tcPr>
            <w:tcW w:w="4161" w:type="dxa"/>
          </w:tcPr>
          <w:p w14:paraId="188DABD8">
            <w:pPr>
              <w:spacing w:line="360" w:lineRule="auto"/>
              <w:jc w:val="center"/>
              <w:rPr>
                <w:b/>
                <w:bCs/>
                <w:lang w:val="en-US"/>
              </w:rPr>
            </w:pPr>
            <w:r>
              <w:rPr>
                <w:b/>
                <w:bCs/>
                <w:lang w:val="en-US"/>
              </w:rPr>
              <w:t>Result</w:t>
            </w:r>
          </w:p>
        </w:tc>
      </w:tr>
      <w:tr w14:paraId="6B0324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35" w:type="dxa"/>
          </w:tcPr>
          <w:p w14:paraId="216D849C">
            <w:pPr>
              <w:spacing w:line="360" w:lineRule="auto"/>
              <w:jc w:val="center"/>
              <w:rPr>
                <w:lang w:val="en-US"/>
              </w:rPr>
            </w:pPr>
            <w:r>
              <w:rPr>
                <w:lang w:val="en-US"/>
              </w:rPr>
              <w:t>2023</w:t>
            </w:r>
          </w:p>
        </w:tc>
        <w:tc>
          <w:tcPr>
            <w:tcW w:w="4161" w:type="dxa"/>
          </w:tcPr>
          <w:p w14:paraId="01851F01">
            <w:pPr>
              <w:spacing w:line="360" w:lineRule="auto"/>
              <w:jc w:val="center"/>
              <w:rPr>
                <w:lang w:val="en-US"/>
              </w:rPr>
            </w:pPr>
            <w:r>
              <w:rPr>
                <w:lang w:val="en-US"/>
              </w:rPr>
              <w:t>21.69%</w:t>
            </w:r>
          </w:p>
        </w:tc>
      </w:tr>
      <w:tr w14:paraId="735283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35" w:type="dxa"/>
          </w:tcPr>
          <w:p w14:paraId="728A295C">
            <w:pPr>
              <w:spacing w:line="360" w:lineRule="auto"/>
              <w:jc w:val="center"/>
              <w:rPr>
                <w:lang w:val="en-US"/>
              </w:rPr>
            </w:pPr>
            <w:r>
              <w:rPr>
                <w:lang w:val="en-US"/>
              </w:rPr>
              <w:t>2024</w:t>
            </w:r>
          </w:p>
        </w:tc>
        <w:tc>
          <w:tcPr>
            <w:tcW w:w="4161" w:type="dxa"/>
          </w:tcPr>
          <w:p w14:paraId="3961ADBA">
            <w:pPr>
              <w:spacing w:line="360" w:lineRule="auto"/>
              <w:jc w:val="center"/>
              <w:rPr>
                <w:lang w:val="en-US"/>
              </w:rPr>
            </w:pPr>
            <w:r>
              <w:rPr>
                <w:lang w:val="en-US"/>
              </w:rPr>
              <w:t>0.64%</w:t>
            </w:r>
          </w:p>
        </w:tc>
      </w:tr>
    </w:tbl>
    <w:p w14:paraId="1AD3939E">
      <w:pPr>
        <w:spacing w:line="360" w:lineRule="auto"/>
        <w:ind w:left="720"/>
        <w:rPr>
          <w:lang w:val="en-US"/>
        </w:rPr>
      </w:pPr>
      <w:r>
        <w:rPr>
          <w:lang w:val="en-US"/>
        </w:rPr>
        <w:drawing>
          <wp:inline distT="0" distB="0" distL="0" distR="0">
            <wp:extent cx="5486400" cy="3200400"/>
            <wp:effectExtent l="0" t="0" r="0" b="0"/>
            <wp:docPr id="168173624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955BAB">
      <w:pPr>
        <w:spacing w:line="360" w:lineRule="auto"/>
        <w:ind w:left="720"/>
        <w:jc w:val="center"/>
        <w:rPr>
          <w:lang w:val="en-US"/>
        </w:rPr>
      </w:pPr>
      <w:r>
        <w:rPr>
          <w:b/>
          <w:bCs/>
          <w:lang w:val="en-US"/>
        </w:rPr>
        <w:t xml:space="preserve">Figure: </w:t>
      </w:r>
      <w:r>
        <w:rPr>
          <w:lang w:val="en-US"/>
        </w:rPr>
        <w:t>Return on Equity Illustrated (Source: Own)</w:t>
      </w:r>
    </w:p>
    <w:p w14:paraId="0EE4CDC5">
      <w:pPr>
        <w:spacing w:line="360" w:lineRule="auto"/>
        <w:ind w:left="720"/>
        <w:rPr>
          <w:lang w:val="en-US"/>
        </w:rPr>
      </w:pPr>
      <w:r>
        <w:rPr>
          <w:lang w:val="en-US"/>
        </w:rPr>
        <w:t>Just as the net profit margin, the return on equity has also significantly deteriorated from 21.69% to just 0.64%, indicating further consolidation of evidence against the operational challenges faced by the company. Now, the company has had over $59 billion in capital employed, and despite such a mammoth equity portion in its capital structure, the company could not produce returns to match the industry averages of 18-26%. Again, the equity base has shrunk in the same time due to the $7.3 billion worth of share repurchases (</w:t>
      </w:r>
      <w:r>
        <w:t>BP p.l.c., 2025)</w:t>
      </w:r>
      <w:r>
        <w:rPr>
          <w:lang w:val="en-US"/>
        </w:rPr>
        <w:t>.</w:t>
      </w:r>
    </w:p>
    <w:p w14:paraId="504A579F">
      <w:pPr>
        <w:pStyle w:val="4"/>
        <w:numPr>
          <w:ilvl w:val="2"/>
          <w:numId w:val="2"/>
        </w:numPr>
        <w:spacing w:line="360" w:lineRule="auto"/>
        <w:rPr>
          <w:rFonts w:ascii="Times New Roman" w:hAnsi="Times New Roman" w:cs="Times New Roman"/>
          <w:b/>
          <w:bCs/>
          <w:sz w:val="24"/>
          <w:szCs w:val="32"/>
          <w:lang w:val="en-US"/>
        </w:rPr>
      </w:pPr>
      <w:bookmarkStart w:id="7" w:name="_Toc219049736"/>
      <w:r>
        <w:rPr>
          <w:rFonts w:ascii="Times New Roman" w:hAnsi="Times New Roman" w:cs="Times New Roman"/>
          <w:b/>
          <w:bCs/>
          <w:sz w:val="24"/>
          <w:szCs w:val="32"/>
          <w:lang w:val="en-US"/>
        </w:rPr>
        <w:t>Liquidity Ratio</w:t>
      </w:r>
      <w:bookmarkEnd w:id="7"/>
    </w:p>
    <w:p w14:paraId="51C738C8">
      <w:pPr>
        <w:spacing w:line="360" w:lineRule="auto"/>
        <w:ind w:left="720"/>
        <w:rPr>
          <w:lang w:val="en-US"/>
        </w:rPr>
      </w:pPr>
      <w:r>
        <w:rPr>
          <w:lang w:val="en-US"/>
        </w:rPr>
        <w:t xml:space="preserve">Liquidity ratios refer to the measurements to understand the liquidity position of a company, which showcases the capacity of a company to pay off its short-term and immediate debt obligations for a specific time-period. </w:t>
      </w:r>
    </w:p>
    <w:p w14:paraId="4F104C1F">
      <w:pPr>
        <w:spacing w:line="360" w:lineRule="auto"/>
        <w:ind w:left="720"/>
        <w:rPr>
          <w:lang w:val="en-US"/>
        </w:rPr>
      </w:pPr>
      <w:r>
        <w:rPr>
          <w:b/>
          <w:bCs/>
          <w:lang w:val="en-US"/>
        </w:rPr>
        <w:t xml:space="preserve">Current Ratio: </w:t>
      </w:r>
      <w:r>
        <w:rPr>
          <w:lang w:val="en-US"/>
        </w:rPr>
        <w:t>It is the liquidity ratio which determines the capacity of a company to pay off its short-term debt obligations using its short-term assets. The standard followed in this regard is 2:1 for the safest and most optimum performance.</w:t>
      </w:r>
    </w:p>
    <w:p w14:paraId="3F45278A">
      <w:pPr>
        <w:spacing w:line="360" w:lineRule="auto"/>
        <w:ind w:left="720"/>
        <w:rPr>
          <w:lang w:val="en-US"/>
        </w:rPr>
      </w:pPr>
      <w:r>
        <w:rPr>
          <w:lang w:val="en-US"/>
        </w:rPr>
        <w:t>Formula = (Current Assets / Current Debts)</w:t>
      </w:r>
    </w:p>
    <w:p w14:paraId="5B0AB0A6">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5"/>
        <w:gridCol w:w="4267"/>
      </w:tblGrid>
      <w:tr w14:paraId="42328C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427B023">
            <w:pPr>
              <w:spacing w:line="360" w:lineRule="auto"/>
              <w:jc w:val="center"/>
              <w:rPr>
                <w:b/>
                <w:bCs/>
                <w:lang w:val="en-US"/>
              </w:rPr>
            </w:pPr>
            <w:r>
              <w:rPr>
                <w:b/>
                <w:bCs/>
                <w:lang w:val="en-US"/>
              </w:rPr>
              <w:t>Year</w:t>
            </w:r>
          </w:p>
        </w:tc>
        <w:tc>
          <w:tcPr>
            <w:tcW w:w="4508" w:type="dxa"/>
          </w:tcPr>
          <w:p w14:paraId="419D14C4">
            <w:pPr>
              <w:spacing w:line="360" w:lineRule="auto"/>
              <w:jc w:val="center"/>
              <w:rPr>
                <w:b/>
                <w:bCs/>
                <w:lang w:val="en-US"/>
              </w:rPr>
            </w:pPr>
            <w:r>
              <w:rPr>
                <w:b/>
                <w:bCs/>
                <w:lang w:val="en-US"/>
              </w:rPr>
              <w:t>Result</w:t>
            </w:r>
          </w:p>
        </w:tc>
      </w:tr>
      <w:tr w14:paraId="41228D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838868C">
            <w:pPr>
              <w:spacing w:line="360" w:lineRule="auto"/>
              <w:jc w:val="center"/>
              <w:rPr>
                <w:lang w:val="en-US"/>
              </w:rPr>
            </w:pPr>
            <w:r>
              <w:rPr>
                <w:lang w:val="en-US"/>
              </w:rPr>
              <w:t>2023</w:t>
            </w:r>
          </w:p>
        </w:tc>
        <w:tc>
          <w:tcPr>
            <w:tcW w:w="4508" w:type="dxa"/>
          </w:tcPr>
          <w:p w14:paraId="1B8E676D">
            <w:pPr>
              <w:spacing w:line="360" w:lineRule="auto"/>
              <w:jc w:val="center"/>
              <w:rPr>
                <w:lang w:val="en-US"/>
              </w:rPr>
            </w:pPr>
            <w:r>
              <w:rPr>
                <w:lang w:val="en-US"/>
              </w:rPr>
              <w:t>1.21</w:t>
            </w:r>
          </w:p>
        </w:tc>
      </w:tr>
      <w:tr w14:paraId="0170CD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5A5C237">
            <w:pPr>
              <w:spacing w:line="360" w:lineRule="auto"/>
              <w:jc w:val="center"/>
              <w:rPr>
                <w:lang w:val="en-US"/>
              </w:rPr>
            </w:pPr>
            <w:r>
              <w:rPr>
                <w:lang w:val="en-US"/>
              </w:rPr>
              <w:t>2024</w:t>
            </w:r>
          </w:p>
        </w:tc>
        <w:tc>
          <w:tcPr>
            <w:tcW w:w="4508" w:type="dxa"/>
          </w:tcPr>
          <w:p w14:paraId="2318974B">
            <w:pPr>
              <w:spacing w:line="360" w:lineRule="auto"/>
              <w:jc w:val="center"/>
              <w:rPr>
                <w:lang w:val="en-US"/>
              </w:rPr>
            </w:pPr>
            <w:r>
              <w:rPr>
                <w:lang w:val="en-US"/>
              </w:rPr>
              <w:t>1.25</w:t>
            </w:r>
          </w:p>
        </w:tc>
      </w:tr>
    </w:tbl>
    <w:p w14:paraId="720E84CE">
      <w:pPr>
        <w:spacing w:line="360" w:lineRule="auto"/>
        <w:ind w:left="720"/>
        <w:rPr>
          <w:lang w:val="en-US"/>
        </w:rPr>
      </w:pPr>
    </w:p>
    <w:p w14:paraId="5E4A5087">
      <w:pPr>
        <w:spacing w:line="360" w:lineRule="auto"/>
        <w:ind w:left="720"/>
        <w:rPr>
          <w:lang w:val="en-US"/>
        </w:rPr>
      </w:pPr>
      <w:r>
        <w:rPr>
          <w:lang w:val="en-US"/>
        </w:rPr>
        <w:drawing>
          <wp:inline distT="0" distB="0" distL="0" distR="0">
            <wp:extent cx="5486400" cy="3200400"/>
            <wp:effectExtent l="0" t="0" r="0" b="0"/>
            <wp:docPr id="31956544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CB8A68D">
      <w:pPr>
        <w:spacing w:line="360" w:lineRule="auto"/>
        <w:ind w:left="720"/>
        <w:jc w:val="center"/>
        <w:rPr>
          <w:lang w:val="en-US"/>
        </w:rPr>
      </w:pPr>
      <w:r>
        <w:rPr>
          <w:b/>
          <w:bCs/>
          <w:lang w:val="en-US"/>
        </w:rPr>
        <w:t xml:space="preserve">Figure: </w:t>
      </w:r>
      <w:r>
        <w:rPr>
          <w:lang w:val="en-US"/>
        </w:rPr>
        <w:t>Current Ratio Illustrated (Source: Own)</w:t>
      </w:r>
    </w:p>
    <w:p w14:paraId="5F8946C6">
      <w:pPr>
        <w:spacing w:line="360" w:lineRule="auto"/>
        <w:ind w:left="720"/>
        <w:rPr>
          <w:lang w:val="en-US"/>
        </w:rPr>
      </w:pPr>
      <w:r>
        <w:rPr>
          <w:lang w:val="en-US"/>
        </w:rPr>
        <w:t>BP PLC has improved its current ratio in 2024 compared to 2023 ever so slightly, as the current ratio has increased from 1.21:1 to 1.25:1 (</w:t>
      </w:r>
      <w:r>
        <w:t>BP p.l.c., 2025)</w:t>
      </w:r>
      <w:r>
        <w:rPr>
          <w:lang w:val="en-US"/>
        </w:rPr>
        <w:t>. Although industry benchmarks tend to hover around 1.5-2.0:1, given the context of BP PLC and its financial deterioration, having anything over 1 is a positive indication for the company’s creditors (</w:t>
      </w:r>
      <w:r>
        <w:t>U.S. Energy Information Administration, 2024)</w:t>
      </w:r>
      <w:r>
        <w:rPr>
          <w:lang w:val="en-US"/>
        </w:rPr>
        <w:t>.</w:t>
      </w:r>
    </w:p>
    <w:p w14:paraId="306D0382">
      <w:pPr>
        <w:spacing w:line="360" w:lineRule="auto"/>
        <w:ind w:left="720"/>
        <w:rPr>
          <w:lang w:val="en-US"/>
        </w:rPr>
      </w:pPr>
      <w:r>
        <w:rPr>
          <w:b/>
          <w:bCs/>
          <w:lang w:val="en-US"/>
        </w:rPr>
        <w:t xml:space="preserve">Acid Test Ratio: </w:t>
      </w:r>
      <w:r>
        <w:rPr>
          <w:lang w:val="en-US"/>
        </w:rPr>
        <w:t>It is a more immediate test of the capacity of a company to determine whether a company is able to pay off its most immediate debts or not, using current assets that do not incorporate inventories.</w:t>
      </w:r>
    </w:p>
    <w:p w14:paraId="612C4E8B">
      <w:pPr>
        <w:spacing w:line="360" w:lineRule="auto"/>
        <w:ind w:left="720"/>
        <w:rPr>
          <w:lang w:val="en-US"/>
        </w:rPr>
      </w:pPr>
      <w:r>
        <w:rPr>
          <w:lang w:val="en-US"/>
        </w:rPr>
        <w:t>Formula = [(Current Assets – Inventories) / Current Debts]</w:t>
      </w:r>
    </w:p>
    <w:p w14:paraId="7BCE0CCC">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5"/>
        <w:gridCol w:w="4267"/>
      </w:tblGrid>
      <w:tr w14:paraId="442AC8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ACDFA4D">
            <w:pPr>
              <w:spacing w:line="360" w:lineRule="auto"/>
              <w:jc w:val="center"/>
              <w:rPr>
                <w:b/>
                <w:bCs/>
                <w:lang w:val="en-US"/>
              </w:rPr>
            </w:pPr>
            <w:r>
              <w:rPr>
                <w:b/>
                <w:bCs/>
                <w:lang w:val="en-US"/>
              </w:rPr>
              <w:t>Year</w:t>
            </w:r>
          </w:p>
        </w:tc>
        <w:tc>
          <w:tcPr>
            <w:tcW w:w="4508" w:type="dxa"/>
          </w:tcPr>
          <w:p w14:paraId="3B08301E">
            <w:pPr>
              <w:spacing w:line="360" w:lineRule="auto"/>
              <w:jc w:val="center"/>
              <w:rPr>
                <w:b/>
                <w:bCs/>
                <w:lang w:val="en-US"/>
              </w:rPr>
            </w:pPr>
            <w:r>
              <w:rPr>
                <w:b/>
                <w:bCs/>
                <w:lang w:val="en-US"/>
              </w:rPr>
              <w:t>Result</w:t>
            </w:r>
          </w:p>
        </w:tc>
      </w:tr>
      <w:tr w14:paraId="49EEF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849ED7F">
            <w:pPr>
              <w:spacing w:line="360" w:lineRule="auto"/>
              <w:jc w:val="center"/>
              <w:rPr>
                <w:lang w:val="en-US"/>
              </w:rPr>
            </w:pPr>
            <w:r>
              <w:rPr>
                <w:lang w:val="en-US"/>
              </w:rPr>
              <w:t>2023</w:t>
            </w:r>
          </w:p>
        </w:tc>
        <w:tc>
          <w:tcPr>
            <w:tcW w:w="4508" w:type="dxa"/>
          </w:tcPr>
          <w:p w14:paraId="0728F942">
            <w:pPr>
              <w:spacing w:line="360" w:lineRule="auto"/>
              <w:jc w:val="center"/>
              <w:rPr>
                <w:lang w:val="en-US"/>
              </w:rPr>
            </w:pPr>
            <w:r>
              <w:rPr>
                <w:lang w:val="en-US"/>
              </w:rPr>
              <w:t>0.94</w:t>
            </w:r>
          </w:p>
        </w:tc>
      </w:tr>
      <w:tr w14:paraId="29907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07EA9AD">
            <w:pPr>
              <w:spacing w:line="360" w:lineRule="auto"/>
              <w:jc w:val="center"/>
              <w:rPr>
                <w:lang w:val="en-US"/>
              </w:rPr>
            </w:pPr>
            <w:r>
              <w:rPr>
                <w:lang w:val="en-US"/>
              </w:rPr>
              <w:t>2024</w:t>
            </w:r>
          </w:p>
        </w:tc>
        <w:tc>
          <w:tcPr>
            <w:tcW w:w="4508" w:type="dxa"/>
          </w:tcPr>
          <w:p w14:paraId="46403DD2">
            <w:pPr>
              <w:spacing w:line="360" w:lineRule="auto"/>
              <w:jc w:val="center"/>
              <w:rPr>
                <w:lang w:val="en-US"/>
              </w:rPr>
            </w:pPr>
            <w:r>
              <w:rPr>
                <w:lang w:val="en-US"/>
              </w:rPr>
              <w:t>0.97</w:t>
            </w:r>
          </w:p>
        </w:tc>
      </w:tr>
    </w:tbl>
    <w:p w14:paraId="211B08B5">
      <w:pPr>
        <w:spacing w:line="360" w:lineRule="auto"/>
        <w:ind w:left="720"/>
        <w:rPr>
          <w:lang w:val="en-US"/>
        </w:rPr>
      </w:pPr>
    </w:p>
    <w:p w14:paraId="552E3325">
      <w:pPr>
        <w:spacing w:line="360" w:lineRule="auto"/>
        <w:ind w:left="720"/>
        <w:rPr>
          <w:lang w:val="en-US"/>
        </w:rPr>
      </w:pPr>
      <w:r>
        <w:rPr>
          <w:lang w:val="en-US"/>
        </w:rPr>
        <w:drawing>
          <wp:inline distT="0" distB="0" distL="0" distR="0">
            <wp:extent cx="5486400" cy="3200400"/>
            <wp:effectExtent l="0" t="0" r="0" b="0"/>
            <wp:docPr id="109256930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C71AB1">
      <w:pPr>
        <w:spacing w:line="360" w:lineRule="auto"/>
        <w:ind w:left="720"/>
        <w:jc w:val="center"/>
        <w:rPr>
          <w:lang w:val="en-US"/>
        </w:rPr>
      </w:pPr>
      <w:r>
        <w:rPr>
          <w:b/>
          <w:bCs/>
          <w:lang w:val="en-US"/>
        </w:rPr>
        <w:t xml:space="preserve">Figure: </w:t>
      </w:r>
      <w:r>
        <w:rPr>
          <w:lang w:val="en-US"/>
        </w:rPr>
        <w:t>Acid Test Ratio Illustrated (Source: Own)</w:t>
      </w:r>
    </w:p>
    <w:p w14:paraId="5BC5DA08">
      <w:pPr>
        <w:spacing w:line="360" w:lineRule="auto"/>
        <w:ind w:left="720"/>
        <w:rPr>
          <w:lang w:val="en-US"/>
        </w:rPr>
      </w:pPr>
      <w:r>
        <w:rPr>
          <w:lang w:val="en-US"/>
        </w:rPr>
        <w:t>Again, just as the current ratio, the company has improved its quick asset ratio, as well. The company has achieved 0.97 in 2024 compared to 0.94 in 2023. This is a modest improvement for the company, considering it has been facing significant turmoil regarding its overall financial performance (</w:t>
      </w:r>
      <w:r>
        <w:t>BP p.l.c., 2025)</w:t>
      </w:r>
      <w:r>
        <w:rPr>
          <w:lang w:val="en-US"/>
        </w:rPr>
        <w:t>. Again, as the quick ratio standard is 1:1, the company needs to improve its liquidity position further in order to create a cushion for unexpected financial performance (</w:t>
      </w:r>
      <w:r>
        <w:t>LinkedIn, 2023)</w:t>
      </w:r>
      <w:r>
        <w:rPr>
          <w:lang w:val="en-US"/>
        </w:rPr>
        <w:t>.</w:t>
      </w:r>
    </w:p>
    <w:p w14:paraId="45D90C34">
      <w:pPr>
        <w:pStyle w:val="4"/>
        <w:numPr>
          <w:ilvl w:val="2"/>
          <w:numId w:val="2"/>
        </w:numPr>
        <w:spacing w:line="360" w:lineRule="auto"/>
        <w:rPr>
          <w:rFonts w:ascii="Times New Roman" w:hAnsi="Times New Roman" w:cs="Times New Roman"/>
          <w:b/>
          <w:bCs/>
          <w:sz w:val="24"/>
          <w:szCs w:val="32"/>
          <w:lang w:val="en-US"/>
        </w:rPr>
      </w:pPr>
      <w:bookmarkStart w:id="8" w:name="_Toc219049737"/>
      <w:r>
        <w:rPr>
          <w:rFonts w:ascii="Times New Roman" w:hAnsi="Times New Roman" w:cs="Times New Roman"/>
          <w:b/>
          <w:bCs/>
          <w:sz w:val="24"/>
          <w:szCs w:val="32"/>
          <w:lang w:val="en-US"/>
        </w:rPr>
        <w:t>Efficiency Ratio</w:t>
      </w:r>
      <w:bookmarkEnd w:id="8"/>
    </w:p>
    <w:p w14:paraId="0AAEFD42">
      <w:pPr>
        <w:spacing w:line="360" w:lineRule="auto"/>
        <w:ind w:left="720"/>
        <w:rPr>
          <w:lang w:val="en-US"/>
        </w:rPr>
      </w:pPr>
      <w:r>
        <w:rPr>
          <w:lang w:val="en-US"/>
        </w:rPr>
        <w:t xml:space="preserve">Efficiency ratios tend to help to calculate the capacity of a company to utilise resources such as inventory, assets and others. </w:t>
      </w:r>
    </w:p>
    <w:p w14:paraId="32B5F771">
      <w:pPr>
        <w:spacing w:line="360" w:lineRule="auto"/>
        <w:ind w:left="720"/>
        <w:rPr>
          <w:lang w:val="en-US"/>
        </w:rPr>
      </w:pPr>
      <w:r>
        <w:rPr>
          <w:b/>
          <w:bCs/>
          <w:lang w:val="en-US"/>
        </w:rPr>
        <w:t xml:space="preserve">Asset Turnover Ratio: </w:t>
      </w:r>
      <w:r>
        <w:rPr>
          <w:lang w:val="en-US"/>
        </w:rPr>
        <w:t>This is a ratio which determines the revenue generation capacity for each dollar of assets invested to calculate the asset productivity of a company.</w:t>
      </w:r>
    </w:p>
    <w:p w14:paraId="09E267A5">
      <w:pPr>
        <w:spacing w:line="360" w:lineRule="auto"/>
        <w:ind w:left="720"/>
        <w:rPr>
          <w:lang w:val="en-US"/>
        </w:rPr>
      </w:pPr>
      <w:r>
        <w:rPr>
          <w:lang w:val="en-US"/>
        </w:rPr>
        <w:t>Formula = (Revenue / Total Assets)</w:t>
      </w:r>
    </w:p>
    <w:p w14:paraId="4DAEE441">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0"/>
        <w:gridCol w:w="4156"/>
      </w:tblGrid>
      <w:tr w14:paraId="60F58D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0" w:type="dxa"/>
          </w:tcPr>
          <w:p w14:paraId="49777E1C">
            <w:pPr>
              <w:spacing w:line="360" w:lineRule="auto"/>
              <w:jc w:val="center"/>
              <w:rPr>
                <w:b/>
                <w:bCs/>
                <w:lang w:val="en-US"/>
              </w:rPr>
            </w:pPr>
            <w:r>
              <w:rPr>
                <w:b/>
                <w:bCs/>
                <w:lang w:val="en-US"/>
              </w:rPr>
              <w:t>Year</w:t>
            </w:r>
          </w:p>
        </w:tc>
        <w:tc>
          <w:tcPr>
            <w:tcW w:w="4156" w:type="dxa"/>
          </w:tcPr>
          <w:p w14:paraId="082DD29D">
            <w:pPr>
              <w:spacing w:line="360" w:lineRule="auto"/>
              <w:jc w:val="center"/>
              <w:rPr>
                <w:b/>
                <w:bCs/>
                <w:lang w:val="en-US"/>
              </w:rPr>
            </w:pPr>
            <w:r>
              <w:rPr>
                <w:b/>
                <w:bCs/>
                <w:lang w:val="en-US"/>
              </w:rPr>
              <w:t>Result</w:t>
            </w:r>
          </w:p>
        </w:tc>
      </w:tr>
      <w:tr w14:paraId="7C22B3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0" w:type="dxa"/>
          </w:tcPr>
          <w:p w14:paraId="474AF75B">
            <w:pPr>
              <w:spacing w:line="360" w:lineRule="auto"/>
              <w:jc w:val="center"/>
              <w:rPr>
                <w:lang w:val="en-US"/>
              </w:rPr>
            </w:pPr>
            <w:r>
              <w:rPr>
                <w:lang w:val="en-US"/>
              </w:rPr>
              <w:t>2023</w:t>
            </w:r>
          </w:p>
        </w:tc>
        <w:tc>
          <w:tcPr>
            <w:tcW w:w="4156" w:type="dxa"/>
          </w:tcPr>
          <w:p w14:paraId="22002F48">
            <w:pPr>
              <w:spacing w:line="360" w:lineRule="auto"/>
              <w:jc w:val="center"/>
              <w:rPr>
                <w:lang w:val="en-US"/>
              </w:rPr>
            </w:pPr>
            <w:r>
              <w:rPr>
                <w:lang w:val="en-US"/>
              </w:rPr>
              <w:t>0.75 Times</w:t>
            </w:r>
          </w:p>
        </w:tc>
      </w:tr>
      <w:tr w14:paraId="7E847B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0" w:type="dxa"/>
          </w:tcPr>
          <w:p w14:paraId="5A3DAD08">
            <w:pPr>
              <w:spacing w:line="360" w:lineRule="auto"/>
              <w:jc w:val="center"/>
              <w:rPr>
                <w:lang w:val="en-US"/>
              </w:rPr>
            </w:pPr>
            <w:r>
              <w:rPr>
                <w:lang w:val="en-US"/>
              </w:rPr>
              <w:t>2024</w:t>
            </w:r>
          </w:p>
        </w:tc>
        <w:tc>
          <w:tcPr>
            <w:tcW w:w="4156" w:type="dxa"/>
          </w:tcPr>
          <w:p w14:paraId="0B23FBED">
            <w:pPr>
              <w:spacing w:line="360" w:lineRule="auto"/>
              <w:jc w:val="center"/>
              <w:rPr>
                <w:lang w:val="en-US"/>
              </w:rPr>
            </w:pPr>
            <w:r>
              <w:rPr>
                <w:lang w:val="en-US"/>
              </w:rPr>
              <w:t>0.67 Times</w:t>
            </w:r>
          </w:p>
        </w:tc>
      </w:tr>
    </w:tbl>
    <w:p w14:paraId="4BF58889">
      <w:pPr>
        <w:spacing w:line="360" w:lineRule="auto"/>
        <w:ind w:left="720"/>
        <w:rPr>
          <w:lang w:val="en-US"/>
        </w:rPr>
      </w:pPr>
      <w:r>
        <w:rPr>
          <w:lang w:val="en-US"/>
        </w:rPr>
        <w:drawing>
          <wp:inline distT="0" distB="0" distL="0" distR="0">
            <wp:extent cx="5486400" cy="3200400"/>
            <wp:effectExtent l="0" t="0" r="0" b="0"/>
            <wp:docPr id="113532178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922F11">
      <w:pPr>
        <w:spacing w:line="360" w:lineRule="auto"/>
        <w:ind w:left="720"/>
        <w:jc w:val="center"/>
        <w:rPr>
          <w:lang w:val="en-US"/>
        </w:rPr>
      </w:pPr>
      <w:r>
        <w:rPr>
          <w:b/>
          <w:bCs/>
          <w:lang w:val="en-US"/>
        </w:rPr>
        <w:t xml:space="preserve">Figure: </w:t>
      </w:r>
      <w:r>
        <w:rPr>
          <w:lang w:val="en-US"/>
        </w:rPr>
        <w:t>Asset Turnover Ratio Illustrated (Source: Own)</w:t>
      </w:r>
    </w:p>
    <w:p w14:paraId="3B8D627A">
      <w:pPr>
        <w:spacing w:line="360" w:lineRule="auto"/>
        <w:ind w:left="720"/>
        <w:rPr>
          <w:lang w:val="en-US"/>
        </w:rPr>
      </w:pPr>
      <w:r>
        <w:rPr>
          <w:lang w:val="en-US"/>
        </w:rPr>
        <w:t>BP PLC’s asset turnover has declined in 2024 to 0.67 times compared to 0.75 times in 2023. This implies that the company has generated $0.67 of revenue against each dollar of assets invested compared to a greater $0.75 of revenue against each dollar of assets invested. This showcases both revenue contraction as well as the static asset base, which BP PLC has control over. Ultimately, the declining asset turnover ratio reflects BP PLC’s reduced production volumes, underutilised refinery capacity and other aspects of the company (</w:t>
      </w:r>
      <w:r>
        <w:t>BP p.l.c., 2025)</w:t>
      </w:r>
      <w:r>
        <w:rPr>
          <w:lang w:val="en-US"/>
        </w:rPr>
        <w:t>.</w:t>
      </w:r>
    </w:p>
    <w:p w14:paraId="0D983BB7">
      <w:pPr>
        <w:pStyle w:val="4"/>
        <w:numPr>
          <w:ilvl w:val="2"/>
          <w:numId w:val="2"/>
        </w:numPr>
        <w:spacing w:line="360" w:lineRule="auto"/>
        <w:rPr>
          <w:rFonts w:ascii="Times New Roman" w:hAnsi="Times New Roman" w:cs="Times New Roman"/>
          <w:b/>
          <w:bCs/>
          <w:sz w:val="24"/>
          <w:szCs w:val="32"/>
          <w:lang w:val="en-US"/>
        </w:rPr>
      </w:pPr>
      <w:bookmarkStart w:id="9" w:name="_Toc219049738"/>
      <w:r>
        <w:rPr>
          <w:rFonts w:ascii="Times New Roman" w:hAnsi="Times New Roman" w:cs="Times New Roman"/>
          <w:b/>
          <w:bCs/>
          <w:sz w:val="24"/>
          <w:szCs w:val="32"/>
          <w:lang w:val="en-US"/>
        </w:rPr>
        <w:t>Gearing Ratio</w:t>
      </w:r>
      <w:bookmarkEnd w:id="9"/>
    </w:p>
    <w:p w14:paraId="215E5776">
      <w:pPr>
        <w:spacing w:line="360" w:lineRule="auto"/>
        <w:ind w:left="720"/>
        <w:rPr>
          <w:lang w:val="en-US"/>
        </w:rPr>
      </w:pPr>
      <w:r>
        <w:rPr>
          <w:lang w:val="en-US"/>
        </w:rPr>
        <w:t>Such a ratio tends to measure the financial leverage as well as the debt servicing capacity of a company, which illustrates the financial risk exposure alongside the sustainability of the capital structure used by a company.</w:t>
      </w:r>
    </w:p>
    <w:p w14:paraId="24379806">
      <w:pPr>
        <w:spacing w:line="360" w:lineRule="auto"/>
        <w:ind w:left="720"/>
        <w:rPr>
          <w:lang w:val="en-US"/>
        </w:rPr>
      </w:pPr>
      <w:r>
        <w:rPr>
          <w:b/>
          <w:bCs/>
          <w:lang w:val="en-US"/>
        </w:rPr>
        <w:t xml:space="preserve">Debt-to-Equity Ratio: </w:t>
      </w:r>
      <w:r>
        <w:rPr>
          <w:lang w:val="en-US"/>
        </w:rPr>
        <w:t>This showcases the financial leverage of a company by comparing the amount of debt and the amount of equity deployed by a company in its capital structure.</w:t>
      </w:r>
    </w:p>
    <w:p w14:paraId="03CFEF08">
      <w:pPr>
        <w:spacing w:line="360" w:lineRule="auto"/>
        <w:ind w:left="720"/>
        <w:rPr>
          <w:lang w:val="en-US"/>
        </w:rPr>
      </w:pPr>
      <w:r>
        <w:rPr>
          <w:lang w:val="en-US"/>
        </w:rPr>
        <w:t>Formula = (Total Debt / Total Equity)</w:t>
      </w:r>
    </w:p>
    <w:p w14:paraId="5B11B902">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5"/>
        <w:gridCol w:w="4267"/>
      </w:tblGrid>
      <w:tr w14:paraId="49A2D9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1F356EB">
            <w:pPr>
              <w:spacing w:line="360" w:lineRule="auto"/>
              <w:jc w:val="center"/>
              <w:rPr>
                <w:b/>
                <w:bCs/>
                <w:lang w:val="en-US"/>
              </w:rPr>
            </w:pPr>
            <w:r>
              <w:rPr>
                <w:b/>
                <w:bCs/>
                <w:lang w:val="en-US"/>
              </w:rPr>
              <w:t>Year</w:t>
            </w:r>
          </w:p>
        </w:tc>
        <w:tc>
          <w:tcPr>
            <w:tcW w:w="4508" w:type="dxa"/>
          </w:tcPr>
          <w:p w14:paraId="7F5A635D">
            <w:pPr>
              <w:spacing w:line="360" w:lineRule="auto"/>
              <w:jc w:val="center"/>
              <w:rPr>
                <w:b/>
                <w:bCs/>
                <w:lang w:val="en-US"/>
              </w:rPr>
            </w:pPr>
            <w:r>
              <w:rPr>
                <w:b/>
                <w:bCs/>
                <w:lang w:val="en-US"/>
              </w:rPr>
              <w:t>Result</w:t>
            </w:r>
          </w:p>
        </w:tc>
      </w:tr>
      <w:tr w14:paraId="65F66B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77EE0F0">
            <w:pPr>
              <w:spacing w:line="360" w:lineRule="auto"/>
              <w:jc w:val="center"/>
              <w:rPr>
                <w:lang w:val="en-US"/>
              </w:rPr>
            </w:pPr>
            <w:r>
              <w:rPr>
                <w:lang w:val="en-US"/>
              </w:rPr>
              <w:t>2023</w:t>
            </w:r>
          </w:p>
        </w:tc>
        <w:tc>
          <w:tcPr>
            <w:tcW w:w="4508" w:type="dxa"/>
          </w:tcPr>
          <w:p w14:paraId="29881E12">
            <w:pPr>
              <w:spacing w:line="360" w:lineRule="auto"/>
              <w:jc w:val="center"/>
              <w:rPr>
                <w:lang w:val="en-US"/>
              </w:rPr>
            </w:pPr>
            <w:r>
              <w:rPr>
                <w:lang w:val="en-US"/>
              </w:rPr>
              <w:t>0.61</w:t>
            </w:r>
          </w:p>
        </w:tc>
      </w:tr>
      <w:tr w14:paraId="13A94E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9979008">
            <w:pPr>
              <w:spacing w:line="360" w:lineRule="auto"/>
              <w:jc w:val="center"/>
              <w:rPr>
                <w:lang w:val="en-US"/>
              </w:rPr>
            </w:pPr>
            <w:r>
              <w:rPr>
                <w:lang w:val="en-US"/>
              </w:rPr>
              <w:t>2024</w:t>
            </w:r>
          </w:p>
        </w:tc>
        <w:tc>
          <w:tcPr>
            <w:tcW w:w="4508" w:type="dxa"/>
          </w:tcPr>
          <w:p w14:paraId="067D6571">
            <w:pPr>
              <w:spacing w:line="360" w:lineRule="auto"/>
              <w:jc w:val="center"/>
              <w:rPr>
                <w:lang w:val="en-US"/>
              </w:rPr>
            </w:pPr>
            <w:r>
              <w:rPr>
                <w:lang w:val="en-US"/>
              </w:rPr>
              <w:t>0.76</w:t>
            </w:r>
          </w:p>
        </w:tc>
      </w:tr>
    </w:tbl>
    <w:p w14:paraId="1094F30A">
      <w:pPr>
        <w:spacing w:line="360" w:lineRule="auto"/>
        <w:ind w:left="720"/>
        <w:rPr>
          <w:lang w:val="en-US"/>
        </w:rPr>
      </w:pPr>
    </w:p>
    <w:p w14:paraId="6E0673D6">
      <w:pPr>
        <w:spacing w:line="360" w:lineRule="auto"/>
        <w:ind w:left="720"/>
        <w:rPr>
          <w:lang w:val="en-US"/>
        </w:rPr>
      </w:pPr>
      <w:r>
        <w:rPr>
          <w:lang w:val="en-US"/>
        </w:rPr>
        <w:drawing>
          <wp:inline distT="0" distB="0" distL="0" distR="0">
            <wp:extent cx="5486400" cy="3200400"/>
            <wp:effectExtent l="0" t="0" r="0" b="0"/>
            <wp:docPr id="140956570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40E56E1">
      <w:pPr>
        <w:spacing w:line="360" w:lineRule="auto"/>
        <w:ind w:left="720"/>
        <w:jc w:val="center"/>
        <w:rPr>
          <w:lang w:val="en-US"/>
        </w:rPr>
      </w:pPr>
      <w:r>
        <w:rPr>
          <w:b/>
          <w:bCs/>
          <w:lang w:val="en-US"/>
        </w:rPr>
        <w:t xml:space="preserve">Figure: </w:t>
      </w:r>
      <w:r>
        <w:rPr>
          <w:lang w:val="en-US"/>
        </w:rPr>
        <w:t>Debt-to-Equity Illustrated (Source: Own)</w:t>
      </w:r>
    </w:p>
    <w:p w14:paraId="61245D27">
      <w:pPr>
        <w:spacing w:line="360" w:lineRule="auto"/>
        <w:ind w:left="720"/>
        <w:rPr>
          <w:lang w:val="en-US"/>
        </w:rPr>
      </w:pPr>
      <w:r>
        <w:rPr>
          <w:lang w:val="en-US"/>
        </w:rPr>
        <w:t>The increased debt-to-equity ratio showcases the increasing leverage in the capital structure of the company, which has occurred due to the company’s shrinking equity base as well as rising debt levels (</w:t>
      </w:r>
      <w:r>
        <w:t>BP p.l.c., 2025)</w:t>
      </w:r>
      <w:r>
        <w:rPr>
          <w:lang w:val="en-US"/>
        </w:rPr>
        <w:t xml:space="preserve">. The elevation directly raises questions about the company’s financial discipline, as its competitors have maintained the industry benchmark of 0.3-0.6 range, which it has already exceeded. </w:t>
      </w:r>
    </w:p>
    <w:p w14:paraId="4B169ADA">
      <w:pPr>
        <w:spacing w:line="360" w:lineRule="auto"/>
        <w:ind w:left="720"/>
        <w:rPr>
          <w:lang w:val="en-US"/>
        </w:rPr>
      </w:pPr>
      <w:r>
        <w:rPr>
          <w:b/>
          <w:bCs/>
          <w:lang w:val="en-US"/>
        </w:rPr>
        <w:t xml:space="preserve">Debt-to-Asset Ratio: </w:t>
      </w:r>
      <w:r>
        <w:rPr>
          <w:lang w:val="en-US"/>
        </w:rPr>
        <w:t>This showcases the leverage used by a company to finance the acquisition of assets of a company.</w:t>
      </w:r>
    </w:p>
    <w:p w14:paraId="3D3F766F">
      <w:pPr>
        <w:spacing w:line="360" w:lineRule="auto"/>
        <w:ind w:left="720"/>
        <w:rPr>
          <w:lang w:val="en-US"/>
        </w:rPr>
      </w:pPr>
      <w:r>
        <w:rPr>
          <w:lang w:val="en-US"/>
        </w:rPr>
        <w:t>Formula = (Total Debt / Total Assets)</w:t>
      </w:r>
    </w:p>
    <w:p w14:paraId="46AF66FA">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5"/>
        <w:gridCol w:w="4267"/>
      </w:tblGrid>
      <w:tr w14:paraId="32A261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20E58D0">
            <w:pPr>
              <w:spacing w:line="360" w:lineRule="auto"/>
              <w:jc w:val="center"/>
              <w:rPr>
                <w:b/>
                <w:bCs/>
                <w:lang w:val="en-US"/>
              </w:rPr>
            </w:pPr>
            <w:r>
              <w:rPr>
                <w:b/>
                <w:bCs/>
                <w:lang w:val="en-US"/>
              </w:rPr>
              <w:t>Year</w:t>
            </w:r>
          </w:p>
        </w:tc>
        <w:tc>
          <w:tcPr>
            <w:tcW w:w="4508" w:type="dxa"/>
          </w:tcPr>
          <w:p w14:paraId="0B721528">
            <w:pPr>
              <w:spacing w:line="360" w:lineRule="auto"/>
              <w:jc w:val="center"/>
              <w:rPr>
                <w:b/>
                <w:bCs/>
                <w:lang w:val="en-US"/>
              </w:rPr>
            </w:pPr>
            <w:r>
              <w:rPr>
                <w:b/>
                <w:bCs/>
                <w:lang w:val="en-US"/>
              </w:rPr>
              <w:t>Result</w:t>
            </w:r>
          </w:p>
        </w:tc>
      </w:tr>
      <w:tr w14:paraId="12E350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A73AD16">
            <w:pPr>
              <w:spacing w:line="360" w:lineRule="auto"/>
              <w:jc w:val="center"/>
              <w:rPr>
                <w:lang w:val="en-US"/>
              </w:rPr>
            </w:pPr>
            <w:r>
              <w:rPr>
                <w:lang w:val="en-US"/>
              </w:rPr>
              <w:t>2023</w:t>
            </w:r>
          </w:p>
        </w:tc>
        <w:tc>
          <w:tcPr>
            <w:tcW w:w="4508" w:type="dxa"/>
          </w:tcPr>
          <w:p w14:paraId="62C3F6E3">
            <w:pPr>
              <w:spacing w:line="360" w:lineRule="auto"/>
              <w:jc w:val="center"/>
              <w:rPr>
                <w:lang w:val="en-US"/>
              </w:rPr>
            </w:pPr>
            <w:r>
              <w:rPr>
                <w:lang w:val="en-US"/>
              </w:rPr>
              <w:t>0.19</w:t>
            </w:r>
          </w:p>
        </w:tc>
      </w:tr>
      <w:tr w14:paraId="1C65E0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59E0AB4">
            <w:pPr>
              <w:spacing w:line="360" w:lineRule="auto"/>
              <w:jc w:val="center"/>
              <w:rPr>
                <w:lang w:val="en-US"/>
              </w:rPr>
            </w:pPr>
            <w:r>
              <w:rPr>
                <w:lang w:val="en-US"/>
              </w:rPr>
              <w:t>2024</w:t>
            </w:r>
          </w:p>
        </w:tc>
        <w:tc>
          <w:tcPr>
            <w:tcW w:w="4508" w:type="dxa"/>
          </w:tcPr>
          <w:p w14:paraId="0B0D6845">
            <w:pPr>
              <w:spacing w:line="360" w:lineRule="auto"/>
              <w:jc w:val="center"/>
              <w:rPr>
                <w:lang w:val="en-US"/>
              </w:rPr>
            </w:pPr>
            <w:r>
              <w:rPr>
                <w:lang w:val="en-US"/>
              </w:rPr>
              <w:t>0.21</w:t>
            </w:r>
          </w:p>
        </w:tc>
      </w:tr>
    </w:tbl>
    <w:p w14:paraId="5449BA1E">
      <w:pPr>
        <w:spacing w:line="360" w:lineRule="auto"/>
        <w:ind w:left="720"/>
        <w:rPr>
          <w:lang w:val="en-US"/>
        </w:rPr>
      </w:pPr>
    </w:p>
    <w:p w14:paraId="188538C1">
      <w:pPr>
        <w:spacing w:line="360" w:lineRule="auto"/>
        <w:ind w:left="720"/>
        <w:rPr>
          <w:lang w:val="en-US"/>
        </w:rPr>
      </w:pPr>
      <w:r>
        <w:rPr>
          <w:lang w:val="en-US"/>
        </w:rPr>
        <w:drawing>
          <wp:inline distT="0" distB="0" distL="0" distR="0">
            <wp:extent cx="5486400" cy="3200400"/>
            <wp:effectExtent l="0" t="0" r="0" b="0"/>
            <wp:docPr id="131176830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4ACF27D">
      <w:pPr>
        <w:spacing w:line="360" w:lineRule="auto"/>
        <w:ind w:left="720"/>
        <w:jc w:val="center"/>
        <w:rPr>
          <w:lang w:val="en-US"/>
        </w:rPr>
      </w:pPr>
      <w:r>
        <w:rPr>
          <w:b/>
          <w:bCs/>
          <w:lang w:val="en-US"/>
        </w:rPr>
        <w:t xml:space="preserve">Figure: </w:t>
      </w:r>
      <w:r>
        <w:rPr>
          <w:lang w:val="en-US"/>
        </w:rPr>
        <w:t>Debt-to-Asset Ratio Illustrated (Source: Own)</w:t>
      </w:r>
    </w:p>
    <w:p w14:paraId="5C8FA420">
      <w:pPr>
        <w:spacing w:line="360" w:lineRule="auto"/>
        <w:ind w:left="720"/>
        <w:rPr>
          <w:lang w:val="en-US"/>
        </w:rPr>
      </w:pPr>
      <w:r>
        <w:rPr>
          <w:lang w:val="en-US"/>
        </w:rPr>
        <w:t>The amount of debt invested in acquiring assets has increased from 19% in 2023 to 21% in 2024 (</w:t>
      </w:r>
      <w:r>
        <w:t>BP p.l.c., 2025)</w:t>
      </w:r>
      <w:r>
        <w:rPr>
          <w:lang w:val="en-US"/>
        </w:rPr>
        <w:t>. This showcases that the assets acquired by the company are now being acquired by utilising higher leverages which directly contradicts the management’s balance sheet strengthening disposition (</w:t>
      </w:r>
      <w:r>
        <w:t>EPICORP, 2024)</w:t>
      </w:r>
      <w:r>
        <w:rPr>
          <w:lang w:val="en-US"/>
        </w:rPr>
        <w:t>.</w:t>
      </w:r>
    </w:p>
    <w:p w14:paraId="187CABBA">
      <w:pPr>
        <w:pStyle w:val="4"/>
        <w:numPr>
          <w:ilvl w:val="2"/>
          <w:numId w:val="2"/>
        </w:numPr>
        <w:spacing w:line="360" w:lineRule="auto"/>
        <w:rPr>
          <w:rFonts w:ascii="Times New Roman" w:hAnsi="Times New Roman" w:cs="Times New Roman"/>
          <w:b/>
          <w:bCs/>
          <w:sz w:val="24"/>
          <w:szCs w:val="32"/>
          <w:lang w:val="en-US"/>
        </w:rPr>
      </w:pPr>
      <w:bookmarkStart w:id="10" w:name="_Toc219049739"/>
      <w:r>
        <w:rPr>
          <w:rFonts w:ascii="Times New Roman" w:hAnsi="Times New Roman" w:cs="Times New Roman"/>
          <w:b/>
          <w:bCs/>
          <w:sz w:val="24"/>
          <w:szCs w:val="32"/>
          <w:lang w:val="en-US"/>
        </w:rPr>
        <w:t>Investor Ratio</w:t>
      </w:r>
      <w:bookmarkEnd w:id="10"/>
    </w:p>
    <w:p w14:paraId="5F4CACC0">
      <w:pPr>
        <w:spacing w:line="360" w:lineRule="auto"/>
        <w:ind w:left="720"/>
        <w:rPr>
          <w:lang w:val="en-US"/>
        </w:rPr>
      </w:pPr>
      <w:r>
        <w:rPr>
          <w:lang w:val="en-US"/>
        </w:rPr>
        <w:t xml:space="preserve">Investor ratios directly contribute to the decision-making process of shareholders by providing concrete measurements on shareholder returns as well as the market valuation of the company. </w:t>
      </w:r>
    </w:p>
    <w:p w14:paraId="01D4D006">
      <w:pPr>
        <w:spacing w:line="360" w:lineRule="auto"/>
        <w:ind w:left="720"/>
        <w:rPr>
          <w:lang w:val="en-US"/>
        </w:rPr>
      </w:pPr>
      <w:r>
        <w:rPr>
          <w:b/>
          <w:bCs/>
          <w:lang w:val="en-US"/>
        </w:rPr>
        <w:t xml:space="preserve">Earnings per Share: </w:t>
      </w:r>
      <w:r>
        <w:rPr>
          <w:lang w:val="en-US"/>
        </w:rPr>
        <w:t>This indicates the amount of net profit available to each of the ordinary shares that a company has outstanding in the market, which is one of the most fundamental valuation inputs for a company.</w:t>
      </w:r>
    </w:p>
    <w:p w14:paraId="5C3D144D">
      <w:pPr>
        <w:spacing w:line="360" w:lineRule="auto"/>
        <w:ind w:left="720"/>
        <w:rPr>
          <w:lang w:val="en-US"/>
        </w:rPr>
      </w:pPr>
      <w:r>
        <w:rPr>
          <w:lang w:val="en-US"/>
        </w:rPr>
        <w:t>Formula = (Net Profit / Total Shares Outstanding)</w:t>
      </w:r>
    </w:p>
    <w:p w14:paraId="2E40A891">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5"/>
        <w:gridCol w:w="4267"/>
      </w:tblGrid>
      <w:tr w14:paraId="306721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18F7DF3">
            <w:pPr>
              <w:spacing w:line="360" w:lineRule="auto"/>
              <w:jc w:val="center"/>
              <w:rPr>
                <w:b/>
                <w:bCs/>
                <w:lang w:val="en-US"/>
              </w:rPr>
            </w:pPr>
            <w:r>
              <w:rPr>
                <w:b/>
                <w:bCs/>
                <w:lang w:val="en-US"/>
              </w:rPr>
              <w:t>Year</w:t>
            </w:r>
          </w:p>
        </w:tc>
        <w:tc>
          <w:tcPr>
            <w:tcW w:w="4508" w:type="dxa"/>
          </w:tcPr>
          <w:p w14:paraId="78DF7A63">
            <w:pPr>
              <w:spacing w:line="360" w:lineRule="auto"/>
              <w:jc w:val="center"/>
              <w:rPr>
                <w:b/>
                <w:bCs/>
                <w:lang w:val="en-US"/>
              </w:rPr>
            </w:pPr>
            <w:r>
              <w:rPr>
                <w:b/>
                <w:bCs/>
                <w:lang w:val="en-US"/>
              </w:rPr>
              <w:t>Result</w:t>
            </w:r>
          </w:p>
        </w:tc>
      </w:tr>
      <w:tr w14:paraId="0DA046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F6EA30F">
            <w:pPr>
              <w:spacing w:line="360" w:lineRule="auto"/>
              <w:jc w:val="center"/>
              <w:rPr>
                <w:lang w:val="en-US"/>
              </w:rPr>
            </w:pPr>
            <w:r>
              <w:rPr>
                <w:lang w:val="en-US"/>
              </w:rPr>
              <w:t>2023</w:t>
            </w:r>
          </w:p>
        </w:tc>
        <w:tc>
          <w:tcPr>
            <w:tcW w:w="4508" w:type="dxa"/>
          </w:tcPr>
          <w:p w14:paraId="52727FDE">
            <w:pPr>
              <w:spacing w:line="360" w:lineRule="auto"/>
              <w:jc w:val="center"/>
              <w:rPr>
                <w:lang w:val="en-US"/>
              </w:rPr>
            </w:pPr>
            <w:r>
              <w:rPr>
                <w:lang w:val="en-US"/>
              </w:rPr>
              <w:t>87.78 Cents</w:t>
            </w:r>
          </w:p>
        </w:tc>
      </w:tr>
      <w:tr w14:paraId="03C478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8C0A149">
            <w:pPr>
              <w:spacing w:line="360" w:lineRule="auto"/>
              <w:jc w:val="center"/>
              <w:rPr>
                <w:lang w:val="en-US"/>
              </w:rPr>
            </w:pPr>
            <w:r>
              <w:rPr>
                <w:lang w:val="en-US"/>
              </w:rPr>
              <w:t>2024</w:t>
            </w:r>
          </w:p>
        </w:tc>
        <w:tc>
          <w:tcPr>
            <w:tcW w:w="4508" w:type="dxa"/>
          </w:tcPr>
          <w:p w14:paraId="70F86195">
            <w:pPr>
              <w:spacing w:line="360" w:lineRule="auto"/>
              <w:jc w:val="center"/>
              <w:rPr>
                <w:lang w:val="en-US"/>
              </w:rPr>
            </w:pPr>
            <w:r>
              <w:rPr>
                <w:lang w:val="en-US"/>
              </w:rPr>
              <w:t>2.38 Cents</w:t>
            </w:r>
          </w:p>
        </w:tc>
      </w:tr>
    </w:tbl>
    <w:p w14:paraId="1AD121CF">
      <w:pPr>
        <w:spacing w:line="360" w:lineRule="auto"/>
        <w:ind w:left="720"/>
        <w:rPr>
          <w:lang w:val="en-US"/>
        </w:rPr>
      </w:pPr>
    </w:p>
    <w:p w14:paraId="049933ED">
      <w:pPr>
        <w:spacing w:line="360" w:lineRule="auto"/>
        <w:ind w:left="720"/>
        <w:rPr>
          <w:lang w:val="en-US"/>
        </w:rPr>
      </w:pPr>
      <w:r>
        <w:rPr>
          <w:lang w:val="en-US"/>
        </w:rPr>
        <w:drawing>
          <wp:inline distT="0" distB="0" distL="0" distR="0">
            <wp:extent cx="5486400" cy="3200400"/>
            <wp:effectExtent l="0" t="0" r="0" b="0"/>
            <wp:docPr id="197774916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DA5B475">
      <w:pPr>
        <w:spacing w:line="360" w:lineRule="auto"/>
        <w:ind w:left="720"/>
        <w:jc w:val="center"/>
        <w:rPr>
          <w:lang w:val="en-US"/>
        </w:rPr>
      </w:pPr>
      <w:r>
        <w:rPr>
          <w:b/>
          <w:bCs/>
          <w:lang w:val="en-US"/>
        </w:rPr>
        <w:t xml:space="preserve">Figure: </w:t>
      </w:r>
      <w:r>
        <w:rPr>
          <w:lang w:val="en-US"/>
        </w:rPr>
        <w:t>Earnings per Share Illustrated (Source: Own)</w:t>
      </w:r>
    </w:p>
    <w:p w14:paraId="235C45D8">
      <w:pPr>
        <w:spacing w:line="360" w:lineRule="auto"/>
        <w:ind w:left="720"/>
        <w:rPr>
          <w:lang w:val="en-US"/>
        </w:rPr>
      </w:pPr>
      <w:r>
        <w:rPr>
          <w:lang w:val="en-US"/>
        </w:rPr>
        <w:t>The EPS has drastically decreased in 2024 due to the catastrophic decline in the company’s net profits. The EPS has declined from 87.78 cents to just 2.38 cents, which is a major blow to the value creation for the shareholders of the company (</w:t>
      </w:r>
      <w:r>
        <w:t>BP p.l.c., 2025)</w:t>
      </w:r>
      <w:r>
        <w:rPr>
          <w:lang w:val="en-US"/>
        </w:rPr>
        <w:t xml:space="preserve">. Moreover, such a disastrous result must contribute to the share price underperformance of the company, as well. </w:t>
      </w:r>
    </w:p>
    <w:p w14:paraId="25F0275E">
      <w:pPr>
        <w:spacing w:line="360" w:lineRule="auto"/>
        <w:ind w:left="720"/>
        <w:rPr>
          <w:lang w:val="en-US"/>
        </w:rPr>
      </w:pPr>
      <w:r>
        <w:rPr>
          <w:b/>
          <w:bCs/>
          <w:lang w:val="en-US"/>
        </w:rPr>
        <w:t xml:space="preserve">Dividend Payments: </w:t>
      </w:r>
      <w:r>
        <w:rPr>
          <w:lang w:val="en-US"/>
        </w:rPr>
        <w:t>This showcases the number of dividends paid in total to shareholders. Usually, such payments are directly tied to the profits generated by a company. When a company cannot make much profit, it cannot also pay much dividends, and this works as the foundation of a company’s dividend policy.</w:t>
      </w:r>
    </w:p>
    <w:p w14:paraId="1FF50E6F">
      <w:pPr>
        <w:spacing w:line="360" w:lineRule="auto"/>
        <w:ind w:left="720"/>
        <w:rPr>
          <w:b/>
          <w:bCs/>
          <w:lang w:val="en-US"/>
        </w:rPr>
      </w:pPr>
      <w:r>
        <w:rPr>
          <w:b/>
          <w:bCs/>
          <w:lang w:val="en-US"/>
        </w:rPr>
        <w:t>Results:</w:t>
      </w:r>
    </w:p>
    <w:tbl>
      <w:tblPr>
        <w:tblStyle w:val="18"/>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4"/>
        <w:gridCol w:w="4268"/>
      </w:tblGrid>
      <w:tr w14:paraId="38637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737764B">
            <w:pPr>
              <w:spacing w:line="360" w:lineRule="auto"/>
              <w:jc w:val="center"/>
              <w:rPr>
                <w:b/>
                <w:bCs/>
                <w:lang w:val="en-US"/>
              </w:rPr>
            </w:pPr>
            <w:r>
              <w:rPr>
                <w:b/>
                <w:bCs/>
                <w:lang w:val="en-US"/>
              </w:rPr>
              <w:t>Year</w:t>
            </w:r>
          </w:p>
        </w:tc>
        <w:tc>
          <w:tcPr>
            <w:tcW w:w="4508" w:type="dxa"/>
          </w:tcPr>
          <w:p w14:paraId="45C1D70A">
            <w:pPr>
              <w:spacing w:line="360" w:lineRule="auto"/>
              <w:jc w:val="center"/>
              <w:rPr>
                <w:b/>
                <w:bCs/>
                <w:lang w:val="en-US"/>
              </w:rPr>
            </w:pPr>
            <w:r>
              <w:rPr>
                <w:b/>
                <w:bCs/>
                <w:lang w:val="en-US"/>
              </w:rPr>
              <w:t>Result</w:t>
            </w:r>
          </w:p>
        </w:tc>
      </w:tr>
      <w:tr w14:paraId="7917E4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A2D5AFD">
            <w:pPr>
              <w:spacing w:line="360" w:lineRule="auto"/>
              <w:jc w:val="center"/>
              <w:rPr>
                <w:lang w:val="en-US"/>
              </w:rPr>
            </w:pPr>
            <w:r>
              <w:rPr>
                <w:lang w:val="en-US"/>
              </w:rPr>
              <w:t>2023</w:t>
            </w:r>
          </w:p>
        </w:tc>
        <w:tc>
          <w:tcPr>
            <w:tcW w:w="4508" w:type="dxa"/>
          </w:tcPr>
          <w:p w14:paraId="190893B9">
            <w:pPr>
              <w:spacing w:line="360" w:lineRule="auto"/>
              <w:jc w:val="center"/>
              <w:rPr>
                <w:lang w:val="en-US"/>
              </w:rPr>
            </w:pPr>
            <w:r>
              <w:rPr>
                <w:lang w:val="en-US"/>
              </w:rPr>
              <w:t>$4,809 million</w:t>
            </w:r>
          </w:p>
        </w:tc>
      </w:tr>
      <w:tr w14:paraId="6AF013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4AD34E4">
            <w:pPr>
              <w:spacing w:line="360" w:lineRule="auto"/>
              <w:jc w:val="center"/>
              <w:rPr>
                <w:lang w:val="en-US"/>
              </w:rPr>
            </w:pPr>
            <w:r>
              <w:rPr>
                <w:lang w:val="en-US"/>
              </w:rPr>
              <w:t>2024</w:t>
            </w:r>
          </w:p>
        </w:tc>
        <w:tc>
          <w:tcPr>
            <w:tcW w:w="4508" w:type="dxa"/>
          </w:tcPr>
          <w:p w14:paraId="23D2D989">
            <w:pPr>
              <w:spacing w:line="360" w:lineRule="auto"/>
              <w:jc w:val="center"/>
              <w:rPr>
                <w:lang w:val="en-US"/>
              </w:rPr>
            </w:pPr>
            <w:r>
              <w:rPr>
                <w:lang w:val="en-US"/>
              </w:rPr>
              <w:t>$5,003 million</w:t>
            </w:r>
          </w:p>
        </w:tc>
      </w:tr>
    </w:tbl>
    <w:p w14:paraId="21B4340B">
      <w:pPr>
        <w:spacing w:line="360" w:lineRule="auto"/>
        <w:ind w:left="720"/>
        <w:rPr>
          <w:lang w:val="en-US"/>
        </w:rPr>
      </w:pPr>
    </w:p>
    <w:p w14:paraId="092F85D0">
      <w:pPr>
        <w:spacing w:line="360" w:lineRule="auto"/>
        <w:ind w:left="720"/>
        <w:rPr>
          <w:lang w:val="en-US"/>
        </w:rPr>
      </w:pPr>
      <w:r>
        <w:rPr>
          <w:lang w:val="en-US"/>
        </w:rPr>
        <w:drawing>
          <wp:inline distT="0" distB="0" distL="0" distR="0">
            <wp:extent cx="5486400" cy="3200400"/>
            <wp:effectExtent l="0" t="0" r="0" b="0"/>
            <wp:docPr id="188494804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12671B1">
      <w:pPr>
        <w:spacing w:line="360" w:lineRule="auto"/>
        <w:ind w:left="720"/>
        <w:jc w:val="center"/>
        <w:rPr>
          <w:lang w:val="en-US"/>
        </w:rPr>
      </w:pPr>
      <w:r>
        <w:rPr>
          <w:b/>
          <w:bCs/>
          <w:lang w:val="en-US"/>
        </w:rPr>
        <w:t xml:space="preserve">Figure: </w:t>
      </w:r>
      <w:r>
        <w:rPr>
          <w:lang w:val="en-US"/>
        </w:rPr>
        <w:t>Dividend Payments Illustrated (Source: Own)</w:t>
      </w:r>
    </w:p>
    <w:p w14:paraId="3C3A0272">
      <w:pPr>
        <w:spacing w:line="360" w:lineRule="auto"/>
        <w:ind w:left="720"/>
        <w:rPr>
          <w:lang w:val="en-US"/>
        </w:rPr>
      </w:pPr>
      <w:r>
        <w:rPr>
          <w:lang w:val="en-US"/>
        </w:rPr>
        <w:t>The dividends have increased by $194 million in 2024, whereas the company has seen a decline of 97.5% in its profit generation (</w:t>
      </w:r>
      <w:r>
        <w:t>BP p.l.c., 2025)</w:t>
      </w:r>
      <w:r>
        <w:rPr>
          <w:lang w:val="en-US"/>
        </w:rPr>
        <w:t>. This is a major contradiction to the principle of dividend policies of a company, requiring BP PLC to bring corrections to its dividend policies and preserve its capital adequacy.</w:t>
      </w:r>
    </w:p>
    <w:p w14:paraId="114BF53E">
      <w:pPr>
        <w:pStyle w:val="3"/>
        <w:rPr>
          <w:lang w:val="en-US"/>
        </w:rPr>
      </w:pPr>
      <w:bookmarkStart w:id="11" w:name="_Toc219049740"/>
      <w:r>
        <w:rPr>
          <w:lang w:val="en-US"/>
        </w:rPr>
        <w:t>Critical Evaluation and Interpretation</w:t>
      </w:r>
      <w:bookmarkEnd w:id="11"/>
    </w:p>
    <w:p w14:paraId="5F169BEA">
      <w:pPr>
        <w:spacing w:line="360" w:lineRule="auto"/>
        <w:ind w:left="720"/>
        <w:rPr>
          <w:lang w:val="en-US"/>
        </w:rPr>
      </w:pPr>
      <w:r>
        <w:rPr>
          <w:lang w:val="en-US"/>
        </w:rPr>
        <w:t>The deterioration faced by BP PLC in its financial health and overall performance has been caused by both operational and macroeconomic challenges. First of all, market dynamics are shifting for the worse. The global refining margins are deteriorating, with the price per barrel going down from $25.8 to just $17.7 due to the refining capacity outpacing demand growth (</w:t>
      </w:r>
      <w:r>
        <w:t>Statista, 2025)</w:t>
      </w:r>
      <w:r>
        <w:rPr>
          <w:lang w:val="en-US"/>
        </w:rPr>
        <w:t>. Moreover, the operational challenges faced by the company include the company’s inability to overcome power outages impacting the refining capacity of the company. Moreover, the company also faced major strategic positioning failures due to its capital allocation miscalculations alongside major buyback procedures undertaken even when the company was undergoing severe financial distress (</w:t>
      </w:r>
      <w:r>
        <w:t>BP p.l.c., 2025)</w:t>
      </w:r>
      <w:r>
        <w:rPr>
          <w:lang w:val="en-US"/>
        </w:rPr>
        <w:t>. From an industry context’s perspective, the company has underperformed compared to its peers very dramatically, as its closest competitor, ExxonMobil, has achieved $33.7 billion in earnings while generating 12.7% in ROCE, outperforming BP PLC (</w:t>
      </w:r>
      <w:r>
        <w:t>ExxonMobil, 2025)</w:t>
      </w:r>
      <w:r>
        <w:rPr>
          <w:lang w:val="en-US"/>
        </w:rPr>
        <w:t xml:space="preserve">. Again, other competitors such as Shell, Chevron and others also have outperformed BP PLC in similar manners. This is why the challenges faced by the company are mostly caused by its own mistakes and not because of others. </w:t>
      </w:r>
    </w:p>
    <w:p w14:paraId="3CA9EFDF">
      <w:pPr>
        <w:spacing w:line="360" w:lineRule="auto"/>
        <w:ind w:left="720"/>
        <w:rPr>
          <w:lang w:val="en-US"/>
        </w:rPr>
      </w:pPr>
      <w:r>
        <w:rPr>
          <w:lang w:val="en-US"/>
        </w:rPr>
        <w:t>Now, the ratio analysis undertaken of BP PLC has given a lot of insights about the company’s overall financial performance and health. However, the picture painted by the ratio analysis is not everything that the company is made of. Rather, ratio analysis has quite a lot of inherent limitations. These limitations include its reliance on historical data, inability to reflect industry dynamics and possible scope of window dressing. There are also non-financial factors which affect the financial performance of a company, which ratio analysis cannot showcase (</w:t>
      </w:r>
      <w:r>
        <w:t>Daloopa, 2024)</w:t>
      </w:r>
      <w:r>
        <w:rPr>
          <w:lang w:val="en-US"/>
        </w:rPr>
        <w:t>. In the case of BP PLC, the historical basis of ratio analysis cannot guarantee the future replication of current performance, which ultimately restricts the underpinning of the company analysis. Moreover, the industry dynamics tend to create major sector-specific challenges where oil and gas companies are now operating in a very risky and hostile environment alongside geopolitical tensions rising (</w:t>
      </w:r>
      <w:r>
        <w:t>Corporate Finance Institute, 2025)</w:t>
      </w:r>
      <w:r>
        <w:rPr>
          <w:lang w:val="en-US"/>
        </w:rPr>
        <w:t>. These are all affecting the financial performance of similar types of companies to BP PLC. Now, these have not been showcased by the company’s ratio analysis. Again, the non-financial factors such as management quality, technological capabilities, and regulatory relationships have not been illustrated through the ratio analysis undertaken (</w:t>
      </w:r>
      <w:r>
        <w:t>Daloopa, 2024)</w:t>
      </w:r>
      <w:r>
        <w:rPr>
          <w:lang w:val="en-US"/>
        </w:rPr>
        <w:t xml:space="preserve">. Now, there is also the possible risk of window dressing where BP PLC may overstate or understate its balance sheet and income statement, although there is no such credible evidence to state it. However, distortions of accounting policies are common in companies, as changes in how a company recognises its impairment charges can significantly impact the financial statements of a company, as well. </w:t>
      </w:r>
    </w:p>
    <w:p w14:paraId="623CEEAA">
      <w:pPr>
        <w:pStyle w:val="3"/>
        <w:rPr>
          <w:lang w:val="en-US"/>
        </w:rPr>
      </w:pPr>
      <w:bookmarkStart w:id="12" w:name="_Toc219049741"/>
      <w:r>
        <w:rPr>
          <w:lang w:val="en-US"/>
        </w:rPr>
        <w:t>Recommendations for Improvements</w:t>
      </w:r>
      <w:bookmarkEnd w:id="12"/>
    </w:p>
    <w:p w14:paraId="5BB79EAE">
      <w:pPr>
        <w:spacing w:line="360" w:lineRule="auto"/>
        <w:ind w:left="720"/>
        <w:rPr>
          <w:lang w:val="en-US"/>
        </w:rPr>
      </w:pPr>
      <w:r>
        <w:rPr>
          <w:lang w:val="en-US"/>
        </w:rPr>
        <w:t>Now, based on all of the above analyses, the following recommendations are being made for BP PLC’s improvements.</w:t>
      </w:r>
    </w:p>
    <w:p w14:paraId="225AC998">
      <w:pPr>
        <w:pStyle w:val="36"/>
        <w:numPr>
          <w:ilvl w:val="0"/>
          <w:numId w:val="3"/>
        </w:numPr>
        <w:spacing w:line="360" w:lineRule="auto"/>
        <w:rPr>
          <w:lang w:val="en-US"/>
        </w:rPr>
      </w:pPr>
      <w:r>
        <w:rPr>
          <w:lang w:val="en-US"/>
        </w:rPr>
        <w:t>One of the most important areas where the company has to invest to increase efficiency is its refining capability. The company has to ensure that its refining capacity remains greater than 97% at all times. Moreover, the company should also focus on accelerating its cost reduction program to achieve savings of over $2 billion by the end of 2026 by reorganising its structures, digitalising its operations, and optimising its procurement process (</w:t>
      </w:r>
      <w:r>
        <w:t>Ewing and Thompson, 2016)</w:t>
      </w:r>
      <w:r>
        <w:rPr>
          <w:lang w:val="en-US"/>
        </w:rPr>
        <w:t>.</w:t>
      </w:r>
    </w:p>
    <w:p w14:paraId="5E2B085C">
      <w:pPr>
        <w:pStyle w:val="36"/>
        <w:numPr>
          <w:ilvl w:val="0"/>
          <w:numId w:val="3"/>
        </w:numPr>
        <w:spacing w:line="360" w:lineRule="auto"/>
        <w:rPr>
          <w:lang w:val="en-US"/>
        </w:rPr>
      </w:pPr>
      <w:r>
        <w:rPr>
          <w:lang w:val="en-US"/>
        </w:rPr>
        <w:t xml:space="preserve">The company must focus on restrengthening its balance sheet by reducing its reliance on leverage and incorporating more equity to reduce its exposure to increased financial risks. In order to do so, the company must increase its cash cushion to at least $35 billion to achieve operational flexibility under current circumstances and overcome the current financial crisis resiliently. </w:t>
      </w:r>
    </w:p>
    <w:p w14:paraId="6C0F0673">
      <w:pPr>
        <w:pStyle w:val="36"/>
        <w:numPr>
          <w:ilvl w:val="0"/>
          <w:numId w:val="3"/>
        </w:numPr>
        <w:spacing w:line="360" w:lineRule="auto"/>
        <w:rPr>
          <w:lang w:val="en-US"/>
        </w:rPr>
      </w:pPr>
      <w:r>
        <w:rPr>
          <w:lang w:val="en-US"/>
        </w:rPr>
        <w:t>Another recommendation for the company is to refocus its strategy by implementing a strategy reset to achieve increased capital to reduce its overreliance on debt, as well as its transition investment to be more disciplined and reduce its investments to $1.5-2 billion annually instead of $5-7 billion annually. This will help the company to streamline its operations and investment strategies to ensure upstream in oil and gas (</w:t>
      </w:r>
      <w:r>
        <w:t>Sustainability Magazine, 2025)</w:t>
      </w:r>
      <w:r>
        <w:rPr>
          <w:lang w:val="en-US"/>
        </w:rPr>
        <w:t>.</w:t>
      </w:r>
    </w:p>
    <w:p w14:paraId="10DD48B7">
      <w:pPr>
        <w:pStyle w:val="36"/>
        <w:numPr>
          <w:ilvl w:val="0"/>
          <w:numId w:val="3"/>
        </w:numPr>
        <w:spacing w:line="360" w:lineRule="auto"/>
        <w:rPr>
          <w:lang w:val="en-US"/>
        </w:rPr>
      </w:pPr>
      <w:r>
        <w:rPr>
          <w:lang w:val="en-US"/>
        </w:rPr>
        <w:t>Lastly, the company has to establish specific financial performance targets such as ROCE of 16%, annual compounding growth rate of 20%, alongside operational targets including refining availability over 97%, 5% annual production growth, as well as other cost reduction measures.</w:t>
      </w:r>
    </w:p>
    <w:p w14:paraId="0D57220F">
      <w:pPr>
        <w:pStyle w:val="2"/>
        <w:spacing w:line="360" w:lineRule="auto"/>
        <w:rPr>
          <w:lang w:val="en-US"/>
        </w:rPr>
      </w:pPr>
      <w:bookmarkStart w:id="13" w:name="_Toc219049742"/>
      <w:r>
        <w:rPr>
          <w:lang w:val="en-US"/>
        </w:rPr>
        <w:t>Part – 02: Investment Decision for Westward PLC</w:t>
      </w:r>
      <w:bookmarkEnd w:id="13"/>
    </w:p>
    <w:p w14:paraId="57312E15">
      <w:pPr>
        <w:pStyle w:val="3"/>
        <w:rPr>
          <w:lang w:val="en-US"/>
        </w:rPr>
      </w:pPr>
      <w:bookmarkStart w:id="14" w:name="_Toc219049743"/>
      <w:r>
        <w:rPr>
          <w:lang w:val="en-US"/>
        </w:rPr>
        <w:t>Project Overview and Investment Options</w:t>
      </w:r>
      <w:bookmarkEnd w:id="14"/>
    </w:p>
    <w:p w14:paraId="14C1B552">
      <w:pPr>
        <w:spacing w:line="360" w:lineRule="auto"/>
        <w:ind w:left="720"/>
        <w:rPr>
          <w:lang w:val="en-US"/>
        </w:rPr>
      </w:pPr>
      <w:r>
        <w:rPr>
          <w:lang w:val="en-US"/>
        </w:rPr>
        <w:t>Westward PLC, as per the given brief, is a manufacturing company which produces high-quality curtains, which is now at a crossroads to undertake a decision where it is now presented with three mutually exclusive expansionary opportunities. All three opportunities have different focuses and resulting outcomes. The three options are as follows.</w:t>
      </w:r>
    </w:p>
    <w:p w14:paraId="3F45619F">
      <w:pPr>
        <w:spacing w:line="360" w:lineRule="auto"/>
        <w:ind w:left="720"/>
        <w:rPr>
          <w:lang w:val="en-US"/>
        </w:rPr>
      </w:pPr>
      <w:r>
        <w:rPr>
          <w:lang w:val="en-US"/>
        </w:rPr>
        <w:t xml:space="preserve">Option A includes the company expanding its retail outlet, requiring 600,000 Pounds of initial investment, through which the company can expand its retail footprint. This option incorporates the company, enhancing its retail operations while enhancing its brand recognition. Option B requires an initial investment of 1,000,000 Pounds to develop its internet presence and sales. The initial investment will go towards establishing the e-commerce infrastructure. The option will enable the company to become digitally visible and expand across borders, as well. Option C requires an initial investment of 1,600,000 Pounds using which the company can produce wooden and Roman blinds by acquiring specialised manufacturing equipment and other necessary things. </w:t>
      </w:r>
    </w:p>
    <w:p w14:paraId="6FDA914F">
      <w:pPr>
        <w:spacing w:line="360" w:lineRule="auto"/>
        <w:ind w:left="720"/>
        <w:rPr>
          <w:lang w:val="en-US"/>
        </w:rPr>
      </w:pPr>
      <w:r>
        <w:rPr>
          <w:lang w:val="en-US"/>
        </w:rPr>
        <w:t>Now, the company must decide on the three available investment choices to effectively address the current dilemma. This can be done by using investment appraisal methods, including NPV and IRR.</w:t>
      </w:r>
    </w:p>
    <w:p w14:paraId="742D2712">
      <w:pPr>
        <w:pStyle w:val="3"/>
        <w:rPr>
          <w:lang w:val="en-US"/>
        </w:rPr>
      </w:pPr>
      <w:bookmarkStart w:id="15" w:name="_Toc219049744"/>
      <w:r>
        <w:rPr>
          <w:lang w:val="en-US"/>
        </w:rPr>
        <w:t>Superiority of NPV as an Appraisal Method: Theoretical Foundation</w:t>
      </w:r>
      <w:bookmarkEnd w:id="15"/>
    </w:p>
    <w:p w14:paraId="0340C3BF">
      <w:pPr>
        <w:spacing w:line="360" w:lineRule="auto"/>
        <w:ind w:left="720"/>
        <w:rPr>
          <w:lang w:val="en-US"/>
        </w:rPr>
      </w:pPr>
      <w:r>
        <w:rPr>
          <w:lang w:val="en-US"/>
        </w:rPr>
        <w:t>Net present value is one of the most popular appraisal methods for its ability to put out the value added to a firm by undertaking a project (</w:t>
      </w:r>
      <w:r>
        <w:t xml:space="preserve">CLFI, 2024). </w:t>
      </w:r>
      <w:r>
        <w:rPr>
          <w:lang w:val="en-US"/>
        </w:rPr>
        <w:t>As the results are in Pounds, it becomes easier for a manager to make sense of the projects at hand. It is also supported by academic consensus as well as the adoption of practitioners. Now, the reasonings behind NPV being considered as the superior appraisal method are underpinned by its theoretical foundations. They are elaborated below.</w:t>
      </w:r>
    </w:p>
    <w:p w14:paraId="5B1DEFCA">
      <w:pPr>
        <w:spacing w:line="360" w:lineRule="auto"/>
        <w:ind w:left="720"/>
        <w:rPr>
          <w:lang w:val="en-US"/>
        </w:rPr>
      </w:pPr>
      <w:r>
        <w:rPr>
          <w:b/>
          <w:bCs/>
          <w:lang w:val="en-US"/>
        </w:rPr>
        <w:t xml:space="preserve">Time Value of Money: </w:t>
      </w:r>
      <w:r>
        <w:rPr>
          <w:lang w:val="en-US"/>
        </w:rPr>
        <w:t>NPV utilises the concept of time value of money, where it is understood that money received 1 year from now will not hold the same value as money received right at this moment. For this reason, the method discounts cash flows using a discount rate to derive the present value of all the cash flows tied to a project (</w:t>
      </w:r>
      <w:r>
        <w:t>Bosri, 2016)</w:t>
      </w:r>
      <w:r>
        <w:rPr>
          <w:lang w:val="en-US"/>
        </w:rPr>
        <w:t>.</w:t>
      </w:r>
    </w:p>
    <w:p w14:paraId="3289D276">
      <w:pPr>
        <w:spacing w:line="360" w:lineRule="auto"/>
        <w:ind w:left="720"/>
        <w:rPr>
          <w:lang w:val="en-US"/>
        </w:rPr>
      </w:pPr>
      <w:r>
        <w:rPr>
          <w:b/>
          <w:bCs/>
          <w:lang w:val="en-US"/>
        </w:rPr>
        <w:t xml:space="preserve">Absolute Value Creation Measurement: </w:t>
      </w:r>
      <w:r>
        <w:rPr>
          <w:lang w:val="en-US"/>
        </w:rPr>
        <w:t>One of the major features of NPV is that it produces the absolute value created through each of the projects, which helps to understand how much value exactly is to be expected of any and all projects (</w:t>
      </w:r>
      <w:r>
        <w:t>Bosri, 2016)</w:t>
      </w:r>
      <w:r>
        <w:rPr>
          <w:lang w:val="en-US"/>
        </w:rPr>
        <w:t>. For instance, a project having a positive NPV of 100,000 Pounds will imply that the project will add an additional 100,000 Pounds to the value of the firm's standalone.</w:t>
      </w:r>
    </w:p>
    <w:p w14:paraId="56C5B8B9">
      <w:pPr>
        <w:spacing w:line="360" w:lineRule="auto"/>
        <w:ind w:left="720"/>
        <w:rPr>
          <w:lang w:val="en-US"/>
        </w:rPr>
      </w:pPr>
      <w:r>
        <w:rPr>
          <w:b/>
          <w:bCs/>
          <w:lang w:val="en-US"/>
        </w:rPr>
        <w:t>Consistent Ranking across Mutually Exclusive Projects:</w:t>
      </w:r>
      <w:r>
        <w:rPr>
          <w:lang w:val="en-US"/>
        </w:rPr>
        <w:t xml:space="preserve"> As the value created by a project is the absolute value to be added to the firm’s overall value, NPV helps to rank the mutually exclusive projects effectively (</w:t>
      </w:r>
      <w:r>
        <w:t>Bosri, 2016)</w:t>
      </w:r>
      <w:r>
        <w:rPr>
          <w:lang w:val="en-US"/>
        </w:rPr>
        <w:t>. This is because appraisal methods such as IRR can produce conflicting rankings if projects produce different cash flows with different timing for the cash flows.</w:t>
      </w:r>
    </w:p>
    <w:p w14:paraId="721CACE1">
      <w:pPr>
        <w:spacing w:line="360" w:lineRule="auto"/>
        <w:ind w:left="720"/>
        <w:rPr>
          <w:lang w:val="en-US"/>
        </w:rPr>
      </w:pPr>
      <w:r>
        <w:rPr>
          <w:b/>
          <w:bCs/>
          <w:lang w:val="en-US"/>
        </w:rPr>
        <w:t>Realistic Reinvestment Assumptions:</w:t>
      </w:r>
      <w:r>
        <w:rPr>
          <w:lang w:val="en-US"/>
        </w:rPr>
        <w:t xml:space="preserve"> A big differentiator between NPV and IRR is that NPV assumes that the cash flows are to be reinvested at the cost of capital of the firm, whereas IRR assumes that all the cash flows are to be reinvested at the IRR, which can be very unrealistic in many of the instances.</w:t>
      </w:r>
    </w:p>
    <w:p w14:paraId="50936F9E">
      <w:pPr>
        <w:pStyle w:val="3"/>
        <w:rPr>
          <w:lang w:val="en-US"/>
        </w:rPr>
      </w:pPr>
      <w:bookmarkStart w:id="16" w:name="_Toc219049745"/>
      <w:r>
        <w:rPr>
          <w:lang w:val="en-US"/>
        </w:rPr>
        <w:t>Calculation of NPV for all the Options</w:t>
      </w:r>
      <w:bookmarkEnd w:id="16"/>
    </w:p>
    <w:p w14:paraId="432DD238">
      <w:pPr>
        <w:spacing w:line="360" w:lineRule="auto"/>
        <w:ind w:left="720"/>
        <w:rPr>
          <w:lang w:val="en-US"/>
        </w:rPr>
      </w:pPr>
      <w:r>
        <w:rPr>
          <w:lang w:val="en-US"/>
        </w:rPr>
        <w:t>The calculation of NPV for a project is a complex process, and it gets more complicated when variables such as pre-tax cash flows and tax shield amounts are added to the equation. However, it remains a relatively simpler process than the calculation of the internal rate of return. Now, the NPV of all three of the options are calculated below.</w:t>
      </w:r>
    </w:p>
    <w:p w14:paraId="4C4AAB66">
      <w:pPr>
        <w:spacing w:line="360" w:lineRule="auto"/>
        <w:ind w:firstLine="720"/>
        <w:rPr>
          <w:b/>
          <w:bCs/>
          <w:lang w:val="en-US"/>
        </w:rPr>
      </w:pPr>
      <w:r>
        <w:rPr>
          <w:b/>
          <w:bCs/>
          <w:lang w:val="en-US"/>
        </w:rPr>
        <w:t>Calculation of NPV for Option A</w:t>
      </w:r>
    </w:p>
    <w:tbl>
      <w:tblPr>
        <w:tblStyle w:val="18"/>
        <w:tblW w:w="8325" w:type="dxa"/>
        <w:tblInd w:w="67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89"/>
        <w:gridCol w:w="1189"/>
        <w:gridCol w:w="1189"/>
        <w:gridCol w:w="1189"/>
        <w:gridCol w:w="1189"/>
        <w:gridCol w:w="1191"/>
        <w:gridCol w:w="1189"/>
      </w:tblGrid>
      <w:tr w14:paraId="3EBC5D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60" w:hRule="atLeast"/>
        </w:trPr>
        <w:tc>
          <w:tcPr>
            <w:tcW w:w="1189" w:type="dxa"/>
          </w:tcPr>
          <w:p w14:paraId="679E3D8C">
            <w:pPr>
              <w:spacing w:line="360" w:lineRule="auto"/>
              <w:jc w:val="center"/>
              <w:rPr>
                <w:b/>
                <w:bCs/>
                <w:lang w:val="en-US"/>
              </w:rPr>
            </w:pPr>
            <w:r>
              <w:rPr>
                <w:b/>
                <w:bCs/>
                <w:lang w:val="en-US"/>
              </w:rPr>
              <w:t>Year</w:t>
            </w:r>
          </w:p>
        </w:tc>
        <w:tc>
          <w:tcPr>
            <w:tcW w:w="1189" w:type="dxa"/>
          </w:tcPr>
          <w:p w14:paraId="3CAC075D">
            <w:pPr>
              <w:spacing w:line="360" w:lineRule="auto"/>
              <w:jc w:val="center"/>
              <w:rPr>
                <w:b/>
                <w:bCs/>
                <w:lang w:val="en-US"/>
              </w:rPr>
            </w:pPr>
            <w:r>
              <w:rPr>
                <w:b/>
                <w:bCs/>
                <w:lang w:val="en-US"/>
              </w:rPr>
              <w:t>Pre-Tax CF (</w:t>
            </w:r>
            <w:r>
              <w:rPr>
                <w:b/>
                <w:bCs/>
              </w:rPr>
              <w:t>£'000)</w:t>
            </w:r>
          </w:p>
        </w:tc>
        <w:tc>
          <w:tcPr>
            <w:tcW w:w="1189" w:type="dxa"/>
          </w:tcPr>
          <w:p w14:paraId="2EA35D04">
            <w:pPr>
              <w:spacing w:line="360" w:lineRule="auto"/>
              <w:jc w:val="center"/>
              <w:rPr>
                <w:b/>
                <w:bCs/>
                <w:lang w:val="en-US"/>
              </w:rPr>
            </w:pPr>
            <w:r>
              <w:rPr>
                <w:b/>
                <w:bCs/>
                <w:lang w:val="en-US"/>
              </w:rPr>
              <w:t>Tax Amount (25%) (</w:t>
            </w:r>
            <w:r>
              <w:rPr>
                <w:b/>
                <w:bCs/>
              </w:rPr>
              <w:t>£'000)</w:t>
            </w:r>
          </w:p>
        </w:tc>
        <w:tc>
          <w:tcPr>
            <w:tcW w:w="1189" w:type="dxa"/>
          </w:tcPr>
          <w:p w14:paraId="4C344150">
            <w:pPr>
              <w:spacing w:line="360" w:lineRule="auto"/>
              <w:jc w:val="center"/>
              <w:rPr>
                <w:b/>
                <w:bCs/>
                <w:lang w:val="en-US"/>
              </w:rPr>
            </w:pPr>
            <w:r>
              <w:rPr>
                <w:b/>
                <w:bCs/>
                <w:lang w:val="en-US"/>
              </w:rPr>
              <w:t>Tax Shield (</w:t>
            </w:r>
            <w:r>
              <w:rPr>
                <w:b/>
                <w:bCs/>
              </w:rPr>
              <w:t>£'000)</w:t>
            </w:r>
          </w:p>
        </w:tc>
        <w:tc>
          <w:tcPr>
            <w:tcW w:w="1189" w:type="dxa"/>
          </w:tcPr>
          <w:p w14:paraId="0BBA7242">
            <w:pPr>
              <w:spacing w:line="360" w:lineRule="auto"/>
              <w:jc w:val="center"/>
              <w:rPr>
                <w:b/>
                <w:bCs/>
                <w:lang w:val="en-US"/>
              </w:rPr>
            </w:pPr>
            <w:r>
              <w:rPr>
                <w:b/>
                <w:bCs/>
                <w:lang w:val="en-US"/>
              </w:rPr>
              <w:t>ATCF (</w:t>
            </w:r>
            <w:r>
              <w:rPr>
                <w:b/>
                <w:bCs/>
              </w:rPr>
              <w:t>£'000)</w:t>
            </w:r>
          </w:p>
        </w:tc>
        <w:tc>
          <w:tcPr>
            <w:tcW w:w="1189" w:type="dxa"/>
          </w:tcPr>
          <w:p w14:paraId="0ABDF970">
            <w:pPr>
              <w:spacing w:line="360" w:lineRule="auto"/>
              <w:jc w:val="center"/>
              <w:rPr>
                <w:b/>
                <w:bCs/>
                <w:lang w:val="en-US"/>
              </w:rPr>
            </w:pPr>
            <w:r>
              <w:rPr>
                <w:b/>
                <w:bCs/>
                <w:lang w:val="en-US"/>
              </w:rPr>
              <w:t>Discount Factor (6%)</w:t>
            </w:r>
          </w:p>
        </w:tc>
        <w:tc>
          <w:tcPr>
            <w:tcW w:w="1189" w:type="dxa"/>
          </w:tcPr>
          <w:p w14:paraId="4E3412A7">
            <w:pPr>
              <w:spacing w:line="360" w:lineRule="auto"/>
              <w:jc w:val="center"/>
              <w:rPr>
                <w:b/>
                <w:bCs/>
                <w:lang w:val="en-US"/>
              </w:rPr>
            </w:pPr>
            <w:r>
              <w:rPr>
                <w:b/>
                <w:bCs/>
                <w:lang w:val="en-US"/>
              </w:rPr>
              <w:t>PV (</w:t>
            </w:r>
            <w:r>
              <w:rPr>
                <w:b/>
                <w:bCs/>
              </w:rPr>
              <w:t>£'000)</w:t>
            </w:r>
          </w:p>
        </w:tc>
      </w:tr>
      <w:tr w14:paraId="3101A8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1189" w:type="dxa"/>
          </w:tcPr>
          <w:p w14:paraId="5B4F25EB">
            <w:pPr>
              <w:spacing w:line="360" w:lineRule="auto"/>
              <w:jc w:val="center"/>
              <w:rPr>
                <w:lang w:val="en-US"/>
              </w:rPr>
            </w:pPr>
            <w:r>
              <w:rPr>
                <w:lang w:val="en-US"/>
              </w:rPr>
              <w:t>0</w:t>
            </w:r>
          </w:p>
        </w:tc>
        <w:tc>
          <w:tcPr>
            <w:tcW w:w="1189" w:type="dxa"/>
          </w:tcPr>
          <w:p w14:paraId="066E8669">
            <w:pPr>
              <w:spacing w:line="360" w:lineRule="auto"/>
              <w:jc w:val="center"/>
              <w:rPr>
                <w:lang w:val="en-US"/>
              </w:rPr>
            </w:pPr>
            <w:r>
              <w:rPr>
                <w:lang w:val="en-US"/>
              </w:rPr>
              <w:t>(600)</w:t>
            </w:r>
          </w:p>
        </w:tc>
        <w:tc>
          <w:tcPr>
            <w:tcW w:w="1189" w:type="dxa"/>
          </w:tcPr>
          <w:p w14:paraId="59271C0C">
            <w:pPr>
              <w:spacing w:line="360" w:lineRule="auto"/>
              <w:jc w:val="center"/>
              <w:rPr>
                <w:lang w:val="en-US"/>
              </w:rPr>
            </w:pPr>
            <w:r>
              <w:rPr>
                <w:lang w:val="en-US"/>
              </w:rPr>
              <w:t>0</w:t>
            </w:r>
          </w:p>
        </w:tc>
        <w:tc>
          <w:tcPr>
            <w:tcW w:w="1189" w:type="dxa"/>
          </w:tcPr>
          <w:p w14:paraId="4C6BD126">
            <w:pPr>
              <w:spacing w:line="360" w:lineRule="auto"/>
              <w:jc w:val="center"/>
              <w:rPr>
                <w:lang w:val="en-US"/>
              </w:rPr>
            </w:pPr>
            <w:r>
              <w:rPr>
                <w:lang w:val="en-US"/>
              </w:rPr>
              <w:t>0</w:t>
            </w:r>
          </w:p>
        </w:tc>
        <w:tc>
          <w:tcPr>
            <w:tcW w:w="1189" w:type="dxa"/>
          </w:tcPr>
          <w:p w14:paraId="5F438202">
            <w:pPr>
              <w:spacing w:line="360" w:lineRule="auto"/>
              <w:jc w:val="center"/>
              <w:rPr>
                <w:lang w:val="en-US"/>
              </w:rPr>
            </w:pPr>
            <w:r>
              <w:rPr>
                <w:lang w:val="en-US"/>
              </w:rPr>
              <w:t>(600)</w:t>
            </w:r>
          </w:p>
        </w:tc>
        <w:tc>
          <w:tcPr>
            <w:tcW w:w="1189" w:type="dxa"/>
          </w:tcPr>
          <w:p w14:paraId="3BDF7373">
            <w:pPr>
              <w:spacing w:line="360" w:lineRule="auto"/>
              <w:jc w:val="center"/>
              <w:rPr>
                <w:lang w:val="en-US"/>
              </w:rPr>
            </w:pPr>
            <w:r>
              <w:rPr>
                <w:lang w:val="en-US"/>
              </w:rPr>
              <w:t>1.00</w:t>
            </w:r>
          </w:p>
        </w:tc>
        <w:tc>
          <w:tcPr>
            <w:tcW w:w="1189" w:type="dxa"/>
          </w:tcPr>
          <w:p w14:paraId="065CCBC3">
            <w:pPr>
              <w:spacing w:line="360" w:lineRule="auto"/>
              <w:jc w:val="center"/>
              <w:rPr>
                <w:lang w:val="en-US"/>
              </w:rPr>
            </w:pPr>
            <w:r>
              <w:rPr>
                <w:lang w:val="en-US"/>
              </w:rPr>
              <w:t>(600)</w:t>
            </w:r>
          </w:p>
        </w:tc>
      </w:tr>
      <w:tr w14:paraId="078F26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1189" w:type="dxa"/>
          </w:tcPr>
          <w:p w14:paraId="279D5988">
            <w:pPr>
              <w:spacing w:line="360" w:lineRule="auto"/>
              <w:jc w:val="center"/>
              <w:rPr>
                <w:lang w:val="en-US"/>
              </w:rPr>
            </w:pPr>
            <w:r>
              <w:rPr>
                <w:lang w:val="en-US"/>
              </w:rPr>
              <w:t>1</w:t>
            </w:r>
          </w:p>
        </w:tc>
        <w:tc>
          <w:tcPr>
            <w:tcW w:w="1189" w:type="dxa"/>
          </w:tcPr>
          <w:p w14:paraId="5A807D10">
            <w:pPr>
              <w:spacing w:line="360" w:lineRule="auto"/>
              <w:jc w:val="center"/>
              <w:rPr>
                <w:lang w:val="en-US"/>
              </w:rPr>
            </w:pPr>
            <w:r>
              <w:rPr>
                <w:lang w:val="en-US"/>
              </w:rPr>
              <w:t>200</w:t>
            </w:r>
          </w:p>
        </w:tc>
        <w:tc>
          <w:tcPr>
            <w:tcW w:w="1189" w:type="dxa"/>
          </w:tcPr>
          <w:p w14:paraId="0E4AB3AB">
            <w:pPr>
              <w:spacing w:line="360" w:lineRule="auto"/>
              <w:jc w:val="center"/>
              <w:rPr>
                <w:lang w:val="en-US"/>
              </w:rPr>
            </w:pPr>
            <w:r>
              <w:rPr>
                <w:lang w:val="en-US"/>
              </w:rPr>
              <w:t>(50)</w:t>
            </w:r>
          </w:p>
        </w:tc>
        <w:tc>
          <w:tcPr>
            <w:tcW w:w="1189" w:type="dxa"/>
          </w:tcPr>
          <w:p w14:paraId="62DB6D54">
            <w:pPr>
              <w:spacing w:line="360" w:lineRule="auto"/>
              <w:jc w:val="center"/>
              <w:rPr>
                <w:lang w:val="en-US"/>
              </w:rPr>
            </w:pPr>
            <w:r>
              <w:rPr>
                <w:lang w:val="en-US"/>
              </w:rPr>
              <w:t>30</w:t>
            </w:r>
          </w:p>
        </w:tc>
        <w:tc>
          <w:tcPr>
            <w:tcW w:w="1189" w:type="dxa"/>
          </w:tcPr>
          <w:p w14:paraId="16FE10ED">
            <w:pPr>
              <w:spacing w:line="360" w:lineRule="auto"/>
              <w:jc w:val="center"/>
              <w:rPr>
                <w:lang w:val="en-US"/>
              </w:rPr>
            </w:pPr>
            <w:r>
              <w:rPr>
                <w:lang w:val="en-US"/>
              </w:rPr>
              <w:t>180</w:t>
            </w:r>
          </w:p>
        </w:tc>
        <w:tc>
          <w:tcPr>
            <w:tcW w:w="1189" w:type="dxa"/>
          </w:tcPr>
          <w:p w14:paraId="2BDC0CAC">
            <w:pPr>
              <w:spacing w:line="360" w:lineRule="auto"/>
              <w:jc w:val="center"/>
              <w:rPr>
                <w:lang w:val="en-US"/>
              </w:rPr>
            </w:pPr>
            <w:r>
              <w:rPr>
                <w:lang w:val="en-US"/>
              </w:rPr>
              <w:t>0.9434</w:t>
            </w:r>
          </w:p>
        </w:tc>
        <w:tc>
          <w:tcPr>
            <w:tcW w:w="1189" w:type="dxa"/>
          </w:tcPr>
          <w:p w14:paraId="33DEDB48">
            <w:pPr>
              <w:spacing w:line="360" w:lineRule="auto"/>
              <w:jc w:val="center"/>
              <w:rPr>
                <w:lang w:val="en-US"/>
              </w:rPr>
            </w:pPr>
            <w:r>
              <w:rPr>
                <w:lang w:val="en-US"/>
              </w:rPr>
              <w:t>169.81</w:t>
            </w:r>
          </w:p>
        </w:tc>
      </w:tr>
      <w:tr w14:paraId="32FE93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1189" w:type="dxa"/>
          </w:tcPr>
          <w:p w14:paraId="19D28743">
            <w:pPr>
              <w:spacing w:line="360" w:lineRule="auto"/>
              <w:jc w:val="center"/>
              <w:rPr>
                <w:lang w:val="en-US"/>
              </w:rPr>
            </w:pPr>
            <w:r>
              <w:rPr>
                <w:lang w:val="en-US"/>
              </w:rPr>
              <w:t>2</w:t>
            </w:r>
          </w:p>
        </w:tc>
        <w:tc>
          <w:tcPr>
            <w:tcW w:w="1189" w:type="dxa"/>
          </w:tcPr>
          <w:p w14:paraId="3C9BD7CD">
            <w:pPr>
              <w:spacing w:line="360" w:lineRule="auto"/>
              <w:jc w:val="center"/>
              <w:rPr>
                <w:lang w:val="en-US"/>
              </w:rPr>
            </w:pPr>
            <w:r>
              <w:rPr>
                <w:lang w:val="en-US"/>
              </w:rPr>
              <w:t>400</w:t>
            </w:r>
          </w:p>
        </w:tc>
        <w:tc>
          <w:tcPr>
            <w:tcW w:w="1189" w:type="dxa"/>
          </w:tcPr>
          <w:p w14:paraId="41B2B1BC">
            <w:pPr>
              <w:spacing w:line="360" w:lineRule="auto"/>
              <w:jc w:val="center"/>
              <w:rPr>
                <w:lang w:val="en-US"/>
              </w:rPr>
            </w:pPr>
            <w:r>
              <w:rPr>
                <w:lang w:val="en-US"/>
              </w:rPr>
              <w:t>(100)</w:t>
            </w:r>
          </w:p>
        </w:tc>
        <w:tc>
          <w:tcPr>
            <w:tcW w:w="1189" w:type="dxa"/>
          </w:tcPr>
          <w:p w14:paraId="7F59401A">
            <w:pPr>
              <w:spacing w:line="360" w:lineRule="auto"/>
              <w:jc w:val="center"/>
              <w:rPr>
                <w:lang w:val="en-US"/>
              </w:rPr>
            </w:pPr>
            <w:r>
              <w:rPr>
                <w:lang w:val="en-US"/>
              </w:rPr>
              <w:t>30</w:t>
            </w:r>
          </w:p>
        </w:tc>
        <w:tc>
          <w:tcPr>
            <w:tcW w:w="1189" w:type="dxa"/>
          </w:tcPr>
          <w:p w14:paraId="1DFD183D">
            <w:pPr>
              <w:spacing w:line="360" w:lineRule="auto"/>
              <w:jc w:val="center"/>
              <w:rPr>
                <w:lang w:val="en-US"/>
              </w:rPr>
            </w:pPr>
            <w:r>
              <w:rPr>
                <w:lang w:val="en-US"/>
              </w:rPr>
              <w:t>330</w:t>
            </w:r>
          </w:p>
        </w:tc>
        <w:tc>
          <w:tcPr>
            <w:tcW w:w="1189" w:type="dxa"/>
          </w:tcPr>
          <w:p w14:paraId="11979A21">
            <w:pPr>
              <w:spacing w:line="360" w:lineRule="auto"/>
              <w:jc w:val="center"/>
              <w:rPr>
                <w:lang w:val="en-US"/>
              </w:rPr>
            </w:pPr>
            <w:r>
              <w:rPr>
                <w:lang w:val="en-US"/>
              </w:rPr>
              <w:t>0.8900</w:t>
            </w:r>
          </w:p>
        </w:tc>
        <w:tc>
          <w:tcPr>
            <w:tcW w:w="1189" w:type="dxa"/>
          </w:tcPr>
          <w:p w14:paraId="00009FC9">
            <w:pPr>
              <w:spacing w:line="360" w:lineRule="auto"/>
              <w:jc w:val="center"/>
              <w:rPr>
                <w:lang w:val="en-US"/>
              </w:rPr>
            </w:pPr>
            <w:r>
              <w:rPr>
                <w:lang w:val="en-US"/>
              </w:rPr>
              <w:t>293.70</w:t>
            </w:r>
          </w:p>
        </w:tc>
      </w:tr>
      <w:tr w14:paraId="6E51F9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1189" w:type="dxa"/>
          </w:tcPr>
          <w:p w14:paraId="6B6F3E2C">
            <w:pPr>
              <w:spacing w:line="360" w:lineRule="auto"/>
              <w:jc w:val="center"/>
              <w:rPr>
                <w:lang w:val="en-US"/>
              </w:rPr>
            </w:pPr>
            <w:r>
              <w:rPr>
                <w:lang w:val="en-US"/>
              </w:rPr>
              <w:t>3</w:t>
            </w:r>
          </w:p>
        </w:tc>
        <w:tc>
          <w:tcPr>
            <w:tcW w:w="1189" w:type="dxa"/>
          </w:tcPr>
          <w:p w14:paraId="25B0FD38">
            <w:pPr>
              <w:spacing w:line="360" w:lineRule="auto"/>
              <w:jc w:val="center"/>
              <w:rPr>
                <w:lang w:val="en-US"/>
              </w:rPr>
            </w:pPr>
            <w:r>
              <w:rPr>
                <w:lang w:val="en-US"/>
              </w:rPr>
              <w:t>500</w:t>
            </w:r>
          </w:p>
        </w:tc>
        <w:tc>
          <w:tcPr>
            <w:tcW w:w="1189" w:type="dxa"/>
          </w:tcPr>
          <w:p w14:paraId="11EF2217">
            <w:pPr>
              <w:spacing w:line="360" w:lineRule="auto"/>
              <w:jc w:val="center"/>
              <w:rPr>
                <w:lang w:val="en-US"/>
              </w:rPr>
            </w:pPr>
            <w:r>
              <w:rPr>
                <w:lang w:val="en-US"/>
              </w:rPr>
              <w:t>(125)</w:t>
            </w:r>
          </w:p>
        </w:tc>
        <w:tc>
          <w:tcPr>
            <w:tcW w:w="1189" w:type="dxa"/>
          </w:tcPr>
          <w:p w14:paraId="1DFB908B">
            <w:pPr>
              <w:spacing w:line="360" w:lineRule="auto"/>
              <w:jc w:val="center"/>
              <w:rPr>
                <w:lang w:val="en-US"/>
              </w:rPr>
            </w:pPr>
            <w:r>
              <w:rPr>
                <w:lang w:val="en-US"/>
              </w:rPr>
              <w:t>30</w:t>
            </w:r>
          </w:p>
        </w:tc>
        <w:tc>
          <w:tcPr>
            <w:tcW w:w="1189" w:type="dxa"/>
          </w:tcPr>
          <w:p w14:paraId="56E4E336">
            <w:pPr>
              <w:spacing w:line="360" w:lineRule="auto"/>
              <w:jc w:val="center"/>
              <w:rPr>
                <w:lang w:val="en-US"/>
              </w:rPr>
            </w:pPr>
            <w:r>
              <w:rPr>
                <w:lang w:val="en-US"/>
              </w:rPr>
              <w:t>405</w:t>
            </w:r>
          </w:p>
        </w:tc>
        <w:tc>
          <w:tcPr>
            <w:tcW w:w="1189" w:type="dxa"/>
          </w:tcPr>
          <w:p w14:paraId="25ED69BB">
            <w:pPr>
              <w:spacing w:line="360" w:lineRule="auto"/>
              <w:jc w:val="center"/>
              <w:rPr>
                <w:lang w:val="en-US"/>
              </w:rPr>
            </w:pPr>
            <w:r>
              <w:rPr>
                <w:lang w:val="en-US"/>
              </w:rPr>
              <w:t>0.8396</w:t>
            </w:r>
          </w:p>
        </w:tc>
        <w:tc>
          <w:tcPr>
            <w:tcW w:w="1189" w:type="dxa"/>
          </w:tcPr>
          <w:p w14:paraId="1FFDFFFB">
            <w:pPr>
              <w:spacing w:line="360" w:lineRule="auto"/>
              <w:jc w:val="center"/>
              <w:rPr>
                <w:lang w:val="en-US"/>
              </w:rPr>
            </w:pPr>
            <w:r>
              <w:rPr>
                <w:lang w:val="en-US"/>
              </w:rPr>
              <w:t>340.04</w:t>
            </w:r>
          </w:p>
        </w:tc>
      </w:tr>
      <w:tr w14:paraId="031FDB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1189" w:type="dxa"/>
          </w:tcPr>
          <w:p w14:paraId="59EC0155">
            <w:pPr>
              <w:spacing w:line="360" w:lineRule="auto"/>
              <w:jc w:val="center"/>
              <w:rPr>
                <w:lang w:val="en-US"/>
              </w:rPr>
            </w:pPr>
            <w:r>
              <w:rPr>
                <w:lang w:val="en-US"/>
              </w:rPr>
              <w:t>4</w:t>
            </w:r>
          </w:p>
        </w:tc>
        <w:tc>
          <w:tcPr>
            <w:tcW w:w="1189" w:type="dxa"/>
          </w:tcPr>
          <w:p w14:paraId="4DFBF691">
            <w:pPr>
              <w:spacing w:line="360" w:lineRule="auto"/>
              <w:jc w:val="center"/>
              <w:rPr>
                <w:lang w:val="en-US"/>
              </w:rPr>
            </w:pPr>
            <w:r>
              <w:rPr>
                <w:lang w:val="en-US"/>
              </w:rPr>
              <w:t>700</w:t>
            </w:r>
          </w:p>
        </w:tc>
        <w:tc>
          <w:tcPr>
            <w:tcW w:w="1189" w:type="dxa"/>
          </w:tcPr>
          <w:p w14:paraId="562EE69A">
            <w:pPr>
              <w:spacing w:line="360" w:lineRule="auto"/>
              <w:jc w:val="center"/>
              <w:rPr>
                <w:lang w:val="en-US"/>
              </w:rPr>
            </w:pPr>
            <w:r>
              <w:rPr>
                <w:lang w:val="en-US"/>
              </w:rPr>
              <w:t>(175)</w:t>
            </w:r>
          </w:p>
        </w:tc>
        <w:tc>
          <w:tcPr>
            <w:tcW w:w="1189" w:type="dxa"/>
          </w:tcPr>
          <w:p w14:paraId="60517830">
            <w:pPr>
              <w:spacing w:line="360" w:lineRule="auto"/>
              <w:jc w:val="center"/>
              <w:rPr>
                <w:lang w:val="en-US"/>
              </w:rPr>
            </w:pPr>
            <w:r>
              <w:rPr>
                <w:lang w:val="en-US"/>
              </w:rPr>
              <w:t>30</w:t>
            </w:r>
          </w:p>
        </w:tc>
        <w:tc>
          <w:tcPr>
            <w:tcW w:w="1189" w:type="dxa"/>
          </w:tcPr>
          <w:p w14:paraId="307CA5E6">
            <w:pPr>
              <w:spacing w:line="360" w:lineRule="auto"/>
              <w:jc w:val="center"/>
              <w:rPr>
                <w:lang w:val="en-US"/>
              </w:rPr>
            </w:pPr>
            <w:r>
              <w:rPr>
                <w:lang w:val="en-US"/>
              </w:rPr>
              <w:t>555</w:t>
            </w:r>
          </w:p>
        </w:tc>
        <w:tc>
          <w:tcPr>
            <w:tcW w:w="1189" w:type="dxa"/>
          </w:tcPr>
          <w:p w14:paraId="38F547F0">
            <w:pPr>
              <w:spacing w:line="360" w:lineRule="auto"/>
              <w:jc w:val="center"/>
              <w:rPr>
                <w:lang w:val="en-US"/>
              </w:rPr>
            </w:pPr>
            <w:r>
              <w:rPr>
                <w:lang w:val="en-US"/>
              </w:rPr>
              <w:t>0.7921</w:t>
            </w:r>
          </w:p>
        </w:tc>
        <w:tc>
          <w:tcPr>
            <w:tcW w:w="1189" w:type="dxa"/>
          </w:tcPr>
          <w:p w14:paraId="34D5A4CB">
            <w:pPr>
              <w:spacing w:line="360" w:lineRule="auto"/>
              <w:jc w:val="center"/>
              <w:rPr>
                <w:lang w:val="en-US"/>
              </w:rPr>
            </w:pPr>
            <w:r>
              <w:rPr>
                <w:lang w:val="en-US"/>
              </w:rPr>
              <w:t>439.62</w:t>
            </w:r>
          </w:p>
        </w:tc>
      </w:tr>
      <w:tr w14:paraId="4DB35C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136" w:type="dxa"/>
            <w:gridSpan w:val="6"/>
          </w:tcPr>
          <w:p w14:paraId="7FCA593B">
            <w:pPr>
              <w:spacing w:line="360" w:lineRule="auto"/>
              <w:jc w:val="center"/>
              <w:rPr>
                <w:b/>
                <w:bCs/>
                <w:lang w:val="en-US"/>
              </w:rPr>
            </w:pPr>
            <w:r>
              <w:rPr>
                <w:b/>
                <w:bCs/>
                <w:lang w:val="en-US"/>
              </w:rPr>
              <w:t>NPV</w:t>
            </w:r>
          </w:p>
        </w:tc>
        <w:tc>
          <w:tcPr>
            <w:tcW w:w="1189" w:type="dxa"/>
          </w:tcPr>
          <w:p w14:paraId="10CE1975">
            <w:pPr>
              <w:spacing w:line="360" w:lineRule="auto"/>
              <w:jc w:val="center"/>
              <w:rPr>
                <w:b/>
                <w:bCs/>
                <w:lang w:val="en-US"/>
              </w:rPr>
            </w:pPr>
            <w:r>
              <w:rPr>
                <w:b/>
                <w:bCs/>
              </w:rPr>
              <w:t>£</w:t>
            </w:r>
            <w:r>
              <w:rPr>
                <w:b/>
                <w:bCs/>
                <w:lang w:val="en-US"/>
              </w:rPr>
              <w:t>643,165</w:t>
            </w:r>
          </w:p>
        </w:tc>
      </w:tr>
    </w:tbl>
    <w:p w14:paraId="5B2011C4">
      <w:pPr>
        <w:spacing w:line="360" w:lineRule="auto"/>
        <w:ind w:firstLine="720"/>
        <w:rPr>
          <w:b/>
          <w:bCs/>
          <w:lang w:val="en-US"/>
        </w:rPr>
      </w:pPr>
      <w:r>
        <w:rPr>
          <w:b/>
          <w:bCs/>
          <w:lang w:val="en-US"/>
        </w:rPr>
        <w:t>Calculation of NPV for Option B</w:t>
      </w:r>
    </w:p>
    <w:tbl>
      <w:tblPr>
        <w:tblStyle w:val="18"/>
        <w:tblW w:w="8503" w:type="dxa"/>
        <w:tblInd w:w="7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14"/>
        <w:gridCol w:w="1214"/>
        <w:gridCol w:w="1214"/>
        <w:gridCol w:w="1214"/>
        <w:gridCol w:w="1214"/>
        <w:gridCol w:w="1219"/>
        <w:gridCol w:w="1214"/>
      </w:tblGrid>
      <w:tr w14:paraId="67D4E4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79" w:hRule="atLeast"/>
        </w:trPr>
        <w:tc>
          <w:tcPr>
            <w:tcW w:w="1214" w:type="dxa"/>
          </w:tcPr>
          <w:p w14:paraId="4D62A8C4">
            <w:pPr>
              <w:spacing w:line="360" w:lineRule="auto"/>
              <w:jc w:val="center"/>
              <w:rPr>
                <w:b/>
                <w:bCs/>
                <w:lang w:val="en-US"/>
              </w:rPr>
            </w:pPr>
            <w:r>
              <w:rPr>
                <w:b/>
                <w:bCs/>
                <w:lang w:val="en-US"/>
              </w:rPr>
              <w:t>Year</w:t>
            </w:r>
          </w:p>
        </w:tc>
        <w:tc>
          <w:tcPr>
            <w:tcW w:w="1214" w:type="dxa"/>
          </w:tcPr>
          <w:p w14:paraId="5CF14696">
            <w:pPr>
              <w:spacing w:line="360" w:lineRule="auto"/>
              <w:jc w:val="center"/>
              <w:rPr>
                <w:b/>
                <w:bCs/>
                <w:lang w:val="en-US"/>
              </w:rPr>
            </w:pPr>
            <w:r>
              <w:rPr>
                <w:b/>
                <w:bCs/>
                <w:lang w:val="en-US"/>
              </w:rPr>
              <w:t>Pre-Tax CF (</w:t>
            </w:r>
            <w:r>
              <w:rPr>
                <w:b/>
                <w:bCs/>
              </w:rPr>
              <w:t>£'000)</w:t>
            </w:r>
          </w:p>
        </w:tc>
        <w:tc>
          <w:tcPr>
            <w:tcW w:w="1214" w:type="dxa"/>
          </w:tcPr>
          <w:p w14:paraId="2F2DCB19">
            <w:pPr>
              <w:spacing w:line="360" w:lineRule="auto"/>
              <w:jc w:val="center"/>
              <w:rPr>
                <w:b/>
                <w:bCs/>
                <w:lang w:val="en-US"/>
              </w:rPr>
            </w:pPr>
            <w:r>
              <w:rPr>
                <w:b/>
                <w:bCs/>
                <w:lang w:val="en-US"/>
              </w:rPr>
              <w:t>Tax Amount (25%) (</w:t>
            </w:r>
            <w:r>
              <w:rPr>
                <w:b/>
                <w:bCs/>
              </w:rPr>
              <w:t>£'000)</w:t>
            </w:r>
          </w:p>
        </w:tc>
        <w:tc>
          <w:tcPr>
            <w:tcW w:w="1214" w:type="dxa"/>
          </w:tcPr>
          <w:p w14:paraId="0AD5596C">
            <w:pPr>
              <w:spacing w:line="360" w:lineRule="auto"/>
              <w:jc w:val="center"/>
              <w:rPr>
                <w:b/>
                <w:bCs/>
                <w:lang w:val="en-US"/>
              </w:rPr>
            </w:pPr>
            <w:r>
              <w:rPr>
                <w:b/>
                <w:bCs/>
                <w:lang w:val="en-US"/>
              </w:rPr>
              <w:t>Tax Shield (</w:t>
            </w:r>
            <w:r>
              <w:rPr>
                <w:b/>
                <w:bCs/>
              </w:rPr>
              <w:t>£'000)</w:t>
            </w:r>
          </w:p>
        </w:tc>
        <w:tc>
          <w:tcPr>
            <w:tcW w:w="1214" w:type="dxa"/>
          </w:tcPr>
          <w:p w14:paraId="35D447D2">
            <w:pPr>
              <w:spacing w:line="360" w:lineRule="auto"/>
              <w:jc w:val="center"/>
              <w:rPr>
                <w:b/>
                <w:bCs/>
                <w:lang w:val="en-US"/>
              </w:rPr>
            </w:pPr>
            <w:r>
              <w:rPr>
                <w:b/>
                <w:bCs/>
                <w:lang w:val="en-US"/>
              </w:rPr>
              <w:t>ATCF (</w:t>
            </w:r>
            <w:r>
              <w:rPr>
                <w:b/>
                <w:bCs/>
              </w:rPr>
              <w:t>£'000)</w:t>
            </w:r>
          </w:p>
        </w:tc>
        <w:tc>
          <w:tcPr>
            <w:tcW w:w="1219" w:type="dxa"/>
          </w:tcPr>
          <w:p w14:paraId="2BD416FC">
            <w:pPr>
              <w:spacing w:line="360" w:lineRule="auto"/>
              <w:jc w:val="center"/>
              <w:rPr>
                <w:b/>
                <w:bCs/>
                <w:lang w:val="en-US"/>
              </w:rPr>
            </w:pPr>
            <w:r>
              <w:rPr>
                <w:b/>
                <w:bCs/>
                <w:lang w:val="en-US"/>
              </w:rPr>
              <w:t>Discount Factor (6%)</w:t>
            </w:r>
          </w:p>
        </w:tc>
        <w:tc>
          <w:tcPr>
            <w:tcW w:w="1214" w:type="dxa"/>
          </w:tcPr>
          <w:p w14:paraId="66F1DDBF">
            <w:pPr>
              <w:spacing w:line="360" w:lineRule="auto"/>
              <w:jc w:val="center"/>
              <w:rPr>
                <w:b/>
                <w:bCs/>
                <w:lang w:val="en-US"/>
              </w:rPr>
            </w:pPr>
            <w:r>
              <w:rPr>
                <w:b/>
                <w:bCs/>
                <w:lang w:val="en-US"/>
              </w:rPr>
              <w:t>PV (</w:t>
            </w:r>
            <w:r>
              <w:rPr>
                <w:b/>
                <w:bCs/>
              </w:rPr>
              <w:t>£'000)</w:t>
            </w:r>
          </w:p>
        </w:tc>
      </w:tr>
      <w:tr w14:paraId="45A6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7" w:hRule="atLeast"/>
        </w:trPr>
        <w:tc>
          <w:tcPr>
            <w:tcW w:w="1214" w:type="dxa"/>
          </w:tcPr>
          <w:p w14:paraId="6D537862">
            <w:pPr>
              <w:spacing w:line="360" w:lineRule="auto"/>
              <w:jc w:val="center"/>
              <w:rPr>
                <w:lang w:val="en-US"/>
              </w:rPr>
            </w:pPr>
            <w:r>
              <w:rPr>
                <w:lang w:val="en-US"/>
              </w:rPr>
              <w:t>0</w:t>
            </w:r>
          </w:p>
        </w:tc>
        <w:tc>
          <w:tcPr>
            <w:tcW w:w="1214" w:type="dxa"/>
          </w:tcPr>
          <w:p w14:paraId="363E3286">
            <w:pPr>
              <w:spacing w:line="360" w:lineRule="auto"/>
              <w:jc w:val="center"/>
              <w:rPr>
                <w:lang w:val="en-US"/>
              </w:rPr>
            </w:pPr>
            <w:r>
              <w:rPr>
                <w:lang w:val="en-US"/>
              </w:rPr>
              <w:t>(1,000)</w:t>
            </w:r>
          </w:p>
        </w:tc>
        <w:tc>
          <w:tcPr>
            <w:tcW w:w="1214" w:type="dxa"/>
          </w:tcPr>
          <w:p w14:paraId="0B252051">
            <w:pPr>
              <w:spacing w:line="360" w:lineRule="auto"/>
              <w:jc w:val="center"/>
              <w:rPr>
                <w:lang w:val="en-US"/>
              </w:rPr>
            </w:pPr>
            <w:r>
              <w:rPr>
                <w:lang w:val="en-US"/>
              </w:rPr>
              <w:t>0</w:t>
            </w:r>
          </w:p>
        </w:tc>
        <w:tc>
          <w:tcPr>
            <w:tcW w:w="1214" w:type="dxa"/>
          </w:tcPr>
          <w:p w14:paraId="2A556A8A">
            <w:pPr>
              <w:spacing w:line="360" w:lineRule="auto"/>
              <w:jc w:val="center"/>
              <w:rPr>
                <w:lang w:val="en-US"/>
              </w:rPr>
            </w:pPr>
            <w:r>
              <w:rPr>
                <w:lang w:val="en-US"/>
              </w:rPr>
              <w:t>0</w:t>
            </w:r>
          </w:p>
        </w:tc>
        <w:tc>
          <w:tcPr>
            <w:tcW w:w="1214" w:type="dxa"/>
          </w:tcPr>
          <w:p w14:paraId="29E502EE">
            <w:pPr>
              <w:spacing w:line="360" w:lineRule="auto"/>
              <w:jc w:val="center"/>
              <w:rPr>
                <w:lang w:val="en-US"/>
              </w:rPr>
            </w:pPr>
            <w:r>
              <w:rPr>
                <w:lang w:val="en-US"/>
              </w:rPr>
              <w:t>(1,000)</w:t>
            </w:r>
          </w:p>
        </w:tc>
        <w:tc>
          <w:tcPr>
            <w:tcW w:w="1219" w:type="dxa"/>
          </w:tcPr>
          <w:p w14:paraId="51AE3349">
            <w:pPr>
              <w:spacing w:line="360" w:lineRule="auto"/>
              <w:jc w:val="center"/>
              <w:rPr>
                <w:lang w:val="en-US"/>
              </w:rPr>
            </w:pPr>
            <w:r>
              <w:rPr>
                <w:lang w:val="en-US"/>
              </w:rPr>
              <w:t>1.00</w:t>
            </w:r>
          </w:p>
        </w:tc>
        <w:tc>
          <w:tcPr>
            <w:tcW w:w="1214" w:type="dxa"/>
          </w:tcPr>
          <w:p w14:paraId="22F254A8">
            <w:pPr>
              <w:spacing w:line="360" w:lineRule="auto"/>
              <w:jc w:val="center"/>
              <w:rPr>
                <w:lang w:val="en-US"/>
              </w:rPr>
            </w:pPr>
            <w:r>
              <w:rPr>
                <w:lang w:val="en-US"/>
              </w:rPr>
              <w:t>(1,000)</w:t>
            </w:r>
          </w:p>
        </w:tc>
      </w:tr>
      <w:tr w14:paraId="4879D3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7" w:hRule="atLeast"/>
        </w:trPr>
        <w:tc>
          <w:tcPr>
            <w:tcW w:w="1214" w:type="dxa"/>
          </w:tcPr>
          <w:p w14:paraId="1FE58D4D">
            <w:pPr>
              <w:spacing w:line="360" w:lineRule="auto"/>
              <w:jc w:val="center"/>
              <w:rPr>
                <w:lang w:val="en-US"/>
              </w:rPr>
            </w:pPr>
            <w:r>
              <w:rPr>
                <w:lang w:val="en-US"/>
              </w:rPr>
              <w:t>1</w:t>
            </w:r>
          </w:p>
        </w:tc>
        <w:tc>
          <w:tcPr>
            <w:tcW w:w="1214" w:type="dxa"/>
          </w:tcPr>
          <w:p w14:paraId="446A7B52">
            <w:pPr>
              <w:spacing w:line="360" w:lineRule="auto"/>
              <w:jc w:val="center"/>
              <w:rPr>
                <w:lang w:val="en-US"/>
              </w:rPr>
            </w:pPr>
            <w:r>
              <w:rPr>
                <w:lang w:val="en-US"/>
              </w:rPr>
              <w:t>400</w:t>
            </w:r>
          </w:p>
        </w:tc>
        <w:tc>
          <w:tcPr>
            <w:tcW w:w="1214" w:type="dxa"/>
          </w:tcPr>
          <w:p w14:paraId="4409C30B">
            <w:pPr>
              <w:spacing w:line="360" w:lineRule="auto"/>
              <w:jc w:val="center"/>
              <w:rPr>
                <w:lang w:val="en-US"/>
              </w:rPr>
            </w:pPr>
            <w:r>
              <w:rPr>
                <w:lang w:val="en-US"/>
              </w:rPr>
              <w:t>(100)</w:t>
            </w:r>
          </w:p>
        </w:tc>
        <w:tc>
          <w:tcPr>
            <w:tcW w:w="1214" w:type="dxa"/>
          </w:tcPr>
          <w:p w14:paraId="458C570F">
            <w:pPr>
              <w:spacing w:line="360" w:lineRule="auto"/>
              <w:jc w:val="center"/>
              <w:rPr>
                <w:lang w:val="en-US"/>
              </w:rPr>
            </w:pPr>
            <w:r>
              <w:rPr>
                <w:lang w:val="en-US"/>
              </w:rPr>
              <w:t>50</w:t>
            </w:r>
          </w:p>
        </w:tc>
        <w:tc>
          <w:tcPr>
            <w:tcW w:w="1214" w:type="dxa"/>
          </w:tcPr>
          <w:p w14:paraId="33F4C107">
            <w:pPr>
              <w:spacing w:line="360" w:lineRule="auto"/>
              <w:jc w:val="center"/>
              <w:rPr>
                <w:lang w:val="en-US"/>
              </w:rPr>
            </w:pPr>
            <w:r>
              <w:rPr>
                <w:lang w:val="en-US"/>
              </w:rPr>
              <w:t>350</w:t>
            </w:r>
          </w:p>
        </w:tc>
        <w:tc>
          <w:tcPr>
            <w:tcW w:w="1219" w:type="dxa"/>
          </w:tcPr>
          <w:p w14:paraId="4F9DF692">
            <w:pPr>
              <w:spacing w:line="360" w:lineRule="auto"/>
              <w:jc w:val="center"/>
              <w:rPr>
                <w:lang w:val="en-US"/>
              </w:rPr>
            </w:pPr>
            <w:r>
              <w:rPr>
                <w:lang w:val="en-US"/>
              </w:rPr>
              <w:t>0.9434</w:t>
            </w:r>
          </w:p>
        </w:tc>
        <w:tc>
          <w:tcPr>
            <w:tcW w:w="1214" w:type="dxa"/>
          </w:tcPr>
          <w:p w14:paraId="7A090E63">
            <w:pPr>
              <w:spacing w:line="360" w:lineRule="auto"/>
              <w:jc w:val="center"/>
              <w:rPr>
                <w:lang w:val="en-US"/>
              </w:rPr>
            </w:pPr>
            <w:r>
              <w:rPr>
                <w:lang w:val="en-US"/>
              </w:rPr>
              <w:t>330.19</w:t>
            </w:r>
          </w:p>
        </w:tc>
      </w:tr>
      <w:tr w14:paraId="66F4E3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5" w:hRule="atLeast"/>
        </w:trPr>
        <w:tc>
          <w:tcPr>
            <w:tcW w:w="1214" w:type="dxa"/>
          </w:tcPr>
          <w:p w14:paraId="04B449FF">
            <w:pPr>
              <w:spacing w:line="360" w:lineRule="auto"/>
              <w:jc w:val="center"/>
              <w:rPr>
                <w:lang w:val="en-US"/>
              </w:rPr>
            </w:pPr>
            <w:r>
              <w:rPr>
                <w:lang w:val="en-US"/>
              </w:rPr>
              <w:t>2</w:t>
            </w:r>
          </w:p>
        </w:tc>
        <w:tc>
          <w:tcPr>
            <w:tcW w:w="1214" w:type="dxa"/>
          </w:tcPr>
          <w:p w14:paraId="1387635A">
            <w:pPr>
              <w:spacing w:line="360" w:lineRule="auto"/>
              <w:jc w:val="center"/>
              <w:rPr>
                <w:lang w:val="en-US"/>
              </w:rPr>
            </w:pPr>
            <w:r>
              <w:rPr>
                <w:lang w:val="en-US"/>
              </w:rPr>
              <w:t>450</w:t>
            </w:r>
          </w:p>
        </w:tc>
        <w:tc>
          <w:tcPr>
            <w:tcW w:w="1214" w:type="dxa"/>
          </w:tcPr>
          <w:p w14:paraId="4BFB3183">
            <w:pPr>
              <w:spacing w:line="360" w:lineRule="auto"/>
              <w:jc w:val="center"/>
              <w:rPr>
                <w:lang w:val="en-US"/>
              </w:rPr>
            </w:pPr>
            <w:r>
              <w:rPr>
                <w:lang w:val="en-US"/>
              </w:rPr>
              <w:t>(112.5)</w:t>
            </w:r>
          </w:p>
        </w:tc>
        <w:tc>
          <w:tcPr>
            <w:tcW w:w="1214" w:type="dxa"/>
          </w:tcPr>
          <w:p w14:paraId="7EA742CE">
            <w:pPr>
              <w:spacing w:line="360" w:lineRule="auto"/>
              <w:jc w:val="center"/>
              <w:rPr>
                <w:lang w:val="en-US"/>
              </w:rPr>
            </w:pPr>
            <w:r>
              <w:rPr>
                <w:lang w:val="en-US"/>
              </w:rPr>
              <w:t>50</w:t>
            </w:r>
          </w:p>
        </w:tc>
        <w:tc>
          <w:tcPr>
            <w:tcW w:w="1214" w:type="dxa"/>
          </w:tcPr>
          <w:p w14:paraId="71BADF54">
            <w:pPr>
              <w:spacing w:line="360" w:lineRule="auto"/>
              <w:jc w:val="center"/>
              <w:rPr>
                <w:lang w:val="en-US"/>
              </w:rPr>
            </w:pPr>
            <w:r>
              <w:rPr>
                <w:lang w:val="en-US"/>
              </w:rPr>
              <w:t>387.5</w:t>
            </w:r>
          </w:p>
        </w:tc>
        <w:tc>
          <w:tcPr>
            <w:tcW w:w="1219" w:type="dxa"/>
          </w:tcPr>
          <w:p w14:paraId="29169B85">
            <w:pPr>
              <w:spacing w:line="360" w:lineRule="auto"/>
              <w:jc w:val="center"/>
              <w:rPr>
                <w:lang w:val="en-US"/>
              </w:rPr>
            </w:pPr>
            <w:r>
              <w:rPr>
                <w:lang w:val="en-US"/>
              </w:rPr>
              <w:t>0.8900</w:t>
            </w:r>
          </w:p>
        </w:tc>
        <w:tc>
          <w:tcPr>
            <w:tcW w:w="1214" w:type="dxa"/>
          </w:tcPr>
          <w:p w14:paraId="6358F67C">
            <w:pPr>
              <w:spacing w:line="360" w:lineRule="auto"/>
              <w:jc w:val="center"/>
              <w:rPr>
                <w:lang w:val="en-US"/>
              </w:rPr>
            </w:pPr>
            <w:r>
              <w:rPr>
                <w:lang w:val="en-US"/>
              </w:rPr>
              <w:t>344.88</w:t>
            </w:r>
          </w:p>
        </w:tc>
      </w:tr>
      <w:tr w14:paraId="48BE23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7" w:hRule="atLeast"/>
        </w:trPr>
        <w:tc>
          <w:tcPr>
            <w:tcW w:w="1214" w:type="dxa"/>
          </w:tcPr>
          <w:p w14:paraId="5BCBEAF3">
            <w:pPr>
              <w:spacing w:line="360" w:lineRule="auto"/>
              <w:jc w:val="center"/>
              <w:rPr>
                <w:lang w:val="en-US"/>
              </w:rPr>
            </w:pPr>
            <w:r>
              <w:rPr>
                <w:lang w:val="en-US"/>
              </w:rPr>
              <w:t>3</w:t>
            </w:r>
          </w:p>
        </w:tc>
        <w:tc>
          <w:tcPr>
            <w:tcW w:w="1214" w:type="dxa"/>
          </w:tcPr>
          <w:p w14:paraId="390156FA">
            <w:pPr>
              <w:spacing w:line="360" w:lineRule="auto"/>
              <w:jc w:val="center"/>
              <w:rPr>
                <w:lang w:val="en-US"/>
              </w:rPr>
            </w:pPr>
            <w:r>
              <w:rPr>
                <w:lang w:val="en-US"/>
              </w:rPr>
              <w:t>720</w:t>
            </w:r>
          </w:p>
        </w:tc>
        <w:tc>
          <w:tcPr>
            <w:tcW w:w="1214" w:type="dxa"/>
          </w:tcPr>
          <w:p w14:paraId="0372817A">
            <w:pPr>
              <w:spacing w:line="360" w:lineRule="auto"/>
              <w:jc w:val="center"/>
              <w:rPr>
                <w:lang w:val="en-US"/>
              </w:rPr>
            </w:pPr>
            <w:r>
              <w:rPr>
                <w:lang w:val="en-US"/>
              </w:rPr>
              <w:t>(180)</w:t>
            </w:r>
          </w:p>
        </w:tc>
        <w:tc>
          <w:tcPr>
            <w:tcW w:w="1214" w:type="dxa"/>
          </w:tcPr>
          <w:p w14:paraId="5ADDD1D4">
            <w:pPr>
              <w:spacing w:line="360" w:lineRule="auto"/>
              <w:jc w:val="center"/>
              <w:rPr>
                <w:lang w:val="en-US"/>
              </w:rPr>
            </w:pPr>
            <w:r>
              <w:rPr>
                <w:lang w:val="en-US"/>
              </w:rPr>
              <w:t>50</w:t>
            </w:r>
          </w:p>
        </w:tc>
        <w:tc>
          <w:tcPr>
            <w:tcW w:w="1214" w:type="dxa"/>
          </w:tcPr>
          <w:p w14:paraId="0AC787D0">
            <w:pPr>
              <w:spacing w:line="360" w:lineRule="auto"/>
              <w:jc w:val="center"/>
              <w:rPr>
                <w:lang w:val="en-US"/>
              </w:rPr>
            </w:pPr>
            <w:r>
              <w:rPr>
                <w:lang w:val="en-US"/>
              </w:rPr>
              <w:t>590</w:t>
            </w:r>
          </w:p>
        </w:tc>
        <w:tc>
          <w:tcPr>
            <w:tcW w:w="1219" w:type="dxa"/>
          </w:tcPr>
          <w:p w14:paraId="23B1E937">
            <w:pPr>
              <w:spacing w:line="360" w:lineRule="auto"/>
              <w:jc w:val="center"/>
              <w:rPr>
                <w:lang w:val="en-US"/>
              </w:rPr>
            </w:pPr>
            <w:r>
              <w:rPr>
                <w:lang w:val="en-US"/>
              </w:rPr>
              <w:t>0.8396</w:t>
            </w:r>
          </w:p>
        </w:tc>
        <w:tc>
          <w:tcPr>
            <w:tcW w:w="1214" w:type="dxa"/>
          </w:tcPr>
          <w:p w14:paraId="7B4CB4B9">
            <w:pPr>
              <w:spacing w:line="360" w:lineRule="auto"/>
              <w:jc w:val="center"/>
              <w:rPr>
                <w:lang w:val="en-US"/>
              </w:rPr>
            </w:pPr>
            <w:r>
              <w:rPr>
                <w:lang w:val="en-US"/>
              </w:rPr>
              <w:t>495.36</w:t>
            </w:r>
          </w:p>
        </w:tc>
      </w:tr>
      <w:tr w14:paraId="6810C6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7" w:hRule="atLeast"/>
        </w:trPr>
        <w:tc>
          <w:tcPr>
            <w:tcW w:w="1214" w:type="dxa"/>
          </w:tcPr>
          <w:p w14:paraId="41752BB7">
            <w:pPr>
              <w:spacing w:line="360" w:lineRule="auto"/>
              <w:jc w:val="center"/>
              <w:rPr>
                <w:lang w:val="en-US"/>
              </w:rPr>
            </w:pPr>
            <w:r>
              <w:rPr>
                <w:lang w:val="en-US"/>
              </w:rPr>
              <w:t>4</w:t>
            </w:r>
          </w:p>
        </w:tc>
        <w:tc>
          <w:tcPr>
            <w:tcW w:w="1214" w:type="dxa"/>
          </w:tcPr>
          <w:p w14:paraId="471AE58B">
            <w:pPr>
              <w:spacing w:line="360" w:lineRule="auto"/>
              <w:jc w:val="center"/>
              <w:rPr>
                <w:lang w:val="en-US"/>
              </w:rPr>
            </w:pPr>
            <w:r>
              <w:rPr>
                <w:lang w:val="en-US"/>
              </w:rPr>
              <w:t>980</w:t>
            </w:r>
          </w:p>
        </w:tc>
        <w:tc>
          <w:tcPr>
            <w:tcW w:w="1214" w:type="dxa"/>
          </w:tcPr>
          <w:p w14:paraId="6DE4EC12">
            <w:pPr>
              <w:spacing w:line="360" w:lineRule="auto"/>
              <w:jc w:val="center"/>
              <w:rPr>
                <w:lang w:val="en-US"/>
              </w:rPr>
            </w:pPr>
            <w:r>
              <w:rPr>
                <w:lang w:val="en-US"/>
              </w:rPr>
              <w:t>(245)</w:t>
            </w:r>
          </w:p>
        </w:tc>
        <w:tc>
          <w:tcPr>
            <w:tcW w:w="1214" w:type="dxa"/>
          </w:tcPr>
          <w:p w14:paraId="024161EF">
            <w:pPr>
              <w:spacing w:line="360" w:lineRule="auto"/>
              <w:jc w:val="center"/>
              <w:rPr>
                <w:lang w:val="en-US"/>
              </w:rPr>
            </w:pPr>
            <w:r>
              <w:rPr>
                <w:lang w:val="en-US"/>
              </w:rPr>
              <w:t>50</w:t>
            </w:r>
          </w:p>
        </w:tc>
        <w:tc>
          <w:tcPr>
            <w:tcW w:w="1214" w:type="dxa"/>
          </w:tcPr>
          <w:p w14:paraId="2156B6D0">
            <w:pPr>
              <w:spacing w:line="360" w:lineRule="auto"/>
              <w:jc w:val="center"/>
              <w:rPr>
                <w:lang w:val="en-US"/>
              </w:rPr>
            </w:pPr>
            <w:r>
              <w:rPr>
                <w:lang w:val="en-US"/>
              </w:rPr>
              <w:t>785</w:t>
            </w:r>
          </w:p>
        </w:tc>
        <w:tc>
          <w:tcPr>
            <w:tcW w:w="1219" w:type="dxa"/>
          </w:tcPr>
          <w:p w14:paraId="16B00AC1">
            <w:pPr>
              <w:spacing w:line="360" w:lineRule="auto"/>
              <w:jc w:val="center"/>
              <w:rPr>
                <w:lang w:val="en-US"/>
              </w:rPr>
            </w:pPr>
            <w:r>
              <w:rPr>
                <w:lang w:val="en-US"/>
              </w:rPr>
              <w:t>0.7921</w:t>
            </w:r>
          </w:p>
        </w:tc>
        <w:tc>
          <w:tcPr>
            <w:tcW w:w="1214" w:type="dxa"/>
          </w:tcPr>
          <w:p w14:paraId="7A9959A3">
            <w:pPr>
              <w:spacing w:line="360" w:lineRule="auto"/>
              <w:jc w:val="center"/>
              <w:rPr>
                <w:lang w:val="en-US"/>
              </w:rPr>
            </w:pPr>
            <w:r>
              <w:rPr>
                <w:lang w:val="en-US"/>
              </w:rPr>
              <w:t>621.80</w:t>
            </w:r>
          </w:p>
        </w:tc>
      </w:tr>
      <w:tr w14:paraId="6D52D4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5" w:hRule="atLeast"/>
        </w:trPr>
        <w:tc>
          <w:tcPr>
            <w:tcW w:w="7289" w:type="dxa"/>
            <w:gridSpan w:val="6"/>
          </w:tcPr>
          <w:p w14:paraId="154E3F05">
            <w:pPr>
              <w:spacing w:line="360" w:lineRule="auto"/>
              <w:jc w:val="center"/>
              <w:rPr>
                <w:b/>
                <w:bCs/>
                <w:lang w:val="en-US"/>
              </w:rPr>
            </w:pPr>
            <w:r>
              <w:rPr>
                <w:b/>
                <w:bCs/>
                <w:lang w:val="en-US"/>
              </w:rPr>
              <w:t>NPV</w:t>
            </w:r>
          </w:p>
        </w:tc>
        <w:tc>
          <w:tcPr>
            <w:tcW w:w="1214" w:type="dxa"/>
          </w:tcPr>
          <w:p w14:paraId="75D451CB">
            <w:pPr>
              <w:spacing w:line="360" w:lineRule="auto"/>
              <w:jc w:val="center"/>
              <w:rPr>
                <w:b/>
                <w:bCs/>
                <w:lang w:val="en-US"/>
              </w:rPr>
            </w:pPr>
            <w:r>
              <w:rPr>
                <w:b/>
                <w:bCs/>
              </w:rPr>
              <w:t>£</w:t>
            </w:r>
            <w:r>
              <w:rPr>
                <w:b/>
                <w:bCs/>
                <w:lang w:val="en-US"/>
              </w:rPr>
              <w:t>792,228</w:t>
            </w:r>
          </w:p>
        </w:tc>
      </w:tr>
    </w:tbl>
    <w:p w14:paraId="363158C3">
      <w:pPr>
        <w:spacing w:line="360" w:lineRule="auto"/>
        <w:ind w:firstLine="720"/>
        <w:rPr>
          <w:b/>
          <w:bCs/>
          <w:lang w:val="en-US"/>
        </w:rPr>
      </w:pPr>
      <w:r>
        <w:rPr>
          <w:b/>
          <w:bCs/>
          <w:lang w:val="en-US"/>
        </w:rPr>
        <w:t>Calculation of NPV for Option – C</w:t>
      </w:r>
    </w:p>
    <w:tbl>
      <w:tblPr>
        <w:tblStyle w:val="18"/>
        <w:tblW w:w="8281" w:type="dxa"/>
        <w:tblInd w:w="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83"/>
        <w:gridCol w:w="1183"/>
        <w:gridCol w:w="1183"/>
        <w:gridCol w:w="1183"/>
        <w:gridCol w:w="1183"/>
        <w:gridCol w:w="1183"/>
        <w:gridCol w:w="1183"/>
      </w:tblGrid>
      <w:tr w14:paraId="027A9C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77" w:hRule="atLeast"/>
        </w:trPr>
        <w:tc>
          <w:tcPr>
            <w:tcW w:w="1183" w:type="dxa"/>
          </w:tcPr>
          <w:p w14:paraId="64B176B7">
            <w:pPr>
              <w:spacing w:line="360" w:lineRule="auto"/>
              <w:jc w:val="center"/>
              <w:rPr>
                <w:b/>
                <w:bCs/>
                <w:lang w:val="en-US"/>
              </w:rPr>
            </w:pPr>
            <w:r>
              <w:rPr>
                <w:b/>
                <w:bCs/>
                <w:lang w:val="en-US"/>
              </w:rPr>
              <w:t>Year</w:t>
            </w:r>
          </w:p>
        </w:tc>
        <w:tc>
          <w:tcPr>
            <w:tcW w:w="1183" w:type="dxa"/>
          </w:tcPr>
          <w:p w14:paraId="07242872">
            <w:pPr>
              <w:spacing w:line="360" w:lineRule="auto"/>
              <w:jc w:val="center"/>
              <w:rPr>
                <w:b/>
                <w:bCs/>
                <w:lang w:val="en-US"/>
              </w:rPr>
            </w:pPr>
            <w:r>
              <w:rPr>
                <w:b/>
                <w:bCs/>
                <w:lang w:val="en-US"/>
              </w:rPr>
              <w:t>Pre-Tax CF (</w:t>
            </w:r>
            <w:r>
              <w:rPr>
                <w:b/>
                <w:bCs/>
              </w:rPr>
              <w:t>£'000)</w:t>
            </w:r>
          </w:p>
        </w:tc>
        <w:tc>
          <w:tcPr>
            <w:tcW w:w="1183" w:type="dxa"/>
          </w:tcPr>
          <w:p w14:paraId="1130485A">
            <w:pPr>
              <w:spacing w:line="360" w:lineRule="auto"/>
              <w:jc w:val="center"/>
              <w:rPr>
                <w:b/>
                <w:bCs/>
                <w:lang w:val="en-US"/>
              </w:rPr>
            </w:pPr>
            <w:r>
              <w:rPr>
                <w:b/>
                <w:bCs/>
                <w:lang w:val="en-US"/>
              </w:rPr>
              <w:t>Tax Amount (25%) (</w:t>
            </w:r>
            <w:r>
              <w:rPr>
                <w:b/>
                <w:bCs/>
              </w:rPr>
              <w:t>£'000)</w:t>
            </w:r>
          </w:p>
        </w:tc>
        <w:tc>
          <w:tcPr>
            <w:tcW w:w="1183" w:type="dxa"/>
          </w:tcPr>
          <w:p w14:paraId="04545B3F">
            <w:pPr>
              <w:spacing w:line="360" w:lineRule="auto"/>
              <w:jc w:val="center"/>
              <w:rPr>
                <w:b/>
                <w:bCs/>
                <w:lang w:val="en-US"/>
              </w:rPr>
            </w:pPr>
            <w:r>
              <w:rPr>
                <w:b/>
                <w:bCs/>
                <w:lang w:val="en-US"/>
              </w:rPr>
              <w:t>Tax Shield (</w:t>
            </w:r>
            <w:r>
              <w:rPr>
                <w:b/>
                <w:bCs/>
              </w:rPr>
              <w:t>£'000)</w:t>
            </w:r>
          </w:p>
        </w:tc>
        <w:tc>
          <w:tcPr>
            <w:tcW w:w="1183" w:type="dxa"/>
          </w:tcPr>
          <w:p w14:paraId="333D3C5B">
            <w:pPr>
              <w:spacing w:line="360" w:lineRule="auto"/>
              <w:jc w:val="center"/>
              <w:rPr>
                <w:b/>
                <w:bCs/>
                <w:lang w:val="en-US"/>
              </w:rPr>
            </w:pPr>
            <w:r>
              <w:rPr>
                <w:b/>
                <w:bCs/>
                <w:lang w:val="en-US"/>
              </w:rPr>
              <w:t>ATCF (</w:t>
            </w:r>
            <w:r>
              <w:rPr>
                <w:b/>
                <w:bCs/>
              </w:rPr>
              <w:t>£'000)</w:t>
            </w:r>
          </w:p>
        </w:tc>
        <w:tc>
          <w:tcPr>
            <w:tcW w:w="1183" w:type="dxa"/>
          </w:tcPr>
          <w:p w14:paraId="4F4138F0">
            <w:pPr>
              <w:spacing w:line="360" w:lineRule="auto"/>
              <w:jc w:val="center"/>
              <w:rPr>
                <w:b/>
                <w:bCs/>
                <w:lang w:val="en-US"/>
              </w:rPr>
            </w:pPr>
            <w:r>
              <w:rPr>
                <w:b/>
                <w:bCs/>
                <w:lang w:val="en-US"/>
              </w:rPr>
              <w:t>Discount Factor (6%)</w:t>
            </w:r>
          </w:p>
        </w:tc>
        <w:tc>
          <w:tcPr>
            <w:tcW w:w="1183" w:type="dxa"/>
          </w:tcPr>
          <w:p w14:paraId="63EC7CBF">
            <w:pPr>
              <w:spacing w:line="360" w:lineRule="auto"/>
              <w:jc w:val="center"/>
              <w:rPr>
                <w:b/>
                <w:bCs/>
              </w:rPr>
            </w:pPr>
            <w:r>
              <w:rPr>
                <w:b/>
                <w:bCs/>
                <w:lang w:val="en-US"/>
              </w:rPr>
              <w:t>PV (</w:t>
            </w:r>
            <w:r>
              <w:rPr>
                <w:b/>
                <w:bCs/>
              </w:rPr>
              <w:t>£'000)</w:t>
            </w:r>
          </w:p>
        </w:tc>
      </w:tr>
      <w:tr w14:paraId="19F96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5" w:hRule="atLeast"/>
        </w:trPr>
        <w:tc>
          <w:tcPr>
            <w:tcW w:w="1183" w:type="dxa"/>
          </w:tcPr>
          <w:p w14:paraId="34E22AE0">
            <w:pPr>
              <w:spacing w:line="360" w:lineRule="auto"/>
              <w:jc w:val="center"/>
              <w:rPr>
                <w:lang w:val="en-US"/>
              </w:rPr>
            </w:pPr>
            <w:r>
              <w:rPr>
                <w:lang w:val="en-US"/>
              </w:rPr>
              <w:t>0</w:t>
            </w:r>
          </w:p>
        </w:tc>
        <w:tc>
          <w:tcPr>
            <w:tcW w:w="1183" w:type="dxa"/>
          </w:tcPr>
          <w:p w14:paraId="6393AEDD">
            <w:pPr>
              <w:spacing w:line="360" w:lineRule="auto"/>
              <w:jc w:val="center"/>
              <w:rPr>
                <w:lang w:val="en-US"/>
              </w:rPr>
            </w:pPr>
            <w:r>
              <w:rPr>
                <w:lang w:val="en-US"/>
              </w:rPr>
              <w:t>(1,600)</w:t>
            </w:r>
          </w:p>
        </w:tc>
        <w:tc>
          <w:tcPr>
            <w:tcW w:w="1183" w:type="dxa"/>
          </w:tcPr>
          <w:p w14:paraId="33A83CD0">
            <w:pPr>
              <w:spacing w:line="360" w:lineRule="auto"/>
              <w:jc w:val="center"/>
              <w:rPr>
                <w:lang w:val="en-US"/>
              </w:rPr>
            </w:pPr>
            <w:r>
              <w:rPr>
                <w:lang w:val="en-US"/>
              </w:rPr>
              <w:t>0</w:t>
            </w:r>
          </w:p>
        </w:tc>
        <w:tc>
          <w:tcPr>
            <w:tcW w:w="1183" w:type="dxa"/>
          </w:tcPr>
          <w:p w14:paraId="5831B9F3">
            <w:pPr>
              <w:spacing w:line="360" w:lineRule="auto"/>
              <w:jc w:val="center"/>
              <w:rPr>
                <w:lang w:val="en-US"/>
              </w:rPr>
            </w:pPr>
            <w:r>
              <w:rPr>
                <w:lang w:val="en-US"/>
              </w:rPr>
              <w:t>0</w:t>
            </w:r>
          </w:p>
        </w:tc>
        <w:tc>
          <w:tcPr>
            <w:tcW w:w="1183" w:type="dxa"/>
          </w:tcPr>
          <w:p w14:paraId="06B77693">
            <w:pPr>
              <w:spacing w:line="360" w:lineRule="auto"/>
              <w:jc w:val="center"/>
              <w:rPr>
                <w:lang w:val="en-US"/>
              </w:rPr>
            </w:pPr>
            <w:r>
              <w:rPr>
                <w:lang w:val="en-US"/>
              </w:rPr>
              <w:t>(1,600)</w:t>
            </w:r>
          </w:p>
        </w:tc>
        <w:tc>
          <w:tcPr>
            <w:tcW w:w="1183" w:type="dxa"/>
          </w:tcPr>
          <w:p w14:paraId="474C89F8">
            <w:pPr>
              <w:spacing w:line="360" w:lineRule="auto"/>
              <w:jc w:val="center"/>
              <w:rPr>
                <w:lang w:val="en-US"/>
              </w:rPr>
            </w:pPr>
            <w:r>
              <w:rPr>
                <w:lang w:val="en-US"/>
              </w:rPr>
              <w:t>1.00</w:t>
            </w:r>
          </w:p>
        </w:tc>
        <w:tc>
          <w:tcPr>
            <w:tcW w:w="1183" w:type="dxa"/>
          </w:tcPr>
          <w:p w14:paraId="5E55BB25">
            <w:pPr>
              <w:spacing w:line="360" w:lineRule="auto"/>
              <w:jc w:val="center"/>
              <w:rPr>
                <w:lang w:val="en-US"/>
              </w:rPr>
            </w:pPr>
            <w:r>
              <w:rPr>
                <w:lang w:val="en-US"/>
              </w:rPr>
              <w:t>(1,600)</w:t>
            </w:r>
          </w:p>
        </w:tc>
      </w:tr>
      <w:tr w14:paraId="73D961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5" w:hRule="atLeast"/>
        </w:trPr>
        <w:tc>
          <w:tcPr>
            <w:tcW w:w="1183" w:type="dxa"/>
          </w:tcPr>
          <w:p w14:paraId="0F3CA7A6">
            <w:pPr>
              <w:spacing w:line="360" w:lineRule="auto"/>
              <w:jc w:val="center"/>
              <w:rPr>
                <w:lang w:val="en-US"/>
              </w:rPr>
            </w:pPr>
            <w:r>
              <w:rPr>
                <w:lang w:val="en-US"/>
              </w:rPr>
              <w:t>1</w:t>
            </w:r>
          </w:p>
        </w:tc>
        <w:tc>
          <w:tcPr>
            <w:tcW w:w="1183" w:type="dxa"/>
          </w:tcPr>
          <w:p w14:paraId="24F83AF6">
            <w:pPr>
              <w:spacing w:line="360" w:lineRule="auto"/>
              <w:jc w:val="center"/>
              <w:rPr>
                <w:lang w:val="en-US"/>
              </w:rPr>
            </w:pPr>
            <w:r>
              <w:rPr>
                <w:lang w:val="en-US"/>
              </w:rPr>
              <w:t>450</w:t>
            </w:r>
          </w:p>
        </w:tc>
        <w:tc>
          <w:tcPr>
            <w:tcW w:w="1183" w:type="dxa"/>
          </w:tcPr>
          <w:p w14:paraId="61FAB6EC">
            <w:pPr>
              <w:spacing w:line="360" w:lineRule="auto"/>
              <w:jc w:val="center"/>
              <w:rPr>
                <w:lang w:val="en-US"/>
              </w:rPr>
            </w:pPr>
            <w:r>
              <w:rPr>
                <w:lang w:val="en-US"/>
              </w:rPr>
              <w:t>(112.5)</w:t>
            </w:r>
          </w:p>
        </w:tc>
        <w:tc>
          <w:tcPr>
            <w:tcW w:w="1183" w:type="dxa"/>
          </w:tcPr>
          <w:p w14:paraId="6A48677B">
            <w:pPr>
              <w:spacing w:line="360" w:lineRule="auto"/>
              <w:jc w:val="center"/>
              <w:rPr>
                <w:lang w:val="en-US"/>
              </w:rPr>
            </w:pPr>
            <w:r>
              <w:rPr>
                <w:lang w:val="en-US"/>
              </w:rPr>
              <w:t>80</w:t>
            </w:r>
          </w:p>
        </w:tc>
        <w:tc>
          <w:tcPr>
            <w:tcW w:w="1183" w:type="dxa"/>
          </w:tcPr>
          <w:p w14:paraId="76B6BB2A">
            <w:pPr>
              <w:spacing w:line="360" w:lineRule="auto"/>
              <w:jc w:val="center"/>
              <w:rPr>
                <w:lang w:val="en-US"/>
              </w:rPr>
            </w:pPr>
            <w:r>
              <w:rPr>
                <w:lang w:val="en-US"/>
              </w:rPr>
              <w:t>417.5</w:t>
            </w:r>
          </w:p>
        </w:tc>
        <w:tc>
          <w:tcPr>
            <w:tcW w:w="1183" w:type="dxa"/>
          </w:tcPr>
          <w:p w14:paraId="5B372029">
            <w:pPr>
              <w:spacing w:line="360" w:lineRule="auto"/>
              <w:jc w:val="center"/>
              <w:rPr>
                <w:lang w:val="en-US"/>
              </w:rPr>
            </w:pPr>
            <w:r>
              <w:rPr>
                <w:lang w:val="en-US"/>
              </w:rPr>
              <w:t>0.9434</w:t>
            </w:r>
          </w:p>
        </w:tc>
        <w:tc>
          <w:tcPr>
            <w:tcW w:w="1183" w:type="dxa"/>
          </w:tcPr>
          <w:p w14:paraId="6CD99FEE">
            <w:pPr>
              <w:spacing w:line="360" w:lineRule="auto"/>
              <w:jc w:val="center"/>
              <w:rPr>
                <w:lang w:val="en-US"/>
              </w:rPr>
            </w:pPr>
            <w:r>
              <w:rPr>
                <w:lang w:val="en-US"/>
              </w:rPr>
              <w:t>393.87</w:t>
            </w:r>
          </w:p>
        </w:tc>
      </w:tr>
      <w:tr w14:paraId="5D0B9A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5" w:hRule="atLeast"/>
        </w:trPr>
        <w:tc>
          <w:tcPr>
            <w:tcW w:w="1183" w:type="dxa"/>
          </w:tcPr>
          <w:p w14:paraId="758D98E1">
            <w:pPr>
              <w:spacing w:line="360" w:lineRule="auto"/>
              <w:jc w:val="center"/>
              <w:rPr>
                <w:lang w:val="en-US"/>
              </w:rPr>
            </w:pPr>
            <w:r>
              <w:rPr>
                <w:lang w:val="en-US"/>
              </w:rPr>
              <w:t>2</w:t>
            </w:r>
          </w:p>
        </w:tc>
        <w:tc>
          <w:tcPr>
            <w:tcW w:w="1183" w:type="dxa"/>
          </w:tcPr>
          <w:p w14:paraId="542EF855">
            <w:pPr>
              <w:spacing w:line="360" w:lineRule="auto"/>
              <w:jc w:val="center"/>
              <w:rPr>
                <w:lang w:val="en-US"/>
              </w:rPr>
            </w:pPr>
            <w:r>
              <w:rPr>
                <w:lang w:val="en-US"/>
              </w:rPr>
              <w:t>700</w:t>
            </w:r>
          </w:p>
        </w:tc>
        <w:tc>
          <w:tcPr>
            <w:tcW w:w="1183" w:type="dxa"/>
          </w:tcPr>
          <w:p w14:paraId="28F9B3D1">
            <w:pPr>
              <w:spacing w:line="360" w:lineRule="auto"/>
              <w:jc w:val="center"/>
              <w:rPr>
                <w:lang w:val="en-US"/>
              </w:rPr>
            </w:pPr>
            <w:r>
              <w:rPr>
                <w:lang w:val="en-US"/>
              </w:rPr>
              <w:t>(175)</w:t>
            </w:r>
          </w:p>
        </w:tc>
        <w:tc>
          <w:tcPr>
            <w:tcW w:w="1183" w:type="dxa"/>
          </w:tcPr>
          <w:p w14:paraId="0E7411BA">
            <w:pPr>
              <w:spacing w:line="360" w:lineRule="auto"/>
              <w:jc w:val="center"/>
              <w:rPr>
                <w:lang w:val="en-US"/>
              </w:rPr>
            </w:pPr>
            <w:r>
              <w:rPr>
                <w:lang w:val="en-US"/>
              </w:rPr>
              <w:t>80</w:t>
            </w:r>
          </w:p>
        </w:tc>
        <w:tc>
          <w:tcPr>
            <w:tcW w:w="1183" w:type="dxa"/>
          </w:tcPr>
          <w:p w14:paraId="15D8B3E9">
            <w:pPr>
              <w:spacing w:line="360" w:lineRule="auto"/>
              <w:jc w:val="center"/>
              <w:rPr>
                <w:lang w:val="en-US"/>
              </w:rPr>
            </w:pPr>
            <w:r>
              <w:rPr>
                <w:lang w:val="en-US"/>
              </w:rPr>
              <w:t>605</w:t>
            </w:r>
          </w:p>
        </w:tc>
        <w:tc>
          <w:tcPr>
            <w:tcW w:w="1183" w:type="dxa"/>
          </w:tcPr>
          <w:p w14:paraId="357AB2FC">
            <w:pPr>
              <w:spacing w:line="360" w:lineRule="auto"/>
              <w:jc w:val="center"/>
              <w:rPr>
                <w:lang w:val="en-US"/>
              </w:rPr>
            </w:pPr>
            <w:r>
              <w:rPr>
                <w:lang w:val="en-US"/>
              </w:rPr>
              <w:t>0.8900</w:t>
            </w:r>
          </w:p>
        </w:tc>
        <w:tc>
          <w:tcPr>
            <w:tcW w:w="1183" w:type="dxa"/>
          </w:tcPr>
          <w:p w14:paraId="3F313002">
            <w:pPr>
              <w:spacing w:line="360" w:lineRule="auto"/>
              <w:jc w:val="center"/>
              <w:rPr>
                <w:lang w:val="en-US"/>
              </w:rPr>
            </w:pPr>
            <w:r>
              <w:rPr>
                <w:lang w:val="en-US"/>
              </w:rPr>
              <w:t>538.45</w:t>
            </w:r>
          </w:p>
        </w:tc>
      </w:tr>
      <w:tr w14:paraId="2C772D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0" w:hRule="atLeast"/>
        </w:trPr>
        <w:tc>
          <w:tcPr>
            <w:tcW w:w="1183" w:type="dxa"/>
          </w:tcPr>
          <w:p w14:paraId="2145A2B8">
            <w:pPr>
              <w:spacing w:line="360" w:lineRule="auto"/>
              <w:jc w:val="center"/>
              <w:rPr>
                <w:lang w:val="en-US"/>
              </w:rPr>
            </w:pPr>
            <w:r>
              <w:rPr>
                <w:lang w:val="en-US"/>
              </w:rPr>
              <w:t>3</w:t>
            </w:r>
          </w:p>
        </w:tc>
        <w:tc>
          <w:tcPr>
            <w:tcW w:w="1183" w:type="dxa"/>
          </w:tcPr>
          <w:p w14:paraId="07803946">
            <w:pPr>
              <w:spacing w:line="360" w:lineRule="auto"/>
              <w:jc w:val="center"/>
              <w:rPr>
                <w:lang w:val="en-US"/>
              </w:rPr>
            </w:pPr>
            <w:r>
              <w:rPr>
                <w:lang w:val="en-US"/>
              </w:rPr>
              <w:t>900</w:t>
            </w:r>
          </w:p>
        </w:tc>
        <w:tc>
          <w:tcPr>
            <w:tcW w:w="1183" w:type="dxa"/>
          </w:tcPr>
          <w:p w14:paraId="5D21F065">
            <w:pPr>
              <w:spacing w:line="360" w:lineRule="auto"/>
              <w:jc w:val="center"/>
              <w:rPr>
                <w:lang w:val="en-US"/>
              </w:rPr>
            </w:pPr>
            <w:r>
              <w:rPr>
                <w:lang w:val="en-US"/>
              </w:rPr>
              <w:t>(225)</w:t>
            </w:r>
          </w:p>
        </w:tc>
        <w:tc>
          <w:tcPr>
            <w:tcW w:w="1183" w:type="dxa"/>
          </w:tcPr>
          <w:p w14:paraId="7A1034D8">
            <w:pPr>
              <w:spacing w:line="360" w:lineRule="auto"/>
              <w:jc w:val="center"/>
              <w:rPr>
                <w:lang w:val="en-US"/>
              </w:rPr>
            </w:pPr>
            <w:r>
              <w:rPr>
                <w:lang w:val="en-US"/>
              </w:rPr>
              <w:t>80</w:t>
            </w:r>
          </w:p>
        </w:tc>
        <w:tc>
          <w:tcPr>
            <w:tcW w:w="1183" w:type="dxa"/>
          </w:tcPr>
          <w:p w14:paraId="5AC840B9">
            <w:pPr>
              <w:spacing w:line="360" w:lineRule="auto"/>
              <w:jc w:val="center"/>
              <w:rPr>
                <w:lang w:val="en-US"/>
              </w:rPr>
            </w:pPr>
            <w:r>
              <w:rPr>
                <w:lang w:val="en-US"/>
              </w:rPr>
              <w:t>755</w:t>
            </w:r>
          </w:p>
        </w:tc>
        <w:tc>
          <w:tcPr>
            <w:tcW w:w="1183" w:type="dxa"/>
          </w:tcPr>
          <w:p w14:paraId="4F67D598">
            <w:pPr>
              <w:spacing w:line="360" w:lineRule="auto"/>
              <w:jc w:val="center"/>
              <w:rPr>
                <w:lang w:val="en-US"/>
              </w:rPr>
            </w:pPr>
            <w:r>
              <w:rPr>
                <w:lang w:val="en-US"/>
              </w:rPr>
              <w:t>0.8396</w:t>
            </w:r>
          </w:p>
        </w:tc>
        <w:tc>
          <w:tcPr>
            <w:tcW w:w="1183" w:type="dxa"/>
          </w:tcPr>
          <w:p w14:paraId="5D7A00A2">
            <w:pPr>
              <w:spacing w:line="360" w:lineRule="auto"/>
              <w:jc w:val="center"/>
              <w:rPr>
                <w:lang w:val="en-US"/>
              </w:rPr>
            </w:pPr>
            <w:r>
              <w:rPr>
                <w:lang w:val="en-US"/>
              </w:rPr>
              <w:t>633.90</w:t>
            </w:r>
          </w:p>
        </w:tc>
      </w:tr>
      <w:tr w14:paraId="5BE553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5" w:hRule="atLeast"/>
        </w:trPr>
        <w:tc>
          <w:tcPr>
            <w:tcW w:w="1183" w:type="dxa"/>
          </w:tcPr>
          <w:p w14:paraId="731C61BA">
            <w:pPr>
              <w:spacing w:line="360" w:lineRule="auto"/>
              <w:jc w:val="center"/>
              <w:rPr>
                <w:lang w:val="en-US"/>
              </w:rPr>
            </w:pPr>
            <w:r>
              <w:rPr>
                <w:lang w:val="en-US"/>
              </w:rPr>
              <w:t>4</w:t>
            </w:r>
          </w:p>
        </w:tc>
        <w:tc>
          <w:tcPr>
            <w:tcW w:w="1183" w:type="dxa"/>
          </w:tcPr>
          <w:p w14:paraId="22DE0A0B">
            <w:pPr>
              <w:spacing w:line="360" w:lineRule="auto"/>
              <w:jc w:val="center"/>
              <w:rPr>
                <w:lang w:val="en-US"/>
              </w:rPr>
            </w:pPr>
            <w:r>
              <w:rPr>
                <w:lang w:val="en-US"/>
              </w:rPr>
              <w:t>1,200</w:t>
            </w:r>
          </w:p>
        </w:tc>
        <w:tc>
          <w:tcPr>
            <w:tcW w:w="1183" w:type="dxa"/>
          </w:tcPr>
          <w:p w14:paraId="3B340A02">
            <w:pPr>
              <w:spacing w:line="360" w:lineRule="auto"/>
              <w:jc w:val="center"/>
              <w:rPr>
                <w:lang w:val="en-US"/>
              </w:rPr>
            </w:pPr>
            <w:r>
              <w:rPr>
                <w:lang w:val="en-US"/>
              </w:rPr>
              <w:t>(300)</w:t>
            </w:r>
          </w:p>
        </w:tc>
        <w:tc>
          <w:tcPr>
            <w:tcW w:w="1183" w:type="dxa"/>
          </w:tcPr>
          <w:p w14:paraId="5670C98A">
            <w:pPr>
              <w:spacing w:line="360" w:lineRule="auto"/>
              <w:jc w:val="center"/>
              <w:rPr>
                <w:lang w:val="en-US"/>
              </w:rPr>
            </w:pPr>
            <w:r>
              <w:rPr>
                <w:lang w:val="en-US"/>
              </w:rPr>
              <w:t>80</w:t>
            </w:r>
          </w:p>
        </w:tc>
        <w:tc>
          <w:tcPr>
            <w:tcW w:w="1183" w:type="dxa"/>
          </w:tcPr>
          <w:p w14:paraId="3FF092AB">
            <w:pPr>
              <w:spacing w:line="360" w:lineRule="auto"/>
              <w:jc w:val="center"/>
              <w:rPr>
                <w:lang w:val="en-US"/>
              </w:rPr>
            </w:pPr>
            <w:r>
              <w:rPr>
                <w:lang w:val="en-US"/>
              </w:rPr>
              <w:t>980</w:t>
            </w:r>
          </w:p>
        </w:tc>
        <w:tc>
          <w:tcPr>
            <w:tcW w:w="1183" w:type="dxa"/>
          </w:tcPr>
          <w:p w14:paraId="0B37744E">
            <w:pPr>
              <w:spacing w:line="360" w:lineRule="auto"/>
              <w:jc w:val="center"/>
              <w:rPr>
                <w:lang w:val="en-US"/>
              </w:rPr>
            </w:pPr>
            <w:r>
              <w:rPr>
                <w:lang w:val="en-US"/>
              </w:rPr>
              <w:t>0.7921</w:t>
            </w:r>
          </w:p>
        </w:tc>
        <w:tc>
          <w:tcPr>
            <w:tcW w:w="1183" w:type="dxa"/>
          </w:tcPr>
          <w:p w14:paraId="69758111">
            <w:pPr>
              <w:spacing w:line="360" w:lineRule="auto"/>
              <w:jc w:val="center"/>
              <w:rPr>
                <w:lang w:val="en-US"/>
              </w:rPr>
            </w:pPr>
            <w:r>
              <w:rPr>
                <w:lang w:val="en-US"/>
              </w:rPr>
              <w:t>776.26</w:t>
            </w:r>
          </w:p>
        </w:tc>
      </w:tr>
      <w:tr w14:paraId="4A15B7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5" w:hRule="atLeast"/>
        </w:trPr>
        <w:tc>
          <w:tcPr>
            <w:tcW w:w="7098" w:type="dxa"/>
            <w:gridSpan w:val="6"/>
          </w:tcPr>
          <w:p w14:paraId="19FAB677">
            <w:pPr>
              <w:spacing w:line="360" w:lineRule="auto"/>
              <w:jc w:val="center"/>
              <w:rPr>
                <w:b/>
                <w:bCs/>
                <w:lang w:val="en-US"/>
              </w:rPr>
            </w:pPr>
            <w:r>
              <w:rPr>
                <w:b/>
                <w:bCs/>
                <w:lang w:val="en-US"/>
              </w:rPr>
              <w:t>NPV</w:t>
            </w:r>
          </w:p>
        </w:tc>
        <w:tc>
          <w:tcPr>
            <w:tcW w:w="1183" w:type="dxa"/>
          </w:tcPr>
          <w:p w14:paraId="4236C44E">
            <w:pPr>
              <w:spacing w:line="360" w:lineRule="auto"/>
              <w:jc w:val="center"/>
              <w:rPr>
                <w:b/>
                <w:bCs/>
                <w:lang w:val="en-US"/>
              </w:rPr>
            </w:pPr>
            <w:r>
              <w:rPr>
                <w:b/>
                <w:bCs/>
              </w:rPr>
              <w:t>£</w:t>
            </w:r>
            <w:r>
              <w:rPr>
                <w:b/>
                <w:bCs/>
                <w:lang w:val="en-US"/>
              </w:rPr>
              <w:t>742,475</w:t>
            </w:r>
          </w:p>
        </w:tc>
      </w:tr>
    </w:tbl>
    <w:p w14:paraId="3E1CCA75">
      <w:pPr>
        <w:spacing w:line="360" w:lineRule="auto"/>
        <w:ind w:left="720"/>
        <w:rPr>
          <w:lang w:val="en-US"/>
        </w:rPr>
      </w:pPr>
      <w:r>
        <w:rPr>
          <w:b/>
          <w:bCs/>
          <w:lang w:val="en-US"/>
        </w:rPr>
        <w:t xml:space="preserve">NPV Recommendation: </w:t>
      </w:r>
      <w:r>
        <w:rPr>
          <w:lang w:val="en-US"/>
        </w:rPr>
        <w:t xml:space="preserve">Although three of the options at hand for Westward PLC have different initial investment requirements, the decision rule of using the NPV method is that the project producing the highest net present value is to be selected in a mutually exclusive scenario. With this in mind, the most attractive and acceptable project in question is Option B, with its highest NPV at </w:t>
      </w:r>
      <w:r>
        <w:t>£</w:t>
      </w:r>
      <w:r>
        <w:rPr>
          <w:lang w:val="en-US"/>
        </w:rPr>
        <w:t>792,228. Again, from a capital allocation perspective, Option B makes the most sense because of the capital requirement, as well.</w:t>
      </w:r>
    </w:p>
    <w:p w14:paraId="066E3C97">
      <w:pPr>
        <w:pStyle w:val="3"/>
        <w:rPr>
          <w:lang w:val="en-US"/>
        </w:rPr>
      </w:pPr>
      <w:bookmarkStart w:id="17" w:name="_Toc219049746"/>
      <w:r>
        <w:rPr>
          <w:lang w:val="en-US"/>
        </w:rPr>
        <w:t>Calculation of IRR for Option B</w:t>
      </w:r>
      <w:bookmarkEnd w:id="17"/>
    </w:p>
    <w:p w14:paraId="4E172341">
      <w:pPr>
        <w:spacing w:line="360" w:lineRule="auto"/>
        <w:ind w:firstLine="720"/>
        <w:rPr>
          <w:lang w:val="en-US"/>
        </w:rPr>
      </w:pPr>
      <w:r>
        <w:rPr>
          <w:b/>
          <w:bCs/>
          <w:lang w:val="en-US"/>
        </w:rPr>
        <w:t xml:space="preserve">Trial – 01: </w:t>
      </w:r>
      <w:r>
        <w:rPr>
          <w:lang w:val="en-US"/>
        </w:rPr>
        <w:t>6% Discount Rate</w:t>
      </w:r>
    </w:p>
    <w:tbl>
      <w:tblPr>
        <w:tblStyle w:val="18"/>
        <w:tblpPr w:leftFromText="180" w:rightFromText="180" w:vertAnchor="text" w:horzAnchor="page" w:tblpX="2026" w:tblpY="2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96"/>
        <w:gridCol w:w="2096"/>
        <w:gridCol w:w="2096"/>
        <w:gridCol w:w="2096"/>
      </w:tblGrid>
      <w:tr w14:paraId="067AC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60" w:hRule="atLeast"/>
        </w:trPr>
        <w:tc>
          <w:tcPr>
            <w:tcW w:w="2096" w:type="dxa"/>
          </w:tcPr>
          <w:p w14:paraId="64A1D4F8">
            <w:pPr>
              <w:spacing w:line="360" w:lineRule="auto"/>
              <w:ind w:firstLine="720"/>
              <w:rPr>
                <w:b/>
                <w:bCs/>
                <w:lang w:val="en-US"/>
              </w:rPr>
            </w:pPr>
            <w:r>
              <w:rPr>
                <w:b/>
                <w:bCs/>
                <w:lang w:val="en-US"/>
              </w:rPr>
              <w:t>Year</w:t>
            </w:r>
          </w:p>
        </w:tc>
        <w:tc>
          <w:tcPr>
            <w:tcW w:w="2096" w:type="dxa"/>
          </w:tcPr>
          <w:p w14:paraId="2F7415B9">
            <w:pPr>
              <w:spacing w:line="360" w:lineRule="auto"/>
              <w:jc w:val="center"/>
              <w:rPr>
                <w:b/>
                <w:bCs/>
                <w:lang w:val="en-US"/>
              </w:rPr>
            </w:pPr>
            <w:r>
              <w:rPr>
                <w:b/>
                <w:bCs/>
                <w:lang w:val="en-US"/>
              </w:rPr>
              <w:t xml:space="preserve">ATCF </w:t>
            </w:r>
            <w:r>
              <w:rPr>
                <w:b/>
                <w:bCs/>
              </w:rPr>
              <w:t>(£'000)</w:t>
            </w:r>
          </w:p>
        </w:tc>
        <w:tc>
          <w:tcPr>
            <w:tcW w:w="2096" w:type="dxa"/>
          </w:tcPr>
          <w:p w14:paraId="137215B4">
            <w:pPr>
              <w:spacing w:line="360" w:lineRule="auto"/>
              <w:jc w:val="center"/>
              <w:rPr>
                <w:b/>
                <w:bCs/>
                <w:lang w:val="en-US"/>
              </w:rPr>
            </w:pPr>
            <w:r>
              <w:rPr>
                <w:b/>
                <w:bCs/>
                <w:lang w:val="en-US"/>
              </w:rPr>
              <w:t>Discount Factor (6%)</w:t>
            </w:r>
          </w:p>
        </w:tc>
        <w:tc>
          <w:tcPr>
            <w:tcW w:w="2096" w:type="dxa"/>
          </w:tcPr>
          <w:p w14:paraId="1AB75669">
            <w:pPr>
              <w:spacing w:line="360" w:lineRule="auto"/>
              <w:jc w:val="center"/>
              <w:rPr>
                <w:b/>
                <w:bCs/>
                <w:lang w:val="en-US"/>
              </w:rPr>
            </w:pPr>
            <w:r>
              <w:rPr>
                <w:b/>
                <w:bCs/>
                <w:lang w:val="en-US"/>
              </w:rPr>
              <w:t xml:space="preserve">Present Value </w:t>
            </w:r>
            <w:r>
              <w:rPr>
                <w:b/>
                <w:bCs/>
              </w:rPr>
              <w:t>(£'000)</w:t>
            </w:r>
          </w:p>
        </w:tc>
      </w:tr>
      <w:tr w14:paraId="629194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2096" w:type="dxa"/>
          </w:tcPr>
          <w:p w14:paraId="2E3ABDB7">
            <w:pPr>
              <w:spacing w:line="360" w:lineRule="auto"/>
              <w:ind w:firstLine="720"/>
              <w:rPr>
                <w:lang w:val="en-US"/>
              </w:rPr>
            </w:pPr>
            <w:r>
              <w:rPr>
                <w:lang w:val="en-US"/>
              </w:rPr>
              <w:t>0</w:t>
            </w:r>
          </w:p>
        </w:tc>
        <w:tc>
          <w:tcPr>
            <w:tcW w:w="2096" w:type="dxa"/>
          </w:tcPr>
          <w:p w14:paraId="1E8CE80E">
            <w:pPr>
              <w:spacing w:line="360" w:lineRule="auto"/>
              <w:ind w:firstLine="720"/>
              <w:rPr>
                <w:lang w:val="en-US"/>
              </w:rPr>
            </w:pPr>
            <w:r>
              <w:rPr>
                <w:lang w:val="en-US"/>
              </w:rPr>
              <w:t>(1,000)</w:t>
            </w:r>
          </w:p>
        </w:tc>
        <w:tc>
          <w:tcPr>
            <w:tcW w:w="2096" w:type="dxa"/>
          </w:tcPr>
          <w:p w14:paraId="1EAF1B02">
            <w:pPr>
              <w:spacing w:line="360" w:lineRule="auto"/>
              <w:ind w:firstLine="720"/>
              <w:rPr>
                <w:lang w:val="en-US"/>
              </w:rPr>
            </w:pPr>
            <w:r>
              <w:rPr>
                <w:lang w:val="en-US"/>
              </w:rPr>
              <w:t>1.00</w:t>
            </w:r>
          </w:p>
        </w:tc>
        <w:tc>
          <w:tcPr>
            <w:tcW w:w="2096" w:type="dxa"/>
          </w:tcPr>
          <w:p w14:paraId="3EABDEDD">
            <w:pPr>
              <w:spacing w:line="360" w:lineRule="auto"/>
              <w:ind w:firstLine="720"/>
              <w:rPr>
                <w:lang w:val="en-US"/>
              </w:rPr>
            </w:pPr>
            <w:r>
              <w:rPr>
                <w:lang w:val="en-US"/>
              </w:rPr>
              <w:t>(1,600)</w:t>
            </w:r>
          </w:p>
        </w:tc>
      </w:tr>
      <w:tr w14:paraId="74E964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2" w:hRule="atLeast"/>
        </w:trPr>
        <w:tc>
          <w:tcPr>
            <w:tcW w:w="2096" w:type="dxa"/>
          </w:tcPr>
          <w:p w14:paraId="05FC13DB">
            <w:pPr>
              <w:spacing w:line="360" w:lineRule="auto"/>
              <w:ind w:firstLine="720"/>
              <w:rPr>
                <w:lang w:val="en-US"/>
              </w:rPr>
            </w:pPr>
            <w:r>
              <w:rPr>
                <w:lang w:val="en-US"/>
              </w:rPr>
              <w:t>1</w:t>
            </w:r>
          </w:p>
        </w:tc>
        <w:tc>
          <w:tcPr>
            <w:tcW w:w="2096" w:type="dxa"/>
          </w:tcPr>
          <w:p w14:paraId="329261FF">
            <w:pPr>
              <w:spacing w:line="360" w:lineRule="auto"/>
              <w:ind w:firstLine="720"/>
              <w:rPr>
                <w:lang w:val="en-US"/>
              </w:rPr>
            </w:pPr>
            <w:r>
              <w:rPr>
                <w:lang w:val="en-US"/>
              </w:rPr>
              <w:t>350</w:t>
            </w:r>
          </w:p>
        </w:tc>
        <w:tc>
          <w:tcPr>
            <w:tcW w:w="2096" w:type="dxa"/>
          </w:tcPr>
          <w:p w14:paraId="34C63846">
            <w:pPr>
              <w:spacing w:line="360" w:lineRule="auto"/>
              <w:ind w:firstLine="720"/>
              <w:rPr>
                <w:lang w:val="en-US"/>
              </w:rPr>
            </w:pPr>
            <w:r>
              <w:rPr>
                <w:lang w:val="en-US"/>
              </w:rPr>
              <w:t>0.9434</w:t>
            </w:r>
          </w:p>
        </w:tc>
        <w:tc>
          <w:tcPr>
            <w:tcW w:w="2096" w:type="dxa"/>
          </w:tcPr>
          <w:p w14:paraId="33699798">
            <w:pPr>
              <w:spacing w:line="360" w:lineRule="auto"/>
              <w:ind w:firstLine="720"/>
              <w:rPr>
                <w:lang w:val="en-US"/>
              </w:rPr>
            </w:pPr>
            <w:r>
              <w:rPr>
                <w:lang w:val="en-US"/>
              </w:rPr>
              <w:t>393.87</w:t>
            </w:r>
          </w:p>
        </w:tc>
      </w:tr>
      <w:tr w14:paraId="301555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2" w:hRule="atLeast"/>
        </w:trPr>
        <w:tc>
          <w:tcPr>
            <w:tcW w:w="2096" w:type="dxa"/>
          </w:tcPr>
          <w:p w14:paraId="38C5659A">
            <w:pPr>
              <w:spacing w:line="360" w:lineRule="auto"/>
              <w:ind w:firstLine="720"/>
              <w:rPr>
                <w:lang w:val="en-US"/>
              </w:rPr>
            </w:pPr>
            <w:r>
              <w:rPr>
                <w:lang w:val="en-US"/>
              </w:rPr>
              <w:t>2</w:t>
            </w:r>
          </w:p>
        </w:tc>
        <w:tc>
          <w:tcPr>
            <w:tcW w:w="2096" w:type="dxa"/>
          </w:tcPr>
          <w:p w14:paraId="07D78FF4">
            <w:pPr>
              <w:spacing w:line="360" w:lineRule="auto"/>
              <w:ind w:firstLine="720"/>
              <w:rPr>
                <w:lang w:val="en-US"/>
              </w:rPr>
            </w:pPr>
            <w:r>
              <w:rPr>
                <w:lang w:val="en-US"/>
              </w:rPr>
              <w:t>387.5</w:t>
            </w:r>
          </w:p>
        </w:tc>
        <w:tc>
          <w:tcPr>
            <w:tcW w:w="2096" w:type="dxa"/>
          </w:tcPr>
          <w:p w14:paraId="73BA304C">
            <w:pPr>
              <w:spacing w:line="360" w:lineRule="auto"/>
              <w:ind w:firstLine="720"/>
              <w:rPr>
                <w:lang w:val="en-US"/>
              </w:rPr>
            </w:pPr>
            <w:r>
              <w:rPr>
                <w:lang w:val="en-US"/>
              </w:rPr>
              <w:t>0.8900</w:t>
            </w:r>
          </w:p>
        </w:tc>
        <w:tc>
          <w:tcPr>
            <w:tcW w:w="2096" w:type="dxa"/>
          </w:tcPr>
          <w:p w14:paraId="48DBB757">
            <w:pPr>
              <w:spacing w:line="360" w:lineRule="auto"/>
              <w:ind w:firstLine="720"/>
              <w:rPr>
                <w:lang w:val="en-US"/>
              </w:rPr>
            </w:pPr>
            <w:r>
              <w:rPr>
                <w:lang w:val="en-US"/>
              </w:rPr>
              <w:t>538.45</w:t>
            </w:r>
          </w:p>
        </w:tc>
      </w:tr>
      <w:tr w14:paraId="460CBF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2" w:hRule="atLeast"/>
        </w:trPr>
        <w:tc>
          <w:tcPr>
            <w:tcW w:w="2096" w:type="dxa"/>
          </w:tcPr>
          <w:p w14:paraId="3D7C1C9B">
            <w:pPr>
              <w:spacing w:line="360" w:lineRule="auto"/>
              <w:ind w:firstLine="720"/>
              <w:rPr>
                <w:lang w:val="en-US"/>
              </w:rPr>
            </w:pPr>
            <w:r>
              <w:rPr>
                <w:lang w:val="en-US"/>
              </w:rPr>
              <w:t>3</w:t>
            </w:r>
          </w:p>
        </w:tc>
        <w:tc>
          <w:tcPr>
            <w:tcW w:w="2096" w:type="dxa"/>
          </w:tcPr>
          <w:p w14:paraId="5D623B80">
            <w:pPr>
              <w:spacing w:line="360" w:lineRule="auto"/>
              <w:ind w:firstLine="720"/>
              <w:rPr>
                <w:lang w:val="en-US"/>
              </w:rPr>
            </w:pPr>
            <w:r>
              <w:rPr>
                <w:lang w:val="en-US"/>
              </w:rPr>
              <w:t>590</w:t>
            </w:r>
          </w:p>
        </w:tc>
        <w:tc>
          <w:tcPr>
            <w:tcW w:w="2096" w:type="dxa"/>
          </w:tcPr>
          <w:p w14:paraId="1C918B7F">
            <w:pPr>
              <w:spacing w:line="360" w:lineRule="auto"/>
              <w:ind w:firstLine="720"/>
              <w:rPr>
                <w:lang w:val="en-US"/>
              </w:rPr>
            </w:pPr>
            <w:r>
              <w:rPr>
                <w:lang w:val="en-US"/>
              </w:rPr>
              <w:t>0.8396</w:t>
            </w:r>
          </w:p>
        </w:tc>
        <w:tc>
          <w:tcPr>
            <w:tcW w:w="2096" w:type="dxa"/>
          </w:tcPr>
          <w:p w14:paraId="16A1537E">
            <w:pPr>
              <w:spacing w:line="360" w:lineRule="auto"/>
              <w:ind w:firstLine="720"/>
              <w:rPr>
                <w:lang w:val="en-US"/>
              </w:rPr>
            </w:pPr>
            <w:r>
              <w:rPr>
                <w:lang w:val="en-US"/>
              </w:rPr>
              <w:t>633.90</w:t>
            </w:r>
          </w:p>
        </w:tc>
      </w:tr>
      <w:tr w14:paraId="0FAB85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2" w:hRule="atLeast"/>
        </w:trPr>
        <w:tc>
          <w:tcPr>
            <w:tcW w:w="2096" w:type="dxa"/>
          </w:tcPr>
          <w:p w14:paraId="7225CED7">
            <w:pPr>
              <w:spacing w:line="360" w:lineRule="auto"/>
              <w:ind w:firstLine="720"/>
              <w:rPr>
                <w:lang w:val="en-US"/>
              </w:rPr>
            </w:pPr>
            <w:r>
              <w:rPr>
                <w:lang w:val="en-US"/>
              </w:rPr>
              <w:t>4</w:t>
            </w:r>
          </w:p>
        </w:tc>
        <w:tc>
          <w:tcPr>
            <w:tcW w:w="2096" w:type="dxa"/>
          </w:tcPr>
          <w:p w14:paraId="2F7D0BFD">
            <w:pPr>
              <w:spacing w:line="360" w:lineRule="auto"/>
              <w:ind w:firstLine="720"/>
              <w:rPr>
                <w:lang w:val="en-US"/>
              </w:rPr>
            </w:pPr>
            <w:r>
              <w:rPr>
                <w:lang w:val="en-US"/>
              </w:rPr>
              <w:t>785</w:t>
            </w:r>
          </w:p>
        </w:tc>
        <w:tc>
          <w:tcPr>
            <w:tcW w:w="2096" w:type="dxa"/>
          </w:tcPr>
          <w:p w14:paraId="6B41A261">
            <w:pPr>
              <w:spacing w:line="360" w:lineRule="auto"/>
              <w:ind w:firstLine="720"/>
              <w:rPr>
                <w:lang w:val="en-US"/>
              </w:rPr>
            </w:pPr>
            <w:r>
              <w:rPr>
                <w:lang w:val="en-US"/>
              </w:rPr>
              <w:t>0.7921</w:t>
            </w:r>
          </w:p>
        </w:tc>
        <w:tc>
          <w:tcPr>
            <w:tcW w:w="2096" w:type="dxa"/>
          </w:tcPr>
          <w:p w14:paraId="4FFF494A">
            <w:pPr>
              <w:spacing w:line="360" w:lineRule="auto"/>
              <w:ind w:firstLine="720"/>
              <w:rPr>
                <w:lang w:val="en-US"/>
              </w:rPr>
            </w:pPr>
            <w:r>
              <w:rPr>
                <w:lang w:val="en-US"/>
              </w:rPr>
              <w:t>776.26</w:t>
            </w:r>
          </w:p>
        </w:tc>
      </w:tr>
      <w:tr w14:paraId="77C71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6288" w:type="dxa"/>
            <w:gridSpan w:val="3"/>
          </w:tcPr>
          <w:p w14:paraId="6CC9F993">
            <w:pPr>
              <w:spacing w:line="360" w:lineRule="auto"/>
              <w:jc w:val="center"/>
              <w:rPr>
                <w:b/>
                <w:bCs/>
                <w:lang w:val="en-US"/>
              </w:rPr>
            </w:pPr>
            <w:r>
              <w:rPr>
                <w:b/>
                <w:bCs/>
                <w:lang w:val="en-US"/>
              </w:rPr>
              <w:t>Net Present Value</w:t>
            </w:r>
          </w:p>
        </w:tc>
        <w:tc>
          <w:tcPr>
            <w:tcW w:w="2096" w:type="dxa"/>
          </w:tcPr>
          <w:p w14:paraId="1B787903">
            <w:pPr>
              <w:spacing w:line="360" w:lineRule="auto"/>
              <w:jc w:val="center"/>
              <w:rPr>
                <w:b/>
                <w:bCs/>
                <w:lang w:val="en-US"/>
              </w:rPr>
            </w:pPr>
            <w:r>
              <w:rPr>
                <w:b/>
                <w:bCs/>
              </w:rPr>
              <w:t>£</w:t>
            </w:r>
            <w:r>
              <w:rPr>
                <w:b/>
                <w:bCs/>
                <w:lang w:val="en-US"/>
              </w:rPr>
              <w:t>792,228</w:t>
            </w:r>
          </w:p>
        </w:tc>
      </w:tr>
    </w:tbl>
    <w:p w14:paraId="7AD268EF">
      <w:pPr>
        <w:spacing w:line="360" w:lineRule="auto"/>
        <w:ind w:firstLine="720"/>
        <w:rPr>
          <w:lang w:val="en-US"/>
        </w:rPr>
      </w:pPr>
      <w:r>
        <w:rPr>
          <w:b/>
          <w:bCs/>
          <w:lang w:val="en-US"/>
        </w:rPr>
        <w:t xml:space="preserve">Trial – 02: </w:t>
      </w:r>
      <w:r>
        <w:rPr>
          <w:lang w:val="en-US"/>
        </w:rPr>
        <w:t>35% Discount Rate</w:t>
      </w:r>
    </w:p>
    <w:tbl>
      <w:tblPr>
        <w:tblStyle w:val="18"/>
        <w:tblW w:w="8264" w:type="dxa"/>
        <w:tblInd w:w="65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66"/>
        <w:gridCol w:w="2066"/>
        <w:gridCol w:w="2066"/>
        <w:gridCol w:w="2066"/>
      </w:tblGrid>
      <w:tr w14:paraId="5FE2B1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5" w:hRule="atLeast"/>
        </w:trPr>
        <w:tc>
          <w:tcPr>
            <w:tcW w:w="2066" w:type="dxa"/>
          </w:tcPr>
          <w:p w14:paraId="75109CB2">
            <w:pPr>
              <w:spacing w:line="360" w:lineRule="auto"/>
              <w:ind w:firstLine="720"/>
              <w:rPr>
                <w:b/>
                <w:bCs/>
                <w:lang w:val="en-US"/>
              </w:rPr>
            </w:pPr>
            <w:r>
              <w:rPr>
                <w:b/>
                <w:bCs/>
                <w:lang w:val="en-US"/>
              </w:rPr>
              <w:t>Year</w:t>
            </w:r>
          </w:p>
        </w:tc>
        <w:tc>
          <w:tcPr>
            <w:tcW w:w="2066" w:type="dxa"/>
          </w:tcPr>
          <w:p w14:paraId="19584CE1">
            <w:pPr>
              <w:spacing w:line="360" w:lineRule="auto"/>
              <w:jc w:val="center"/>
              <w:rPr>
                <w:b/>
                <w:bCs/>
                <w:lang w:val="en-US"/>
              </w:rPr>
            </w:pPr>
            <w:r>
              <w:rPr>
                <w:b/>
                <w:bCs/>
                <w:lang w:val="en-US"/>
              </w:rPr>
              <w:t xml:space="preserve">ATCF </w:t>
            </w:r>
            <w:r>
              <w:rPr>
                <w:b/>
                <w:bCs/>
              </w:rPr>
              <w:t>(£'000)</w:t>
            </w:r>
          </w:p>
        </w:tc>
        <w:tc>
          <w:tcPr>
            <w:tcW w:w="2066" w:type="dxa"/>
          </w:tcPr>
          <w:p w14:paraId="6B8A2316">
            <w:pPr>
              <w:spacing w:line="360" w:lineRule="auto"/>
              <w:jc w:val="center"/>
              <w:rPr>
                <w:b/>
                <w:bCs/>
                <w:lang w:val="en-US"/>
              </w:rPr>
            </w:pPr>
            <w:r>
              <w:rPr>
                <w:b/>
                <w:bCs/>
                <w:lang w:val="en-US"/>
              </w:rPr>
              <w:t>Discount Factor (35%)</w:t>
            </w:r>
          </w:p>
        </w:tc>
        <w:tc>
          <w:tcPr>
            <w:tcW w:w="2066" w:type="dxa"/>
          </w:tcPr>
          <w:p w14:paraId="2D70EA8B">
            <w:pPr>
              <w:spacing w:line="360" w:lineRule="auto"/>
              <w:jc w:val="center"/>
              <w:rPr>
                <w:b/>
                <w:bCs/>
                <w:lang w:val="en-US"/>
              </w:rPr>
            </w:pPr>
            <w:r>
              <w:rPr>
                <w:b/>
                <w:bCs/>
                <w:lang w:val="en-US"/>
              </w:rPr>
              <w:t xml:space="preserve">Present Value </w:t>
            </w:r>
            <w:r>
              <w:rPr>
                <w:b/>
                <w:bCs/>
              </w:rPr>
              <w:t>(£'000)</w:t>
            </w:r>
          </w:p>
        </w:tc>
      </w:tr>
      <w:tr w14:paraId="52908B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2066" w:type="dxa"/>
          </w:tcPr>
          <w:p w14:paraId="16C1A2D9">
            <w:pPr>
              <w:spacing w:line="360" w:lineRule="auto"/>
              <w:ind w:firstLine="720"/>
              <w:rPr>
                <w:lang w:val="en-US"/>
              </w:rPr>
            </w:pPr>
            <w:r>
              <w:rPr>
                <w:lang w:val="en-US"/>
              </w:rPr>
              <w:t>0</w:t>
            </w:r>
          </w:p>
        </w:tc>
        <w:tc>
          <w:tcPr>
            <w:tcW w:w="2066" w:type="dxa"/>
          </w:tcPr>
          <w:p w14:paraId="1D911CA6">
            <w:pPr>
              <w:spacing w:line="360" w:lineRule="auto"/>
              <w:jc w:val="center"/>
              <w:rPr>
                <w:lang w:val="en-US"/>
              </w:rPr>
            </w:pPr>
            <w:r>
              <w:rPr>
                <w:lang w:val="en-US"/>
              </w:rPr>
              <w:t>(1,000)</w:t>
            </w:r>
          </w:p>
        </w:tc>
        <w:tc>
          <w:tcPr>
            <w:tcW w:w="2066" w:type="dxa"/>
          </w:tcPr>
          <w:p w14:paraId="6304E086">
            <w:pPr>
              <w:spacing w:line="360" w:lineRule="auto"/>
              <w:ind w:firstLine="720"/>
              <w:rPr>
                <w:lang w:val="en-US"/>
              </w:rPr>
            </w:pPr>
            <w:r>
              <w:rPr>
                <w:lang w:val="en-US"/>
              </w:rPr>
              <w:t>1.00</w:t>
            </w:r>
          </w:p>
        </w:tc>
        <w:tc>
          <w:tcPr>
            <w:tcW w:w="2066" w:type="dxa"/>
          </w:tcPr>
          <w:p w14:paraId="4D2654D0">
            <w:pPr>
              <w:spacing w:line="360" w:lineRule="auto"/>
              <w:jc w:val="center"/>
              <w:rPr>
                <w:lang w:val="en-US"/>
              </w:rPr>
            </w:pPr>
            <w:r>
              <w:rPr>
                <w:lang w:val="en-US"/>
              </w:rPr>
              <w:t>(1,000)</w:t>
            </w:r>
          </w:p>
        </w:tc>
      </w:tr>
      <w:tr w14:paraId="7E44D0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2066" w:type="dxa"/>
          </w:tcPr>
          <w:p w14:paraId="0E36231E">
            <w:pPr>
              <w:spacing w:line="360" w:lineRule="auto"/>
              <w:ind w:firstLine="720"/>
              <w:rPr>
                <w:lang w:val="en-US"/>
              </w:rPr>
            </w:pPr>
            <w:r>
              <w:rPr>
                <w:lang w:val="en-US"/>
              </w:rPr>
              <w:t>1</w:t>
            </w:r>
          </w:p>
        </w:tc>
        <w:tc>
          <w:tcPr>
            <w:tcW w:w="2066" w:type="dxa"/>
          </w:tcPr>
          <w:p w14:paraId="4DEDFD3B">
            <w:pPr>
              <w:spacing w:line="360" w:lineRule="auto"/>
              <w:ind w:firstLine="720"/>
              <w:rPr>
                <w:lang w:val="en-US"/>
              </w:rPr>
            </w:pPr>
            <w:r>
              <w:rPr>
                <w:lang w:val="en-US"/>
              </w:rPr>
              <w:t>350</w:t>
            </w:r>
          </w:p>
        </w:tc>
        <w:tc>
          <w:tcPr>
            <w:tcW w:w="2066" w:type="dxa"/>
          </w:tcPr>
          <w:p w14:paraId="3E189747">
            <w:pPr>
              <w:spacing w:line="360" w:lineRule="auto"/>
              <w:jc w:val="center"/>
              <w:rPr>
                <w:lang w:val="en-US"/>
              </w:rPr>
            </w:pPr>
            <w:r>
              <w:rPr>
                <w:lang w:val="en-US"/>
              </w:rPr>
              <w:t>0.7407</w:t>
            </w:r>
          </w:p>
        </w:tc>
        <w:tc>
          <w:tcPr>
            <w:tcW w:w="2066" w:type="dxa"/>
          </w:tcPr>
          <w:p w14:paraId="50704646">
            <w:pPr>
              <w:spacing w:line="360" w:lineRule="auto"/>
              <w:jc w:val="center"/>
              <w:rPr>
                <w:lang w:val="en-US"/>
              </w:rPr>
            </w:pPr>
            <w:r>
              <w:rPr>
                <w:lang w:val="en-US"/>
              </w:rPr>
              <w:t>259.26</w:t>
            </w:r>
          </w:p>
        </w:tc>
      </w:tr>
      <w:tr w14:paraId="281D6A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2066" w:type="dxa"/>
          </w:tcPr>
          <w:p w14:paraId="30F466DC">
            <w:pPr>
              <w:spacing w:line="360" w:lineRule="auto"/>
              <w:ind w:firstLine="720"/>
              <w:rPr>
                <w:lang w:val="en-US"/>
              </w:rPr>
            </w:pPr>
            <w:r>
              <w:rPr>
                <w:lang w:val="en-US"/>
              </w:rPr>
              <w:t>2</w:t>
            </w:r>
          </w:p>
        </w:tc>
        <w:tc>
          <w:tcPr>
            <w:tcW w:w="2066" w:type="dxa"/>
          </w:tcPr>
          <w:p w14:paraId="2B1AC517">
            <w:pPr>
              <w:spacing w:line="360" w:lineRule="auto"/>
              <w:ind w:firstLine="720"/>
              <w:rPr>
                <w:lang w:val="en-US"/>
              </w:rPr>
            </w:pPr>
            <w:r>
              <w:rPr>
                <w:lang w:val="en-US"/>
              </w:rPr>
              <w:t>387.5</w:t>
            </w:r>
          </w:p>
        </w:tc>
        <w:tc>
          <w:tcPr>
            <w:tcW w:w="2066" w:type="dxa"/>
          </w:tcPr>
          <w:p w14:paraId="3D07BB8D">
            <w:pPr>
              <w:spacing w:line="360" w:lineRule="auto"/>
              <w:jc w:val="center"/>
              <w:rPr>
                <w:lang w:val="en-US"/>
              </w:rPr>
            </w:pPr>
            <w:r>
              <w:rPr>
                <w:lang w:val="en-US"/>
              </w:rPr>
              <w:t>0.5487</w:t>
            </w:r>
          </w:p>
        </w:tc>
        <w:tc>
          <w:tcPr>
            <w:tcW w:w="2066" w:type="dxa"/>
          </w:tcPr>
          <w:p w14:paraId="6CB2F2E7">
            <w:pPr>
              <w:spacing w:line="360" w:lineRule="auto"/>
              <w:jc w:val="center"/>
              <w:rPr>
                <w:lang w:val="en-US"/>
              </w:rPr>
            </w:pPr>
            <w:r>
              <w:rPr>
                <w:lang w:val="en-US"/>
              </w:rPr>
              <w:t>212.62</w:t>
            </w:r>
          </w:p>
        </w:tc>
      </w:tr>
      <w:tr w14:paraId="3D5C55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2066" w:type="dxa"/>
          </w:tcPr>
          <w:p w14:paraId="0B80F28A">
            <w:pPr>
              <w:spacing w:line="360" w:lineRule="auto"/>
              <w:ind w:firstLine="720"/>
              <w:rPr>
                <w:lang w:val="en-US"/>
              </w:rPr>
            </w:pPr>
            <w:r>
              <w:rPr>
                <w:lang w:val="en-US"/>
              </w:rPr>
              <w:t>3</w:t>
            </w:r>
          </w:p>
        </w:tc>
        <w:tc>
          <w:tcPr>
            <w:tcW w:w="2066" w:type="dxa"/>
          </w:tcPr>
          <w:p w14:paraId="6CE545D6">
            <w:pPr>
              <w:spacing w:line="360" w:lineRule="auto"/>
              <w:ind w:firstLine="720"/>
              <w:rPr>
                <w:lang w:val="en-US"/>
              </w:rPr>
            </w:pPr>
            <w:r>
              <w:rPr>
                <w:lang w:val="en-US"/>
              </w:rPr>
              <w:t>590</w:t>
            </w:r>
          </w:p>
        </w:tc>
        <w:tc>
          <w:tcPr>
            <w:tcW w:w="2066" w:type="dxa"/>
          </w:tcPr>
          <w:p w14:paraId="32B51B4E">
            <w:pPr>
              <w:spacing w:line="360" w:lineRule="auto"/>
              <w:jc w:val="center"/>
              <w:rPr>
                <w:lang w:val="en-US"/>
              </w:rPr>
            </w:pPr>
            <w:r>
              <w:rPr>
                <w:lang w:val="en-US"/>
              </w:rPr>
              <w:t>0.4064</w:t>
            </w:r>
          </w:p>
        </w:tc>
        <w:tc>
          <w:tcPr>
            <w:tcW w:w="2066" w:type="dxa"/>
          </w:tcPr>
          <w:p w14:paraId="68E53CDA">
            <w:pPr>
              <w:spacing w:line="360" w:lineRule="auto"/>
              <w:jc w:val="center"/>
              <w:rPr>
                <w:lang w:val="en-US"/>
              </w:rPr>
            </w:pPr>
            <w:r>
              <w:rPr>
                <w:lang w:val="en-US"/>
              </w:rPr>
              <w:t>239.78</w:t>
            </w:r>
          </w:p>
        </w:tc>
      </w:tr>
      <w:tr w14:paraId="366A93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2066" w:type="dxa"/>
          </w:tcPr>
          <w:p w14:paraId="1A586F8A">
            <w:pPr>
              <w:spacing w:line="360" w:lineRule="auto"/>
              <w:ind w:firstLine="720"/>
              <w:rPr>
                <w:lang w:val="en-US"/>
              </w:rPr>
            </w:pPr>
            <w:r>
              <w:rPr>
                <w:lang w:val="en-US"/>
              </w:rPr>
              <w:t>4</w:t>
            </w:r>
          </w:p>
        </w:tc>
        <w:tc>
          <w:tcPr>
            <w:tcW w:w="2066" w:type="dxa"/>
          </w:tcPr>
          <w:p w14:paraId="4DBBB4D5">
            <w:pPr>
              <w:spacing w:line="360" w:lineRule="auto"/>
              <w:ind w:firstLine="720"/>
              <w:rPr>
                <w:lang w:val="en-US"/>
              </w:rPr>
            </w:pPr>
            <w:r>
              <w:rPr>
                <w:lang w:val="en-US"/>
              </w:rPr>
              <w:t>785</w:t>
            </w:r>
          </w:p>
        </w:tc>
        <w:tc>
          <w:tcPr>
            <w:tcW w:w="2066" w:type="dxa"/>
          </w:tcPr>
          <w:p w14:paraId="351535F5">
            <w:pPr>
              <w:spacing w:line="360" w:lineRule="auto"/>
              <w:jc w:val="center"/>
              <w:rPr>
                <w:lang w:val="en-US"/>
              </w:rPr>
            </w:pPr>
            <w:r>
              <w:rPr>
                <w:lang w:val="en-US"/>
              </w:rPr>
              <w:t>0.3011</w:t>
            </w:r>
          </w:p>
        </w:tc>
        <w:tc>
          <w:tcPr>
            <w:tcW w:w="2066" w:type="dxa"/>
          </w:tcPr>
          <w:p w14:paraId="09C3C509">
            <w:pPr>
              <w:spacing w:line="360" w:lineRule="auto"/>
              <w:jc w:val="center"/>
              <w:rPr>
                <w:lang w:val="en-US"/>
              </w:rPr>
            </w:pPr>
            <w:r>
              <w:rPr>
                <w:lang w:val="en-US"/>
              </w:rPr>
              <w:t>236.36</w:t>
            </w:r>
          </w:p>
        </w:tc>
      </w:tr>
      <w:tr w14:paraId="28CDAB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6198" w:type="dxa"/>
            <w:gridSpan w:val="3"/>
          </w:tcPr>
          <w:p w14:paraId="5C30ABF1">
            <w:pPr>
              <w:spacing w:line="360" w:lineRule="auto"/>
              <w:ind w:firstLine="720"/>
              <w:jc w:val="center"/>
              <w:rPr>
                <w:b/>
                <w:bCs/>
                <w:lang w:val="en-US"/>
              </w:rPr>
            </w:pPr>
            <w:r>
              <w:rPr>
                <w:b/>
                <w:bCs/>
                <w:lang w:val="en-US"/>
              </w:rPr>
              <w:t>Net Present Value</w:t>
            </w:r>
          </w:p>
        </w:tc>
        <w:tc>
          <w:tcPr>
            <w:tcW w:w="2066" w:type="dxa"/>
          </w:tcPr>
          <w:p w14:paraId="524128F9">
            <w:pPr>
              <w:spacing w:line="360" w:lineRule="auto"/>
              <w:jc w:val="center"/>
              <w:rPr>
                <w:b/>
                <w:bCs/>
                <w:lang w:val="en-US"/>
              </w:rPr>
            </w:pPr>
            <w:r>
              <w:rPr>
                <w:b/>
                <w:bCs/>
              </w:rPr>
              <w:t>(£51,980)</w:t>
            </w:r>
          </w:p>
        </w:tc>
      </w:tr>
    </w:tbl>
    <w:p w14:paraId="44481136">
      <w:pPr>
        <w:spacing w:line="360" w:lineRule="auto"/>
        <w:ind w:firstLine="720"/>
        <w:rPr>
          <w:lang w:val="en-US"/>
        </w:rPr>
      </w:pPr>
      <w:r>
        <w:rPr>
          <w:lang w:val="en-US"/>
        </w:rPr>
        <w:t xml:space="preserve">Hence, IRR is: </w:t>
      </w:r>
    </w:p>
    <w:p w14:paraId="0E76F69C">
      <w:pPr>
        <w:spacing w:line="360" w:lineRule="auto"/>
        <w:ind w:firstLine="720"/>
        <w:rPr>
          <w:lang w:val="en-US"/>
        </w:rPr>
      </w:pPr>
      <w:r>
        <w:rPr>
          <w:lang w:val="en-US"/>
        </w:rPr>
        <w:t xml:space="preserve">= 6% + [(792,228 / (792,228 – (-51,980)] * (35% - 6%) </w:t>
      </w:r>
    </w:p>
    <w:p w14:paraId="3DE0DB89">
      <w:pPr>
        <w:spacing w:line="360" w:lineRule="auto"/>
        <w:ind w:firstLine="720"/>
        <w:rPr>
          <w:b/>
          <w:bCs/>
          <w:lang w:val="en-US"/>
        </w:rPr>
      </w:pPr>
      <w:r>
        <w:rPr>
          <w:lang w:val="en-US"/>
        </w:rPr>
        <w:t xml:space="preserve">= </w:t>
      </w:r>
      <w:r>
        <w:rPr>
          <w:b/>
          <w:bCs/>
          <w:lang w:val="en-US"/>
        </w:rPr>
        <w:t>33.21%</w:t>
      </w:r>
    </w:p>
    <w:p w14:paraId="21DF1828">
      <w:pPr>
        <w:spacing w:line="360" w:lineRule="auto"/>
        <w:ind w:firstLine="720"/>
        <w:rPr>
          <w:lang w:val="en-US"/>
        </w:rPr>
      </w:pPr>
      <w:r>
        <w:rPr>
          <w:lang w:val="en-US"/>
        </w:rPr>
        <w:t>Thus, the internal rate of return of Option B is 33.21%.</w:t>
      </w:r>
    </w:p>
    <w:p w14:paraId="4BEB4127">
      <w:pPr>
        <w:pStyle w:val="3"/>
        <w:rPr>
          <w:lang w:val="en-US"/>
        </w:rPr>
      </w:pPr>
      <w:bookmarkStart w:id="18" w:name="_Toc219049747"/>
      <w:r>
        <w:rPr>
          <w:lang w:val="en-US"/>
        </w:rPr>
        <w:t>Interpretation of Results for Management</w:t>
      </w:r>
      <w:bookmarkEnd w:id="18"/>
    </w:p>
    <w:p w14:paraId="1B2F4FAF">
      <w:pPr>
        <w:spacing w:line="360" w:lineRule="auto"/>
        <w:ind w:left="720"/>
        <w:rPr>
          <w:lang w:val="en-US"/>
        </w:rPr>
      </w:pPr>
      <w:r>
        <w:rPr>
          <w:lang w:val="en-US"/>
        </w:rPr>
        <w:t>Firstly, the NPV of Option B is the highest of any other option, as it is the option that has resulted in the highest NPV for the company’s resources. This means that Option B will be able to generate the most amount of wealth for the company. Again, from the internal rate of return perspective, the calculated 33.21% of IRR exceeds the cost of capital at 6% by over 27%. This means that the company will be able to offset any calculation error (</w:t>
      </w:r>
      <w:r>
        <w:t>Wang, 2021)</w:t>
      </w:r>
      <w:r>
        <w:rPr>
          <w:lang w:val="en-US"/>
        </w:rPr>
        <w:t>. Again, if the cash flows are not consistent by a big margin, this option will still be profitable for Westward PLC to move forward with. From another aspect of value creation, the company will be able to generate almost 80% of value for the 1,000,000 initial investment, which is a great ratio for the company over a period of 4 years.</w:t>
      </w:r>
    </w:p>
    <w:p w14:paraId="721E1068">
      <w:pPr>
        <w:spacing w:line="360" w:lineRule="auto"/>
        <w:ind w:left="720"/>
        <w:rPr>
          <w:lang w:val="en-US"/>
        </w:rPr>
      </w:pPr>
      <w:r>
        <w:rPr>
          <w:lang w:val="en-US"/>
        </w:rPr>
        <w:t>Overall, the company can decide upon the option using both the NPV and the IRR method, as both have resulted in massively profitable scenarios. Although IRR has its major limitations for its applications, NPV remains a viable option to rely upon and make a sound investment decision to generate the most amount of wealth using the 1,000,000 Pounds of investments (</w:t>
      </w:r>
      <w:r>
        <w:t>Yan and Zhang, 2022)</w:t>
      </w:r>
      <w:r>
        <w:rPr>
          <w:lang w:val="en-US"/>
        </w:rPr>
        <w:t>.</w:t>
      </w:r>
    </w:p>
    <w:p w14:paraId="7382E9B9">
      <w:pPr>
        <w:pStyle w:val="3"/>
        <w:rPr>
          <w:lang w:val="en-US"/>
        </w:rPr>
      </w:pPr>
      <w:bookmarkStart w:id="19" w:name="_Toc219049748"/>
      <w:r>
        <w:rPr>
          <w:lang w:val="en-US"/>
        </w:rPr>
        <w:t>Reasoning for Continued Popularity of Non-Discounting Methods</w:t>
      </w:r>
      <w:bookmarkEnd w:id="19"/>
    </w:p>
    <w:p w14:paraId="004D4F6E">
      <w:pPr>
        <w:spacing w:line="360" w:lineRule="auto"/>
        <w:ind w:left="720"/>
        <w:rPr>
          <w:lang w:val="en-US"/>
        </w:rPr>
      </w:pPr>
      <w:r>
        <w:rPr>
          <w:lang w:val="en-US"/>
        </w:rPr>
        <w:t>Although discounted appraisal methods such as NPV, IRR, and discounted payback periods have the most utility for any investor considering any type of project, the popularity of non-discounting methods remains high for a few specific reasons. They are as follows.</w:t>
      </w:r>
    </w:p>
    <w:p w14:paraId="3B604E25">
      <w:pPr>
        <w:spacing w:line="360" w:lineRule="auto"/>
        <w:ind w:left="720"/>
        <w:rPr>
          <w:lang w:val="en-US"/>
        </w:rPr>
      </w:pPr>
      <w:r>
        <w:rPr>
          <w:lang w:val="en-US"/>
        </w:rPr>
        <w:t>One of the major reasons is the simplicity and comprehensibility of these methods, exceeding the expectations of the investors. As payback period, accounting rate of returns and other non-discounting methods are easy to calculate and apply to projects, investors tend to cater to these more often than not (</w:t>
      </w:r>
      <w:r>
        <w:t>FasterCapital, 2024)</w:t>
      </w:r>
      <w:r>
        <w:rPr>
          <w:lang w:val="en-US"/>
        </w:rPr>
        <w:t>.</w:t>
      </w:r>
    </w:p>
    <w:p w14:paraId="25C9CF0E">
      <w:pPr>
        <w:spacing w:line="360" w:lineRule="auto"/>
        <w:ind w:left="720"/>
        <w:rPr>
          <w:lang w:val="en-US"/>
        </w:rPr>
      </w:pPr>
      <w:r>
        <w:rPr>
          <w:lang w:val="en-US"/>
        </w:rPr>
        <w:t>Secondly, NPV and IRR, despite being sound appraisal methods, do not provide any indication towards timeframe required to acquire the initial investments back. As a result, liquidity risk management can be very difficult by relying solely on discounting methods (</w:t>
      </w:r>
      <w:r>
        <w:t>Lanjewar and Bansal, 2021)</w:t>
      </w:r>
      <w:r>
        <w:rPr>
          <w:lang w:val="en-US"/>
        </w:rPr>
        <w:t>. As a result, non-discounting methods such as payback period tend to remain popular for their ease of access and ability to translate project viability in the form of time required to get the initial investments back.</w:t>
      </w:r>
    </w:p>
    <w:p w14:paraId="6B97CD54">
      <w:pPr>
        <w:spacing w:line="360" w:lineRule="auto"/>
        <w:ind w:left="720"/>
        <w:rPr>
          <w:lang w:val="en-US"/>
        </w:rPr>
      </w:pPr>
      <w:r>
        <w:rPr>
          <w:lang w:val="en-US"/>
        </w:rPr>
        <w:t>Lastly, non-discounting methods do not require complex assumptions to base an investment decision. This is because discounted methods, such as NPV and IRR, have certain assumptions in play for making the decision to be taken and complicate the process to reach a sound decision. As a result, investors fundamentally rely upon the non-discounting methods to screen and filter out irrelevant and undesirable projects first and then go on to use the discounted methods to assess the ultimate feasibility of a project.</w:t>
      </w:r>
    </w:p>
    <w:p w14:paraId="3781A5B6">
      <w:pPr>
        <w:pStyle w:val="3"/>
        <w:rPr>
          <w:lang w:val="en-US"/>
        </w:rPr>
      </w:pPr>
      <w:bookmarkStart w:id="20" w:name="_Toc219049749"/>
      <w:r>
        <w:rPr>
          <w:lang w:val="en-US"/>
        </w:rPr>
        <w:t>Additional Factors to Consider for Investment Decisions</w:t>
      </w:r>
      <w:bookmarkEnd w:id="20"/>
    </w:p>
    <w:p w14:paraId="03BEFE61">
      <w:pPr>
        <w:spacing w:line="360" w:lineRule="auto"/>
        <w:ind w:left="720"/>
        <w:rPr>
          <w:lang w:val="en-US"/>
        </w:rPr>
      </w:pPr>
      <w:r>
        <w:rPr>
          <w:lang w:val="en-US"/>
        </w:rPr>
        <w:t>As investment decisions can significantly affect the operational sustainability of a company, making sound decisions and allocating resources to the best combination of risk and reward are of importance. This is why considering the additional factors for making investment decisions is necessary. These additional factors are as follows.</w:t>
      </w:r>
    </w:p>
    <w:p w14:paraId="5E0DABBD">
      <w:pPr>
        <w:spacing w:line="360" w:lineRule="auto"/>
        <w:ind w:left="720"/>
        <w:rPr>
          <w:lang w:val="en-US"/>
        </w:rPr>
      </w:pPr>
      <w:r>
        <w:rPr>
          <w:lang w:val="en-US"/>
        </w:rPr>
        <w:t>One of the most important factors in making investment decisions is to assess strategic alignment between projects and the company’s competitive positioning, as making wrong choices can lead to long-term unsustainability of the projects (</w:t>
      </w:r>
      <w:r>
        <w:t>Mutswenje, 2009)</w:t>
      </w:r>
      <w:r>
        <w:rPr>
          <w:lang w:val="en-US"/>
        </w:rPr>
        <w:t>. For instance, the use of Gigafactories by Tesla is underpinned by its ability to vertically integrate the operations of the company. As a result, investing in such projects remains strategically aligned even if the underlying risks are massive alongside the capital requirement.</w:t>
      </w:r>
    </w:p>
    <w:p w14:paraId="2399E7D4">
      <w:pPr>
        <w:spacing w:line="360" w:lineRule="auto"/>
        <w:ind w:left="720"/>
        <w:rPr>
          <w:lang w:val="en-US"/>
        </w:rPr>
      </w:pPr>
      <w:r>
        <w:rPr>
          <w:lang w:val="en-US"/>
        </w:rPr>
        <w:t>The importance of having options is increasingly becoming important because not having flexibility can cost thousands and millions of Pounds if the projects cannot be expanded, abandoned, delayed or modified (</w:t>
      </w:r>
      <w:r>
        <w:t>Abdul Kareem et al., 2023)</w:t>
      </w:r>
      <w:r>
        <w:rPr>
          <w:lang w:val="en-US"/>
        </w:rPr>
        <w:t xml:space="preserve">. In this regard, Amazon’s fulfilment network expansion project showcases the importance of these flexibilities. </w:t>
      </w:r>
    </w:p>
    <w:p w14:paraId="6713F131">
      <w:pPr>
        <w:pStyle w:val="3"/>
        <w:rPr>
          <w:lang w:val="en-US"/>
        </w:rPr>
      </w:pPr>
      <w:bookmarkStart w:id="21" w:name="_Toc219049750"/>
      <w:r>
        <w:rPr>
          <w:lang w:val="en-US"/>
        </w:rPr>
        <w:t>Capital Rationing Analysis</w:t>
      </w:r>
      <w:bookmarkEnd w:id="21"/>
    </w:p>
    <w:p w14:paraId="0318D81F">
      <w:pPr>
        <w:spacing w:line="360" w:lineRule="auto"/>
        <w:ind w:left="720"/>
        <w:rPr>
          <w:lang w:val="en-US"/>
        </w:rPr>
      </w:pPr>
      <w:r>
        <w:rPr>
          <w:lang w:val="en-US"/>
        </w:rPr>
        <w:t>Capital rationing is the process of allocating resources to the most optimal projects when a company has many projects to invest in, but does not have the necessary financial resources to do so. In this regard, capital rationing is undertaken by using the profitability index of all the projects available, where the projects to which investments are allocated are assessed based on the risk-to-reward principle (</w:t>
      </w:r>
      <w:r>
        <w:t>Brüggen and Luft, 2011)</w:t>
      </w:r>
      <w:r>
        <w:rPr>
          <w:lang w:val="en-US"/>
        </w:rPr>
        <w:t>. Now, the profitability index of the three options for Westward PLC is calculated below to make a decision.</w:t>
      </w:r>
    </w:p>
    <w:p w14:paraId="52224E17">
      <w:pPr>
        <w:spacing w:line="360" w:lineRule="auto"/>
        <w:ind w:left="720"/>
        <w:rPr>
          <w:lang w:val="en-US"/>
        </w:rPr>
      </w:pPr>
      <w:r>
        <w:rPr>
          <w:b/>
          <w:bCs/>
          <w:lang w:val="en-US"/>
        </w:rPr>
        <w:t xml:space="preserve">Option A: </w:t>
      </w:r>
      <w:r>
        <w:rPr>
          <w:lang w:val="en-US"/>
        </w:rPr>
        <w:t>(12,43,170 / 600,000) = 2.07</w:t>
      </w:r>
    </w:p>
    <w:p w14:paraId="3B97172C">
      <w:pPr>
        <w:spacing w:line="360" w:lineRule="auto"/>
        <w:ind w:left="720"/>
        <w:rPr>
          <w:lang w:val="en-US"/>
        </w:rPr>
      </w:pPr>
      <w:r>
        <w:rPr>
          <w:b/>
          <w:bCs/>
          <w:lang w:val="en-US"/>
        </w:rPr>
        <w:t xml:space="preserve">Option B: </w:t>
      </w:r>
      <w:r>
        <w:rPr>
          <w:lang w:val="en-US"/>
        </w:rPr>
        <w:t>(1,792,230 / 1,000,000) = 1.79</w:t>
      </w:r>
    </w:p>
    <w:p w14:paraId="08A84E36">
      <w:pPr>
        <w:spacing w:line="360" w:lineRule="auto"/>
        <w:ind w:left="720"/>
        <w:rPr>
          <w:lang w:val="en-US"/>
        </w:rPr>
      </w:pPr>
      <w:r>
        <w:rPr>
          <w:b/>
          <w:bCs/>
          <w:lang w:val="en-US"/>
        </w:rPr>
        <w:t xml:space="preserve">Option C: </w:t>
      </w:r>
      <w:r>
        <w:rPr>
          <w:lang w:val="en-US"/>
        </w:rPr>
        <w:t>(2,342,480 / 1,600,000) = 1.46</w:t>
      </w:r>
    </w:p>
    <w:p w14:paraId="4A8A6D7C">
      <w:pPr>
        <w:spacing w:line="360" w:lineRule="auto"/>
        <w:ind w:left="720"/>
        <w:rPr>
          <w:lang w:val="en-US"/>
        </w:rPr>
      </w:pPr>
      <w:r>
        <w:rPr>
          <w:lang w:val="en-US"/>
        </w:rPr>
        <w:t>Based on the budget of 2,500,000 Pounds and the profitability index, the company should follow the following capital allocation.</w:t>
      </w:r>
    </w:p>
    <w:p w14:paraId="3F8053B2">
      <w:pPr>
        <w:pStyle w:val="36"/>
        <w:numPr>
          <w:ilvl w:val="0"/>
          <w:numId w:val="4"/>
        </w:numPr>
        <w:spacing w:line="360" w:lineRule="auto"/>
        <w:rPr>
          <w:b/>
          <w:bCs/>
          <w:lang w:val="en-US"/>
        </w:rPr>
      </w:pPr>
      <w:r>
        <w:rPr>
          <w:b/>
          <w:bCs/>
          <w:lang w:val="en-US"/>
        </w:rPr>
        <w:t>Invest 100% in Option A</w:t>
      </w:r>
    </w:p>
    <w:p w14:paraId="30DF27E0">
      <w:pPr>
        <w:pStyle w:val="36"/>
        <w:numPr>
          <w:ilvl w:val="0"/>
          <w:numId w:val="3"/>
        </w:numPr>
        <w:spacing w:line="360" w:lineRule="auto"/>
        <w:rPr>
          <w:b/>
          <w:bCs/>
          <w:lang w:val="en-US"/>
        </w:rPr>
      </w:pPr>
      <w:r>
        <w:rPr>
          <w:lang w:val="en-US"/>
        </w:rPr>
        <w:t>This leaves the company with 1,900,000 Pounds of budget.</w:t>
      </w:r>
    </w:p>
    <w:p w14:paraId="663DD374">
      <w:pPr>
        <w:pStyle w:val="36"/>
        <w:numPr>
          <w:ilvl w:val="0"/>
          <w:numId w:val="4"/>
        </w:numPr>
        <w:spacing w:line="360" w:lineRule="auto"/>
        <w:rPr>
          <w:b/>
          <w:bCs/>
          <w:lang w:val="en-US"/>
        </w:rPr>
      </w:pPr>
      <w:r>
        <w:rPr>
          <w:b/>
          <w:bCs/>
          <w:lang w:val="en-US"/>
        </w:rPr>
        <w:t>Invest 100% in Option B</w:t>
      </w:r>
    </w:p>
    <w:p w14:paraId="6F85AD3F">
      <w:pPr>
        <w:pStyle w:val="36"/>
        <w:numPr>
          <w:ilvl w:val="0"/>
          <w:numId w:val="3"/>
        </w:numPr>
        <w:spacing w:line="360" w:lineRule="auto"/>
        <w:rPr>
          <w:b/>
          <w:bCs/>
          <w:lang w:val="en-US"/>
        </w:rPr>
      </w:pPr>
      <w:r>
        <w:rPr>
          <w:lang w:val="en-US"/>
        </w:rPr>
        <w:t>This leaves the company with 900,000 Pounds of budget.</w:t>
      </w:r>
    </w:p>
    <w:p w14:paraId="778F8768">
      <w:pPr>
        <w:pStyle w:val="36"/>
        <w:numPr>
          <w:ilvl w:val="0"/>
          <w:numId w:val="4"/>
        </w:numPr>
        <w:spacing w:line="360" w:lineRule="auto"/>
        <w:rPr>
          <w:b/>
          <w:bCs/>
          <w:lang w:val="en-US"/>
        </w:rPr>
      </w:pPr>
      <w:r>
        <w:rPr>
          <w:b/>
          <w:bCs/>
          <w:lang w:val="en-US"/>
        </w:rPr>
        <w:t>Invest 56.25% in Option C</w:t>
      </w:r>
    </w:p>
    <w:p w14:paraId="0AB143C9">
      <w:pPr>
        <w:pStyle w:val="36"/>
        <w:numPr>
          <w:ilvl w:val="0"/>
          <w:numId w:val="3"/>
        </w:numPr>
        <w:spacing w:line="360" w:lineRule="auto"/>
        <w:rPr>
          <w:b/>
          <w:bCs/>
          <w:lang w:val="en-US"/>
        </w:rPr>
      </w:pPr>
      <w:r>
        <w:rPr>
          <w:lang w:val="en-US"/>
        </w:rPr>
        <w:t>This leaves the company with no budget at all, but invests all of the company’s budget based on the profitability of the projects.</w:t>
      </w:r>
    </w:p>
    <w:p w14:paraId="0FB3CE56">
      <w:pPr>
        <w:spacing w:line="360" w:lineRule="auto"/>
        <w:ind w:left="720"/>
        <w:rPr>
          <w:b/>
          <w:bCs/>
          <w:lang w:val="en-US"/>
        </w:rPr>
      </w:pPr>
      <w:r>
        <w:rPr>
          <w:lang w:val="en-US"/>
        </w:rPr>
        <w:t xml:space="preserve">Based on the above allocation, Westward PLC can expect to achieve a profitability of (643,170 + 792,230 + 417,645) = 1,853,045 Pounds on an investment of 2,500,000 Pounds. </w:t>
      </w:r>
    </w:p>
    <w:p w14:paraId="7019430D">
      <w:pPr>
        <w:pStyle w:val="3"/>
        <w:rPr>
          <w:lang w:val="en-US"/>
        </w:rPr>
      </w:pPr>
      <w:bookmarkStart w:id="22" w:name="_Toc219049751"/>
      <w:r>
        <w:rPr>
          <w:lang w:val="en-US"/>
        </w:rPr>
        <w:t>Sources of Finances for Investment Program</w:t>
      </w:r>
      <w:bookmarkEnd w:id="22"/>
    </w:p>
    <w:p w14:paraId="6F99F39C">
      <w:pPr>
        <w:spacing w:line="360" w:lineRule="auto"/>
        <w:ind w:left="720"/>
        <w:rPr>
          <w:lang w:val="en-US"/>
        </w:rPr>
      </w:pPr>
      <w:r>
        <w:rPr>
          <w:lang w:val="en-US"/>
        </w:rPr>
        <w:t>In order to finance the investment program by Westward PLC, the company has certain options open to source the funds. These sources include equity financing in the form of retained earnings and new share issuance &amp; debt financing, including bank loans. Now, all of these options have their own advantages and disadvantages. They are outlined below.</w:t>
      </w:r>
    </w:p>
    <w:p w14:paraId="441D3E5E">
      <w:pPr>
        <w:spacing w:line="360" w:lineRule="auto"/>
        <w:ind w:left="720"/>
        <w:rPr>
          <w:lang w:val="en-US"/>
        </w:rPr>
      </w:pPr>
      <w:r>
        <w:rPr>
          <w:b/>
          <w:bCs/>
          <w:lang w:val="en-US"/>
        </w:rPr>
        <w:t xml:space="preserve">Retained Earnings: </w:t>
      </w:r>
      <w:r>
        <w:rPr>
          <w:lang w:val="en-US"/>
        </w:rPr>
        <w:t>These earnings refer to the accumulated profits of an organisation that it can use to fund future projects. Now, this is one of the most accessible sources of funds available to a company. Here, the main advantages include the ability to use readily accessible funds right away, with no costs involved, such as marketing fees, underwriting, etc. However, it comes with its fair share of issues. These challenges include the limited availability of such funds, with which the company cannot undertake massive projects. Moreover, if the company does not distribute most of its earnings to the shareholders without any valid reason, it can give birth to unsatisfactory outbursts from the shareholders (</w:t>
      </w:r>
      <w:r>
        <w:t>Preferred CFO, 2024)</w:t>
      </w:r>
      <w:r>
        <w:rPr>
          <w:lang w:val="en-US"/>
        </w:rPr>
        <w:t>.</w:t>
      </w:r>
    </w:p>
    <w:p w14:paraId="52C93A53">
      <w:pPr>
        <w:spacing w:line="360" w:lineRule="auto"/>
        <w:ind w:left="720"/>
        <w:rPr>
          <w:lang w:val="en-US"/>
        </w:rPr>
      </w:pPr>
      <w:r>
        <w:rPr>
          <w:b/>
          <w:bCs/>
          <w:lang w:val="en-US"/>
        </w:rPr>
        <w:t xml:space="preserve">New Share Issuance: </w:t>
      </w:r>
      <w:r>
        <w:rPr>
          <w:lang w:val="en-US"/>
        </w:rPr>
        <w:t>This is a commonly used source by PLCs, by issuing newer shares to the public in order to raise more funds for a company. The major advantages of the company relate to the capacity of the company to use the capital for as long as it operates without any obligation to pay the capital back. Moreover, there remains flexibility in making dividend payments, as companies don't need to pay dividends as they do with interest payments. But there are challenges, too. These include ownership dilution of existing shareholders if the company issues new shares, which leads to dilution of both control and ownership in the company. Moreover, there are many types of costs involved, including floatation costs such as underwriting, professional fees, marketing, etc. Again, it is necessary to mandatorily disclose the issuances of new shares to the public, with which the shareholders may show disagreements (</w:t>
      </w:r>
      <w:r>
        <w:t>Preferred CFO, 2024)</w:t>
      </w:r>
      <w:r>
        <w:rPr>
          <w:lang w:val="en-US"/>
        </w:rPr>
        <w:t>.</w:t>
      </w:r>
    </w:p>
    <w:p w14:paraId="4E22877C">
      <w:pPr>
        <w:spacing w:line="360" w:lineRule="auto"/>
        <w:ind w:left="720"/>
        <w:rPr>
          <w:lang w:val="en-US"/>
        </w:rPr>
      </w:pPr>
      <w:r>
        <w:rPr>
          <w:b/>
          <w:bCs/>
          <w:lang w:val="en-US"/>
        </w:rPr>
        <w:t>Bank Loans:</w:t>
      </w:r>
      <w:r>
        <w:rPr>
          <w:lang w:val="en-US"/>
        </w:rPr>
        <w:t xml:space="preserve"> It is one of the most accessible external financing available to a company, where a company take a loan consisting of the amount required to fund a project from a financial institution. The major advantage of taking out loans is that the company gets access to a large sum of capital by diversifying the number of lenders the company takes loans from. Moreover, because there is a time limit to each of the loans, the company can also effectively plan and pay the principal and interest amounts. Again, interests have tax shields, reducing the cost of overall financing (</w:t>
      </w:r>
      <w:r>
        <w:t>Settle, 2024)</w:t>
      </w:r>
      <w:r>
        <w:rPr>
          <w:lang w:val="en-US"/>
        </w:rPr>
        <w:t>. However, the major challenge of using such debt sources is that the company runs into financial risks if it is not able to pay the principal and interest amount back to the lender. Again, there are floatation costs involved, as well, which usually take up to 5% of proceeds.</w:t>
      </w:r>
    </w:p>
    <w:p w14:paraId="06F28D1E">
      <w:pPr>
        <w:pStyle w:val="2"/>
        <w:spacing w:line="360" w:lineRule="auto"/>
        <w:rPr>
          <w:lang w:val="en-US"/>
        </w:rPr>
      </w:pPr>
      <w:bookmarkStart w:id="23" w:name="_Toc219049752"/>
      <w:r>
        <w:rPr>
          <w:lang w:val="en-US"/>
        </w:rPr>
        <w:t>Conclusion</w:t>
      </w:r>
      <w:bookmarkEnd w:id="23"/>
    </w:p>
    <w:p w14:paraId="071C4057">
      <w:pPr>
        <w:spacing w:line="360" w:lineRule="auto"/>
        <w:rPr>
          <w:lang w:val="en-US"/>
        </w:rPr>
      </w:pPr>
      <w:r>
        <w:rPr>
          <w:lang w:val="en-US"/>
        </w:rPr>
        <w:t>In this comprehensive financial analysis, the importance of undertaking systematic performance evaluation as well as capital allocation methods has been demonstrated. In this regard, the analysis of financial ratios of BP PLC has showcased that the company is undergoing operational underperformance as profitability has plummeted across all margins. From net profits to return on equity, everything has seen a catastrophic decline. Now, these declines have not occurred overnight; they are an accumulated distress caused by the company’s declining margins, operational disruptions, and strategic miscalculations, which have all impacted the financial performance of the company. Again, it is not just the profitability of the company. Other metrics, such as leverage, gearing, etc., have shown declining performance, as well. As for part two, the investment appraisal for Westward PLC has demonstrated the use of investment appraisal techniques such as NPV and IRR, as well as theoretical grounds for the continued popularity of the non-discounting methods, as well. In addition to these, capital rationing has been elaborated broadly, which has revealed the optimisation of resources that Westward PLC can undertake to ensure optimum performance. Lastly, financial management has many imperatives of which two have been demonstrated in this report. From evaluating the historical performance of BP PLC using ratio analysis to projecting value for Westward PLC for future investment proposals, this report has encompassed extensive analysis and theoretical underpinning to produce the results.</w:t>
      </w:r>
    </w:p>
    <w:p w14:paraId="741C1F30">
      <w:pPr>
        <w:spacing w:after="160"/>
        <w:jc w:val="left"/>
        <w:rPr>
          <w:rFonts w:eastAsiaTheme="majorEastAsia" w:cstheme="majorBidi"/>
          <w:b/>
          <w:color w:val="2F5597" w:themeColor="accent1" w:themeShade="BF"/>
          <w:sz w:val="32"/>
          <w:szCs w:val="50"/>
          <w:lang w:val="en-US"/>
        </w:rPr>
      </w:pPr>
      <w:r>
        <w:rPr>
          <w:lang w:val="en-US"/>
        </w:rPr>
        <w:br w:type="page"/>
      </w:r>
    </w:p>
    <w:p w14:paraId="61DCF297">
      <w:pPr>
        <w:pStyle w:val="2"/>
        <w:spacing w:line="360" w:lineRule="auto"/>
        <w:rPr>
          <w:lang w:val="en-US"/>
        </w:rPr>
      </w:pPr>
      <w:bookmarkStart w:id="24" w:name="_Toc219049753"/>
      <w:r>
        <w:rPr>
          <w:lang w:val="en-US"/>
        </w:rPr>
        <w:t>References</w:t>
      </w:r>
      <w:bookmarkEnd w:id="24"/>
    </w:p>
    <w:p w14:paraId="24F9098E">
      <w:pPr>
        <w:spacing w:line="360" w:lineRule="auto"/>
      </w:pPr>
      <w:r>
        <w:t>Abdul Kareem, A.A., Fayed, Z.T., Rady, S., Amin El-Regaily, S. and Nema, B.M. (2023) Factors influencing investment decisions in financial investment companies. </w:t>
      </w:r>
      <w:r>
        <w:rPr>
          <w:i/>
          <w:iCs/>
        </w:rPr>
        <w:t>Systems</w:t>
      </w:r>
      <w:r>
        <w:t>, </w:t>
      </w:r>
      <w:r>
        <w:rPr>
          <w:i/>
          <w:iCs/>
        </w:rPr>
        <w:t>11</w:t>
      </w:r>
      <w:r>
        <w:t>(3), p.146.</w:t>
      </w:r>
    </w:p>
    <w:p w14:paraId="00F06515">
      <w:pPr>
        <w:spacing w:line="360" w:lineRule="auto"/>
      </w:pPr>
      <w:r>
        <w:t>Alkaraan, M.F. (2004) </w:t>
      </w:r>
      <w:r>
        <w:rPr>
          <w:i/>
          <w:iCs/>
        </w:rPr>
        <w:t>Strategic investment decisions and investment appraisal in UK companies</w:t>
      </w:r>
      <w:r>
        <w:t>. The University of Manchester (United Kingdom).</w:t>
      </w:r>
    </w:p>
    <w:p w14:paraId="21627799">
      <w:pPr>
        <w:spacing w:line="360" w:lineRule="auto"/>
      </w:pPr>
      <w:r>
        <w:t>Al-Mana, A.A., Nawaz, W., Kamal, A. and Koҫ, M. (2020) Financial and operational efficiencies of national and international oil companies: An empirical investigation. </w:t>
      </w:r>
      <w:r>
        <w:rPr>
          <w:i/>
          <w:iCs/>
        </w:rPr>
        <w:t>Resources Policy</w:t>
      </w:r>
      <w:r>
        <w:t>, </w:t>
      </w:r>
      <w:r>
        <w:rPr>
          <w:i/>
          <w:iCs/>
        </w:rPr>
        <w:t>68</w:t>
      </w:r>
      <w:r>
        <w:t>, p.101701.</w:t>
      </w:r>
    </w:p>
    <w:p w14:paraId="5992FF6D">
      <w:pPr>
        <w:spacing w:line="360" w:lineRule="auto"/>
      </w:pPr>
      <w:r>
        <w:t>Anuar, M.A. (2005) </w:t>
      </w:r>
      <w:r>
        <w:rPr>
          <w:i/>
          <w:iCs/>
        </w:rPr>
        <w:t>Appraisal techniques used in evaluating capital investments: conventional capital budgeting and the real options approach</w:t>
      </w:r>
      <w:r>
        <w:t> (Doctoral dissertation, Loughborough University).</w:t>
      </w:r>
    </w:p>
    <w:p w14:paraId="775DCB94">
      <w:pPr>
        <w:spacing w:line="360" w:lineRule="auto"/>
      </w:pPr>
      <w:r>
        <w:t>Avi, M.S. (2023) FINANCIAL RATIOS: CONSIDERATIONS OF THEIR RELEVANCE TO CORPORATE FINANCIAL ANALYSIS AND AN IN-DEPTH LOOK AT THE MAJOR ERRORS OFTEN MAR THESE RATIOS. </w:t>
      </w:r>
      <w:r>
        <w:rPr>
          <w:i/>
          <w:iCs/>
        </w:rPr>
        <w:t>International Journal of Business &amp; Management Studies</w:t>
      </w:r>
      <w:r>
        <w:t>, </w:t>
      </w:r>
      <w:r>
        <w:rPr>
          <w:i/>
          <w:iCs/>
        </w:rPr>
        <w:t>4</w:t>
      </w:r>
      <w:r>
        <w:t>(4), pp.27-60.</w:t>
      </w:r>
    </w:p>
    <w:p w14:paraId="6457E027">
      <w:pPr>
        <w:spacing w:line="360" w:lineRule="auto"/>
      </w:pPr>
      <w:r>
        <w:t>Avram, E.L., Savu, L., Avram, C., IGNAT, A.B., Vancea, S. and Horja, M.I. (2009) INVESTMENT DECISION AND ITS APPRAISAL. </w:t>
      </w:r>
      <w:r>
        <w:rPr>
          <w:i/>
          <w:iCs/>
        </w:rPr>
        <w:t>Annals of DAAAM &amp; Proceedings</w:t>
      </w:r>
      <w:r>
        <w:t>.</w:t>
      </w:r>
    </w:p>
    <w:p w14:paraId="1A3F2DE2">
      <w:pPr>
        <w:spacing w:line="360" w:lineRule="auto"/>
      </w:pPr>
      <w:r>
        <w:t>Babalola, Y.A. and Abiola, F.R. (2013) Financial ratio analysis of firms: A tool for decision making. </w:t>
      </w:r>
      <w:r>
        <w:rPr>
          <w:i/>
          <w:iCs/>
        </w:rPr>
        <w:t>International journal of management sciences</w:t>
      </w:r>
      <w:r>
        <w:t>, </w:t>
      </w:r>
      <w:r>
        <w:rPr>
          <w:i/>
          <w:iCs/>
        </w:rPr>
        <w:t>1</w:t>
      </w:r>
      <w:r>
        <w:t>(4), pp.132-137.</w:t>
      </w:r>
    </w:p>
    <w:p w14:paraId="04CFF84B">
      <w:pPr>
        <w:spacing w:line="360" w:lineRule="auto"/>
      </w:pPr>
      <w:r>
        <w:t>Bhunia, A., Mukhuti, S.S. and Roy, S.G. (2011) Financial performance analysis-A case study. </w:t>
      </w:r>
      <w:r>
        <w:rPr>
          <w:i/>
          <w:iCs/>
        </w:rPr>
        <w:t>Current Research Journal of Social Sciences</w:t>
      </w:r>
      <w:r>
        <w:t>, </w:t>
      </w:r>
      <w:r>
        <w:rPr>
          <w:i/>
          <w:iCs/>
        </w:rPr>
        <w:t>3</w:t>
      </w:r>
      <w:r>
        <w:t>(3), pp.269-275.</w:t>
      </w:r>
    </w:p>
    <w:p w14:paraId="397509C6">
      <w:pPr>
        <w:spacing w:line="360" w:lineRule="auto"/>
      </w:pPr>
      <w:r>
        <w:t>Bosri, R. (2016) Evaluation of managerial techniques: NPV and IRR. </w:t>
      </w:r>
      <w:r>
        <w:rPr>
          <w:i/>
          <w:iCs/>
        </w:rPr>
        <w:t>UITS journal</w:t>
      </w:r>
      <w:r>
        <w:t>, </w:t>
      </w:r>
      <w:r>
        <w:rPr>
          <w:i/>
          <w:iCs/>
        </w:rPr>
        <w:t>5</w:t>
      </w:r>
      <w:r>
        <w:t>(1), pp.48-57.</w:t>
      </w:r>
    </w:p>
    <w:p w14:paraId="5A04B111">
      <w:pPr>
        <w:spacing w:line="360" w:lineRule="auto"/>
      </w:pPr>
      <w:r>
        <w:t>BP p.l.c. (2025) BP Annual Report and Form 20-F 2024. London: BP p.l.c. Available at: </w:t>
      </w:r>
      <w:r>
        <w:fldChar w:fldCharType="begin"/>
      </w:r>
      <w:r>
        <w:instrText xml:space="preserve"> HYPERLINK "https://www.bp.com/annualreport" \t "_blank" </w:instrText>
      </w:r>
      <w:r>
        <w:fldChar w:fldCharType="separate"/>
      </w:r>
      <w:r>
        <w:rPr>
          <w:rStyle w:val="16"/>
        </w:rPr>
        <w:t>https://www.bp.com/annualreport</w:t>
      </w:r>
      <w:r>
        <w:rPr>
          <w:rStyle w:val="16"/>
        </w:rPr>
        <w:fldChar w:fldCharType="end"/>
      </w:r>
    </w:p>
    <w:p w14:paraId="0109C59A">
      <w:pPr>
        <w:spacing w:line="360" w:lineRule="auto"/>
      </w:pPr>
      <w:r>
        <w:t>Bragg, S.M. (2012) </w:t>
      </w:r>
      <w:r>
        <w:rPr>
          <w:i/>
          <w:iCs/>
        </w:rPr>
        <w:t>Financial analysis: a controller's guide</w:t>
      </w:r>
      <w:r>
        <w:t>. John Wiley &amp; Sons.</w:t>
      </w:r>
    </w:p>
    <w:p w14:paraId="6EEE520D">
      <w:pPr>
        <w:spacing w:line="360" w:lineRule="auto"/>
      </w:pPr>
      <w:r>
        <w:t>Brüggen, A. and Luft, J. (2011) Capital rationing, competition, and misrepresentation in budget forecasts. </w:t>
      </w:r>
      <w:r>
        <w:rPr>
          <w:i/>
          <w:iCs/>
        </w:rPr>
        <w:t>Accounting, Organizations and Society</w:t>
      </w:r>
      <w:r>
        <w:t>, </w:t>
      </w:r>
      <w:r>
        <w:rPr>
          <w:i/>
          <w:iCs/>
        </w:rPr>
        <w:t>36</w:t>
      </w:r>
      <w:r>
        <w:t>(7), pp.399-411.</w:t>
      </w:r>
    </w:p>
    <w:p w14:paraId="47CEA3E6">
      <w:pPr>
        <w:spacing w:line="360" w:lineRule="auto"/>
      </w:pPr>
      <w:r>
        <w:t>Bull, R. (2007) </w:t>
      </w:r>
      <w:r>
        <w:rPr>
          <w:i/>
          <w:iCs/>
        </w:rPr>
        <w:t>Financial Ratios: How to use financial ratios to maximise value and success for your business</w:t>
      </w:r>
      <w:r>
        <w:t>. Elsevier.</w:t>
      </w:r>
    </w:p>
    <w:p w14:paraId="5D729894">
      <w:pPr>
        <w:spacing w:line="360" w:lineRule="auto"/>
      </w:pPr>
      <w:r>
        <w:t>Carmichael, D.G. (2011) An alternative approach to capital investment appraisal. </w:t>
      </w:r>
      <w:r>
        <w:rPr>
          <w:i/>
          <w:iCs/>
        </w:rPr>
        <w:t>The Engineering Economist</w:t>
      </w:r>
      <w:r>
        <w:t>, </w:t>
      </w:r>
      <w:r>
        <w:rPr>
          <w:i/>
          <w:iCs/>
        </w:rPr>
        <w:t>56</w:t>
      </w:r>
      <w:r>
        <w:t>(2), pp.123-139.</w:t>
      </w:r>
    </w:p>
    <w:p w14:paraId="1054406F">
      <w:pPr>
        <w:spacing w:line="360" w:lineRule="auto"/>
      </w:pPr>
      <w:r>
        <w:t xml:space="preserve">CLFI (2024) 'Net Present Value (NPV): Definition, Formula, and Calculation'. Available at: </w:t>
      </w:r>
      <w:r>
        <w:fldChar w:fldCharType="begin"/>
      </w:r>
      <w:r>
        <w:instrText xml:space="preserve"> HYPERLINK "https://clfi.co.uk/resources/net-present-value-npv-definition-formula-and-calculation/" </w:instrText>
      </w:r>
      <w:r>
        <w:fldChar w:fldCharType="separate"/>
      </w:r>
      <w:r>
        <w:rPr>
          <w:rStyle w:val="16"/>
        </w:rPr>
        <w:t>https://clfi.co.uk/resources/net-present-value-npv-definition-formula-and-calculation/</w:t>
      </w:r>
      <w:r>
        <w:rPr>
          <w:rStyle w:val="16"/>
        </w:rPr>
        <w:fldChar w:fldCharType="end"/>
      </w:r>
      <w:r>
        <w:t xml:space="preserve"> </w:t>
      </w:r>
    </w:p>
    <w:p w14:paraId="0B388D90">
      <w:pPr>
        <w:spacing w:line="360" w:lineRule="auto"/>
      </w:pPr>
      <w:r>
        <w:t>Corporate Finance Institute (2025) 'Limitations of Ratio Analysis', CFI Resources. Available at: </w:t>
      </w:r>
      <w:r>
        <w:fldChar w:fldCharType="begin"/>
      </w:r>
      <w:r>
        <w:instrText xml:space="preserve"> HYPERLINK "https://corporatefinanceinstitute.com/resources/accounting/limitations-ratio-analysis/" \t "_blank" </w:instrText>
      </w:r>
      <w:r>
        <w:fldChar w:fldCharType="separate"/>
      </w:r>
      <w:r>
        <w:rPr>
          <w:rStyle w:val="16"/>
        </w:rPr>
        <w:t>https://corporatefinanceinstitute.com/resources/accounting/limitations-ratio-analysis/</w:t>
      </w:r>
      <w:r>
        <w:rPr>
          <w:rStyle w:val="16"/>
        </w:rPr>
        <w:fldChar w:fldCharType="end"/>
      </w:r>
    </w:p>
    <w:p w14:paraId="139B7960">
      <w:pPr>
        <w:spacing w:line="360" w:lineRule="auto"/>
      </w:pPr>
      <w:r>
        <w:t>Cull, R., Demirgu¨ ç‐Kunt, A. and Morduch, J. (2007) Financial performance and outreach: A global analysis of leading microbanks. </w:t>
      </w:r>
      <w:r>
        <w:rPr>
          <w:i/>
          <w:iCs/>
        </w:rPr>
        <w:t>The economic journal</w:t>
      </w:r>
      <w:r>
        <w:t>, </w:t>
      </w:r>
      <w:r>
        <w:rPr>
          <w:i/>
          <w:iCs/>
        </w:rPr>
        <w:t>117</w:t>
      </w:r>
      <w:r>
        <w:t>(517), pp.F107-F133.</w:t>
      </w:r>
    </w:p>
    <w:p w14:paraId="4E8C03DB">
      <w:pPr>
        <w:spacing w:line="360" w:lineRule="auto"/>
      </w:pPr>
      <w:r>
        <w:t xml:space="preserve">Daloopa (2024) 'Key Pitfalls to Avoid When Analyzing Financial Ratios'. Available at: </w:t>
      </w:r>
      <w:r>
        <w:fldChar w:fldCharType="begin"/>
      </w:r>
      <w:r>
        <w:instrText xml:space="preserve"> HYPERLINK "https://daloopa.com/blog/analyst-best-practices/pitfalls-to-avoid-when-analyzing-financial-ratios" </w:instrText>
      </w:r>
      <w:r>
        <w:fldChar w:fldCharType="separate"/>
      </w:r>
      <w:r>
        <w:rPr>
          <w:rStyle w:val="16"/>
        </w:rPr>
        <w:t>https://daloopa.com/blog/analyst-best-practices/pitfalls-to-avoid-when-analyzing-financial-ratios</w:t>
      </w:r>
      <w:r>
        <w:rPr>
          <w:rStyle w:val="16"/>
        </w:rPr>
        <w:fldChar w:fldCharType="end"/>
      </w:r>
      <w:r>
        <w:t xml:space="preserve"> </w:t>
      </w:r>
    </w:p>
    <w:p w14:paraId="6C7CDA4C">
      <w:pPr>
        <w:spacing w:line="360" w:lineRule="auto"/>
      </w:pPr>
      <w:r>
        <w:t>Daryanto, W.M. and Nurfadilah, D. (2018) Financial performance analysis before and after the decline in oil production: Case study in Indonesian oil and gas industry. </w:t>
      </w:r>
      <w:r>
        <w:rPr>
          <w:i/>
          <w:iCs/>
        </w:rPr>
        <w:t>International Journal of Engineering &amp; Technology</w:t>
      </w:r>
      <w:r>
        <w:t>, </w:t>
      </w:r>
      <w:r>
        <w:rPr>
          <w:i/>
          <w:iCs/>
        </w:rPr>
        <w:t>7</w:t>
      </w:r>
      <w:r>
        <w:t>(3.21), pp.10-15.</w:t>
      </w:r>
    </w:p>
    <w:p w14:paraId="0CCF8B7A">
      <w:pPr>
        <w:spacing w:line="360" w:lineRule="auto"/>
      </w:pPr>
      <w:r>
        <w:t>Delen, D., Kuzey, C. and Uyar, A. (2013) Measuring firm performance using financial ratios: A decision tree approach. </w:t>
      </w:r>
      <w:r>
        <w:rPr>
          <w:i/>
          <w:iCs/>
        </w:rPr>
        <w:t>Expert systems with applications</w:t>
      </w:r>
      <w:r>
        <w:t>, </w:t>
      </w:r>
      <w:r>
        <w:rPr>
          <w:i/>
          <w:iCs/>
        </w:rPr>
        <w:t>40</w:t>
      </w:r>
      <w:r>
        <w:t>(10), pp.3970-3983.</w:t>
      </w:r>
    </w:p>
    <w:p w14:paraId="11267029">
      <w:pPr>
        <w:spacing w:line="360" w:lineRule="auto"/>
      </w:pPr>
      <w:r>
        <w:t xml:space="preserve">EPICORP (2024) 'The Important of Financial Ratios for Oil and Gas Industry'. Available at: </w:t>
      </w:r>
      <w:r>
        <w:fldChar w:fldCharType="begin"/>
      </w:r>
      <w:r>
        <w:instrText xml:space="preserve"> HYPERLINK "https://epicorp.com.eg/financial-ratios-for-oil-and-gas-industry/" </w:instrText>
      </w:r>
      <w:r>
        <w:fldChar w:fldCharType="separate"/>
      </w:r>
      <w:r>
        <w:rPr>
          <w:rStyle w:val="16"/>
        </w:rPr>
        <w:t>https://epicorp.com.eg/financial-ratios-for-oil-and-gas-industry/</w:t>
      </w:r>
      <w:r>
        <w:rPr>
          <w:rStyle w:val="16"/>
        </w:rPr>
        <w:fldChar w:fldCharType="end"/>
      </w:r>
      <w:r>
        <w:t xml:space="preserve"> </w:t>
      </w:r>
    </w:p>
    <w:p w14:paraId="0AA98826">
      <w:pPr>
        <w:spacing w:line="360" w:lineRule="auto"/>
      </w:pPr>
      <w:r>
        <w:t>Ewing, B.T. and Thompson, M.A. (2016) The role of reserves and production in the market capitalization of oil and gas companies. </w:t>
      </w:r>
      <w:r>
        <w:rPr>
          <w:i/>
          <w:iCs/>
        </w:rPr>
        <w:t>Energy Policy</w:t>
      </w:r>
      <w:r>
        <w:t>, </w:t>
      </w:r>
      <w:r>
        <w:rPr>
          <w:i/>
          <w:iCs/>
        </w:rPr>
        <w:t>98</w:t>
      </w:r>
      <w:r>
        <w:t>, pp.576-581.</w:t>
      </w:r>
    </w:p>
    <w:p w14:paraId="24D8D693">
      <w:pPr>
        <w:spacing w:line="360" w:lineRule="auto"/>
      </w:pPr>
      <w:r>
        <w:t xml:space="preserve">ExxonMobil (2025) 'ExxonMobil announces 2024 results'. Available at: </w:t>
      </w:r>
      <w:r>
        <w:fldChar w:fldCharType="begin"/>
      </w:r>
      <w:r>
        <w:instrText xml:space="preserve"> HYPERLINK "https://corporate.exxonmobil.com/news/news-releases/2025/0131_exxonmobil-announces-2024-results" </w:instrText>
      </w:r>
      <w:r>
        <w:fldChar w:fldCharType="separate"/>
      </w:r>
      <w:r>
        <w:rPr>
          <w:rStyle w:val="16"/>
        </w:rPr>
        <w:t>https://corporate.exxonmobil.com/news/news-releases/2025/0131_exxonmobil-announces-2024-results</w:t>
      </w:r>
      <w:r>
        <w:rPr>
          <w:rStyle w:val="16"/>
        </w:rPr>
        <w:fldChar w:fldCharType="end"/>
      </w:r>
      <w:r>
        <w:t xml:space="preserve"> </w:t>
      </w:r>
    </w:p>
    <w:p w14:paraId="2DAC84CB">
      <w:pPr>
        <w:spacing w:line="360" w:lineRule="auto"/>
      </w:pPr>
      <w:r>
        <w:t xml:space="preserve">FasterCapital (2024) 'The Advantages And Disadvantages Of Different Capital Budgeting Methods'. Available at: </w:t>
      </w:r>
      <w:r>
        <w:fldChar w:fldCharType="begin"/>
      </w:r>
      <w:r>
        <w:instrText xml:space="preserve"> HYPERLINK "https://fastercapital.com/topics/the-advantages-and-disadvantages-of-different-capital-budgeting-methods.html" </w:instrText>
      </w:r>
      <w:r>
        <w:fldChar w:fldCharType="separate"/>
      </w:r>
      <w:r>
        <w:rPr>
          <w:rStyle w:val="16"/>
        </w:rPr>
        <w:t>https://fastercapital.com/topics/the-advantages-and-disadvantages-of-different-capital-budgeting-methods.html</w:t>
      </w:r>
      <w:r>
        <w:rPr>
          <w:rStyle w:val="16"/>
        </w:rPr>
        <w:fldChar w:fldCharType="end"/>
      </w:r>
      <w:r>
        <w:t xml:space="preserve"> </w:t>
      </w:r>
    </w:p>
    <w:p w14:paraId="4E6F2CD9">
      <w:pPr>
        <w:spacing w:line="360" w:lineRule="auto"/>
      </w:pPr>
      <w:r>
        <w:t>Grennan, J. and Michaely, R. (2021) Fintechs and the market for financial analysis. </w:t>
      </w:r>
      <w:r>
        <w:rPr>
          <w:i/>
          <w:iCs/>
        </w:rPr>
        <w:t>Journal of Financial and Quantitative Analysis</w:t>
      </w:r>
      <w:r>
        <w:t>, </w:t>
      </w:r>
      <w:r>
        <w:rPr>
          <w:i/>
          <w:iCs/>
        </w:rPr>
        <w:t>56</w:t>
      </w:r>
      <w:r>
        <w:t>(6), pp.1877-1907.</w:t>
      </w:r>
    </w:p>
    <w:p w14:paraId="1A185727">
      <w:pPr>
        <w:spacing w:line="360" w:lineRule="auto"/>
      </w:pPr>
      <w:r>
        <w:t>Harris, E.P. and El-Massri, M. (2011) Capital investment appraisal. In </w:t>
      </w:r>
      <w:r>
        <w:rPr>
          <w:i/>
          <w:iCs/>
        </w:rPr>
        <w:t>Review of management accounting research</w:t>
      </w:r>
      <w:r>
        <w:t> (pp. 343-377). London: Palgrave Macmillan UK.</w:t>
      </w:r>
    </w:p>
    <w:p w14:paraId="32D4303C">
      <w:pPr>
        <w:spacing w:line="360" w:lineRule="auto"/>
      </w:pPr>
      <w:r>
        <w:t>Hunjra, A.I., Batool, I. and Niazi, G.S.K. (2011) Investment appraisal techniques and constraints on capital investment.</w:t>
      </w:r>
    </w:p>
    <w:p w14:paraId="114B4910">
      <w:pPr>
        <w:spacing w:line="360" w:lineRule="auto"/>
      </w:pPr>
      <w:r>
        <w:t>Innocent, E.C., Mary, O.I. and Matthew, O.M. (2013) Financial ratio analysis as a determinant of profitability in Nigerian pharmaceutical industry. </w:t>
      </w:r>
      <w:r>
        <w:rPr>
          <w:i/>
          <w:iCs/>
        </w:rPr>
        <w:t>International journal of business and management</w:t>
      </w:r>
      <w:r>
        <w:t>, </w:t>
      </w:r>
      <w:r>
        <w:rPr>
          <w:i/>
          <w:iCs/>
        </w:rPr>
        <w:t>8</w:t>
      </w:r>
      <w:r>
        <w:t>(8), pp.107-117.</w:t>
      </w:r>
    </w:p>
    <w:p w14:paraId="103EA76F">
      <w:pPr>
        <w:spacing w:line="360" w:lineRule="auto"/>
      </w:pPr>
      <w:r>
        <w:t>Islam, M.A. (2014) An analysis of the financial performance of national bank limited using financial ratio. </w:t>
      </w:r>
      <w:r>
        <w:rPr>
          <w:i/>
          <w:iCs/>
        </w:rPr>
        <w:t>Journal of Behavioural Economics, Finance, Entrepreneurship, Accounting and Transport</w:t>
      </w:r>
      <w:r>
        <w:t>, </w:t>
      </w:r>
      <w:r>
        <w:rPr>
          <w:i/>
          <w:iCs/>
        </w:rPr>
        <w:t>2</w:t>
      </w:r>
      <w:r>
        <w:t>(5), pp.121-129.</w:t>
      </w:r>
    </w:p>
    <w:p w14:paraId="4EA9FEC7">
      <w:pPr>
        <w:spacing w:line="360" w:lineRule="auto"/>
      </w:pPr>
      <w:r>
        <w:t>Kariyawasam, A.H.N. (2019) Analysing the impact of financial ratios on a company’s financial performance.</w:t>
      </w:r>
    </w:p>
    <w:p w14:paraId="6A9FEDA2">
      <w:pPr>
        <w:spacing w:line="360" w:lineRule="auto"/>
      </w:pPr>
      <w:r>
        <w:t>Kharatyan, D., Nunes, A. and Lopes, J. (2016) Financial ratios and indicators that determine return on equity. </w:t>
      </w:r>
      <w:r>
        <w:rPr>
          <w:i/>
          <w:iCs/>
        </w:rPr>
        <w:t>XVII–Encuentro AECA</w:t>
      </w:r>
      <w:r>
        <w:t>.</w:t>
      </w:r>
    </w:p>
    <w:p w14:paraId="146C5BC9">
      <w:pPr>
        <w:spacing w:line="360" w:lineRule="auto"/>
      </w:pPr>
      <w:r>
        <w:t>Kukharenko, O.G. (2016) THE ANALYSIS OF FINANCIAL RATIO-CONTROL''S EFFICIENCY LEVER OF ACTIVITY OF THE OIL AND GAS COMPANIES. </w:t>
      </w:r>
      <w:r>
        <w:rPr>
          <w:i/>
          <w:iCs/>
        </w:rPr>
        <w:t>Бизнес в законе. Экономико-юридический журнал</w:t>
      </w:r>
      <w:r>
        <w:t>, (4), pp.45-50.</w:t>
      </w:r>
    </w:p>
    <w:p w14:paraId="1C09F222">
      <w:pPr>
        <w:spacing w:line="360" w:lineRule="auto"/>
      </w:pPr>
      <w:r>
        <w:t>La Rosa, N. (2020) </w:t>
      </w:r>
      <w:r>
        <w:rPr>
          <w:i/>
          <w:iCs/>
        </w:rPr>
        <w:t>Analysing financial performance: using integrated ratio analysis</w:t>
      </w:r>
      <w:r>
        <w:t>. Routledge.</w:t>
      </w:r>
    </w:p>
    <w:p w14:paraId="449ABA19">
      <w:pPr>
        <w:spacing w:line="360" w:lineRule="auto"/>
      </w:pPr>
      <w:r>
        <w:t>Lanjewar, A.A. and Bansal, R. (2021) A Comparative Analysis of the Financial Ratios of Oil and Gas Companies. </w:t>
      </w:r>
      <w:r>
        <w:rPr>
          <w:i/>
          <w:iCs/>
        </w:rPr>
        <w:t>IUP Journal of Accounting Research &amp; Audit Practices</w:t>
      </w:r>
      <w:r>
        <w:t>, </w:t>
      </w:r>
      <w:r>
        <w:rPr>
          <w:i/>
          <w:iCs/>
        </w:rPr>
        <w:t>20</w:t>
      </w:r>
      <w:r>
        <w:t>(2), pp.27-44.</w:t>
      </w:r>
    </w:p>
    <w:p w14:paraId="7EE23050">
      <w:pPr>
        <w:spacing w:line="360" w:lineRule="auto"/>
      </w:pPr>
      <w:r>
        <w:t xml:space="preserve">LinkedIn (2023) 'Oil and Gas Industry: Overview, Financial Ratios and Future'. Available at: </w:t>
      </w:r>
      <w:r>
        <w:fldChar w:fldCharType="begin"/>
      </w:r>
      <w:r>
        <w:instrText xml:space="preserve"> HYPERLINK "https://www.linkedin.com/pulse/oil-gas-industry-overview-financial" </w:instrText>
      </w:r>
      <w:r>
        <w:fldChar w:fldCharType="separate"/>
      </w:r>
      <w:r>
        <w:rPr>
          <w:rStyle w:val="16"/>
        </w:rPr>
        <w:t>https://www.linkedin.com/pulse/oil-gas-industry-overview-financial</w:t>
      </w:r>
      <w:r>
        <w:rPr>
          <w:rStyle w:val="16"/>
        </w:rPr>
        <w:fldChar w:fldCharType="end"/>
      </w:r>
      <w:r>
        <w:t xml:space="preserve"> </w:t>
      </w:r>
    </w:p>
    <w:p w14:paraId="46646818">
      <w:pPr>
        <w:spacing w:line="360" w:lineRule="auto"/>
      </w:pPr>
      <w:r>
        <w:t>Lubis, S.S. (2023) Identify Financial Ratios to Measure The Company's Financial Performance. </w:t>
      </w:r>
      <w:r>
        <w:rPr>
          <w:i/>
          <w:iCs/>
        </w:rPr>
        <w:t>Journal of Economics Business Industry</w:t>
      </w:r>
      <w:r>
        <w:t>, </w:t>
      </w:r>
      <w:r>
        <w:rPr>
          <w:i/>
          <w:iCs/>
        </w:rPr>
        <w:t>1</w:t>
      </w:r>
      <w:r>
        <w:t>(1), pp.1-9.</w:t>
      </w:r>
    </w:p>
    <w:p w14:paraId="14FA4474">
      <w:pPr>
        <w:spacing w:line="360" w:lineRule="auto"/>
      </w:pPr>
      <w:r>
        <w:t>Lucic, L. (2014) Financial ratios in the function of business risk assessment. </w:t>
      </w:r>
      <w:r>
        <w:rPr>
          <w:i/>
          <w:iCs/>
        </w:rPr>
        <w:t>Online journal of applied knowledge management</w:t>
      </w:r>
      <w:r>
        <w:t>, </w:t>
      </w:r>
      <w:r>
        <w:rPr>
          <w:i/>
          <w:iCs/>
        </w:rPr>
        <w:t>2</w:t>
      </w:r>
      <w:r>
        <w:t>(2).</w:t>
      </w:r>
    </w:p>
    <w:p w14:paraId="6020C08C">
      <w:pPr>
        <w:spacing w:line="360" w:lineRule="auto"/>
      </w:pPr>
      <w:r>
        <w:t>Malichova, E., Durisova, M. and Miciak, M. (2018) The Appraisal in The Managerial Decision Making on Investment: Evidence from Slovak Companies. </w:t>
      </w:r>
      <w:r>
        <w:rPr>
          <w:i/>
          <w:iCs/>
        </w:rPr>
        <w:t>Economic and Social Development: Book of Proceedings</w:t>
      </w:r>
      <w:r>
        <w:t>, pp.86-96.</w:t>
      </w:r>
    </w:p>
    <w:p w14:paraId="6387B3B8">
      <w:pPr>
        <w:spacing w:line="360" w:lineRule="auto"/>
      </w:pPr>
      <w:r>
        <w:t>Mutswenje, V.S. (2009) </w:t>
      </w:r>
      <w:r>
        <w:rPr>
          <w:i/>
          <w:iCs/>
        </w:rPr>
        <w:t>A survey of the factors influencing investment decisions: the case of individual investors at the NSE</w:t>
      </w:r>
      <w:r>
        <w:t> (Doctoral dissertation, University of Nairobi).</w:t>
      </w:r>
    </w:p>
    <w:p w14:paraId="68067328">
      <w:pPr>
        <w:spacing w:line="360" w:lineRule="auto"/>
      </w:pPr>
      <w:r>
        <w:t>Myšková, R. and Hájek, P. (2017) Comprehensive assessment of firm financial performance using financial ratios and linguistic analysis of annual reports.</w:t>
      </w:r>
    </w:p>
    <w:p w14:paraId="5A7CB326">
      <w:pPr>
        <w:spacing w:line="360" w:lineRule="auto"/>
      </w:pPr>
      <w:r>
        <w:t>Oral, C. (2016) Analytical hierarchy process as a tool for investment appraisal. </w:t>
      </w:r>
      <w:r>
        <w:rPr>
          <w:i/>
          <w:iCs/>
        </w:rPr>
        <w:t>International Journal of Economics and Finance</w:t>
      </w:r>
      <w:r>
        <w:t>, </w:t>
      </w:r>
      <w:r>
        <w:rPr>
          <w:i/>
          <w:iCs/>
        </w:rPr>
        <w:t>8</w:t>
      </w:r>
      <w:r>
        <w:t>(4), pp.306-311.</w:t>
      </w:r>
    </w:p>
    <w:p w14:paraId="7CF1AF0A">
      <w:pPr>
        <w:spacing w:line="360" w:lineRule="auto"/>
      </w:pPr>
      <w:r>
        <w:t>Pawlak, M. and Zarzecki, D. (2020) Investment appraisal practice in the European Union countries. </w:t>
      </w:r>
      <w:r>
        <w:rPr>
          <w:i/>
          <w:iCs/>
        </w:rPr>
        <w:t>European Research Studies</w:t>
      </w:r>
      <w:r>
        <w:t>, </w:t>
      </w:r>
      <w:r>
        <w:rPr>
          <w:i/>
          <w:iCs/>
        </w:rPr>
        <w:t>23</w:t>
      </w:r>
      <w:r>
        <w:t>(2), pp.687-699.</w:t>
      </w:r>
    </w:p>
    <w:p w14:paraId="5ED50499">
      <w:pPr>
        <w:spacing w:line="360" w:lineRule="auto"/>
      </w:pPr>
      <w:r>
        <w:t>Poggensee, K. and Poggensee, J. (2021) </w:t>
      </w:r>
      <w:r>
        <w:rPr>
          <w:i/>
          <w:iCs/>
        </w:rPr>
        <w:t>Investment Valuation and Appraisal</w:t>
      </w:r>
      <w:r>
        <w:t>. Springer Fachmedien Wiesbaden.</w:t>
      </w:r>
    </w:p>
    <w:p w14:paraId="2D1E4610">
      <w:pPr>
        <w:spacing w:line="360" w:lineRule="auto"/>
      </w:pPr>
      <w:r>
        <w:t xml:space="preserve">Preferred CFO (2024) 'Debt vs. Equity Financing: Which to Choose?' Available at: </w:t>
      </w:r>
      <w:r>
        <w:fldChar w:fldCharType="begin"/>
      </w:r>
      <w:r>
        <w:instrText xml:space="preserve"> HYPERLINK "https://preferredcfo.com/insights/debt-vs-equity-financing" </w:instrText>
      </w:r>
      <w:r>
        <w:fldChar w:fldCharType="separate"/>
      </w:r>
      <w:r>
        <w:rPr>
          <w:rStyle w:val="16"/>
        </w:rPr>
        <w:t>https://preferredcfo.com/insights/debt-vs-equity-financing</w:t>
      </w:r>
      <w:r>
        <w:rPr>
          <w:rStyle w:val="16"/>
        </w:rPr>
        <w:fldChar w:fldCharType="end"/>
      </w:r>
      <w:r>
        <w:t xml:space="preserve"> </w:t>
      </w:r>
    </w:p>
    <w:p w14:paraId="7D729D8A">
      <w:pPr>
        <w:spacing w:line="360" w:lineRule="auto"/>
      </w:pPr>
      <w:r>
        <w:t>Ravinder, D. and Anitha, M. (2013) Financial analysis–a study. </w:t>
      </w:r>
      <w:r>
        <w:rPr>
          <w:i/>
          <w:iCs/>
        </w:rPr>
        <w:t>IOSR Journal of Economics and Finance</w:t>
      </w:r>
      <w:r>
        <w:t>, </w:t>
      </w:r>
      <w:r>
        <w:rPr>
          <w:i/>
          <w:iCs/>
        </w:rPr>
        <w:t>2</w:t>
      </w:r>
      <w:r>
        <w:t>(3), pp.10-22.</w:t>
      </w:r>
    </w:p>
    <w:p w14:paraId="3112AD25">
      <w:pPr>
        <w:spacing w:line="360" w:lineRule="auto"/>
      </w:pPr>
      <w:r>
        <w:t xml:space="preserve">Settle (2024) '5 Reasons to Choose Debt Financing Over Equity Financing'. Available at: </w:t>
      </w:r>
      <w:r>
        <w:fldChar w:fldCharType="begin"/>
      </w:r>
      <w:r>
        <w:instrText xml:space="preserve"> HYPERLINK "https://www.settle.com/blog/5-reasons-to-choose-debt-financing-over-equity-financing-for-your-business" </w:instrText>
      </w:r>
      <w:r>
        <w:fldChar w:fldCharType="separate"/>
      </w:r>
      <w:r>
        <w:rPr>
          <w:rStyle w:val="16"/>
        </w:rPr>
        <w:t>https://www.settle.com/blog/5-reasons-to-choose-debt-financing-over-equity-financing-for-your-business</w:t>
      </w:r>
      <w:r>
        <w:rPr>
          <w:rStyle w:val="16"/>
        </w:rPr>
        <w:fldChar w:fldCharType="end"/>
      </w:r>
      <w:r>
        <w:t xml:space="preserve"> </w:t>
      </w:r>
    </w:p>
    <w:p w14:paraId="34894194">
      <w:pPr>
        <w:spacing w:line="360" w:lineRule="auto"/>
      </w:pPr>
      <w:r>
        <w:t>Sharma, P. (2023) Analyzing How Rigorous Financial Analysis Informs Strategic Decisions and Contributes to Corporate Growth. </w:t>
      </w:r>
      <w:r>
        <w:rPr>
          <w:i/>
          <w:iCs/>
        </w:rPr>
        <w:t>Nanotechnology Perceptions</w:t>
      </w:r>
      <w:r>
        <w:t>, </w:t>
      </w:r>
      <w:r>
        <w:rPr>
          <w:i/>
          <w:iCs/>
        </w:rPr>
        <w:t>20</w:t>
      </w:r>
      <w:r>
        <w:t>, pp.219-229.</w:t>
      </w:r>
    </w:p>
    <w:p w14:paraId="10A59C24">
      <w:pPr>
        <w:spacing w:line="360" w:lineRule="auto"/>
      </w:pPr>
      <w:r>
        <w:t xml:space="preserve">Statista (2025) 'Oil companies' quarterly net income 2024'. Available at: </w:t>
      </w:r>
      <w:r>
        <w:fldChar w:fldCharType="begin"/>
      </w:r>
      <w:r>
        <w:instrText xml:space="preserve"> HYPERLINK "https://www.statista.com/statistics/1326419/quarterly-net-profit-of-leading-world-oil-companies/" </w:instrText>
      </w:r>
      <w:r>
        <w:fldChar w:fldCharType="separate"/>
      </w:r>
      <w:r>
        <w:rPr>
          <w:rStyle w:val="16"/>
        </w:rPr>
        <w:t>https://www.statista.com/statistics/1326419/quarterly-net-profit-of-leading-world-oil-companies/</w:t>
      </w:r>
      <w:r>
        <w:rPr>
          <w:rStyle w:val="16"/>
        </w:rPr>
        <w:fldChar w:fldCharType="end"/>
      </w:r>
      <w:r>
        <w:t xml:space="preserve"> </w:t>
      </w:r>
    </w:p>
    <w:p w14:paraId="3C63CE98">
      <w:pPr>
        <w:spacing w:line="360" w:lineRule="auto"/>
      </w:pPr>
      <w:r>
        <w:t xml:space="preserve">Sustainability Magazine (2025) 'Will bp's Poor 2024 Results Impact its Sustainability Spend?' Available at: </w:t>
      </w:r>
      <w:r>
        <w:fldChar w:fldCharType="begin"/>
      </w:r>
      <w:r>
        <w:instrText xml:space="preserve"> HYPERLINK "https://sustainabilitymag.com/articles/how-could-bps-poor-2024-results-hit-its-low-carbon-spend" </w:instrText>
      </w:r>
      <w:r>
        <w:fldChar w:fldCharType="separate"/>
      </w:r>
      <w:r>
        <w:rPr>
          <w:rStyle w:val="16"/>
        </w:rPr>
        <w:t>https://sustainabilitymag.com/articles/how-could-bps-poor-2024-results-hit-its-low-carbon-spend</w:t>
      </w:r>
      <w:r>
        <w:rPr>
          <w:rStyle w:val="16"/>
        </w:rPr>
        <w:fldChar w:fldCharType="end"/>
      </w:r>
      <w:r>
        <w:t xml:space="preserve"> </w:t>
      </w:r>
    </w:p>
    <w:p w14:paraId="5BF97BED">
      <w:pPr>
        <w:spacing w:line="360" w:lineRule="auto"/>
      </w:pPr>
      <w:r>
        <w:t xml:space="preserve">U.S. Energy Information Administration (2024) 'Financial Review of the Global Oil and Natural Gas Industry: Second-Quarter 2024'. Available at: </w:t>
      </w:r>
      <w:r>
        <w:fldChar w:fldCharType="begin"/>
      </w:r>
      <w:r>
        <w:instrText xml:space="preserve"> HYPERLINK "https://www.eia.gov/finance/review/" </w:instrText>
      </w:r>
      <w:r>
        <w:fldChar w:fldCharType="separate"/>
      </w:r>
      <w:r>
        <w:rPr>
          <w:rStyle w:val="16"/>
        </w:rPr>
        <w:t>https://www.eia.gov/finance/review/</w:t>
      </w:r>
      <w:r>
        <w:rPr>
          <w:rStyle w:val="16"/>
        </w:rPr>
        <w:fldChar w:fldCharType="end"/>
      </w:r>
      <w:r>
        <w:t xml:space="preserve"> </w:t>
      </w:r>
    </w:p>
    <w:p w14:paraId="0D1423B8">
      <w:pPr>
        <w:spacing w:line="360" w:lineRule="auto"/>
      </w:pPr>
      <w:r>
        <w:t>Wang, Y. (2021) The development and usage of NPV and IRR and their comparison. In </w:t>
      </w:r>
      <w:r>
        <w:rPr>
          <w:i/>
          <w:iCs/>
        </w:rPr>
        <w:t>2021 3rd International Conference on Economic Management and Cultural Industry (ICEMCI 2021)</w:t>
      </w:r>
      <w:r>
        <w:t> (pp. 2044-2048). Atlantis Press.</w:t>
      </w:r>
    </w:p>
    <w:p w14:paraId="01DF4385">
      <w:pPr>
        <w:spacing w:line="360" w:lineRule="auto"/>
      </w:pPr>
      <w:r>
        <w:t>Yan, R. and Zhang, Y. (2022) The Introduction of NPV and IRR. In </w:t>
      </w:r>
      <w:r>
        <w:rPr>
          <w:i/>
          <w:iCs/>
        </w:rPr>
        <w:t>2022 7th International Conference on Financial Innovation and Economic Development (ICFIED 2022)</w:t>
      </w:r>
      <w:r>
        <w:t> (pp. 1472-1476). Atlantis Press.</w:t>
      </w:r>
      <w:r>
        <w:rPr>
          <w:lang w:val="en-US"/>
        </w:rPr>
        <w:br w:type="page"/>
      </w:r>
    </w:p>
    <w:p w14:paraId="6D2DF14C">
      <w:pPr>
        <w:pStyle w:val="2"/>
        <w:spacing w:line="360" w:lineRule="auto"/>
        <w:rPr>
          <w:lang w:val="en-US"/>
        </w:rPr>
      </w:pPr>
      <w:bookmarkStart w:id="25" w:name="_Toc219049754"/>
      <w:r>
        <w:rPr>
          <w:lang w:val="en-US"/>
        </w:rPr>
        <w:t>Appendix</w:t>
      </w:r>
      <w:bookmarkEnd w:id="25"/>
    </w:p>
    <w:p w14:paraId="46B3CCFE">
      <w:pPr>
        <w:spacing w:line="360" w:lineRule="auto"/>
        <w:rPr>
          <w:b/>
          <w:bCs/>
          <w:sz w:val="28"/>
          <w:szCs w:val="32"/>
          <w:lang w:val="en-US"/>
        </w:rPr>
      </w:pPr>
      <w:r>
        <w:rPr>
          <w:b/>
          <w:bCs/>
          <w:sz w:val="28"/>
          <w:szCs w:val="32"/>
          <w:lang w:val="en-US"/>
        </w:rPr>
        <w:t>Financial Statement of BP UK for 2024</w:t>
      </w:r>
    </w:p>
    <w:p w14:paraId="3179AA5C">
      <w:pPr>
        <w:spacing w:line="360" w:lineRule="auto"/>
        <w:rPr>
          <w:szCs w:val="28"/>
          <w:lang w:val="en-US"/>
        </w:rPr>
      </w:pPr>
      <w:r>
        <w:rPr>
          <w:szCs w:val="28"/>
          <w:lang w:val="en-US"/>
        </w:rPr>
        <w:object>
          <v:shape id="_x0000_i1025" o:spt="75" type="#_x0000_t75" style="height:48.75pt;width:75pt;" o:ole="t" filled="f" o:preferrelative="t" stroked="f" coordsize="21600,21600">
            <v:path/>
            <v:fill on="f" focussize="0,0"/>
            <v:stroke on="f" joinstyle="miter"/>
            <v:imagedata r:id="rId18" o:title=""/>
            <o:lock v:ext="edit" aspectratio="t"/>
            <w10:wrap type="none"/>
            <w10:anchorlock/>
          </v:shape>
          <o:OLEObject Type="Embed" ProgID="FoxitPhantomPDF.Document" ShapeID="_x0000_i1025" DrawAspect="Icon" ObjectID="_1468075725" r:id="rId17">
            <o:LockedField>false</o:LockedField>
          </o:OLEObject>
        </w:object>
      </w:r>
    </w:p>
    <w:p w14:paraId="27F75A8A">
      <w:pPr>
        <w:spacing w:line="360" w:lineRule="auto"/>
        <w:rPr>
          <w:b/>
          <w:bCs/>
          <w:sz w:val="28"/>
          <w:szCs w:val="32"/>
          <w:lang w:val="en-US"/>
        </w:rPr>
      </w:pPr>
      <w:r>
        <w:rPr>
          <w:b/>
          <w:bCs/>
          <w:sz w:val="28"/>
          <w:szCs w:val="32"/>
          <w:lang w:val="en-US"/>
        </w:rPr>
        <w:t>Calculation of Ratio Analysis</w:t>
      </w:r>
    </w:p>
    <w:p w14:paraId="700A568E">
      <w:pPr>
        <w:spacing w:line="360" w:lineRule="auto"/>
        <w:rPr>
          <w:b/>
          <w:bCs/>
          <w:sz w:val="28"/>
          <w:szCs w:val="32"/>
          <w:lang w:val="en-US"/>
        </w:rPr>
      </w:pPr>
      <w:r>
        <w:rPr>
          <w:b/>
          <w:bCs/>
          <w:sz w:val="28"/>
          <w:szCs w:val="32"/>
          <w:lang w:val="en-US"/>
        </w:rPr>
        <w:t>Profitability Ratios</w:t>
      </w:r>
    </w:p>
    <w:p w14:paraId="57A7681E">
      <w:pPr>
        <w:spacing w:line="360" w:lineRule="auto"/>
        <w:rPr>
          <w:b/>
          <w:bCs/>
          <w:sz w:val="28"/>
          <w:szCs w:val="32"/>
          <w:lang w:val="en-US"/>
        </w:rPr>
      </w:pPr>
      <w:r>
        <w:rPr>
          <w:b/>
          <w:bCs/>
          <w:sz w:val="28"/>
          <w:szCs w:val="32"/>
          <w:lang w:val="en-US"/>
        </w:rPr>
        <w:t>Net Profit Ratio</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67ABF8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4C521B58">
            <w:pPr>
              <w:spacing w:line="360" w:lineRule="auto"/>
              <w:rPr>
                <w:b/>
                <w:bCs/>
                <w:sz w:val="28"/>
                <w:szCs w:val="32"/>
                <w:lang w:val="en-US"/>
              </w:rPr>
            </w:pPr>
            <w:r>
              <w:rPr>
                <w:b/>
                <w:bCs/>
                <w:sz w:val="28"/>
                <w:szCs w:val="32"/>
                <w:lang w:val="en-US"/>
              </w:rPr>
              <w:t>Year</w:t>
            </w:r>
          </w:p>
        </w:tc>
        <w:tc>
          <w:tcPr>
            <w:tcW w:w="3005" w:type="dxa"/>
          </w:tcPr>
          <w:p w14:paraId="04EFCDA6">
            <w:pPr>
              <w:spacing w:line="360" w:lineRule="auto"/>
              <w:rPr>
                <w:b/>
                <w:bCs/>
                <w:sz w:val="28"/>
                <w:szCs w:val="32"/>
                <w:lang w:val="en-US"/>
              </w:rPr>
            </w:pPr>
            <w:r>
              <w:rPr>
                <w:b/>
                <w:bCs/>
                <w:sz w:val="28"/>
                <w:szCs w:val="32"/>
                <w:lang w:val="en-US"/>
              </w:rPr>
              <w:t>Calculation</w:t>
            </w:r>
          </w:p>
        </w:tc>
        <w:tc>
          <w:tcPr>
            <w:tcW w:w="3006" w:type="dxa"/>
          </w:tcPr>
          <w:p w14:paraId="7EB10223">
            <w:pPr>
              <w:spacing w:line="360" w:lineRule="auto"/>
              <w:rPr>
                <w:b/>
                <w:bCs/>
                <w:sz w:val="28"/>
                <w:szCs w:val="32"/>
                <w:lang w:val="en-US"/>
              </w:rPr>
            </w:pPr>
            <w:r>
              <w:rPr>
                <w:b/>
                <w:bCs/>
                <w:sz w:val="28"/>
                <w:szCs w:val="32"/>
                <w:lang w:val="en-US"/>
              </w:rPr>
              <w:t>Results</w:t>
            </w:r>
          </w:p>
        </w:tc>
      </w:tr>
      <w:tr w14:paraId="7BDE8D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4B70816E">
            <w:pPr>
              <w:spacing w:line="360" w:lineRule="auto"/>
              <w:rPr>
                <w:b/>
                <w:bCs/>
                <w:sz w:val="28"/>
                <w:szCs w:val="32"/>
                <w:lang w:val="en-US"/>
              </w:rPr>
            </w:pPr>
            <w:r>
              <w:rPr>
                <w:b/>
                <w:bCs/>
                <w:sz w:val="28"/>
                <w:szCs w:val="32"/>
                <w:lang w:val="en-US"/>
              </w:rPr>
              <w:t>2023</w:t>
            </w:r>
          </w:p>
        </w:tc>
        <w:tc>
          <w:tcPr>
            <w:tcW w:w="3005" w:type="dxa"/>
          </w:tcPr>
          <w:p w14:paraId="36223EB7">
            <w:pPr>
              <w:spacing w:line="360" w:lineRule="auto"/>
              <w:rPr>
                <w:b/>
                <w:bCs/>
                <w:sz w:val="28"/>
                <w:szCs w:val="32"/>
                <w:lang w:val="en-US"/>
              </w:rPr>
            </w:pPr>
            <w:r>
              <w:rPr>
                <w:b/>
                <w:bCs/>
                <w:sz w:val="28"/>
                <w:szCs w:val="32"/>
                <w:lang w:val="en-US"/>
              </w:rPr>
              <w:t>15,239 / 210,130</w:t>
            </w:r>
          </w:p>
        </w:tc>
        <w:tc>
          <w:tcPr>
            <w:tcW w:w="3006" w:type="dxa"/>
          </w:tcPr>
          <w:p w14:paraId="5ACCBF95">
            <w:pPr>
              <w:spacing w:line="360" w:lineRule="auto"/>
              <w:rPr>
                <w:b/>
                <w:bCs/>
                <w:sz w:val="28"/>
                <w:szCs w:val="32"/>
                <w:lang w:val="en-US"/>
              </w:rPr>
            </w:pPr>
            <w:r>
              <w:rPr>
                <w:b/>
                <w:bCs/>
                <w:sz w:val="28"/>
                <w:szCs w:val="32"/>
                <w:lang w:val="en-US"/>
              </w:rPr>
              <w:t>7.3%</w:t>
            </w:r>
          </w:p>
        </w:tc>
      </w:tr>
      <w:tr w14:paraId="5F1B50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23E531D9">
            <w:pPr>
              <w:spacing w:line="360" w:lineRule="auto"/>
              <w:rPr>
                <w:b/>
                <w:bCs/>
                <w:sz w:val="28"/>
                <w:szCs w:val="32"/>
                <w:lang w:val="en-US"/>
              </w:rPr>
            </w:pPr>
            <w:r>
              <w:rPr>
                <w:b/>
                <w:bCs/>
                <w:sz w:val="28"/>
                <w:szCs w:val="32"/>
                <w:lang w:val="en-US"/>
              </w:rPr>
              <w:t>2024</w:t>
            </w:r>
          </w:p>
        </w:tc>
        <w:tc>
          <w:tcPr>
            <w:tcW w:w="3005" w:type="dxa"/>
          </w:tcPr>
          <w:p w14:paraId="2AB606CF">
            <w:pPr>
              <w:spacing w:line="360" w:lineRule="auto"/>
              <w:rPr>
                <w:b/>
                <w:bCs/>
                <w:sz w:val="28"/>
                <w:szCs w:val="32"/>
                <w:lang w:val="en-US"/>
              </w:rPr>
            </w:pPr>
            <w:r>
              <w:rPr>
                <w:b/>
                <w:bCs/>
                <w:sz w:val="28"/>
                <w:szCs w:val="32"/>
                <w:lang w:val="en-US"/>
              </w:rPr>
              <w:t>381 / 189,185</w:t>
            </w:r>
          </w:p>
        </w:tc>
        <w:tc>
          <w:tcPr>
            <w:tcW w:w="3006" w:type="dxa"/>
          </w:tcPr>
          <w:p w14:paraId="242FF6C9">
            <w:pPr>
              <w:spacing w:line="360" w:lineRule="auto"/>
              <w:rPr>
                <w:b/>
                <w:bCs/>
                <w:sz w:val="28"/>
                <w:szCs w:val="32"/>
                <w:lang w:val="en-US"/>
              </w:rPr>
            </w:pPr>
            <w:r>
              <w:rPr>
                <w:b/>
                <w:bCs/>
                <w:sz w:val="28"/>
                <w:szCs w:val="32"/>
                <w:lang w:val="en-US"/>
              </w:rPr>
              <w:t>0.2%</w:t>
            </w:r>
          </w:p>
        </w:tc>
      </w:tr>
    </w:tbl>
    <w:p w14:paraId="35F45233">
      <w:pPr>
        <w:spacing w:line="360" w:lineRule="auto"/>
        <w:rPr>
          <w:b/>
          <w:bCs/>
          <w:sz w:val="28"/>
          <w:szCs w:val="32"/>
          <w:lang w:val="en-US"/>
        </w:rPr>
      </w:pPr>
    </w:p>
    <w:p w14:paraId="79024092">
      <w:pPr>
        <w:spacing w:line="360" w:lineRule="auto"/>
        <w:rPr>
          <w:b/>
          <w:bCs/>
          <w:sz w:val="28"/>
          <w:szCs w:val="32"/>
          <w:lang w:val="en-US"/>
        </w:rPr>
      </w:pPr>
      <w:r>
        <w:rPr>
          <w:b/>
          <w:bCs/>
          <w:sz w:val="28"/>
          <w:szCs w:val="32"/>
          <w:lang w:val="en-US"/>
        </w:rPr>
        <w:t>Return on Equity Ratio</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0C448A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66741D45">
            <w:pPr>
              <w:spacing w:line="360" w:lineRule="auto"/>
              <w:rPr>
                <w:b/>
                <w:bCs/>
                <w:sz w:val="28"/>
                <w:szCs w:val="32"/>
                <w:lang w:val="en-US"/>
              </w:rPr>
            </w:pPr>
            <w:r>
              <w:rPr>
                <w:b/>
                <w:bCs/>
                <w:sz w:val="28"/>
                <w:szCs w:val="32"/>
                <w:lang w:val="en-US"/>
              </w:rPr>
              <w:t>Year</w:t>
            </w:r>
          </w:p>
        </w:tc>
        <w:tc>
          <w:tcPr>
            <w:tcW w:w="3005" w:type="dxa"/>
          </w:tcPr>
          <w:p w14:paraId="0F93C034">
            <w:pPr>
              <w:spacing w:line="360" w:lineRule="auto"/>
              <w:rPr>
                <w:b/>
                <w:bCs/>
                <w:sz w:val="28"/>
                <w:szCs w:val="32"/>
                <w:lang w:val="en-US"/>
              </w:rPr>
            </w:pPr>
            <w:r>
              <w:rPr>
                <w:b/>
                <w:bCs/>
                <w:sz w:val="28"/>
                <w:szCs w:val="32"/>
                <w:lang w:val="en-US"/>
              </w:rPr>
              <w:t>Calculation</w:t>
            </w:r>
          </w:p>
        </w:tc>
        <w:tc>
          <w:tcPr>
            <w:tcW w:w="3006" w:type="dxa"/>
          </w:tcPr>
          <w:p w14:paraId="32414017">
            <w:pPr>
              <w:spacing w:line="360" w:lineRule="auto"/>
              <w:rPr>
                <w:b/>
                <w:bCs/>
                <w:sz w:val="28"/>
                <w:szCs w:val="32"/>
                <w:lang w:val="en-US"/>
              </w:rPr>
            </w:pPr>
            <w:r>
              <w:rPr>
                <w:b/>
                <w:bCs/>
                <w:sz w:val="28"/>
                <w:szCs w:val="32"/>
                <w:lang w:val="en-US"/>
              </w:rPr>
              <w:t>Results</w:t>
            </w:r>
          </w:p>
        </w:tc>
      </w:tr>
      <w:tr w14:paraId="10A3BC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3C8F6E2A">
            <w:pPr>
              <w:spacing w:line="360" w:lineRule="auto"/>
              <w:rPr>
                <w:b/>
                <w:bCs/>
                <w:sz w:val="28"/>
                <w:szCs w:val="32"/>
                <w:lang w:val="en-US"/>
              </w:rPr>
            </w:pPr>
            <w:r>
              <w:rPr>
                <w:b/>
                <w:bCs/>
                <w:sz w:val="28"/>
                <w:szCs w:val="32"/>
                <w:lang w:val="en-US"/>
              </w:rPr>
              <w:t>2023</w:t>
            </w:r>
          </w:p>
        </w:tc>
        <w:tc>
          <w:tcPr>
            <w:tcW w:w="3005" w:type="dxa"/>
          </w:tcPr>
          <w:p w14:paraId="65821819">
            <w:pPr>
              <w:spacing w:line="360" w:lineRule="auto"/>
              <w:rPr>
                <w:b/>
                <w:bCs/>
                <w:sz w:val="28"/>
                <w:szCs w:val="32"/>
                <w:lang w:val="en-US"/>
              </w:rPr>
            </w:pPr>
            <w:r>
              <w:rPr>
                <w:b/>
                <w:bCs/>
                <w:sz w:val="28"/>
                <w:szCs w:val="32"/>
                <w:lang w:val="en-US"/>
              </w:rPr>
              <w:t>15,239 / 280,294</w:t>
            </w:r>
          </w:p>
        </w:tc>
        <w:tc>
          <w:tcPr>
            <w:tcW w:w="3006" w:type="dxa"/>
          </w:tcPr>
          <w:p w14:paraId="4AE364ED">
            <w:pPr>
              <w:spacing w:line="360" w:lineRule="auto"/>
              <w:rPr>
                <w:b/>
                <w:bCs/>
                <w:sz w:val="28"/>
                <w:szCs w:val="32"/>
                <w:lang w:val="en-US"/>
              </w:rPr>
            </w:pPr>
            <w:r>
              <w:rPr>
                <w:b/>
                <w:bCs/>
                <w:sz w:val="28"/>
                <w:szCs w:val="32"/>
                <w:lang w:val="en-US"/>
              </w:rPr>
              <w:t>21.69%</w:t>
            </w:r>
          </w:p>
        </w:tc>
      </w:tr>
      <w:tr w14:paraId="104DD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7491C2FA">
            <w:pPr>
              <w:spacing w:line="360" w:lineRule="auto"/>
              <w:rPr>
                <w:b/>
                <w:bCs/>
                <w:sz w:val="28"/>
                <w:szCs w:val="32"/>
                <w:lang w:val="en-US"/>
              </w:rPr>
            </w:pPr>
            <w:r>
              <w:rPr>
                <w:b/>
                <w:bCs/>
                <w:sz w:val="28"/>
                <w:szCs w:val="32"/>
                <w:lang w:val="en-US"/>
              </w:rPr>
              <w:t>2024</w:t>
            </w:r>
          </w:p>
        </w:tc>
        <w:tc>
          <w:tcPr>
            <w:tcW w:w="3005" w:type="dxa"/>
          </w:tcPr>
          <w:p w14:paraId="16F1D65A">
            <w:pPr>
              <w:spacing w:line="360" w:lineRule="auto"/>
              <w:rPr>
                <w:b/>
                <w:bCs/>
                <w:sz w:val="28"/>
                <w:szCs w:val="32"/>
                <w:lang w:val="en-US"/>
              </w:rPr>
            </w:pPr>
            <w:r>
              <w:rPr>
                <w:b/>
                <w:bCs/>
                <w:sz w:val="28"/>
                <w:szCs w:val="32"/>
                <w:lang w:val="en-US"/>
              </w:rPr>
              <w:t>381 / 282,228</w:t>
            </w:r>
          </w:p>
        </w:tc>
        <w:tc>
          <w:tcPr>
            <w:tcW w:w="3006" w:type="dxa"/>
          </w:tcPr>
          <w:p w14:paraId="56B8F2F7">
            <w:pPr>
              <w:spacing w:line="360" w:lineRule="auto"/>
              <w:rPr>
                <w:b/>
                <w:bCs/>
                <w:sz w:val="28"/>
                <w:szCs w:val="32"/>
                <w:lang w:val="en-US"/>
              </w:rPr>
            </w:pPr>
            <w:r>
              <w:rPr>
                <w:b/>
                <w:bCs/>
                <w:sz w:val="28"/>
                <w:szCs w:val="32"/>
                <w:lang w:val="en-US"/>
              </w:rPr>
              <w:t>0.64%</w:t>
            </w:r>
          </w:p>
        </w:tc>
      </w:tr>
    </w:tbl>
    <w:p w14:paraId="154C826D">
      <w:pPr>
        <w:spacing w:line="360" w:lineRule="auto"/>
        <w:rPr>
          <w:b/>
          <w:bCs/>
          <w:sz w:val="28"/>
          <w:szCs w:val="32"/>
          <w:lang w:val="en-US"/>
        </w:rPr>
      </w:pPr>
    </w:p>
    <w:p w14:paraId="33344F70">
      <w:pPr>
        <w:spacing w:line="360" w:lineRule="auto"/>
        <w:rPr>
          <w:b/>
          <w:bCs/>
          <w:sz w:val="28"/>
          <w:szCs w:val="32"/>
          <w:lang w:val="en-US"/>
        </w:rPr>
      </w:pPr>
      <w:r>
        <w:rPr>
          <w:b/>
          <w:bCs/>
          <w:sz w:val="28"/>
          <w:szCs w:val="32"/>
          <w:lang w:val="en-US"/>
        </w:rPr>
        <w:t>Liquidity Ratios</w:t>
      </w:r>
    </w:p>
    <w:p w14:paraId="78D84C3B">
      <w:pPr>
        <w:spacing w:line="360" w:lineRule="auto"/>
        <w:rPr>
          <w:b/>
          <w:bCs/>
          <w:sz w:val="28"/>
          <w:szCs w:val="32"/>
          <w:lang w:val="en-US"/>
        </w:rPr>
      </w:pPr>
      <w:r>
        <w:rPr>
          <w:b/>
          <w:bCs/>
          <w:sz w:val="28"/>
          <w:szCs w:val="32"/>
          <w:lang w:val="en-US"/>
        </w:rPr>
        <w:t>Current Ratio</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165FF5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1CF17DC1">
            <w:pPr>
              <w:spacing w:line="360" w:lineRule="auto"/>
              <w:rPr>
                <w:b/>
                <w:bCs/>
                <w:sz w:val="28"/>
                <w:szCs w:val="32"/>
                <w:lang w:val="en-US"/>
              </w:rPr>
            </w:pPr>
            <w:r>
              <w:rPr>
                <w:b/>
                <w:bCs/>
                <w:sz w:val="28"/>
                <w:szCs w:val="32"/>
                <w:lang w:val="en-US"/>
              </w:rPr>
              <w:t>Year</w:t>
            </w:r>
          </w:p>
        </w:tc>
        <w:tc>
          <w:tcPr>
            <w:tcW w:w="3005" w:type="dxa"/>
          </w:tcPr>
          <w:p w14:paraId="77721493">
            <w:pPr>
              <w:spacing w:line="360" w:lineRule="auto"/>
              <w:rPr>
                <w:b/>
                <w:bCs/>
                <w:sz w:val="28"/>
                <w:szCs w:val="32"/>
                <w:lang w:val="en-US"/>
              </w:rPr>
            </w:pPr>
            <w:r>
              <w:rPr>
                <w:b/>
                <w:bCs/>
                <w:sz w:val="28"/>
                <w:szCs w:val="32"/>
                <w:lang w:val="en-US"/>
              </w:rPr>
              <w:t>Calculation</w:t>
            </w:r>
          </w:p>
        </w:tc>
        <w:tc>
          <w:tcPr>
            <w:tcW w:w="3006" w:type="dxa"/>
          </w:tcPr>
          <w:p w14:paraId="6E8C45D5">
            <w:pPr>
              <w:spacing w:line="360" w:lineRule="auto"/>
              <w:rPr>
                <w:b/>
                <w:bCs/>
                <w:sz w:val="28"/>
                <w:szCs w:val="32"/>
                <w:lang w:val="en-US"/>
              </w:rPr>
            </w:pPr>
            <w:r>
              <w:rPr>
                <w:b/>
                <w:bCs/>
                <w:sz w:val="28"/>
                <w:szCs w:val="32"/>
                <w:lang w:val="en-US"/>
              </w:rPr>
              <w:t>Results</w:t>
            </w:r>
          </w:p>
        </w:tc>
      </w:tr>
      <w:tr w14:paraId="44EF6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7A4A3ECE">
            <w:pPr>
              <w:spacing w:line="360" w:lineRule="auto"/>
              <w:rPr>
                <w:b/>
                <w:bCs/>
                <w:sz w:val="28"/>
                <w:szCs w:val="32"/>
                <w:lang w:val="en-US"/>
              </w:rPr>
            </w:pPr>
            <w:r>
              <w:rPr>
                <w:b/>
                <w:bCs/>
                <w:sz w:val="28"/>
                <w:szCs w:val="32"/>
                <w:lang w:val="en-US"/>
              </w:rPr>
              <w:t>2023</w:t>
            </w:r>
          </w:p>
        </w:tc>
        <w:tc>
          <w:tcPr>
            <w:tcW w:w="3005" w:type="dxa"/>
          </w:tcPr>
          <w:p w14:paraId="0D5861AB">
            <w:pPr>
              <w:spacing w:line="360" w:lineRule="auto"/>
              <w:rPr>
                <w:b/>
                <w:bCs/>
                <w:sz w:val="28"/>
                <w:szCs w:val="32"/>
                <w:lang w:val="en-US"/>
              </w:rPr>
            </w:pPr>
            <w:r>
              <w:rPr>
                <w:b/>
                <w:bCs/>
                <w:sz w:val="28"/>
                <w:szCs w:val="32"/>
                <w:lang w:val="en-US"/>
              </w:rPr>
              <w:t>104,146 / 86,078</w:t>
            </w:r>
          </w:p>
        </w:tc>
        <w:tc>
          <w:tcPr>
            <w:tcW w:w="3006" w:type="dxa"/>
          </w:tcPr>
          <w:p w14:paraId="12A7A847">
            <w:pPr>
              <w:spacing w:line="360" w:lineRule="auto"/>
              <w:rPr>
                <w:b/>
                <w:bCs/>
                <w:sz w:val="28"/>
                <w:szCs w:val="32"/>
                <w:lang w:val="en-US"/>
              </w:rPr>
            </w:pPr>
            <w:r>
              <w:rPr>
                <w:b/>
                <w:bCs/>
                <w:sz w:val="28"/>
                <w:szCs w:val="32"/>
                <w:lang w:val="en-US"/>
              </w:rPr>
              <w:t>1.21</w:t>
            </w:r>
          </w:p>
        </w:tc>
      </w:tr>
      <w:tr w14:paraId="2FE5C5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2F37BF74">
            <w:pPr>
              <w:spacing w:line="360" w:lineRule="auto"/>
              <w:rPr>
                <w:b/>
                <w:bCs/>
                <w:sz w:val="28"/>
                <w:szCs w:val="32"/>
                <w:lang w:val="en-US"/>
              </w:rPr>
            </w:pPr>
            <w:r>
              <w:rPr>
                <w:b/>
                <w:bCs/>
                <w:sz w:val="28"/>
                <w:szCs w:val="32"/>
                <w:lang w:val="en-US"/>
              </w:rPr>
              <w:t>2024</w:t>
            </w:r>
          </w:p>
        </w:tc>
        <w:tc>
          <w:tcPr>
            <w:tcW w:w="3005" w:type="dxa"/>
          </w:tcPr>
          <w:p w14:paraId="08B896AB">
            <w:pPr>
              <w:spacing w:line="360" w:lineRule="auto"/>
              <w:rPr>
                <w:b/>
                <w:bCs/>
                <w:sz w:val="28"/>
                <w:szCs w:val="32"/>
                <w:lang w:val="en-US"/>
              </w:rPr>
            </w:pPr>
            <w:r>
              <w:rPr>
                <w:b/>
                <w:bCs/>
                <w:sz w:val="28"/>
                <w:szCs w:val="32"/>
                <w:lang w:val="en-US"/>
              </w:rPr>
              <w:t>102,834 / 82,241</w:t>
            </w:r>
          </w:p>
        </w:tc>
        <w:tc>
          <w:tcPr>
            <w:tcW w:w="3006" w:type="dxa"/>
          </w:tcPr>
          <w:p w14:paraId="2C78C336">
            <w:pPr>
              <w:spacing w:line="360" w:lineRule="auto"/>
              <w:rPr>
                <w:b/>
                <w:bCs/>
                <w:sz w:val="28"/>
                <w:szCs w:val="32"/>
                <w:lang w:val="en-US"/>
              </w:rPr>
            </w:pPr>
            <w:r>
              <w:rPr>
                <w:b/>
                <w:bCs/>
                <w:sz w:val="28"/>
                <w:szCs w:val="32"/>
                <w:lang w:val="en-US"/>
              </w:rPr>
              <w:t>1.25</w:t>
            </w:r>
          </w:p>
        </w:tc>
      </w:tr>
    </w:tbl>
    <w:p w14:paraId="1CC6A7FF">
      <w:pPr>
        <w:spacing w:line="360" w:lineRule="auto"/>
        <w:rPr>
          <w:b/>
          <w:bCs/>
          <w:sz w:val="28"/>
          <w:szCs w:val="32"/>
          <w:lang w:val="en-US"/>
        </w:rPr>
      </w:pPr>
    </w:p>
    <w:p w14:paraId="0C27B4A9">
      <w:pPr>
        <w:spacing w:line="360" w:lineRule="auto"/>
        <w:rPr>
          <w:b/>
          <w:bCs/>
          <w:sz w:val="28"/>
          <w:szCs w:val="32"/>
          <w:lang w:val="en-US"/>
        </w:rPr>
      </w:pPr>
      <w:r>
        <w:rPr>
          <w:b/>
          <w:bCs/>
          <w:sz w:val="28"/>
          <w:szCs w:val="32"/>
          <w:lang w:val="en-US"/>
        </w:rPr>
        <w:t>Acid Test Ratio</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4A45E4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6A4A74C2">
            <w:pPr>
              <w:spacing w:line="360" w:lineRule="auto"/>
              <w:rPr>
                <w:b/>
                <w:bCs/>
                <w:sz w:val="28"/>
                <w:szCs w:val="32"/>
                <w:lang w:val="en-US"/>
              </w:rPr>
            </w:pPr>
            <w:r>
              <w:rPr>
                <w:b/>
                <w:bCs/>
                <w:sz w:val="28"/>
                <w:szCs w:val="32"/>
                <w:lang w:val="en-US"/>
              </w:rPr>
              <w:t>Year</w:t>
            </w:r>
          </w:p>
        </w:tc>
        <w:tc>
          <w:tcPr>
            <w:tcW w:w="3005" w:type="dxa"/>
          </w:tcPr>
          <w:p w14:paraId="456E2D9D">
            <w:pPr>
              <w:spacing w:line="360" w:lineRule="auto"/>
              <w:rPr>
                <w:b/>
                <w:bCs/>
                <w:sz w:val="28"/>
                <w:szCs w:val="32"/>
                <w:lang w:val="en-US"/>
              </w:rPr>
            </w:pPr>
            <w:r>
              <w:rPr>
                <w:b/>
                <w:bCs/>
                <w:sz w:val="28"/>
                <w:szCs w:val="32"/>
                <w:lang w:val="en-US"/>
              </w:rPr>
              <w:t>Calculation</w:t>
            </w:r>
          </w:p>
        </w:tc>
        <w:tc>
          <w:tcPr>
            <w:tcW w:w="3006" w:type="dxa"/>
          </w:tcPr>
          <w:p w14:paraId="2ED8B288">
            <w:pPr>
              <w:spacing w:line="360" w:lineRule="auto"/>
              <w:rPr>
                <w:b/>
                <w:bCs/>
                <w:sz w:val="28"/>
                <w:szCs w:val="32"/>
                <w:lang w:val="en-US"/>
              </w:rPr>
            </w:pPr>
            <w:r>
              <w:rPr>
                <w:b/>
                <w:bCs/>
                <w:sz w:val="28"/>
                <w:szCs w:val="32"/>
                <w:lang w:val="en-US"/>
              </w:rPr>
              <w:t>Results</w:t>
            </w:r>
          </w:p>
        </w:tc>
      </w:tr>
      <w:tr w14:paraId="63A0AC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76645476">
            <w:pPr>
              <w:spacing w:line="360" w:lineRule="auto"/>
              <w:rPr>
                <w:b/>
                <w:bCs/>
                <w:sz w:val="28"/>
                <w:szCs w:val="32"/>
                <w:lang w:val="en-US"/>
              </w:rPr>
            </w:pPr>
            <w:r>
              <w:rPr>
                <w:b/>
                <w:bCs/>
                <w:sz w:val="28"/>
                <w:szCs w:val="32"/>
                <w:lang w:val="en-US"/>
              </w:rPr>
              <w:t>2023</w:t>
            </w:r>
          </w:p>
        </w:tc>
        <w:tc>
          <w:tcPr>
            <w:tcW w:w="3005" w:type="dxa"/>
          </w:tcPr>
          <w:p w14:paraId="0209291C">
            <w:pPr>
              <w:spacing w:line="360" w:lineRule="auto"/>
              <w:rPr>
                <w:b/>
                <w:bCs/>
                <w:sz w:val="28"/>
                <w:szCs w:val="32"/>
                <w:lang w:val="en-US"/>
              </w:rPr>
            </w:pPr>
            <w:r>
              <w:rPr>
                <w:b/>
                <w:bCs/>
                <w:sz w:val="28"/>
                <w:szCs w:val="32"/>
                <w:lang w:val="en-US"/>
              </w:rPr>
              <w:t>(104,146 – 22,819) / 86,087</w:t>
            </w:r>
          </w:p>
        </w:tc>
        <w:tc>
          <w:tcPr>
            <w:tcW w:w="3006" w:type="dxa"/>
          </w:tcPr>
          <w:p w14:paraId="347ABC90">
            <w:pPr>
              <w:spacing w:line="360" w:lineRule="auto"/>
              <w:rPr>
                <w:b/>
                <w:bCs/>
                <w:sz w:val="28"/>
                <w:szCs w:val="32"/>
                <w:lang w:val="en-US"/>
              </w:rPr>
            </w:pPr>
            <w:r>
              <w:rPr>
                <w:b/>
                <w:bCs/>
                <w:sz w:val="28"/>
                <w:szCs w:val="32"/>
                <w:lang w:val="en-US"/>
              </w:rPr>
              <w:t>0.94</w:t>
            </w:r>
          </w:p>
        </w:tc>
      </w:tr>
      <w:tr w14:paraId="4C1A84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25FE8AC5">
            <w:pPr>
              <w:spacing w:line="360" w:lineRule="auto"/>
              <w:rPr>
                <w:b/>
                <w:bCs/>
                <w:sz w:val="28"/>
                <w:szCs w:val="32"/>
                <w:lang w:val="en-US"/>
              </w:rPr>
            </w:pPr>
            <w:r>
              <w:rPr>
                <w:b/>
                <w:bCs/>
                <w:sz w:val="28"/>
                <w:szCs w:val="32"/>
                <w:lang w:val="en-US"/>
              </w:rPr>
              <w:t>2024</w:t>
            </w:r>
          </w:p>
        </w:tc>
        <w:tc>
          <w:tcPr>
            <w:tcW w:w="3005" w:type="dxa"/>
          </w:tcPr>
          <w:p w14:paraId="311E7305">
            <w:pPr>
              <w:spacing w:line="360" w:lineRule="auto"/>
              <w:rPr>
                <w:b/>
                <w:bCs/>
                <w:sz w:val="28"/>
                <w:szCs w:val="32"/>
                <w:lang w:val="en-US"/>
              </w:rPr>
            </w:pPr>
            <w:r>
              <w:rPr>
                <w:b/>
                <w:bCs/>
                <w:sz w:val="28"/>
                <w:szCs w:val="32"/>
                <w:lang w:val="en-US"/>
              </w:rPr>
              <w:t>(102,834 – 23,232) / 82,241</w:t>
            </w:r>
          </w:p>
        </w:tc>
        <w:tc>
          <w:tcPr>
            <w:tcW w:w="3006" w:type="dxa"/>
          </w:tcPr>
          <w:p w14:paraId="782F5D48">
            <w:pPr>
              <w:spacing w:line="360" w:lineRule="auto"/>
              <w:rPr>
                <w:b/>
                <w:bCs/>
                <w:sz w:val="28"/>
                <w:szCs w:val="32"/>
                <w:lang w:val="en-US"/>
              </w:rPr>
            </w:pPr>
            <w:r>
              <w:rPr>
                <w:b/>
                <w:bCs/>
                <w:sz w:val="28"/>
                <w:szCs w:val="32"/>
                <w:lang w:val="en-US"/>
              </w:rPr>
              <w:t>0.97</w:t>
            </w:r>
          </w:p>
        </w:tc>
      </w:tr>
    </w:tbl>
    <w:p w14:paraId="305ADBC7">
      <w:pPr>
        <w:spacing w:line="360" w:lineRule="auto"/>
        <w:rPr>
          <w:b/>
          <w:bCs/>
          <w:sz w:val="28"/>
          <w:szCs w:val="32"/>
          <w:lang w:val="en-US"/>
        </w:rPr>
      </w:pPr>
    </w:p>
    <w:p w14:paraId="28AE25A1">
      <w:pPr>
        <w:spacing w:line="360" w:lineRule="auto"/>
        <w:rPr>
          <w:b/>
          <w:bCs/>
          <w:sz w:val="28"/>
          <w:szCs w:val="32"/>
          <w:lang w:val="en-US"/>
        </w:rPr>
      </w:pPr>
      <w:r>
        <w:rPr>
          <w:b/>
          <w:bCs/>
          <w:sz w:val="28"/>
          <w:szCs w:val="32"/>
          <w:lang w:val="en-US"/>
        </w:rPr>
        <w:t>Efficiency Ratios</w:t>
      </w:r>
    </w:p>
    <w:p w14:paraId="3BE65E24">
      <w:pPr>
        <w:spacing w:line="360" w:lineRule="auto"/>
        <w:rPr>
          <w:b/>
          <w:bCs/>
          <w:sz w:val="28"/>
          <w:szCs w:val="32"/>
          <w:lang w:val="en-US"/>
        </w:rPr>
      </w:pPr>
      <w:r>
        <w:rPr>
          <w:b/>
          <w:bCs/>
          <w:sz w:val="28"/>
          <w:szCs w:val="32"/>
          <w:lang w:val="en-US"/>
        </w:rPr>
        <w:t>Asset Turnover Ratio</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228CA9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0FB65DF4">
            <w:pPr>
              <w:spacing w:line="360" w:lineRule="auto"/>
              <w:rPr>
                <w:b/>
                <w:bCs/>
                <w:sz w:val="28"/>
                <w:szCs w:val="32"/>
                <w:lang w:val="en-US"/>
              </w:rPr>
            </w:pPr>
            <w:r>
              <w:rPr>
                <w:b/>
                <w:bCs/>
                <w:sz w:val="28"/>
                <w:szCs w:val="32"/>
                <w:lang w:val="en-US"/>
              </w:rPr>
              <w:t>Year</w:t>
            </w:r>
          </w:p>
        </w:tc>
        <w:tc>
          <w:tcPr>
            <w:tcW w:w="3005" w:type="dxa"/>
          </w:tcPr>
          <w:p w14:paraId="623F0912">
            <w:pPr>
              <w:spacing w:line="360" w:lineRule="auto"/>
              <w:rPr>
                <w:b/>
                <w:bCs/>
                <w:sz w:val="28"/>
                <w:szCs w:val="32"/>
                <w:lang w:val="en-US"/>
              </w:rPr>
            </w:pPr>
            <w:r>
              <w:rPr>
                <w:b/>
                <w:bCs/>
                <w:sz w:val="28"/>
                <w:szCs w:val="32"/>
                <w:lang w:val="en-US"/>
              </w:rPr>
              <w:t>Calculation</w:t>
            </w:r>
          </w:p>
        </w:tc>
        <w:tc>
          <w:tcPr>
            <w:tcW w:w="3006" w:type="dxa"/>
          </w:tcPr>
          <w:p w14:paraId="274BD08E">
            <w:pPr>
              <w:spacing w:line="360" w:lineRule="auto"/>
              <w:rPr>
                <w:b/>
                <w:bCs/>
                <w:sz w:val="28"/>
                <w:szCs w:val="32"/>
                <w:lang w:val="en-US"/>
              </w:rPr>
            </w:pPr>
            <w:r>
              <w:rPr>
                <w:b/>
                <w:bCs/>
                <w:sz w:val="28"/>
                <w:szCs w:val="32"/>
                <w:lang w:val="en-US"/>
              </w:rPr>
              <w:t>Results</w:t>
            </w:r>
          </w:p>
        </w:tc>
      </w:tr>
      <w:tr w14:paraId="40D927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0949023E">
            <w:pPr>
              <w:spacing w:line="360" w:lineRule="auto"/>
              <w:rPr>
                <w:b/>
                <w:bCs/>
                <w:sz w:val="28"/>
                <w:szCs w:val="32"/>
                <w:lang w:val="en-US"/>
              </w:rPr>
            </w:pPr>
            <w:r>
              <w:rPr>
                <w:b/>
                <w:bCs/>
                <w:sz w:val="28"/>
                <w:szCs w:val="32"/>
                <w:lang w:val="en-US"/>
              </w:rPr>
              <w:t>2023</w:t>
            </w:r>
          </w:p>
        </w:tc>
        <w:tc>
          <w:tcPr>
            <w:tcW w:w="3005" w:type="dxa"/>
          </w:tcPr>
          <w:p w14:paraId="50E7A843">
            <w:pPr>
              <w:spacing w:line="360" w:lineRule="auto"/>
              <w:rPr>
                <w:b/>
                <w:bCs/>
                <w:sz w:val="28"/>
                <w:szCs w:val="32"/>
                <w:lang w:val="en-US"/>
              </w:rPr>
            </w:pPr>
            <w:r>
              <w:rPr>
                <w:b/>
                <w:bCs/>
                <w:sz w:val="28"/>
                <w:szCs w:val="32"/>
                <w:lang w:val="en-US"/>
              </w:rPr>
              <w:t>210,130 / 280,294</w:t>
            </w:r>
          </w:p>
        </w:tc>
        <w:tc>
          <w:tcPr>
            <w:tcW w:w="3006" w:type="dxa"/>
          </w:tcPr>
          <w:p w14:paraId="622F04D4">
            <w:pPr>
              <w:spacing w:line="360" w:lineRule="auto"/>
              <w:rPr>
                <w:b/>
                <w:bCs/>
                <w:sz w:val="28"/>
                <w:szCs w:val="32"/>
                <w:lang w:val="en-US"/>
              </w:rPr>
            </w:pPr>
            <w:r>
              <w:rPr>
                <w:b/>
                <w:bCs/>
                <w:sz w:val="28"/>
                <w:szCs w:val="32"/>
                <w:lang w:val="en-US"/>
              </w:rPr>
              <w:t>0.75</w:t>
            </w:r>
          </w:p>
        </w:tc>
      </w:tr>
      <w:tr w14:paraId="78EE5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65DA0904">
            <w:pPr>
              <w:spacing w:line="360" w:lineRule="auto"/>
              <w:rPr>
                <w:b/>
                <w:bCs/>
                <w:sz w:val="28"/>
                <w:szCs w:val="32"/>
                <w:lang w:val="en-US"/>
              </w:rPr>
            </w:pPr>
            <w:r>
              <w:rPr>
                <w:b/>
                <w:bCs/>
                <w:sz w:val="28"/>
                <w:szCs w:val="32"/>
                <w:lang w:val="en-US"/>
              </w:rPr>
              <w:t>2024</w:t>
            </w:r>
          </w:p>
        </w:tc>
        <w:tc>
          <w:tcPr>
            <w:tcW w:w="3005" w:type="dxa"/>
          </w:tcPr>
          <w:p w14:paraId="7898DB35">
            <w:pPr>
              <w:spacing w:line="360" w:lineRule="auto"/>
              <w:rPr>
                <w:b/>
                <w:bCs/>
                <w:sz w:val="28"/>
                <w:szCs w:val="32"/>
                <w:lang w:val="en-US"/>
              </w:rPr>
            </w:pPr>
            <w:r>
              <w:rPr>
                <w:b/>
                <w:bCs/>
                <w:sz w:val="28"/>
                <w:szCs w:val="32"/>
                <w:lang w:val="en-US"/>
              </w:rPr>
              <w:t>189,185 / 282,228</w:t>
            </w:r>
          </w:p>
        </w:tc>
        <w:tc>
          <w:tcPr>
            <w:tcW w:w="3006" w:type="dxa"/>
          </w:tcPr>
          <w:p w14:paraId="1B1E6AA8">
            <w:pPr>
              <w:spacing w:line="360" w:lineRule="auto"/>
              <w:rPr>
                <w:b/>
                <w:bCs/>
                <w:sz w:val="28"/>
                <w:szCs w:val="32"/>
                <w:lang w:val="en-US"/>
              </w:rPr>
            </w:pPr>
            <w:r>
              <w:rPr>
                <w:b/>
                <w:bCs/>
                <w:sz w:val="28"/>
                <w:szCs w:val="32"/>
                <w:lang w:val="en-US"/>
              </w:rPr>
              <w:t>0.67</w:t>
            </w:r>
          </w:p>
        </w:tc>
      </w:tr>
    </w:tbl>
    <w:p w14:paraId="6BDE6B8D">
      <w:pPr>
        <w:spacing w:line="360" w:lineRule="auto"/>
        <w:rPr>
          <w:b/>
          <w:bCs/>
          <w:sz w:val="28"/>
          <w:szCs w:val="32"/>
          <w:lang w:val="en-US"/>
        </w:rPr>
      </w:pPr>
    </w:p>
    <w:p w14:paraId="4ED0FB08">
      <w:pPr>
        <w:spacing w:line="360" w:lineRule="auto"/>
        <w:rPr>
          <w:b/>
          <w:bCs/>
          <w:sz w:val="28"/>
          <w:szCs w:val="32"/>
          <w:lang w:val="en-US"/>
        </w:rPr>
      </w:pPr>
      <w:r>
        <w:rPr>
          <w:b/>
          <w:bCs/>
          <w:sz w:val="28"/>
          <w:szCs w:val="32"/>
          <w:lang w:val="en-US"/>
        </w:rPr>
        <w:t>Gearing Ratios</w:t>
      </w:r>
    </w:p>
    <w:p w14:paraId="423B30A8">
      <w:pPr>
        <w:spacing w:line="360" w:lineRule="auto"/>
        <w:rPr>
          <w:b/>
          <w:bCs/>
          <w:sz w:val="28"/>
          <w:szCs w:val="32"/>
          <w:lang w:val="en-US"/>
        </w:rPr>
      </w:pPr>
      <w:r>
        <w:rPr>
          <w:b/>
          <w:bCs/>
          <w:sz w:val="28"/>
          <w:szCs w:val="32"/>
          <w:lang w:val="en-US"/>
        </w:rPr>
        <w:t>Debt-to-Equity Ratio</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72204B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73C67332">
            <w:pPr>
              <w:spacing w:line="360" w:lineRule="auto"/>
              <w:rPr>
                <w:b/>
                <w:bCs/>
                <w:sz w:val="28"/>
                <w:szCs w:val="32"/>
                <w:lang w:val="en-US"/>
              </w:rPr>
            </w:pPr>
            <w:r>
              <w:rPr>
                <w:b/>
                <w:bCs/>
                <w:sz w:val="28"/>
                <w:szCs w:val="32"/>
                <w:lang w:val="en-US"/>
              </w:rPr>
              <w:t>Year</w:t>
            </w:r>
          </w:p>
        </w:tc>
        <w:tc>
          <w:tcPr>
            <w:tcW w:w="3005" w:type="dxa"/>
          </w:tcPr>
          <w:p w14:paraId="1F3E4106">
            <w:pPr>
              <w:spacing w:line="360" w:lineRule="auto"/>
              <w:rPr>
                <w:b/>
                <w:bCs/>
                <w:sz w:val="28"/>
                <w:szCs w:val="32"/>
                <w:lang w:val="en-US"/>
              </w:rPr>
            </w:pPr>
            <w:r>
              <w:rPr>
                <w:b/>
                <w:bCs/>
                <w:sz w:val="28"/>
                <w:szCs w:val="32"/>
                <w:lang w:val="en-US"/>
              </w:rPr>
              <w:t>Calculation</w:t>
            </w:r>
          </w:p>
        </w:tc>
        <w:tc>
          <w:tcPr>
            <w:tcW w:w="3006" w:type="dxa"/>
          </w:tcPr>
          <w:p w14:paraId="32514066">
            <w:pPr>
              <w:spacing w:line="360" w:lineRule="auto"/>
              <w:rPr>
                <w:b/>
                <w:bCs/>
                <w:sz w:val="28"/>
                <w:szCs w:val="32"/>
                <w:lang w:val="en-US"/>
              </w:rPr>
            </w:pPr>
            <w:r>
              <w:rPr>
                <w:b/>
                <w:bCs/>
                <w:sz w:val="28"/>
                <w:szCs w:val="32"/>
                <w:lang w:val="en-US"/>
              </w:rPr>
              <w:t>Results</w:t>
            </w:r>
          </w:p>
        </w:tc>
      </w:tr>
      <w:tr w14:paraId="171352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5C0C4491">
            <w:pPr>
              <w:spacing w:line="360" w:lineRule="auto"/>
              <w:rPr>
                <w:b/>
                <w:bCs/>
                <w:sz w:val="28"/>
                <w:szCs w:val="32"/>
                <w:lang w:val="en-US"/>
              </w:rPr>
            </w:pPr>
            <w:r>
              <w:rPr>
                <w:b/>
                <w:bCs/>
                <w:sz w:val="28"/>
                <w:szCs w:val="32"/>
                <w:lang w:val="en-US"/>
              </w:rPr>
              <w:t>2023</w:t>
            </w:r>
          </w:p>
        </w:tc>
        <w:tc>
          <w:tcPr>
            <w:tcW w:w="3005" w:type="dxa"/>
          </w:tcPr>
          <w:p w14:paraId="5DAF4751">
            <w:pPr>
              <w:spacing w:line="360" w:lineRule="auto"/>
              <w:rPr>
                <w:b/>
                <w:bCs/>
                <w:sz w:val="28"/>
                <w:szCs w:val="32"/>
                <w:lang w:val="en-US"/>
              </w:rPr>
            </w:pPr>
            <w:r>
              <w:rPr>
                <w:b/>
                <w:bCs/>
                <w:sz w:val="28"/>
                <w:szCs w:val="32"/>
                <w:lang w:val="en-US"/>
              </w:rPr>
              <w:t>51,954 / 85,493</w:t>
            </w:r>
          </w:p>
        </w:tc>
        <w:tc>
          <w:tcPr>
            <w:tcW w:w="3006" w:type="dxa"/>
          </w:tcPr>
          <w:p w14:paraId="284FC3B2">
            <w:pPr>
              <w:spacing w:line="360" w:lineRule="auto"/>
              <w:rPr>
                <w:b/>
                <w:bCs/>
                <w:sz w:val="28"/>
                <w:szCs w:val="32"/>
                <w:lang w:val="en-US"/>
              </w:rPr>
            </w:pPr>
            <w:r>
              <w:rPr>
                <w:b/>
                <w:bCs/>
                <w:sz w:val="28"/>
                <w:szCs w:val="32"/>
                <w:lang w:val="en-US"/>
              </w:rPr>
              <w:t>0.61</w:t>
            </w:r>
          </w:p>
        </w:tc>
      </w:tr>
      <w:tr w14:paraId="68245A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5B47C2EF">
            <w:pPr>
              <w:spacing w:line="360" w:lineRule="auto"/>
              <w:rPr>
                <w:b/>
                <w:bCs/>
                <w:sz w:val="28"/>
                <w:szCs w:val="32"/>
                <w:lang w:val="en-US"/>
              </w:rPr>
            </w:pPr>
            <w:r>
              <w:rPr>
                <w:b/>
                <w:bCs/>
                <w:sz w:val="28"/>
                <w:szCs w:val="32"/>
                <w:lang w:val="en-US"/>
              </w:rPr>
              <w:t>2024</w:t>
            </w:r>
          </w:p>
        </w:tc>
        <w:tc>
          <w:tcPr>
            <w:tcW w:w="3005" w:type="dxa"/>
          </w:tcPr>
          <w:p w14:paraId="6B0E288F">
            <w:pPr>
              <w:spacing w:line="360" w:lineRule="auto"/>
              <w:rPr>
                <w:b/>
                <w:bCs/>
                <w:sz w:val="28"/>
                <w:szCs w:val="32"/>
                <w:lang w:val="en-US"/>
              </w:rPr>
            </w:pPr>
            <w:r>
              <w:rPr>
                <w:b/>
                <w:bCs/>
                <w:sz w:val="28"/>
                <w:szCs w:val="32"/>
                <w:lang w:val="en-US"/>
              </w:rPr>
              <w:t>59,547 / 78,318</w:t>
            </w:r>
          </w:p>
        </w:tc>
        <w:tc>
          <w:tcPr>
            <w:tcW w:w="3006" w:type="dxa"/>
          </w:tcPr>
          <w:p w14:paraId="1936D8B5">
            <w:pPr>
              <w:spacing w:line="360" w:lineRule="auto"/>
              <w:rPr>
                <w:b/>
                <w:bCs/>
                <w:sz w:val="28"/>
                <w:szCs w:val="32"/>
                <w:lang w:val="en-US"/>
              </w:rPr>
            </w:pPr>
            <w:r>
              <w:rPr>
                <w:b/>
                <w:bCs/>
                <w:sz w:val="28"/>
                <w:szCs w:val="32"/>
                <w:lang w:val="en-US"/>
              </w:rPr>
              <w:t>0.76</w:t>
            </w:r>
          </w:p>
        </w:tc>
      </w:tr>
    </w:tbl>
    <w:p w14:paraId="55BCCD34">
      <w:pPr>
        <w:spacing w:line="360" w:lineRule="auto"/>
        <w:rPr>
          <w:b/>
          <w:bCs/>
          <w:sz w:val="28"/>
          <w:szCs w:val="32"/>
          <w:lang w:val="en-US"/>
        </w:rPr>
      </w:pPr>
    </w:p>
    <w:p w14:paraId="47193675">
      <w:pPr>
        <w:spacing w:line="360" w:lineRule="auto"/>
        <w:rPr>
          <w:b/>
          <w:bCs/>
          <w:sz w:val="28"/>
          <w:szCs w:val="32"/>
          <w:lang w:val="en-US"/>
        </w:rPr>
      </w:pPr>
      <w:r>
        <w:rPr>
          <w:b/>
          <w:bCs/>
          <w:sz w:val="28"/>
          <w:szCs w:val="32"/>
          <w:lang w:val="en-US"/>
        </w:rPr>
        <w:t>Debt-to-Asset Ratio</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6F0171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2D4AF5EE">
            <w:pPr>
              <w:spacing w:line="360" w:lineRule="auto"/>
              <w:rPr>
                <w:b/>
                <w:bCs/>
                <w:sz w:val="28"/>
                <w:szCs w:val="32"/>
                <w:lang w:val="en-US"/>
              </w:rPr>
            </w:pPr>
            <w:r>
              <w:rPr>
                <w:b/>
                <w:bCs/>
                <w:sz w:val="28"/>
                <w:szCs w:val="32"/>
                <w:lang w:val="en-US"/>
              </w:rPr>
              <w:t>Year</w:t>
            </w:r>
          </w:p>
        </w:tc>
        <w:tc>
          <w:tcPr>
            <w:tcW w:w="3005" w:type="dxa"/>
          </w:tcPr>
          <w:p w14:paraId="2FC9739E">
            <w:pPr>
              <w:spacing w:line="360" w:lineRule="auto"/>
              <w:rPr>
                <w:b/>
                <w:bCs/>
                <w:sz w:val="28"/>
                <w:szCs w:val="32"/>
                <w:lang w:val="en-US"/>
              </w:rPr>
            </w:pPr>
            <w:r>
              <w:rPr>
                <w:b/>
                <w:bCs/>
                <w:sz w:val="28"/>
                <w:szCs w:val="32"/>
                <w:lang w:val="en-US"/>
              </w:rPr>
              <w:t>Calculation</w:t>
            </w:r>
          </w:p>
        </w:tc>
        <w:tc>
          <w:tcPr>
            <w:tcW w:w="3006" w:type="dxa"/>
          </w:tcPr>
          <w:p w14:paraId="5E654B2A">
            <w:pPr>
              <w:spacing w:line="360" w:lineRule="auto"/>
              <w:rPr>
                <w:b/>
                <w:bCs/>
                <w:sz w:val="28"/>
                <w:szCs w:val="32"/>
                <w:lang w:val="en-US"/>
              </w:rPr>
            </w:pPr>
            <w:r>
              <w:rPr>
                <w:b/>
                <w:bCs/>
                <w:sz w:val="28"/>
                <w:szCs w:val="32"/>
                <w:lang w:val="en-US"/>
              </w:rPr>
              <w:t>Results</w:t>
            </w:r>
          </w:p>
        </w:tc>
      </w:tr>
      <w:tr w14:paraId="38AF78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255E0E41">
            <w:pPr>
              <w:spacing w:line="360" w:lineRule="auto"/>
              <w:rPr>
                <w:b/>
                <w:bCs/>
                <w:sz w:val="28"/>
                <w:szCs w:val="32"/>
                <w:lang w:val="en-US"/>
              </w:rPr>
            </w:pPr>
            <w:r>
              <w:rPr>
                <w:b/>
                <w:bCs/>
                <w:sz w:val="28"/>
                <w:szCs w:val="32"/>
                <w:lang w:val="en-US"/>
              </w:rPr>
              <w:t>2023</w:t>
            </w:r>
          </w:p>
        </w:tc>
        <w:tc>
          <w:tcPr>
            <w:tcW w:w="3005" w:type="dxa"/>
          </w:tcPr>
          <w:p w14:paraId="2455927B">
            <w:pPr>
              <w:spacing w:line="360" w:lineRule="auto"/>
              <w:rPr>
                <w:b/>
                <w:bCs/>
                <w:sz w:val="28"/>
                <w:szCs w:val="32"/>
                <w:lang w:val="en-US"/>
              </w:rPr>
            </w:pPr>
            <w:r>
              <w:rPr>
                <w:b/>
                <w:bCs/>
                <w:sz w:val="28"/>
                <w:szCs w:val="32"/>
                <w:lang w:val="en-US"/>
              </w:rPr>
              <w:t>51,954 / 280,294</w:t>
            </w:r>
          </w:p>
        </w:tc>
        <w:tc>
          <w:tcPr>
            <w:tcW w:w="3006" w:type="dxa"/>
          </w:tcPr>
          <w:p w14:paraId="01E13B60">
            <w:pPr>
              <w:spacing w:line="360" w:lineRule="auto"/>
              <w:rPr>
                <w:b/>
                <w:bCs/>
                <w:sz w:val="28"/>
                <w:szCs w:val="32"/>
                <w:lang w:val="en-US"/>
              </w:rPr>
            </w:pPr>
            <w:r>
              <w:rPr>
                <w:b/>
                <w:bCs/>
                <w:sz w:val="28"/>
                <w:szCs w:val="32"/>
                <w:lang w:val="en-US"/>
              </w:rPr>
              <w:t>0.19</w:t>
            </w:r>
          </w:p>
        </w:tc>
      </w:tr>
      <w:tr w14:paraId="0BA5FD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3EA775DF">
            <w:pPr>
              <w:spacing w:line="360" w:lineRule="auto"/>
              <w:rPr>
                <w:b/>
                <w:bCs/>
                <w:sz w:val="28"/>
                <w:szCs w:val="32"/>
                <w:lang w:val="en-US"/>
              </w:rPr>
            </w:pPr>
            <w:r>
              <w:rPr>
                <w:b/>
                <w:bCs/>
                <w:sz w:val="28"/>
                <w:szCs w:val="32"/>
                <w:lang w:val="en-US"/>
              </w:rPr>
              <w:t>2024</w:t>
            </w:r>
          </w:p>
        </w:tc>
        <w:tc>
          <w:tcPr>
            <w:tcW w:w="3005" w:type="dxa"/>
          </w:tcPr>
          <w:p w14:paraId="3961D091">
            <w:pPr>
              <w:spacing w:line="360" w:lineRule="auto"/>
              <w:rPr>
                <w:b/>
                <w:bCs/>
                <w:sz w:val="28"/>
                <w:szCs w:val="32"/>
                <w:lang w:val="en-US"/>
              </w:rPr>
            </w:pPr>
            <w:r>
              <w:rPr>
                <w:b/>
                <w:bCs/>
                <w:sz w:val="28"/>
                <w:szCs w:val="32"/>
                <w:lang w:val="en-US"/>
              </w:rPr>
              <w:t>59,547 / 282,228</w:t>
            </w:r>
          </w:p>
        </w:tc>
        <w:tc>
          <w:tcPr>
            <w:tcW w:w="3006" w:type="dxa"/>
          </w:tcPr>
          <w:p w14:paraId="788B1B5F">
            <w:pPr>
              <w:spacing w:line="360" w:lineRule="auto"/>
              <w:rPr>
                <w:b/>
                <w:bCs/>
                <w:sz w:val="28"/>
                <w:szCs w:val="32"/>
                <w:lang w:val="en-US"/>
              </w:rPr>
            </w:pPr>
            <w:r>
              <w:rPr>
                <w:b/>
                <w:bCs/>
                <w:sz w:val="28"/>
                <w:szCs w:val="32"/>
                <w:lang w:val="en-US"/>
              </w:rPr>
              <w:t>0.21</w:t>
            </w:r>
          </w:p>
        </w:tc>
      </w:tr>
    </w:tbl>
    <w:p w14:paraId="322C6475">
      <w:pPr>
        <w:spacing w:line="360" w:lineRule="auto"/>
        <w:rPr>
          <w:b/>
          <w:bCs/>
          <w:sz w:val="28"/>
          <w:szCs w:val="32"/>
          <w:lang w:val="en-US"/>
        </w:rPr>
      </w:pPr>
    </w:p>
    <w:sectPr>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Vrinda">
    <w:panose1 w:val="01010600010101010101"/>
    <w:charset w:val="00"/>
    <w:family w:val="swiss"/>
    <w:pitch w:val="default"/>
    <w:sig w:usb0="00010003" w:usb1="00000000" w:usb2="00000000" w:usb3="00000000" w:csb0="00000001"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3F9360A"/>
    <w:multiLevelType w:val="multilevel"/>
    <w:tmpl w:val="23F9360A"/>
    <w:lvl w:ilvl="0" w:tentative="0">
      <w:start w:val="1"/>
      <w:numFmt w:val="decimal"/>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1">
    <w:nsid w:val="4B52582A"/>
    <w:multiLevelType w:val="multilevel"/>
    <w:tmpl w:val="4B52582A"/>
    <w:lvl w:ilvl="0" w:tentative="0">
      <w:start w:val="2"/>
      <w:numFmt w:val="bullet"/>
      <w:lvlText w:val="-"/>
      <w:lvlJc w:val="left"/>
      <w:pPr>
        <w:ind w:left="1080" w:hanging="360"/>
      </w:pPr>
      <w:rPr>
        <w:rFonts w:hint="default" w:ascii="Times New Roman" w:hAnsi="Times New Roman" w:cs="Times New Roman" w:eastAsiaTheme="minorHAnsi"/>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2">
    <w:nsid w:val="7C703395"/>
    <w:multiLevelType w:val="multilevel"/>
    <w:tmpl w:val="7C703395"/>
    <w:lvl w:ilvl="0" w:tentative="0">
      <w:start w:val="1"/>
      <w:numFmt w:val="decimal"/>
      <w:pStyle w:val="2"/>
      <w:lvlText w:val="%1."/>
      <w:lvlJc w:val="left"/>
      <w:pPr>
        <w:ind w:left="360" w:hanging="360"/>
      </w:pPr>
      <w:rPr>
        <w:rFonts w:hint="default"/>
      </w:rPr>
    </w:lvl>
    <w:lvl w:ilvl="1" w:tentative="0">
      <w:start w:val="2"/>
      <w:numFmt w:val="decimal"/>
      <w:isLgl/>
      <w:lvlText w:val="%1.%2."/>
      <w:lvlJc w:val="left"/>
      <w:pPr>
        <w:ind w:left="720" w:hanging="72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1080" w:hanging="108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440" w:hanging="1440"/>
      </w:pPr>
      <w:rPr>
        <w:rFonts w:hint="default"/>
      </w:rPr>
    </w:lvl>
    <w:lvl w:ilvl="6" w:tentative="0">
      <w:start w:val="1"/>
      <w:numFmt w:val="decimal"/>
      <w:isLgl/>
      <w:lvlText w:val="%1.%2.%3.%4.%5.%6.%7."/>
      <w:lvlJc w:val="left"/>
      <w:pPr>
        <w:ind w:left="1800" w:hanging="1800"/>
      </w:pPr>
      <w:rPr>
        <w:rFonts w:hint="default"/>
      </w:rPr>
    </w:lvl>
    <w:lvl w:ilvl="7" w:tentative="0">
      <w:start w:val="1"/>
      <w:numFmt w:val="decimal"/>
      <w:isLgl/>
      <w:lvlText w:val="%1.%2.%3.%4.%5.%6.%7.%8."/>
      <w:lvlJc w:val="left"/>
      <w:pPr>
        <w:ind w:left="1800" w:hanging="1800"/>
      </w:pPr>
      <w:rPr>
        <w:rFonts w:hint="default"/>
      </w:rPr>
    </w:lvl>
    <w:lvl w:ilvl="8" w:tentative="0">
      <w:start w:val="1"/>
      <w:numFmt w:val="decimal"/>
      <w:isLgl/>
      <w:lvlText w:val="%1.%2.%3.%4.%5.%6.%7.%8.%9."/>
      <w:lvlJc w:val="left"/>
      <w:pPr>
        <w:ind w:left="2160" w:hanging="2160"/>
      </w:pPr>
      <w:rPr>
        <w:rFonts w:hint="default"/>
      </w:rPr>
    </w:lvl>
  </w:abstractNum>
  <w:num w:numId="1">
    <w:abstractNumId w:val="2"/>
  </w:num>
  <w:num w:numId="2">
    <w:abstractNumId w:val="2"/>
    <w:lvlOverride w:ilvl="0">
      <w:startOverride w:val="2"/>
    </w:lvlOverride>
    <w:lvlOverride w:ilvl="1">
      <w:startOverride w:val="1"/>
    </w:lvlOverride>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9"/>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4BCE"/>
    <w:rsid w:val="00003220"/>
    <w:rsid w:val="00007791"/>
    <w:rsid w:val="00010DF1"/>
    <w:rsid w:val="00026398"/>
    <w:rsid w:val="00026DF6"/>
    <w:rsid w:val="0004708D"/>
    <w:rsid w:val="00052AAE"/>
    <w:rsid w:val="00072714"/>
    <w:rsid w:val="00073A3B"/>
    <w:rsid w:val="00083F80"/>
    <w:rsid w:val="00086006"/>
    <w:rsid w:val="0009355B"/>
    <w:rsid w:val="00093EFB"/>
    <w:rsid w:val="00097B47"/>
    <w:rsid w:val="000A0336"/>
    <w:rsid w:val="000A0759"/>
    <w:rsid w:val="000A10BC"/>
    <w:rsid w:val="000A349B"/>
    <w:rsid w:val="000B29C3"/>
    <w:rsid w:val="000B410C"/>
    <w:rsid w:val="000B4E7A"/>
    <w:rsid w:val="000B51F7"/>
    <w:rsid w:val="000D6211"/>
    <w:rsid w:val="000F0149"/>
    <w:rsid w:val="000F63F8"/>
    <w:rsid w:val="001048C1"/>
    <w:rsid w:val="00106A5C"/>
    <w:rsid w:val="0011058B"/>
    <w:rsid w:val="0011787B"/>
    <w:rsid w:val="00117A43"/>
    <w:rsid w:val="001352D3"/>
    <w:rsid w:val="001723A8"/>
    <w:rsid w:val="00174C37"/>
    <w:rsid w:val="0018180B"/>
    <w:rsid w:val="00192102"/>
    <w:rsid w:val="00196E90"/>
    <w:rsid w:val="001A4F9B"/>
    <w:rsid w:val="001B2492"/>
    <w:rsid w:val="001C4173"/>
    <w:rsid w:val="001E1F11"/>
    <w:rsid w:val="00202ED4"/>
    <w:rsid w:val="00214563"/>
    <w:rsid w:val="00220647"/>
    <w:rsid w:val="00246BF7"/>
    <w:rsid w:val="0025791B"/>
    <w:rsid w:val="00261082"/>
    <w:rsid w:val="0026797C"/>
    <w:rsid w:val="00286607"/>
    <w:rsid w:val="002928BB"/>
    <w:rsid w:val="0029409D"/>
    <w:rsid w:val="00296B51"/>
    <w:rsid w:val="002A44F9"/>
    <w:rsid w:val="002A6B00"/>
    <w:rsid w:val="002D4F55"/>
    <w:rsid w:val="002F2B51"/>
    <w:rsid w:val="002F3FB5"/>
    <w:rsid w:val="002F6751"/>
    <w:rsid w:val="00302F20"/>
    <w:rsid w:val="00305EF4"/>
    <w:rsid w:val="00306953"/>
    <w:rsid w:val="00313E3E"/>
    <w:rsid w:val="00315910"/>
    <w:rsid w:val="0032336C"/>
    <w:rsid w:val="0032718D"/>
    <w:rsid w:val="00336877"/>
    <w:rsid w:val="00336F5B"/>
    <w:rsid w:val="0035093E"/>
    <w:rsid w:val="00354932"/>
    <w:rsid w:val="00356A38"/>
    <w:rsid w:val="00365046"/>
    <w:rsid w:val="00365854"/>
    <w:rsid w:val="0037426C"/>
    <w:rsid w:val="00375F8E"/>
    <w:rsid w:val="003826D9"/>
    <w:rsid w:val="003908EA"/>
    <w:rsid w:val="00393AA5"/>
    <w:rsid w:val="003A2420"/>
    <w:rsid w:val="003A5340"/>
    <w:rsid w:val="003A59E3"/>
    <w:rsid w:val="003B00C6"/>
    <w:rsid w:val="003B04F6"/>
    <w:rsid w:val="003B47A6"/>
    <w:rsid w:val="003C0B4F"/>
    <w:rsid w:val="003C798E"/>
    <w:rsid w:val="003D35B0"/>
    <w:rsid w:val="003D4C27"/>
    <w:rsid w:val="003E0BB1"/>
    <w:rsid w:val="003E5165"/>
    <w:rsid w:val="00400AC6"/>
    <w:rsid w:val="00403163"/>
    <w:rsid w:val="00405201"/>
    <w:rsid w:val="004054C5"/>
    <w:rsid w:val="00414A36"/>
    <w:rsid w:val="00416F89"/>
    <w:rsid w:val="004304F1"/>
    <w:rsid w:val="00443F99"/>
    <w:rsid w:val="00451292"/>
    <w:rsid w:val="00462576"/>
    <w:rsid w:val="00466D56"/>
    <w:rsid w:val="004711AD"/>
    <w:rsid w:val="004745C6"/>
    <w:rsid w:val="004806AB"/>
    <w:rsid w:val="00481688"/>
    <w:rsid w:val="00485099"/>
    <w:rsid w:val="00495AA4"/>
    <w:rsid w:val="004E3792"/>
    <w:rsid w:val="004E45D6"/>
    <w:rsid w:val="004E4E3F"/>
    <w:rsid w:val="004F1C1F"/>
    <w:rsid w:val="004F7A72"/>
    <w:rsid w:val="005063FE"/>
    <w:rsid w:val="00507A3D"/>
    <w:rsid w:val="00512F92"/>
    <w:rsid w:val="005162F1"/>
    <w:rsid w:val="005301EF"/>
    <w:rsid w:val="005338A4"/>
    <w:rsid w:val="005376B2"/>
    <w:rsid w:val="00540DA7"/>
    <w:rsid w:val="005447C1"/>
    <w:rsid w:val="00551311"/>
    <w:rsid w:val="005630B0"/>
    <w:rsid w:val="005748EE"/>
    <w:rsid w:val="00580C27"/>
    <w:rsid w:val="00585650"/>
    <w:rsid w:val="005868BF"/>
    <w:rsid w:val="005953AE"/>
    <w:rsid w:val="005A74F4"/>
    <w:rsid w:val="005B44CA"/>
    <w:rsid w:val="005D5007"/>
    <w:rsid w:val="005D7E3B"/>
    <w:rsid w:val="005E470E"/>
    <w:rsid w:val="005E52CE"/>
    <w:rsid w:val="005F093E"/>
    <w:rsid w:val="005F285F"/>
    <w:rsid w:val="005F7C0C"/>
    <w:rsid w:val="00605F4E"/>
    <w:rsid w:val="0063728A"/>
    <w:rsid w:val="00645EB6"/>
    <w:rsid w:val="00646C3C"/>
    <w:rsid w:val="00650B19"/>
    <w:rsid w:val="00651A1E"/>
    <w:rsid w:val="006657D6"/>
    <w:rsid w:val="0066731A"/>
    <w:rsid w:val="006770C7"/>
    <w:rsid w:val="006821D5"/>
    <w:rsid w:val="00690C4C"/>
    <w:rsid w:val="00691209"/>
    <w:rsid w:val="006957E1"/>
    <w:rsid w:val="006A325B"/>
    <w:rsid w:val="006A3D41"/>
    <w:rsid w:val="006A3F89"/>
    <w:rsid w:val="006A6522"/>
    <w:rsid w:val="006B07EF"/>
    <w:rsid w:val="006B41DC"/>
    <w:rsid w:val="006C0896"/>
    <w:rsid w:val="006C1B76"/>
    <w:rsid w:val="006C4A0E"/>
    <w:rsid w:val="006C7633"/>
    <w:rsid w:val="006E0C3A"/>
    <w:rsid w:val="006E0F0A"/>
    <w:rsid w:val="00700966"/>
    <w:rsid w:val="00712D1D"/>
    <w:rsid w:val="007405F2"/>
    <w:rsid w:val="00741D22"/>
    <w:rsid w:val="00742B86"/>
    <w:rsid w:val="00744BCE"/>
    <w:rsid w:val="00750223"/>
    <w:rsid w:val="007624F8"/>
    <w:rsid w:val="00774EC2"/>
    <w:rsid w:val="007A37DC"/>
    <w:rsid w:val="007B0C99"/>
    <w:rsid w:val="007B209C"/>
    <w:rsid w:val="007B46DC"/>
    <w:rsid w:val="007B7C4A"/>
    <w:rsid w:val="007C31E4"/>
    <w:rsid w:val="007D3F36"/>
    <w:rsid w:val="007D559F"/>
    <w:rsid w:val="007D741D"/>
    <w:rsid w:val="007E6F2D"/>
    <w:rsid w:val="007F00A4"/>
    <w:rsid w:val="007F53AA"/>
    <w:rsid w:val="007F685A"/>
    <w:rsid w:val="007F6A2E"/>
    <w:rsid w:val="008030F0"/>
    <w:rsid w:val="00817518"/>
    <w:rsid w:val="00827EF7"/>
    <w:rsid w:val="008476DF"/>
    <w:rsid w:val="00847763"/>
    <w:rsid w:val="00852212"/>
    <w:rsid w:val="008561E1"/>
    <w:rsid w:val="00862F75"/>
    <w:rsid w:val="00865FB9"/>
    <w:rsid w:val="00880AA5"/>
    <w:rsid w:val="00882CED"/>
    <w:rsid w:val="008A3915"/>
    <w:rsid w:val="008A6875"/>
    <w:rsid w:val="008B0753"/>
    <w:rsid w:val="008C119A"/>
    <w:rsid w:val="008C5A2B"/>
    <w:rsid w:val="008C6FB8"/>
    <w:rsid w:val="008C7B9E"/>
    <w:rsid w:val="008D3322"/>
    <w:rsid w:val="008D3DF6"/>
    <w:rsid w:val="008D42DA"/>
    <w:rsid w:val="008E51E3"/>
    <w:rsid w:val="00900DED"/>
    <w:rsid w:val="00904465"/>
    <w:rsid w:val="00910125"/>
    <w:rsid w:val="00916807"/>
    <w:rsid w:val="0093252F"/>
    <w:rsid w:val="00932A54"/>
    <w:rsid w:val="009345A7"/>
    <w:rsid w:val="00950A3B"/>
    <w:rsid w:val="00950F21"/>
    <w:rsid w:val="00970418"/>
    <w:rsid w:val="009736F1"/>
    <w:rsid w:val="00981499"/>
    <w:rsid w:val="0098426B"/>
    <w:rsid w:val="009B4242"/>
    <w:rsid w:val="009C0E1F"/>
    <w:rsid w:val="009C1C77"/>
    <w:rsid w:val="009C3061"/>
    <w:rsid w:val="009D2DE8"/>
    <w:rsid w:val="009D3373"/>
    <w:rsid w:val="009D55BD"/>
    <w:rsid w:val="009F566F"/>
    <w:rsid w:val="00A160DA"/>
    <w:rsid w:val="00A26C63"/>
    <w:rsid w:val="00A30BFD"/>
    <w:rsid w:val="00A31699"/>
    <w:rsid w:val="00A47F89"/>
    <w:rsid w:val="00A55F1F"/>
    <w:rsid w:val="00A57C23"/>
    <w:rsid w:val="00A635F8"/>
    <w:rsid w:val="00A64234"/>
    <w:rsid w:val="00A718A9"/>
    <w:rsid w:val="00A93B3D"/>
    <w:rsid w:val="00A97606"/>
    <w:rsid w:val="00AA47AF"/>
    <w:rsid w:val="00AB0F25"/>
    <w:rsid w:val="00AC0AEA"/>
    <w:rsid w:val="00AC0E85"/>
    <w:rsid w:val="00AC330E"/>
    <w:rsid w:val="00AC3E33"/>
    <w:rsid w:val="00AC68E4"/>
    <w:rsid w:val="00AC7849"/>
    <w:rsid w:val="00AC7FBA"/>
    <w:rsid w:val="00AD45B3"/>
    <w:rsid w:val="00AE134F"/>
    <w:rsid w:val="00AE5FB1"/>
    <w:rsid w:val="00AE72C4"/>
    <w:rsid w:val="00AF378D"/>
    <w:rsid w:val="00B06999"/>
    <w:rsid w:val="00B11B19"/>
    <w:rsid w:val="00B21FD1"/>
    <w:rsid w:val="00B22808"/>
    <w:rsid w:val="00B46B87"/>
    <w:rsid w:val="00B54D27"/>
    <w:rsid w:val="00B75DFD"/>
    <w:rsid w:val="00B76F03"/>
    <w:rsid w:val="00B806AC"/>
    <w:rsid w:val="00B82FB4"/>
    <w:rsid w:val="00B836BB"/>
    <w:rsid w:val="00B91167"/>
    <w:rsid w:val="00B96C9A"/>
    <w:rsid w:val="00BA1CD1"/>
    <w:rsid w:val="00BA5255"/>
    <w:rsid w:val="00BA5AFE"/>
    <w:rsid w:val="00BA61C5"/>
    <w:rsid w:val="00BC04D0"/>
    <w:rsid w:val="00BC0B08"/>
    <w:rsid w:val="00BC144F"/>
    <w:rsid w:val="00BD12A1"/>
    <w:rsid w:val="00BD7DB3"/>
    <w:rsid w:val="00BE0E18"/>
    <w:rsid w:val="00BE241B"/>
    <w:rsid w:val="00BF2B9C"/>
    <w:rsid w:val="00BF6559"/>
    <w:rsid w:val="00C04A1A"/>
    <w:rsid w:val="00C04FED"/>
    <w:rsid w:val="00C105F5"/>
    <w:rsid w:val="00C12259"/>
    <w:rsid w:val="00C21795"/>
    <w:rsid w:val="00C21A8A"/>
    <w:rsid w:val="00C236C3"/>
    <w:rsid w:val="00C45AF2"/>
    <w:rsid w:val="00C569CB"/>
    <w:rsid w:val="00C6194A"/>
    <w:rsid w:val="00C73975"/>
    <w:rsid w:val="00C80424"/>
    <w:rsid w:val="00C83D4C"/>
    <w:rsid w:val="00C91FAC"/>
    <w:rsid w:val="00C950AC"/>
    <w:rsid w:val="00CA5A7F"/>
    <w:rsid w:val="00CA5CA4"/>
    <w:rsid w:val="00CB1DE3"/>
    <w:rsid w:val="00CB2539"/>
    <w:rsid w:val="00CC7FF7"/>
    <w:rsid w:val="00CD5BB1"/>
    <w:rsid w:val="00CD6E41"/>
    <w:rsid w:val="00CE32AE"/>
    <w:rsid w:val="00CF7DAF"/>
    <w:rsid w:val="00D01643"/>
    <w:rsid w:val="00D07D89"/>
    <w:rsid w:val="00D100AD"/>
    <w:rsid w:val="00D22048"/>
    <w:rsid w:val="00D522B9"/>
    <w:rsid w:val="00D71550"/>
    <w:rsid w:val="00D74A5C"/>
    <w:rsid w:val="00D75067"/>
    <w:rsid w:val="00D8403D"/>
    <w:rsid w:val="00D841FA"/>
    <w:rsid w:val="00D84B6D"/>
    <w:rsid w:val="00D9587A"/>
    <w:rsid w:val="00D96877"/>
    <w:rsid w:val="00DA7DC1"/>
    <w:rsid w:val="00DB3141"/>
    <w:rsid w:val="00DD0059"/>
    <w:rsid w:val="00DD5017"/>
    <w:rsid w:val="00DE4BA3"/>
    <w:rsid w:val="00DF319B"/>
    <w:rsid w:val="00DF4F5F"/>
    <w:rsid w:val="00DF69D2"/>
    <w:rsid w:val="00E002FA"/>
    <w:rsid w:val="00E23A27"/>
    <w:rsid w:val="00E25B55"/>
    <w:rsid w:val="00E42EC9"/>
    <w:rsid w:val="00E45238"/>
    <w:rsid w:val="00E562F6"/>
    <w:rsid w:val="00E77B4F"/>
    <w:rsid w:val="00E91471"/>
    <w:rsid w:val="00EB32AA"/>
    <w:rsid w:val="00EB7C86"/>
    <w:rsid w:val="00EC32E2"/>
    <w:rsid w:val="00ED3279"/>
    <w:rsid w:val="00ED34EF"/>
    <w:rsid w:val="00EE17E6"/>
    <w:rsid w:val="00EE3584"/>
    <w:rsid w:val="00F14FD7"/>
    <w:rsid w:val="00F2400D"/>
    <w:rsid w:val="00F302C7"/>
    <w:rsid w:val="00F345B5"/>
    <w:rsid w:val="00F47427"/>
    <w:rsid w:val="00F65E63"/>
    <w:rsid w:val="00F72961"/>
    <w:rsid w:val="00F75065"/>
    <w:rsid w:val="00F7551E"/>
    <w:rsid w:val="00FA392F"/>
    <w:rsid w:val="00FB53A6"/>
    <w:rsid w:val="00FC471D"/>
    <w:rsid w:val="00FD16FD"/>
    <w:rsid w:val="00FD20A4"/>
    <w:rsid w:val="00FE21DB"/>
    <w:rsid w:val="00FE4C0C"/>
    <w:rsid w:val="00FE4FD1"/>
    <w:rsid w:val="00FF2455"/>
    <w:rsid w:val="040467F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40" w:line="278" w:lineRule="auto"/>
      <w:jc w:val="both"/>
    </w:pPr>
    <w:rPr>
      <w:rFonts w:ascii="Times New Roman" w:hAnsi="Times New Roman" w:eastAsiaTheme="minorHAnsi" w:cstheme="minorBidi"/>
      <w:kern w:val="2"/>
      <w:sz w:val="24"/>
      <w:szCs w:val="30"/>
      <w:lang w:val="en-GB" w:eastAsia="en-US" w:bidi="bn-BD"/>
      <w14:ligatures w14:val="standardContextual"/>
    </w:rPr>
  </w:style>
  <w:style w:type="paragraph" w:styleId="2">
    <w:name w:val="heading 1"/>
    <w:basedOn w:val="1"/>
    <w:next w:val="1"/>
    <w:link w:val="23"/>
    <w:autoRedefine/>
    <w:qFormat/>
    <w:uiPriority w:val="9"/>
    <w:pPr>
      <w:keepNext/>
      <w:keepLines/>
      <w:numPr>
        <w:ilvl w:val="0"/>
        <w:numId w:val="1"/>
      </w:numPr>
      <w:spacing w:before="240" w:after="120"/>
      <w:outlineLvl w:val="0"/>
    </w:pPr>
    <w:rPr>
      <w:rFonts w:eastAsiaTheme="majorEastAsia" w:cstheme="majorBidi"/>
      <w:b/>
      <w:color w:val="2F5597" w:themeColor="accent1" w:themeShade="BF"/>
      <w:sz w:val="32"/>
      <w:szCs w:val="50"/>
    </w:rPr>
  </w:style>
  <w:style w:type="paragraph" w:styleId="3">
    <w:name w:val="heading 2"/>
    <w:basedOn w:val="1"/>
    <w:next w:val="1"/>
    <w:link w:val="24"/>
    <w:autoRedefine/>
    <w:unhideWhenUsed/>
    <w:qFormat/>
    <w:uiPriority w:val="9"/>
    <w:pPr>
      <w:keepNext/>
      <w:keepLines/>
      <w:spacing w:before="40" w:after="0" w:line="360" w:lineRule="auto"/>
      <w:outlineLvl w:val="1"/>
    </w:pPr>
    <w:rPr>
      <w:rFonts w:eastAsiaTheme="majorEastAsia" w:cstheme="majorBidi"/>
      <w:b/>
      <w:color w:val="2F5597" w:themeColor="accent1" w:themeShade="BF"/>
      <w:sz w:val="28"/>
      <w:szCs w:val="40"/>
    </w:rPr>
  </w:style>
  <w:style w:type="paragraph" w:styleId="4">
    <w:name w:val="heading 3"/>
    <w:basedOn w:val="1"/>
    <w:next w:val="1"/>
    <w:link w:val="25"/>
    <w:unhideWhenUsed/>
    <w:qFormat/>
    <w:uiPriority w:val="9"/>
    <w:pPr>
      <w:keepNext/>
      <w:keepLines/>
      <w:spacing w:before="160" w:after="80"/>
      <w:outlineLvl w:val="2"/>
    </w:pPr>
    <w:rPr>
      <w:rFonts w:asciiTheme="minorHAnsi" w:hAnsiTheme="minorHAnsi" w:eastAsiaTheme="majorEastAsia" w:cstheme="majorBidi"/>
      <w:color w:val="2F5597" w:themeColor="accent1" w:themeShade="BF"/>
      <w:sz w:val="28"/>
      <w:szCs w:val="35"/>
    </w:rPr>
  </w:style>
  <w:style w:type="paragraph" w:styleId="5">
    <w:name w:val="heading 4"/>
    <w:basedOn w:val="1"/>
    <w:next w:val="1"/>
    <w:link w:val="26"/>
    <w:semiHidden/>
    <w:unhideWhenUsed/>
    <w:qFormat/>
    <w:uiPriority w:val="9"/>
    <w:pPr>
      <w:keepNext/>
      <w:keepLines/>
      <w:spacing w:before="8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7"/>
    <w:semiHidden/>
    <w:unhideWhenUsed/>
    <w:qFormat/>
    <w:uiPriority w:val="9"/>
    <w:pPr>
      <w:keepNext/>
      <w:keepLines/>
      <w:spacing w:before="8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FollowedHyperlink"/>
    <w:basedOn w:val="11"/>
    <w:semiHidden/>
    <w:unhideWhenUsed/>
    <w:uiPriority w:val="99"/>
    <w:rPr>
      <w:color w:val="954F72" w:themeColor="followedHyperlink"/>
      <w:u w:val="single"/>
      <w14:textFill>
        <w14:solidFill>
          <w14:schemeClr w14:val="folHlink"/>
        </w14:solidFill>
      </w14:textFill>
    </w:rPr>
  </w:style>
  <w:style w:type="paragraph" w:styleId="14">
    <w:name w:val="footer"/>
    <w:basedOn w:val="1"/>
    <w:link w:val="42"/>
    <w:unhideWhenUsed/>
    <w:uiPriority w:val="99"/>
    <w:pPr>
      <w:tabs>
        <w:tab w:val="center" w:pos="4513"/>
        <w:tab w:val="right" w:pos="9026"/>
      </w:tabs>
      <w:spacing w:after="0" w:line="240" w:lineRule="auto"/>
    </w:pPr>
  </w:style>
  <w:style w:type="paragraph" w:styleId="15">
    <w:name w:val="header"/>
    <w:basedOn w:val="1"/>
    <w:link w:val="41"/>
    <w:unhideWhenUsed/>
    <w:uiPriority w:val="99"/>
    <w:pPr>
      <w:tabs>
        <w:tab w:val="center" w:pos="4513"/>
        <w:tab w:val="right" w:pos="9026"/>
      </w:tabs>
      <w:spacing w:after="0" w:line="240" w:lineRule="auto"/>
    </w:pPr>
  </w:style>
  <w:style w:type="character" w:styleId="16">
    <w:name w:val="Hyperlink"/>
    <w:basedOn w:val="11"/>
    <w:unhideWhenUsed/>
    <w:uiPriority w:val="99"/>
    <w:rPr>
      <w:color w:val="0563C1" w:themeColor="hyperlink"/>
      <w:u w:val="single"/>
      <w14:textFill>
        <w14:solidFill>
          <w14:schemeClr w14:val="hlink"/>
        </w14:solidFill>
      </w14:textFill>
    </w:rPr>
  </w:style>
  <w:style w:type="paragraph" w:styleId="17">
    <w:name w:val="Subtitle"/>
    <w:basedOn w:val="1"/>
    <w:next w:val="1"/>
    <w:link w:val="33"/>
    <w:qFormat/>
    <w:uiPriority w:val="11"/>
    <w:pPr>
      <w:spacing w:after="160"/>
    </w:pPr>
    <w:rPr>
      <w:rFonts w:asciiTheme="minorHAnsi" w:hAnsiTheme="minorHAnsi" w:eastAsiaTheme="majorEastAsia" w:cstheme="majorBidi"/>
      <w:color w:val="595959" w:themeColor="text1" w:themeTint="A6"/>
      <w:spacing w:val="15"/>
      <w:sz w:val="28"/>
      <w:szCs w:val="35"/>
      <w14:textFill>
        <w14:solidFill>
          <w14:schemeClr w14:val="tx1">
            <w14:lumMod w14:val="65000"/>
            <w14:lumOff w14:val="35000"/>
          </w14:schemeClr>
        </w14:solidFill>
      </w14:textFill>
    </w:rPr>
  </w:style>
  <w:style w:type="table" w:styleId="18">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9">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71"/>
    </w:rPr>
  </w:style>
  <w:style w:type="paragraph" w:styleId="20">
    <w:name w:val="toc 1"/>
    <w:basedOn w:val="1"/>
    <w:next w:val="1"/>
    <w:autoRedefine/>
    <w:unhideWhenUsed/>
    <w:uiPriority w:val="39"/>
    <w:pPr>
      <w:spacing w:after="100"/>
    </w:pPr>
  </w:style>
  <w:style w:type="paragraph" w:styleId="21">
    <w:name w:val="toc 2"/>
    <w:basedOn w:val="1"/>
    <w:next w:val="1"/>
    <w:autoRedefine/>
    <w:unhideWhenUsed/>
    <w:uiPriority w:val="39"/>
    <w:pPr>
      <w:spacing w:after="100"/>
      <w:ind w:left="240"/>
    </w:pPr>
  </w:style>
  <w:style w:type="paragraph" w:styleId="22">
    <w:name w:val="toc 3"/>
    <w:basedOn w:val="1"/>
    <w:next w:val="1"/>
    <w:autoRedefine/>
    <w:unhideWhenUsed/>
    <w:uiPriority w:val="39"/>
    <w:pPr>
      <w:spacing w:after="100"/>
      <w:ind w:left="480"/>
    </w:pPr>
  </w:style>
  <w:style w:type="character" w:customStyle="1" w:styleId="23">
    <w:name w:val="Heading 1 Char"/>
    <w:basedOn w:val="11"/>
    <w:link w:val="2"/>
    <w:uiPriority w:val="9"/>
    <w:rPr>
      <w:rFonts w:ascii="Times New Roman" w:hAnsi="Times New Roman" w:eastAsiaTheme="majorEastAsia" w:cstheme="majorBidi"/>
      <w:b/>
      <w:color w:val="2F5597" w:themeColor="accent1" w:themeShade="BF"/>
      <w:sz w:val="32"/>
      <w:szCs w:val="50"/>
    </w:rPr>
  </w:style>
  <w:style w:type="character" w:customStyle="1" w:styleId="24">
    <w:name w:val="Heading 2 Char"/>
    <w:basedOn w:val="11"/>
    <w:link w:val="3"/>
    <w:uiPriority w:val="9"/>
    <w:rPr>
      <w:rFonts w:ascii="Times New Roman" w:hAnsi="Times New Roman" w:eastAsiaTheme="majorEastAsia" w:cstheme="majorBidi"/>
      <w:b/>
      <w:color w:val="2F5597" w:themeColor="accent1" w:themeShade="BF"/>
      <w:sz w:val="28"/>
      <w:szCs w:val="40"/>
    </w:rPr>
  </w:style>
  <w:style w:type="character" w:customStyle="1" w:styleId="25">
    <w:name w:val="Heading 3 Char"/>
    <w:basedOn w:val="11"/>
    <w:link w:val="4"/>
    <w:uiPriority w:val="9"/>
    <w:rPr>
      <w:rFonts w:eastAsiaTheme="majorEastAsia" w:cstheme="majorBidi"/>
      <w:color w:val="2F5597" w:themeColor="accent1" w:themeShade="BF"/>
      <w:sz w:val="28"/>
      <w:szCs w:val="35"/>
    </w:rPr>
  </w:style>
  <w:style w:type="character" w:customStyle="1" w:styleId="26">
    <w:name w:val="Heading 4 Char"/>
    <w:basedOn w:val="11"/>
    <w:link w:val="5"/>
    <w:semiHidden/>
    <w:uiPriority w:val="9"/>
    <w:rPr>
      <w:rFonts w:eastAsiaTheme="majorEastAsia" w:cstheme="majorBidi"/>
      <w:i/>
      <w:iCs/>
      <w:color w:val="2F5597" w:themeColor="accent1" w:themeShade="BF"/>
    </w:rPr>
  </w:style>
  <w:style w:type="character" w:customStyle="1" w:styleId="27">
    <w:name w:val="Heading 5 Char"/>
    <w:basedOn w:val="11"/>
    <w:link w:val="6"/>
    <w:semiHidden/>
    <w:uiPriority w:val="9"/>
    <w:rPr>
      <w:rFonts w:eastAsiaTheme="majorEastAsia" w:cstheme="majorBidi"/>
      <w:color w:val="2F5597" w:themeColor="accent1" w:themeShade="BF"/>
    </w:rPr>
  </w:style>
  <w:style w:type="character" w:customStyle="1" w:styleId="28">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9">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1">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2">
    <w:name w:val="Title Char"/>
    <w:basedOn w:val="11"/>
    <w:link w:val="19"/>
    <w:uiPriority w:val="10"/>
    <w:rPr>
      <w:rFonts w:asciiTheme="majorHAnsi" w:hAnsiTheme="majorHAnsi" w:eastAsiaTheme="majorEastAsia" w:cstheme="majorBidi"/>
      <w:spacing w:val="-10"/>
      <w:kern w:val="28"/>
      <w:sz w:val="56"/>
      <w:szCs w:val="71"/>
    </w:rPr>
  </w:style>
  <w:style w:type="character" w:customStyle="1" w:styleId="33">
    <w:name w:val="Subtitle Char"/>
    <w:basedOn w:val="11"/>
    <w:link w:val="17"/>
    <w:uiPriority w:val="11"/>
    <w:rPr>
      <w:rFonts w:eastAsiaTheme="majorEastAsia" w:cstheme="majorBidi"/>
      <w:color w:val="595959" w:themeColor="text1" w:themeTint="A6"/>
      <w:spacing w:val="15"/>
      <w:sz w:val="28"/>
      <w:szCs w:val="35"/>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uiPriority w:val="29"/>
    <w:rPr>
      <w:rFonts w:ascii="Times New Roman" w:hAnsi="Times New Roman"/>
      <w:i/>
      <w:iCs/>
      <w:color w:val="404040" w:themeColor="text1" w:themeTint="BF"/>
      <w14:textFill>
        <w14:solidFill>
          <w14:schemeClr w14:val="tx1">
            <w14:lumMod w14:val="75000"/>
            <w14:lumOff w14:val="25000"/>
          </w14:schemeClr>
        </w14:solidFill>
      </w14:textFill>
    </w:rPr>
  </w:style>
  <w:style w:type="paragraph" w:styleId="36">
    <w:name w:val="List Paragraph"/>
    <w:basedOn w:val="1"/>
    <w:qFormat/>
    <w:uiPriority w:val="34"/>
    <w:pPr>
      <w:ind w:left="720"/>
      <w:contextualSpacing/>
    </w:pPr>
  </w:style>
  <w:style w:type="character" w:customStyle="1" w:styleId="37">
    <w:name w:val="Intense Emphasis"/>
    <w:basedOn w:val="11"/>
    <w:qFormat/>
    <w:uiPriority w:val="21"/>
    <w:rPr>
      <w:i/>
      <w:iCs/>
      <w:color w:val="2F5597" w:themeColor="accent1" w:themeShade="BF"/>
    </w:rPr>
  </w:style>
  <w:style w:type="paragraph" w:styleId="38">
    <w:name w:val="Intense Quote"/>
    <w:basedOn w:val="1"/>
    <w:next w:val="1"/>
    <w:link w:val="39"/>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9">
    <w:name w:val="Intense Quote Char"/>
    <w:basedOn w:val="11"/>
    <w:link w:val="38"/>
    <w:uiPriority w:val="30"/>
    <w:rPr>
      <w:rFonts w:ascii="Times New Roman" w:hAnsi="Times New Roman"/>
      <w:i/>
      <w:iCs/>
      <w:color w:val="2F5597" w:themeColor="accent1" w:themeShade="BF"/>
    </w:rPr>
  </w:style>
  <w:style w:type="character" w:customStyle="1" w:styleId="40">
    <w:name w:val="Intense Reference"/>
    <w:basedOn w:val="11"/>
    <w:qFormat/>
    <w:uiPriority w:val="32"/>
    <w:rPr>
      <w:b/>
      <w:bCs/>
      <w:smallCaps/>
      <w:color w:val="2F5597" w:themeColor="accent1" w:themeShade="BF"/>
      <w:spacing w:val="5"/>
    </w:rPr>
  </w:style>
  <w:style w:type="character" w:customStyle="1" w:styleId="41">
    <w:name w:val="Header Char"/>
    <w:basedOn w:val="11"/>
    <w:link w:val="15"/>
    <w:uiPriority w:val="99"/>
    <w:rPr>
      <w:rFonts w:ascii="Times New Roman" w:hAnsi="Times New Roman"/>
    </w:rPr>
  </w:style>
  <w:style w:type="character" w:customStyle="1" w:styleId="42">
    <w:name w:val="Footer Char"/>
    <w:basedOn w:val="11"/>
    <w:link w:val="14"/>
    <w:uiPriority w:val="99"/>
    <w:rPr>
      <w:rFonts w:ascii="Times New Roman" w:hAnsi="Times New Roman"/>
    </w:rPr>
  </w:style>
  <w:style w:type="paragraph" w:customStyle="1" w:styleId="43">
    <w:name w:val="TOC Heading"/>
    <w:basedOn w:val="2"/>
    <w:next w:val="1"/>
    <w:unhideWhenUsed/>
    <w:qFormat/>
    <w:uiPriority w:val="39"/>
    <w:pPr>
      <w:spacing w:after="0" w:line="259" w:lineRule="auto"/>
      <w:jc w:val="left"/>
      <w:outlineLvl w:val="9"/>
    </w:pPr>
    <w:rPr>
      <w:rFonts w:asciiTheme="majorHAnsi" w:hAnsiTheme="majorHAnsi"/>
      <w:b w:val="0"/>
      <w:kern w:val="0"/>
      <w:szCs w:val="32"/>
      <w:lang w:eastAsia="en-GB"/>
      <w14:ligatures w14:val="none"/>
    </w:rPr>
  </w:style>
</w:styles>
</file>

<file path=word/_rels/document.xml.rels><?xml version="1.0" encoding="UTF-8" standalone="yes"?>
<Relationships xmlns="http://schemas.openxmlformats.org/package/2006/relationships"><Relationship Id="rId9" Type="http://schemas.openxmlformats.org/officeDocument/2006/relationships/chart" Target="charts/chart2.xml"/><Relationship Id="rId8" Type="http://schemas.openxmlformats.org/officeDocument/2006/relationships/chart" Target="charts/chart1.xml"/><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2.emf"/><Relationship Id="rId17" Type="http://schemas.openxmlformats.org/officeDocument/2006/relationships/oleObject" Target="embeddings/oleObject1.bin"/><Relationship Id="rId16" Type="http://schemas.openxmlformats.org/officeDocument/2006/relationships/chart" Target="charts/chart9.xml"/><Relationship Id="rId15" Type="http://schemas.openxmlformats.org/officeDocument/2006/relationships/chart" Target="charts/chart8.xml"/><Relationship Id="rId14" Type="http://schemas.openxmlformats.org/officeDocument/2006/relationships/chart" Target="charts/chart7.xml"/><Relationship Id="rId13" Type="http://schemas.openxmlformats.org/officeDocument/2006/relationships/chart" Target="charts/chart6.xml"/><Relationship Id="rId12" Type="http://schemas.openxmlformats.org/officeDocument/2006/relationships/chart" Target="charts/chart5.xml"/><Relationship Id="rId11" Type="http://schemas.openxmlformats.org/officeDocument/2006/relationships/chart" Target="charts/chart4.xml"/><Relationship Id="rId10" Type="http://schemas.openxmlformats.org/officeDocument/2006/relationships/chart" Target="charts/chart3.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package" Target="../embeddings/Workbook3.xlsx"/></Relationships>
</file>

<file path=word/charts/_rels/chart4.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package" Target="../embeddings/Workbook7.xlsx"/></Relationships>
</file>

<file path=word/charts/_rels/chart5.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package" Target="../embeddings/Workbook4.xlsx"/></Relationships>
</file>

<file path=word/charts/_rels/chart6.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package" Target="../embeddings/Workbook5.xlsx"/></Relationships>
</file>

<file path=word/charts/_rels/chart7.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package" Target="../embeddings/Workbook6.xlsx"/></Relationships>
</file>

<file path=word/charts/_rels/chart8.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package" Target="../embeddings/Workbook9.xlsx"/></Relationships>
</file>

<file path=word/charts/_rels/chart9.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package" Target="../embeddings/Workbook8.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0.00%</c:formatCode>
                <c:ptCount val="2"/>
                <c:pt idx="0">
                  <c:v>0.073</c:v>
                </c:pt>
                <c:pt idx="1">
                  <c:v>0.002</c:v>
                </c:pt>
              </c:numCache>
            </c:numRef>
          </c:val>
        </c:ser>
        <c:dLbls>
          <c:showLegendKey val="0"/>
          <c:showVal val="1"/>
          <c:showCatName val="0"/>
          <c:showSerName val="0"/>
          <c:showPercent val="0"/>
          <c:showBubbleSize val="0"/>
        </c:dLbls>
        <c:gapWidth val="219"/>
        <c:overlap val="-27"/>
        <c:axId val="1870723648"/>
        <c:axId val="1870714528"/>
      </c:barChart>
      <c:catAx>
        <c:axId val="1870723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870714528"/>
        <c:crosses val="autoZero"/>
        <c:auto val="1"/>
        <c:lblAlgn val="ctr"/>
        <c:lblOffset val="100"/>
        <c:noMultiLvlLbl val="0"/>
      </c:catAx>
      <c:valAx>
        <c:axId val="18707145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870723648"/>
        <c:crosses val="autoZero"/>
        <c:crossBetween val="between"/>
      </c:valAx>
      <c:spPr>
        <a:noFill/>
        <a:ln>
          <a:noFill/>
        </a:ln>
        <a:effectLst/>
      </c:spPr>
    </c:plotArea>
    <c:plotVisOnly val="1"/>
    <c:dispBlanksAs val="gap"/>
    <c:showDLblsOverMax val="0"/>
    <c:extLst>
      <c:ext uri="{0b15fc19-7d7d-44ad-8c2d-2c3a37ce22c3}">
        <chartProps xmlns="https://web.wps.cn/et/2018/main" chartId="{a812f869-5786-4d70-af1f-faa6432b58e4}"/>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0.00%</c:formatCode>
                <c:ptCount val="2"/>
                <c:pt idx="0">
                  <c:v>0.2169</c:v>
                </c:pt>
                <c:pt idx="1">
                  <c:v>0.0064</c:v>
                </c:pt>
              </c:numCache>
            </c:numRef>
          </c:val>
        </c:ser>
        <c:dLbls>
          <c:showLegendKey val="0"/>
          <c:showVal val="1"/>
          <c:showCatName val="0"/>
          <c:showSerName val="0"/>
          <c:showPercent val="0"/>
          <c:showBubbleSize val="0"/>
        </c:dLbls>
        <c:gapWidth val="219"/>
        <c:overlap val="-27"/>
        <c:axId val="1870723648"/>
        <c:axId val="1870714528"/>
      </c:barChart>
      <c:catAx>
        <c:axId val="1870723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870714528"/>
        <c:crosses val="autoZero"/>
        <c:auto val="1"/>
        <c:lblAlgn val="ctr"/>
        <c:lblOffset val="100"/>
        <c:noMultiLvlLbl val="0"/>
      </c:catAx>
      <c:valAx>
        <c:axId val="18707145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870723648"/>
        <c:crosses val="autoZero"/>
        <c:crossBetween val="between"/>
      </c:valAx>
      <c:spPr>
        <a:noFill/>
        <a:ln>
          <a:noFill/>
        </a:ln>
        <a:effectLst/>
      </c:spPr>
    </c:plotArea>
    <c:plotVisOnly val="1"/>
    <c:dispBlanksAs val="gap"/>
    <c:showDLblsOverMax val="0"/>
    <c:extLst>
      <c:ext uri="{0b15fc19-7d7d-44ad-8c2d-2c3a37ce22c3}">
        <chartProps xmlns="https://web.wps.cn/et/2018/main" chartId="{01f6ac62-4e8f-47ca-a622-82e8fbc9966e}"/>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1.21</c:v>
                </c:pt>
                <c:pt idx="1">
                  <c:v>1.25</c:v>
                </c:pt>
              </c:numCache>
            </c:numRef>
          </c:val>
        </c:ser>
        <c:dLbls>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5728"/>
        <c:crosses val="autoZero"/>
        <c:crossBetween val="between"/>
      </c:valAx>
      <c:spPr>
        <a:noFill/>
        <a:ln>
          <a:noFill/>
        </a:ln>
        <a:effectLst/>
      </c:spPr>
    </c:plotArea>
    <c:plotVisOnly val="1"/>
    <c:dispBlanksAs val="gap"/>
    <c:showDLblsOverMax val="0"/>
    <c:extLst>
      <c:ext uri="{0b15fc19-7d7d-44ad-8c2d-2c3a37ce22c3}">
        <chartProps xmlns="https://web.wps.cn/et/2018/main" chartId="{14251f20-6a42-4278-bd2a-c728d686aa74}"/>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0.94</c:v>
                </c:pt>
                <c:pt idx="1">
                  <c:v>0.97</c:v>
                </c:pt>
              </c:numCache>
            </c:numRef>
          </c:val>
        </c:ser>
        <c:dLbls>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5728"/>
        <c:crosses val="autoZero"/>
        <c:crossBetween val="between"/>
      </c:valAx>
      <c:spPr>
        <a:noFill/>
        <a:ln>
          <a:noFill/>
        </a:ln>
        <a:effectLst/>
      </c:spPr>
    </c:plotArea>
    <c:plotVisOnly val="1"/>
    <c:dispBlanksAs val="gap"/>
    <c:showDLblsOverMax val="0"/>
    <c:extLst>
      <c:ext uri="{0b15fc19-7d7d-44ad-8c2d-2c3a37ce22c3}">
        <chartProps xmlns="https://web.wps.cn/et/2018/main" chartId="{055ee69e-5a84-4024-844f-ed7f77fa23ee}"/>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0.75</c:v>
                </c:pt>
                <c:pt idx="1">
                  <c:v>0.67</c:v>
                </c:pt>
              </c:numCache>
            </c:numRef>
          </c:val>
        </c:ser>
        <c:dLbls>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5728"/>
        <c:crosses val="autoZero"/>
        <c:crossBetween val="between"/>
      </c:valAx>
      <c:spPr>
        <a:noFill/>
        <a:ln>
          <a:noFill/>
        </a:ln>
        <a:effectLst/>
      </c:spPr>
    </c:plotArea>
    <c:plotVisOnly val="1"/>
    <c:dispBlanksAs val="gap"/>
    <c:showDLblsOverMax val="0"/>
    <c:extLst>
      <c:ext uri="{0b15fc19-7d7d-44ad-8c2d-2c3a37ce22c3}">
        <chartProps xmlns="https://web.wps.cn/et/2018/main" chartId="{d7d6c857-1d60-411c-b8eb-dbf3a0a5e6d1}"/>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0.61</c:v>
                </c:pt>
                <c:pt idx="1">
                  <c:v>0.76</c:v>
                </c:pt>
              </c:numCache>
            </c:numRef>
          </c:val>
        </c:ser>
        <c:dLbls>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5728"/>
        <c:crosses val="autoZero"/>
        <c:crossBetween val="between"/>
      </c:valAx>
      <c:spPr>
        <a:noFill/>
        <a:ln>
          <a:noFill/>
        </a:ln>
        <a:effectLst/>
      </c:spPr>
    </c:plotArea>
    <c:plotVisOnly val="1"/>
    <c:dispBlanksAs val="gap"/>
    <c:showDLblsOverMax val="0"/>
    <c:extLst>
      <c:ext uri="{0b15fc19-7d7d-44ad-8c2d-2c3a37ce22c3}">
        <chartProps xmlns="https://web.wps.cn/et/2018/main" chartId="{15c0346d-206f-462b-bb1d-20eccf536504}"/>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0.19</c:v>
                </c:pt>
                <c:pt idx="1">
                  <c:v>0.21</c:v>
                </c:pt>
              </c:numCache>
            </c:numRef>
          </c:val>
        </c:ser>
        <c:dLbls>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5728"/>
        <c:crosses val="autoZero"/>
        <c:crossBetween val="between"/>
      </c:valAx>
      <c:spPr>
        <a:noFill/>
        <a:ln>
          <a:noFill/>
        </a:ln>
        <a:effectLst/>
      </c:spPr>
    </c:plotArea>
    <c:plotVisOnly val="1"/>
    <c:dispBlanksAs val="gap"/>
    <c:showDLblsOverMax val="0"/>
    <c:extLst>
      <c:ext uri="{0b15fc19-7d7d-44ad-8c2d-2c3a37ce22c3}">
        <chartProps xmlns="https://web.wps.cn/et/2018/main" chartId="{762d7ce3-c293-4d72-b537-40ceb19a3b3e}"/>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87.78</c:v>
                </c:pt>
                <c:pt idx="1">
                  <c:v>2.38</c:v>
                </c:pt>
              </c:numCache>
            </c:numRef>
          </c:val>
        </c:ser>
        <c:dLbls>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5728"/>
        <c:crosses val="autoZero"/>
        <c:crossBetween val="between"/>
      </c:valAx>
      <c:spPr>
        <a:noFill/>
        <a:ln>
          <a:noFill/>
        </a:ln>
        <a:effectLst/>
      </c:spPr>
    </c:plotArea>
    <c:plotVisOnly val="1"/>
    <c:dispBlanksAs val="gap"/>
    <c:showDLblsOverMax val="0"/>
    <c:extLst>
      <c:ext uri="{0b15fc19-7d7d-44ad-8c2d-2c3a37ce22c3}">
        <chartProps xmlns="https://web.wps.cn/et/2018/main" chartId="{72879d87-d160-45e0-ad6c-033dbaf16e53}"/>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#,##0</c:formatCode>
                <c:ptCount val="2"/>
                <c:pt idx="0">
                  <c:v>4809</c:v>
                </c:pt>
                <c:pt idx="1" c:formatCode="General">
                  <c:v>5003</c:v>
                </c:pt>
              </c:numCache>
            </c:numRef>
          </c:val>
        </c:ser>
        <c:dLbls>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37705728"/>
        <c:crosses val="autoZero"/>
        <c:crossBetween val="between"/>
      </c:valAx>
      <c:spPr>
        <a:noFill/>
        <a:ln>
          <a:noFill/>
        </a:ln>
        <a:effectLst/>
      </c:spPr>
    </c:plotArea>
    <c:plotVisOnly val="1"/>
    <c:dispBlanksAs val="gap"/>
    <c:showDLblsOverMax val="0"/>
    <c:extLst>
      <c:ext uri="{0b15fc19-7d7d-44ad-8c2d-2c3a37ce22c3}">
        <chartProps xmlns="https://web.wps.cn/et/2018/main" chartId="{58e65f07-889f-4909-8cc8-e3cc6cb3102d}"/>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4086C-05C7-4613-96DB-3BB292927E4D}">
  <ds:schemaRefs/>
</ds:datastoreItem>
</file>

<file path=docProps/app.xml><?xml version="1.0" encoding="utf-8"?>
<Properties xmlns="http://schemas.openxmlformats.org/officeDocument/2006/extended-properties" xmlns:vt="http://schemas.openxmlformats.org/officeDocument/2006/docPropsVTypes">
  <Template>Normal.dotm</Template>
  <Pages>30</Pages>
  <Words>7039</Words>
  <Characters>40124</Characters>
  <Lines>334</Lines>
  <Paragraphs>94</Paragraphs>
  <TotalTime>1</TotalTime>
  <ScaleCrop>false</ScaleCrop>
  <LinksUpToDate>false</LinksUpToDate>
  <CharactersWithSpaces>47069</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2025-12-23T19:07:00Z</dcterms:created>
  <dcterms:modified xsi:type="dcterms:W3CDTF">2026-01-11T19:50:43Z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ea19ea3d-890a-4408-8ca6-c4a7cbc8bb6f</vt:lpwstr>
  </property>
  <property fmtid="{D5CDD505-2E9C-101B-9397-08002B2CF9AE}" pid="3" name="KSOProductBuildVer">
    <vt:lpwstr>1033-12.2.0.23196</vt:lpwstr>
  </property>
  <property fmtid="{D5CDD505-2E9C-101B-9397-08002B2CF9AE}" pid="4" name="ICV">
    <vt:lpwstr>497FA1C8D3F0410D9AF88986E9158FA2_12</vt:lpwstr>
  </property>
</Properties>
</file>