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E0CBAF" w14:textId="7A17048B" w:rsidR="005A444E" w:rsidRPr="00FA6047" w:rsidRDefault="009938B4" w:rsidP="005B15C5">
      <w:pPr>
        <w:rPr>
          <w:rFonts w:cstheme="minorHAnsi"/>
        </w:rPr>
      </w:pPr>
      <w:r w:rsidRPr="00FA6047">
        <w:rPr>
          <w:rFonts w:cstheme="minorHAnsi"/>
          <w:noProof/>
        </w:rPr>
        <w:drawing>
          <wp:inline distT="0" distB="0" distL="0" distR="0" wp14:anchorId="60163D75" wp14:editId="5040A02C">
            <wp:extent cx="2362200" cy="944881"/>
            <wp:effectExtent l="0" t="0" r="0" b="7620"/>
            <wp:docPr id="1" name="Picture 1"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82223" name="Picture 1" descr="A close-up of black text&#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65840" cy="946337"/>
                    </a:xfrm>
                    <a:prstGeom prst="rect">
                      <a:avLst/>
                    </a:prstGeom>
                    <a:noFill/>
                    <a:ln>
                      <a:noFill/>
                    </a:ln>
                  </pic:spPr>
                </pic:pic>
              </a:graphicData>
            </a:graphic>
          </wp:inline>
        </w:drawing>
      </w:r>
    </w:p>
    <w:p w14:paraId="20E1C018" w14:textId="77777777" w:rsidR="00FA6047" w:rsidRPr="00FA6047" w:rsidRDefault="00FA6047" w:rsidP="00B3692C">
      <w:pPr>
        <w:spacing w:before="240" w:after="120" w:line="276" w:lineRule="auto"/>
        <w:jc w:val="center"/>
        <w:rPr>
          <w:rFonts w:cstheme="minorHAnsi"/>
          <w:b/>
          <w:bCs/>
          <w:sz w:val="36"/>
          <w:szCs w:val="36"/>
        </w:rPr>
      </w:pPr>
    </w:p>
    <w:p w14:paraId="3F56AFED" w14:textId="77777777" w:rsidR="00FA6047" w:rsidRDefault="00FA6047" w:rsidP="00FA6047">
      <w:pPr>
        <w:spacing w:before="240" w:after="120" w:line="240" w:lineRule="auto"/>
        <w:jc w:val="center"/>
        <w:rPr>
          <w:rFonts w:cstheme="minorHAnsi"/>
          <w:b/>
          <w:bCs/>
          <w:sz w:val="32"/>
          <w:szCs w:val="32"/>
        </w:rPr>
      </w:pPr>
    </w:p>
    <w:p w14:paraId="7476FCFF" w14:textId="77777777" w:rsidR="00FA6047" w:rsidRDefault="00FA6047" w:rsidP="00FA6047">
      <w:pPr>
        <w:spacing w:before="240" w:after="120" w:line="240" w:lineRule="auto"/>
        <w:ind w:left="144"/>
        <w:rPr>
          <w:rFonts w:cstheme="minorHAnsi"/>
          <w:b/>
          <w:bCs/>
          <w:sz w:val="32"/>
          <w:szCs w:val="32"/>
        </w:rPr>
      </w:pPr>
    </w:p>
    <w:p w14:paraId="788C9249" w14:textId="77777777" w:rsidR="00E620A4" w:rsidRPr="00E620A4" w:rsidRDefault="00E620A4" w:rsidP="00B9346B">
      <w:pPr>
        <w:spacing w:before="120" w:after="120"/>
        <w:jc w:val="center"/>
        <w:rPr>
          <w:rFonts w:cs="Arial"/>
          <w:sz w:val="30"/>
          <w:szCs w:val="30"/>
        </w:rPr>
      </w:pPr>
      <w:r w:rsidRPr="00E620A4">
        <w:rPr>
          <w:rFonts w:cs="Arial"/>
          <w:b/>
          <w:bCs/>
          <w:sz w:val="30"/>
          <w:szCs w:val="30"/>
        </w:rPr>
        <w:t>Program:</w:t>
      </w:r>
      <w:r w:rsidRPr="00E620A4">
        <w:rPr>
          <w:rFonts w:cs="Arial"/>
          <w:bCs/>
          <w:sz w:val="30"/>
          <w:szCs w:val="30"/>
        </w:rPr>
        <w:t xml:space="preserve"> Certificate of Higher Education Skills for the Workplace (Health and Social Care)</w:t>
      </w:r>
    </w:p>
    <w:p w14:paraId="43D4DFF9" w14:textId="77777777" w:rsidR="00E620A4" w:rsidRPr="00E620A4" w:rsidRDefault="00E620A4" w:rsidP="00B9346B">
      <w:pPr>
        <w:spacing w:before="120" w:after="120"/>
        <w:jc w:val="center"/>
        <w:rPr>
          <w:rFonts w:cs="Arial"/>
          <w:bCs/>
          <w:sz w:val="30"/>
          <w:szCs w:val="30"/>
        </w:rPr>
      </w:pPr>
      <w:r w:rsidRPr="00E620A4">
        <w:rPr>
          <w:rFonts w:cs="Arial"/>
          <w:b/>
          <w:bCs/>
          <w:sz w:val="30"/>
          <w:szCs w:val="30"/>
        </w:rPr>
        <w:t>Module:</w:t>
      </w:r>
      <w:r w:rsidRPr="00E620A4">
        <w:rPr>
          <w:rFonts w:cs="Arial"/>
          <w:sz w:val="30"/>
          <w:szCs w:val="30"/>
        </w:rPr>
        <w:t xml:space="preserve"> </w:t>
      </w:r>
      <w:r w:rsidRPr="00E620A4">
        <w:rPr>
          <w:rFonts w:cs="Arial"/>
          <w:bCs/>
          <w:sz w:val="30"/>
          <w:szCs w:val="30"/>
        </w:rPr>
        <w:t xml:space="preserve">Professional Development within Health and Social Care </w:t>
      </w:r>
      <w:r w:rsidRPr="00E620A4">
        <w:rPr>
          <w:rFonts w:cs="Arial"/>
          <w:sz w:val="30"/>
          <w:szCs w:val="30"/>
        </w:rPr>
        <w:t>(LCHS4009)</w:t>
      </w:r>
    </w:p>
    <w:p w14:paraId="54927328" w14:textId="77777777" w:rsidR="00E620A4" w:rsidRDefault="00E620A4" w:rsidP="00B9346B">
      <w:pPr>
        <w:spacing w:before="120" w:after="120"/>
        <w:jc w:val="center"/>
        <w:rPr>
          <w:rFonts w:cs="Arial"/>
          <w:sz w:val="30"/>
          <w:szCs w:val="30"/>
        </w:rPr>
      </w:pPr>
      <w:r w:rsidRPr="00E620A4">
        <w:rPr>
          <w:rFonts w:cs="Arial"/>
          <w:b/>
          <w:bCs/>
          <w:sz w:val="30"/>
          <w:szCs w:val="30"/>
        </w:rPr>
        <w:t>Lecturer:</w:t>
      </w:r>
      <w:r w:rsidRPr="00E620A4">
        <w:rPr>
          <w:rFonts w:cs="Arial"/>
          <w:b/>
          <w:sz w:val="30"/>
          <w:szCs w:val="30"/>
        </w:rPr>
        <w:t xml:space="preserve"> </w:t>
      </w:r>
      <w:r w:rsidRPr="00E620A4">
        <w:rPr>
          <w:rFonts w:cs="Arial"/>
          <w:sz w:val="30"/>
          <w:szCs w:val="30"/>
        </w:rPr>
        <w:t>Olubukola Adegbite</w:t>
      </w:r>
    </w:p>
    <w:p w14:paraId="3A0311E7" w14:textId="5E7CF0EF" w:rsidR="00E620A4" w:rsidRPr="00E620A4" w:rsidRDefault="00E620A4" w:rsidP="00B9346B">
      <w:pPr>
        <w:spacing w:before="120" w:after="120"/>
        <w:jc w:val="center"/>
        <w:rPr>
          <w:rFonts w:cs="Arial"/>
          <w:sz w:val="30"/>
          <w:szCs w:val="30"/>
        </w:rPr>
      </w:pPr>
      <w:r w:rsidRPr="00E620A4">
        <w:rPr>
          <w:rFonts w:cs="Arial"/>
          <w:b/>
          <w:bCs/>
          <w:sz w:val="30"/>
          <w:szCs w:val="30"/>
        </w:rPr>
        <w:t>Assignment Title:</w:t>
      </w:r>
      <w:r w:rsidRPr="00E620A4">
        <w:rPr>
          <w:rFonts w:cs="Arial"/>
          <w:sz w:val="30"/>
          <w:szCs w:val="30"/>
        </w:rPr>
        <w:t xml:space="preserve"> </w:t>
      </w:r>
      <w:r w:rsidR="00EA637F" w:rsidRPr="00EA637F">
        <w:rPr>
          <w:rFonts w:cs="Arial"/>
          <w:bCs/>
          <w:sz w:val="30"/>
          <w:szCs w:val="30"/>
        </w:rPr>
        <w:t>Personal Development Portfolio</w:t>
      </w:r>
    </w:p>
    <w:p w14:paraId="1D0E31A8" w14:textId="77777777" w:rsidR="00FA6047" w:rsidRPr="00E620A4" w:rsidRDefault="00FA6047" w:rsidP="00B9346B">
      <w:pPr>
        <w:spacing w:before="120" w:after="120"/>
        <w:jc w:val="center"/>
        <w:rPr>
          <w:rFonts w:cs="Arial"/>
          <w:bCs/>
          <w:sz w:val="30"/>
          <w:szCs w:val="30"/>
        </w:rPr>
      </w:pPr>
      <w:r w:rsidRPr="00E620A4">
        <w:rPr>
          <w:rFonts w:cs="Arial"/>
          <w:b/>
          <w:bCs/>
          <w:sz w:val="30"/>
          <w:szCs w:val="30"/>
        </w:rPr>
        <w:t xml:space="preserve">Student Name: </w:t>
      </w:r>
      <w:r w:rsidRPr="00E620A4">
        <w:rPr>
          <w:rFonts w:cs="Arial"/>
          <w:bCs/>
          <w:sz w:val="30"/>
          <w:szCs w:val="30"/>
        </w:rPr>
        <w:t>Shabina Bi</w:t>
      </w:r>
    </w:p>
    <w:p w14:paraId="76B1C637" w14:textId="0E875C2C" w:rsidR="00FA6047" w:rsidRPr="00E620A4" w:rsidRDefault="00FA6047" w:rsidP="00B9346B">
      <w:pPr>
        <w:spacing w:before="120" w:after="120"/>
        <w:jc w:val="center"/>
        <w:rPr>
          <w:rFonts w:cs="Arial"/>
          <w:sz w:val="30"/>
          <w:szCs w:val="30"/>
          <w:shd w:val="clear" w:color="auto" w:fill="FFFFFF"/>
        </w:rPr>
      </w:pPr>
      <w:r w:rsidRPr="00E620A4">
        <w:rPr>
          <w:rFonts w:cs="Arial"/>
          <w:b/>
          <w:bCs/>
          <w:sz w:val="30"/>
          <w:szCs w:val="30"/>
        </w:rPr>
        <w:t xml:space="preserve">Student ID: </w:t>
      </w:r>
      <w:r w:rsidRPr="00E620A4">
        <w:rPr>
          <w:rFonts w:cs="Arial"/>
          <w:sz w:val="30"/>
          <w:szCs w:val="30"/>
        </w:rPr>
        <w:t>2328241</w:t>
      </w:r>
    </w:p>
    <w:p w14:paraId="3A1C4298" w14:textId="535A357B" w:rsidR="00B3692C" w:rsidRPr="00E620A4" w:rsidRDefault="00B3692C" w:rsidP="00B9346B">
      <w:pPr>
        <w:spacing w:before="120" w:after="120"/>
        <w:jc w:val="center"/>
        <w:rPr>
          <w:rFonts w:cs="Arial"/>
          <w:b/>
          <w:bCs/>
          <w:sz w:val="30"/>
          <w:szCs w:val="30"/>
        </w:rPr>
      </w:pPr>
      <w:r w:rsidRPr="00E620A4">
        <w:rPr>
          <w:rFonts w:cs="Arial"/>
          <w:b/>
          <w:bCs/>
          <w:sz w:val="30"/>
          <w:szCs w:val="30"/>
        </w:rPr>
        <w:t xml:space="preserve">Word count: </w:t>
      </w:r>
      <w:r w:rsidR="00E620A4" w:rsidRPr="00E620A4">
        <w:rPr>
          <w:rFonts w:cs="Arial"/>
          <w:sz w:val="30"/>
          <w:szCs w:val="30"/>
        </w:rPr>
        <w:t>21</w:t>
      </w:r>
      <w:r w:rsidR="00E16F11">
        <w:rPr>
          <w:rFonts w:cs="Arial"/>
          <w:sz w:val="30"/>
          <w:szCs w:val="30"/>
        </w:rPr>
        <w:t>0</w:t>
      </w:r>
      <w:r w:rsidR="00010ACD">
        <w:rPr>
          <w:rFonts w:cs="Arial"/>
          <w:sz w:val="30"/>
          <w:szCs w:val="30"/>
        </w:rPr>
        <w:t>0</w:t>
      </w:r>
    </w:p>
    <w:p w14:paraId="6FD016C1" w14:textId="7EB5C4C1" w:rsidR="00B9346B" w:rsidRDefault="00B3692C" w:rsidP="00B9346B">
      <w:pPr>
        <w:spacing w:before="120" w:after="120"/>
        <w:jc w:val="center"/>
        <w:rPr>
          <w:rFonts w:cs="Arial"/>
          <w:sz w:val="30"/>
          <w:szCs w:val="30"/>
        </w:rPr>
      </w:pPr>
      <w:r w:rsidRPr="00E620A4">
        <w:rPr>
          <w:rFonts w:cs="Arial"/>
          <w:b/>
          <w:bCs/>
          <w:sz w:val="30"/>
          <w:szCs w:val="30"/>
        </w:rPr>
        <w:t>Date of Submission:</w:t>
      </w:r>
      <w:r w:rsidRPr="00E620A4">
        <w:rPr>
          <w:rFonts w:cs="Arial"/>
          <w:sz w:val="30"/>
          <w:szCs w:val="30"/>
        </w:rPr>
        <w:t xml:space="preserve"> </w:t>
      </w:r>
      <w:r w:rsidR="00EA637F">
        <w:rPr>
          <w:rFonts w:cs="Arial"/>
          <w:sz w:val="30"/>
          <w:szCs w:val="30"/>
        </w:rPr>
        <w:t>21</w:t>
      </w:r>
      <w:r w:rsidRPr="00E620A4">
        <w:rPr>
          <w:rFonts w:cs="Arial"/>
          <w:sz w:val="30"/>
          <w:szCs w:val="30"/>
        </w:rPr>
        <w:t xml:space="preserve"> </w:t>
      </w:r>
      <w:r w:rsidR="001F0F68" w:rsidRPr="00E620A4">
        <w:rPr>
          <w:rFonts w:cs="Arial"/>
          <w:sz w:val="30"/>
          <w:szCs w:val="30"/>
        </w:rPr>
        <w:t>November</w:t>
      </w:r>
      <w:r w:rsidRPr="00E620A4">
        <w:rPr>
          <w:rFonts w:cs="Arial"/>
          <w:sz w:val="30"/>
          <w:szCs w:val="30"/>
        </w:rPr>
        <w:t xml:space="preserve"> 2025</w:t>
      </w:r>
    </w:p>
    <w:p w14:paraId="1E4A17ED" w14:textId="77777777" w:rsidR="00B9346B" w:rsidRDefault="00B9346B">
      <w:pPr>
        <w:spacing w:line="278" w:lineRule="auto"/>
        <w:jc w:val="left"/>
        <w:rPr>
          <w:rFonts w:cs="Arial"/>
          <w:sz w:val="30"/>
          <w:szCs w:val="30"/>
        </w:rPr>
      </w:pPr>
      <w:r>
        <w:rPr>
          <w:rFonts w:cs="Arial"/>
          <w:sz w:val="30"/>
          <w:szCs w:val="30"/>
        </w:rPr>
        <w:br w:type="page"/>
      </w:r>
    </w:p>
    <w:p w14:paraId="7382DF19" w14:textId="77777777" w:rsidR="00290E8B" w:rsidRPr="00B9346B" w:rsidRDefault="00290E8B" w:rsidP="00B9346B">
      <w:pPr>
        <w:spacing w:before="240" w:after="120" w:line="240" w:lineRule="auto"/>
        <w:rPr>
          <w:rFonts w:cs="Arial"/>
          <w:sz w:val="30"/>
          <w:szCs w:val="30"/>
        </w:rPr>
      </w:pPr>
    </w:p>
    <w:sdt>
      <w:sdtPr>
        <w:rPr>
          <w:rFonts w:cstheme="minorHAnsi"/>
        </w:rPr>
        <w:id w:val="-2005885682"/>
        <w:docPartObj>
          <w:docPartGallery w:val="Table of Contents"/>
          <w:docPartUnique/>
        </w:docPartObj>
      </w:sdtPr>
      <w:sdtEndPr>
        <w:rPr>
          <w:b/>
          <w:bCs/>
          <w:noProof/>
        </w:rPr>
      </w:sdtEndPr>
      <w:sdtContent>
        <w:p w14:paraId="0FEB76AC" w14:textId="3EF816A7" w:rsidR="005A444E" w:rsidRPr="00B73338" w:rsidRDefault="005A444E" w:rsidP="00B73338">
          <w:pPr>
            <w:rPr>
              <w:rFonts w:asciiTheme="minorHAnsi" w:hAnsiTheme="minorHAnsi" w:cstheme="minorHAnsi"/>
            </w:rPr>
          </w:pPr>
          <w:r w:rsidRPr="00E620A4">
            <w:rPr>
              <w:rFonts w:cs="Arial"/>
              <w:b/>
              <w:bCs/>
              <w:color w:val="000000" w:themeColor="text1"/>
              <w:sz w:val="32"/>
              <w:szCs w:val="32"/>
            </w:rPr>
            <w:t>Table of Contents</w:t>
          </w:r>
        </w:p>
        <w:p w14:paraId="30FF7A18" w14:textId="6B925D7D" w:rsidR="00B9346B" w:rsidRDefault="005A444E">
          <w:pPr>
            <w:pStyle w:val="TOC1"/>
            <w:tabs>
              <w:tab w:val="right" w:leader="dot" w:pos="9016"/>
            </w:tabs>
            <w:rPr>
              <w:rFonts w:asciiTheme="minorHAnsi" w:eastAsiaTheme="minorEastAsia" w:hAnsiTheme="minorHAnsi"/>
              <w:noProof/>
              <w:szCs w:val="30"/>
              <w:lang w:eastAsia="zh-CN" w:bidi="bn-IN"/>
            </w:rPr>
          </w:pPr>
          <w:r w:rsidRPr="00E620A4">
            <w:rPr>
              <w:rFonts w:cs="Arial"/>
              <w:color w:val="000000" w:themeColor="text1"/>
              <w:sz w:val="28"/>
              <w:szCs w:val="28"/>
            </w:rPr>
            <w:fldChar w:fldCharType="begin"/>
          </w:r>
          <w:r w:rsidRPr="00E620A4">
            <w:rPr>
              <w:rFonts w:cs="Arial"/>
              <w:color w:val="000000" w:themeColor="text1"/>
              <w:sz w:val="28"/>
              <w:szCs w:val="28"/>
            </w:rPr>
            <w:instrText xml:space="preserve"> TOC \o "1-3" \h \z \u </w:instrText>
          </w:r>
          <w:r w:rsidRPr="00E620A4">
            <w:rPr>
              <w:rFonts w:cs="Arial"/>
              <w:color w:val="000000" w:themeColor="text1"/>
              <w:sz w:val="28"/>
              <w:szCs w:val="28"/>
            </w:rPr>
            <w:fldChar w:fldCharType="separate"/>
          </w:r>
          <w:hyperlink w:anchor="_Toc214617749" w:history="1">
            <w:r w:rsidR="00B9346B" w:rsidRPr="00AF64E5">
              <w:rPr>
                <w:rStyle w:val="Hyperlink"/>
                <w:noProof/>
              </w:rPr>
              <w:t>Introduction</w:t>
            </w:r>
            <w:r w:rsidR="00B9346B">
              <w:rPr>
                <w:noProof/>
                <w:webHidden/>
              </w:rPr>
              <w:tab/>
            </w:r>
            <w:r w:rsidR="00B9346B">
              <w:rPr>
                <w:noProof/>
                <w:webHidden/>
              </w:rPr>
              <w:fldChar w:fldCharType="begin"/>
            </w:r>
            <w:r w:rsidR="00B9346B">
              <w:rPr>
                <w:noProof/>
                <w:webHidden/>
              </w:rPr>
              <w:instrText xml:space="preserve"> PAGEREF _Toc214617749 \h </w:instrText>
            </w:r>
            <w:r w:rsidR="00B9346B">
              <w:rPr>
                <w:noProof/>
                <w:webHidden/>
              </w:rPr>
            </w:r>
            <w:r w:rsidR="00B9346B">
              <w:rPr>
                <w:noProof/>
                <w:webHidden/>
              </w:rPr>
              <w:fldChar w:fldCharType="separate"/>
            </w:r>
            <w:r w:rsidR="00B9346B">
              <w:rPr>
                <w:noProof/>
                <w:webHidden/>
              </w:rPr>
              <w:t>3</w:t>
            </w:r>
            <w:r w:rsidR="00B9346B">
              <w:rPr>
                <w:noProof/>
                <w:webHidden/>
              </w:rPr>
              <w:fldChar w:fldCharType="end"/>
            </w:r>
          </w:hyperlink>
        </w:p>
        <w:p w14:paraId="53FBA756" w14:textId="0DF0E709" w:rsidR="00B9346B" w:rsidRDefault="00B9346B">
          <w:pPr>
            <w:pStyle w:val="TOC1"/>
            <w:tabs>
              <w:tab w:val="left" w:pos="480"/>
              <w:tab w:val="right" w:leader="dot" w:pos="9016"/>
            </w:tabs>
            <w:rPr>
              <w:rFonts w:asciiTheme="minorHAnsi" w:eastAsiaTheme="minorEastAsia" w:hAnsiTheme="minorHAnsi"/>
              <w:noProof/>
              <w:szCs w:val="30"/>
              <w:lang w:eastAsia="zh-CN" w:bidi="bn-IN"/>
            </w:rPr>
          </w:pPr>
          <w:hyperlink w:anchor="_Toc214617750" w:history="1">
            <w:r w:rsidRPr="00AF64E5">
              <w:rPr>
                <w:rStyle w:val="Hyperlink"/>
                <w:noProof/>
              </w:rPr>
              <w:t>1</w:t>
            </w:r>
            <w:r>
              <w:rPr>
                <w:rFonts w:asciiTheme="minorHAnsi" w:eastAsiaTheme="minorEastAsia" w:hAnsiTheme="minorHAnsi"/>
                <w:noProof/>
                <w:szCs w:val="30"/>
                <w:lang w:eastAsia="zh-CN" w:bidi="bn-IN"/>
              </w:rPr>
              <w:tab/>
            </w:r>
            <w:r w:rsidRPr="00AF64E5">
              <w:rPr>
                <w:rStyle w:val="Hyperlink"/>
                <w:noProof/>
              </w:rPr>
              <w:t>Job Role Selection: Registered Nurse (Band 5)</w:t>
            </w:r>
            <w:r>
              <w:rPr>
                <w:noProof/>
                <w:webHidden/>
              </w:rPr>
              <w:tab/>
            </w:r>
            <w:r>
              <w:rPr>
                <w:noProof/>
                <w:webHidden/>
              </w:rPr>
              <w:fldChar w:fldCharType="begin"/>
            </w:r>
            <w:r>
              <w:rPr>
                <w:noProof/>
                <w:webHidden/>
              </w:rPr>
              <w:instrText xml:space="preserve"> PAGEREF _Toc214617750 \h </w:instrText>
            </w:r>
            <w:r>
              <w:rPr>
                <w:noProof/>
                <w:webHidden/>
              </w:rPr>
            </w:r>
            <w:r>
              <w:rPr>
                <w:noProof/>
                <w:webHidden/>
              </w:rPr>
              <w:fldChar w:fldCharType="separate"/>
            </w:r>
            <w:r>
              <w:rPr>
                <w:noProof/>
                <w:webHidden/>
              </w:rPr>
              <w:t>3</w:t>
            </w:r>
            <w:r>
              <w:rPr>
                <w:noProof/>
                <w:webHidden/>
              </w:rPr>
              <w:fldChar w:fldCharType="end"/>
            </w:r>
          </w:hyperlink>
        </w:p>
        <w:p w14:paraId="784F660E" w14:textId="2D3D2F38" w:rsidR="00B9346B" w:rsidRDefault="00B9346B">
          <w:pPr>
            <w:pStyle w:val="TOC2"/>
            <w:tabs>
              <w:tab w:val="left" w:pos="960"/>
              <w:tab w:val="right" w:leader="dot" w:pos="9016"/>
            </w:tabs>
            <w:rPr>
              <w:rFonts w:asciiTheme="minorHAnsi" w:eastAsiaTheme="minorEastAsia" w:hAnsiTheme="minorHAnsi"/>
              <w:noProof/>
              <w:szCs w:val="30"/>
              <w:lang w:eastAsia="zh-CN" w:bidi="bn-IN"/>
            </w:rPr>
          </w:pPr>
          <w:hyperlink w:anchor="_Toc214617751" w:history="1">
            <w:r w:rsidRPr="00AF64E5">
              <w:rPr>
                <w:rStyle w:val="Hyperlink"/>
                <w:noProof/>
              </w:rPr>
              <w:t>1.1</w:t>
            </w:r>
            <w:r>
              <w:rPr>
                <w:rFonts w:asciiTheme="minorHAnsi" w:eastAsiaTheme="minorEastAsia" w:hAnsiTheme="minorHAnsi"/>
                <w:noProof/>
                <w:szCs w:val="30"/>
                <w:lang w:eastAsia="zh-CN" w:bidi="bn-IN"/>
              </w:rPr>
              <w:tab/>
            </w:r>
            <w:r w:rsidRPr="00AF64E5">
              <w:rPr>
                <w:rStyle w:val="Hyperlink"/>
                <w:noProof/>
              </w:rPr>
              <w:t>Key Skills Required for Nursing and Evidence of Competence</w:t>
            </w:r>
            <w:r>
              <w:rPr>
                <w:noProof/>
                <w:webHidden/>
              </w:rPr>
              <w:tab/>
            </w:r>
            <w:r>
              <w:rPr>
                <w:noProof/>
                <w:webHidden/>
              </w:rPr>
              <w:fldChar w:fldCharType="begin"/>
            </w:r>
            <w:r>
              <w:rPr>
                <w:noProof/>
                <w:webHidden/>
              </w:rPr>
              <w:instrText xml:space="preserve"> PAGEREF _Toc214617751 \h </w:instrText>
            </w:r>
            <w:r>
              <w:rPr>
                <w:noProof/>
                <w:webHidden/>
              </w:rPr>
            </w:r>
            <w:r>
              <w:rPr>
                <w:noProof/>
                <w:webHidden/>
              </w:rPr>
              <w:fldChar w:fldCharType="separate"/>
            </w:r>
            <w:r>
              <w:rPr>
                <w:noProof/>
                <w:webHidden/>
              </w:rPr>
              <w:t>3</w:t>
            </w:r>
            <w:r>
              <w:rPr>
                <w:noProof/>
                <w:webHidden/>
              </w:rPr>
              <w:fldChar w:fldCharType="end"/>
            </w:r>
          </w:hyperlink>
        </w:p>
        <w:p w14:paraId="190B22CC" w14:textId="5AF0076B" w:rsidR="00B9346B" w:rsidRDefault="00B9346B">
          <w:pPr>
            <w:pStyle w:val="TOC2"/>
            <w:tabs>
              <w:tab w:val="left" w:pos="960"/>
              <w:tab w:val="right" w:leader="dot" w:pos="9016"/>
            </w:tabs>
            <w:rPr>
              <w:rFonts w:asciiTheme="minorHAnsi" w:eastAsiaTheme="minorEastAsia" w:hAnsiTheme="minorHAnsi"/>
              <w:noProof/>
              <w:szCs w:val="30"/>
              <w:lang w:eastAsia="zh-CN" w:bidi="bn-IN"/>
            </w:rPr>
          </w:pPr>
          <w:hyperlink w:anchor="_Toc214617752" w:history="1">
            <w:r w:rsidRPr="00AF64E5">
              <w:rPr>
                <w:rStyle w:val="Hyperlink"/>
                <w:noProof/>
              </w:rPr>
              <w:t>1.2</w:t>
            </w:r>
            <w:r>
              <w:rPr>
                <w:rFonts w:asciiTheme="minorHAnsi" w:eastAsiaTheme="minorEastAsia" w:hAnsiTheme="minorHAnsi"/>
                <w:noProof/>
                <w:szCs w:val="30"/>
                <w:lang w:eastAsia="zh-CN" w:bidi="bn-IN"/>
              </w:rPr>
              <w:tab/>
            </w:r>
            <w:r w:rsidRPr="00AF64E5">
              <w:rPr>
                <w:rStyle w:val="Hyperlink"/>
                <w:noProof/>
              </w:rPr>
              <w:t>Skill Gaps and Personal Development Plan</w:t>
            </w:r>
            <w:r>
              <w:rPr>
                <w:noProof/>
                <w:webHidden/>
              </w:rPr>
              <w:tab/>
            </w:r>
            <w:r>
              <w:rPr>
                <w:noProof/>
                <w:webHidden/>
              </w:rPr>
              <w:fldChar w:fldCharType="begin"/>
            </w:r>
            <w:r>
              <w:rPr>
                <w:noProof/>
                <w:webHidden/>
              </w:rPr>
              <w:instrText xml:space="preserve"> PAGEREF _Toc214617752 \h </w:instrText>
            </w:r>
            <w:r>
              <w:rPr>
                <w:noProof/>
                <w:webHidden/>
              </w:rPr>
            </w:r>
            <w:r>
              <w:rPr>
                <w:noProof/>
                <w:webHidden/>
              </w:rPr>
              <w:fldChar w:fldCharType="separate"/>
            </w:r>
            <w:r>
              <w:rPr>
                <w:noProof/>
                <w:webHidden/>
              </w:rPr>
              <w:t>4</w:t>
            </w:r>
            <w:r>
              <w:rPr>
                <w:noProof/>
                <w:webHidden/>
              </w:rPr>
              <w:fldChar w:fldCharType="end"/>
            </w:r>
          </w:hyperlink>
        </w:p>
        <w:p w14:paraId="5B429B63" w14:textId="13232D2C" w:rsidR="00B9346B" w:rsidRDefault="00B9346B">
          <w:pPr>
            <w:pStyle w:val="TOC2"/>
            <w:tabs>
              <w:tab w:val="left" w:pos="960"/>
              <w:tab w:val="right" w:leader="dot" w:pos="9016"/>
            </w:tabs>
            <w:rPr>
              <w:rFonts w:asciiTheme="minorHAnsi" w:eastAsiaTheme="minorEastAsia" w:hAnsiTheme="minorHAnsi"/>
              <w:noProof/>
              <w:szCs w:val="30"/>
              <w:lang w:eastAsia="zh-CN" w:bidi="bn-IN"/>
            </w:rPr>
          </w:pPr>
          <w:hyperlink w:anchor="_Toc214617753" w:history="1">
            <w:r w:rsidRPr="00AF64E5">
              <w:rPr>
                <w:rStyle w:val="Hyperlink"/>
                <w:noProof/>
              </w:rPr>
              <w:t>1.3</w:t>
            </w:r>
            <w:r>
              <w:rPr>
                <w:rFonts w:asciiTheme="minorHAnsi" w:eastAsiaTheme="minorEastAsia" w:hAnsiTheme="minorHAnsi"/>
                <w:noProof/>
                <w:szCs w:val="30"/>
                <w:lang w:eastAsia="zh-CN" w:bidi="bn-IN"/>
              </w:rPr>
              <w:tab/>
            </w:r>
            <w:r w:rsidRPr="00AF64E5">
              <w:rPr>
                <w:rStyle w:val="Hyperlink"/>
                <w:noProof/>
              </w:rPr>
              <w:t>Preparation for Interview Questions and Planned Responses</w:t>
            </w:r>
            <w:r>
              <w:rPr>
                <w:noProof/>
                <w:webHidden/>
              </w:rPr>
              <w:tab/>
            </w:r>
            <w:r>
              <w:rPr>
                <w:noProof/>
                <w:webHidden/>
              </w:rPr>
              <w:fldChar w:fldCharType="begin"/>
            </w:r>
            <w:r>
              <w:rPr>
                <w:noProof/>
                <w:webHidden/>
              </w:rPr>
              <w:instrText xml:space="preserve"> PAGEREF _Toc214617753 \h </w:instrText>
            </w:r>
            <w:r>
              <w:rPr>
                <w:noProof/>
                <w:webHidden/>
              </w:rPr>
            </w:r>
            <w:r>
              <w:rPr>
                <w:noProof/>
                <w:webHidden/>
              </w:rPr>
              <w:fldChar w:fldCharType="separate"/>
            </w:r>
            <w:r>
              <w:rPr>
                <w:noProof/>
                <w:webHidden/>
              </w:rPr>
              <w:t>5</w:t>
            </w:r>
            <w:r>
              <w:rPr>
                <w:noProof/>
                <w:webHidden/>
              </w:rPr>
              <w:fldChar w:fldCharType="end"/>
            </w:r>
          </w:hyperlink>
        </w:p>
        <w:p w14:paraId="25501669" w14:textId="5FFD55D5" w:rsidR="00B9346B" w:rsidRDefault="00B9346B">
          <w:pPr>
            <w:pStyle w:val="TOC1"/>
            <w:tabs>
              <w:tab w:val="left" w:pos="480"/>
              <w:tab w:val="right" w:leader="dot" w:pos="9016"/>
            </w:tabs>
            <w:rPr>
              <w:rFonts w:asciiTheme="minorHAnsi" w:eastAsiaTheme="minorEastAsia" w:hAnsiTheme="minorHAnsi"/>
              <w:noProof/>
              <w:szCs w:val="30"/>
              <w:lang w:eastAsia="zh-CN" w:bidi="bn-IN"/>
            </w:rPr>
          </w:pPr>
          <w:hyperlink w:anchor="_Toc214617754" w:history="1">
            <w:r w:rsidRPr="00AF64E5">
              <w:rPr>
                <w:rStyle w:val="Hyperlink"/>
                <w:noProof/>
              </w:rPr>
              <w:t>2</w:t>
            </w:r>
            <w:r>
              <w:rPr>
                <w:rFonts w:asciiTheme="minorHAnsi" w:eastAsiaTheme="minorEastAsia" w:hAnsiTheme="minorHAnsi"/>
                <w:noProof/>
                <w:szCs w:val="30"/>
                <w:lang w:eastAsia="zh-CN" w:bidi="bn-IN"/>
              </w:rPr>
              <w:tab/>
            </w:r>
            <w:r w:rsidRPr="00AF64E5">
              <w:rPr>
                <w:rStyle w:val="Hyperlink"/>
                <w:noProof/>
              </w:rPr>
              <w:t>The Importance of Communication Skills in Nursing</w:t>
            </w:r>
            <w:r>
              <w:rPr>
                <w:noProof/>
                <w:webHidden/>
              </w:rPr>
              <w:tab/>
            </w:r>
            <w:r>
              <w:rPr>
                <w:noProof/>
                <w:webHidden/>
              </w:rPr>
              <w:fldChar w:fldCharType="begin"/>
            </w:r>
            <w:r>
              <w:rPr>
                <w:noProof/>
                <w:webHidden/>
              </w:rPr>
              <w:instrText xml:space="preserve"> PAGEREF _Toc214617754 \h </w:instrText>
            </w:r>
            <w:r>
              <w:rPr>
                <w:noProof/>
                <w:webHidden/>
              </w:rPr>
            </w:r>
            <w:r>
              <w:rPr>
                <w:noProof/>
                <w:webHidden/>
              </w:rPr>
              <w:fldChar w:fldCharType="separate"/>
            </w:r>
            <w:r>
              <w:rPr>
                <w:noProof/>
                <w:webHidden/>
              </w:rPr>
              <w:t>6</w:t>
            </w:r>
            <w:r>
              <w:rPr>
                <w:noProof/>
                <w:webHidden/>
              </w:rPr>
              <w:fldChar w:fldCharType="end"/>
            </w:r>
          </w:hyperlink>
        </w:p>
        <w:p w14:paraId="0C786DC6" w14:textId="709B7FE0" w:rsidR="00B9346B" w:rsidRDefault="00B9346B">
          <w:pPr>
            <w:pStyle w:val="TOC1"/>
            <w:tabs>
              <w:tab w:val="left" w:pos="480"/>
              <w:tab w:val="right" w:leader="dot" w:pos="9016"/>
            </w:tabs>
            <w:rPr>
              <w:rFonts w:asciiTheme="minorHAnsi" w:eastAsiaTheme="minorEastAsia" w:hAnsiTheme="minorHAnsi"/>
              <w:noProof/>
              <w:szCs w:val="30"/>
              <w:lang w:eastAsia="zh-CN" w:bidi="bn-IN"/>
            </w:rPr>
          </w:pPr>
          <w:hyperlink w:anchor="_Toc214617755" w:history="1">
            <w:r w:rsidRPr="00AF64E5">
              <w:rPr>
                <w:rStyle w:val="Hyperlink"/>
                <w:noProof/>
              </w:rPr>
              <w:t>3</w:t>
            </w:r>
            <w:r>
              <w:rPr>
                <w:rFonts w:asciiTheme="minorHAnsi" w:eastAsiaTheme="minorEastAsia" w:hAnsiTheme="minorHAnsi"/>
                <w:noProof/>
                <w:szCs w:val="30"/>
                <w:lang w:eastAsia="zh-CN" w:bidi="bn-IN"/>
              </w:rPr>
              <w:tab/>
            </w:r>
            <w:r w:rsidRPr="00AF64E5">
              <w:rPr>
                <w:rStyle w:val="Hyperlink"/>
                <w:noProof/>
              </w:rPr>
              <w:t>Reflective Context and Approach</w:t>
            </w:r>
            <w:r>
              <w:rPr>
                <w:noProof/>
                <w:webHidden/>
              </w:rPr>
              <w:tab/>
            </w:r>
            <w:r>
              <w:rPr>
                <w:noProof/>
                <w:webHidden/>
              </w:rPr>
              <w:fldChar w:fldCharType="begin"/>
            </w:r>
            <w:r>
              <w:rPr>
                <w:noProof/>
                <w:webHidden/>
              </w:rPr>
              <w:instrText xml:space="preserve"> PAGEREF _Toc214617755 \h </w:instrText>
            </w:r>
            <w:r>
              <w:rPr>
                <w:noProof/>
                <w:webHidden/>
              </w:rPr>
            </w:r>
            <w:r>
              <w:rPr>
                <w:noProof/>
                <w:webHidden/>
              </w:rPr>
              <w:fldChar w:fldCharType="separate"/>
            </w:r>
            <w:r>
              <w:rPr>
                <w:noProof/>
                <w:webHidden/>
              </w:rPr>
              <w:t>7</w:t>
            </w:r>
            <w:r>
              <w:rPr>
                <w:noProof/>
                <w:webHidden/>
              </w:rPr>
              <w:fldChar w:fldCharType="end"/>
            </w:r>
          </w:hyperlink>
        </w:p>
        <w:p w14:paraId="0317FE2E" w14:textId="59D84142" w:rsidR="00B9346B" w:rsidRDefault="00B9346B">
          <w:pPr>
            <w:pStyle w:val="TOC2"/>
            <w:tabs>
              <w:tab w:val="left" w:pos="960"/>
              <w:tab w:val="right" w:leader="dot" w:pos="9016"/>
            </w:tabs>
            <w:rPr>
              <w:rFonts w:asciiTheme="minorHAnsi" w:eastAsiaTheme="minorEastAsia" w:hAnsiTheme="minorHAnsi"/>
              <w:noProof/>
              <w:szCs w:val="30"/>
              <w:lang w:eastAsia="zh-CN" w:bidi="bn-IN"/>
            </w:rPr>
          </w:pPr>
          <w:hyperlink w:anchor="_Toc214617756" w:history="1">
            <w:r w:rsidRPr="00AF64E5">
              <w:rPr>
                <w:rStyle w:val="Hyperlink"/>
                <w:noProof/>
              </w:rPr>
              <w:t>3.1</w:t>
            </w:r>
            <w:r>
              <w:rPr>
                <w:rFonts w:asciiTheme="minorHAnsi" w:eastAsiaTheme="minorEastAsia" w:hAnsiTheme="minorHAnsi"/>
                <w:noProof/>
                <w:szCs w:val="30"/>
                <w:lang w:eastAsia="zh-CN" w:bidi="bn-IN"/>
              </w:rPr>
              <w:tab/>
            </w:r>
            <w:r w:rsidRPr="00AF64E5">
              <w:rPr>
                <w:rStyle w:val="Hyperlink"/>
                <w:noProof/>
              </w:rPr>
              <w:t>Experience</w:t>
            </w:r>
            <w:r>
              <w:rPr>
                <w:noProof/>
                <w:webHidden/>
              </w:rPr>
              <w:tab/>
            </w:r>
            <w:r>
              <w:rPr>
                <w:noProof/>
                <w:webHidden/>
              </w:rPr>
              <w:fldChar w:fldCharType="begin"/>
            </w:r>
            <w:r>
              <w:rPr>
                <w:noProof/>
                <w:webHidden/>
              </w:rPr>
              <w:instrText xml:space="preserve"> PAGEREF _Toc214617756 \h </w:instrText>
            </w:r>
            <w:r>
              <w:rPr>
                <w:noProof/>
                <w:webHidden/>
              </w:rPr>
            </w:r>
            <w:r>
              <w:rPr>
                <w:noProof/>
                <w:webHidden/>
              </w:rPr>
              <w:fldChar w:fldCharType="separate"/>
            </w:r>
            <w:r>
              <w:rPr>
                <w:noProof/>
                <w:webHidden/>
              </w:rPr>
              <w:t>8</w:t>
            </w:r>
            <w:r>
              <w:rPr>
                <w:noProof/>
                <w:webHidden/>
              </w:rPr>
              <w:fldChar w:fldCharType="end"/>
            </w:r>
          </w:hyperlink>
        </w:p>
        <w:p w14:paraId="4A7ED57F" w14:textId="038FBDC0" w:rsidR="00B9346B" w:rsidRDefault="00B9346B">
          <w:pPr>
            <w:pStyle w:val="TOC2"/>
            <w:tabs>
              <w:tab w:val="left" w:pos="960"/>
              <w:tab w:val="right" w:leader="dot" w:pos="9016"/>
            </w:tabs>
            <w:rPr>
              <w:rFonts w:asciiTheme="minorHAnsi" w:eastAsiaTheme="minorEastAsia" w:hAnsiTheme="minorHAnsi"/>
              <w:noProof/>
              <w:szCs w:val="30"/>
              <w:lang w:eastAsia="zh-CN" w:bidi="bn-IN"/>
            </w:rPr>
          </w:pPr>
          <w:hyperlink w:anchor="_Toc214617757" w:history="1">
            <w:r w:rsidRPr="00AF64E5">
              <w:rPr>
                <w:rStyle w:val="Hyperlink"/>
                <w:noProof/>
              </w:rPr>
              <w:t>3.2</w:t>
            </w:r>
            <w:r>
              <w:rPr>
                <w:rFonts w:asciiTheme="minorHAnsi" w:eastAsiaTheme="minorEastAsia" w:hAnsiTheme="minorHAnsi"/>
                <w:noProof/>
                <w:szCs w:val="30"/>
                <w:lang w:eastAsia="zh-CN" w:bidi="bn-IN"/>
              </w:rPr>
              <w:tab/>
            </w:r>
            <w:r w:rsidRPr="00AF64E5">
              <w:rPr>
                <w:rStyle w:val="Hyperlink"/>
                <w:noProof/>
              </w:rPr>
              <w:t>Reflection</w:t>
            </w:r>
            <w:r>
              <w:rPr>
                <w:noProof/>
                <w:webHidden/>
              </w:rPr>
              <w:tab/>
            </w:r>
            <w:r>
              <w:rPr>
                <w:noProof/>
                <w:webHidden/>
              </w:rPr>
              <w:fldChar w:fldCharType="begin"/>
            </w:r>
            <w:r>
              <w:rPr>
                <w:noProof/>
                <w:webHidden/>
              </w:rPr>
              <w:instrText xml:space="preserve"> PAGEREF _Toc214617757 \h </w:instrText>
            </w:r>
            <w:r>
              <w:rPr>
                <w:noProof/>
                <w:webHidden/>
              </w:rPr>
            </w:r>
            <w:r>
              <w:rPr>
                <w:noProof/>
                <w:webHidden/>
              </w:rPr>
              <w:fldChar w:fldCharType="separate"/>
            </w:r>
            <w:r>
              <w:rPr>
                <w:noProof/>
                <w:webHidden/>
              </w:rPr>
              <w:t>8</w:t>
            </w:r>
            <w:r>
              <w:rPr>
                <w:noProof/>
                <w:webHidden/>
              </w:rPr>
              <w:fldChar w:fldCharType="end"/>
            </w:r>
          </w:hyperlink>
        </w:p>
        <w:p w14:paraId="7ED1381C" w14:textId="0D198CE9" w:rsidR="00B9346B" w:rsidRDefault="00B9346B">
          <w:pPr>
            <w:pStyle w:val="TOC2"/>
            <w:tabs>
              <w:tab w:val="left" w:pos="960"/>
              <w:tab w:val="right" w:leader="dot" w:pos="9016"/>
            </w:tabs>
            <w:rPr>
              <w:rFonts w:asciiTheme="minorHAnsi" w:eastAsiaTheme="minorEastAsia" w:hAnsiTheme="minorHAnsi"/>
              <w:noProof/>
              <w:szCs w:val="30"/>
              <w:lang w:eastAsia="zh-CN" w:bidi="bn-IN"/>
            </w:rPr>
          </w:pPr>
          <w:hyperlink w:anchor="_Toc214617758" w:history="1">
            <w:r w:rsidRPr="00AF64E5">
              <w:rPr>
                <w:rStyle w:val="Hyperlink"/>
                <w:noProof/>
              </w:rPr>
              <w:t>3.3</w:t>
            </w:r>
            <w:r>
              <w:rPr>
                <w:rFonts w:asciiTheme="minorHAnsi" w:eastAsiaTheme="minorEastAsia" w:hAnsiTheme="minorHAnsi"/>
                <w:noProof/>
                <w:szCs w:val="30"/>
                <w:lang w:eastAsia="zh-CN" w:bidi="bn-IN"/>
              </w:rPr>
              <w:tab/>
            </w:r>
            <w:r w:rsidRPr="00AF64E5">
              <w:rPr>
                <w:rStyle w:val="Hyperlink"/>
                <w:noProof/>
              </w:rPr>
              <w:t>Action</w:t>
            </w:r>
            <w:r>
              <w:rPr>
                <w:noProof/>
                <w:webHidden/>
              </w:rPr>
              <w:tab/>
            </w:r>
            <w:r>
              <w:rPr>
                <w:noProof/>
                <w:webHidden/>
              </w:rPr>
              <w:fldChar w:fldCharType="begin"/>
            </w:r>
            <w:r>
              <w:rPr>
                <w:noProof/>
                <w:webHidden/>
              </w:rPr>
              <w:instrText xml:space="preserve"> PAGEREF _Toc214617758 \h </w:instrText>
            </w:r>
            <w:r>
              <w:rPr>
                <w:noProof/>
                <w:webHidden/>
              </w:rPr>
            </w:r>
            <w:r>
              <w:rPr>
                <w:noProof/>
                <w:webHidden/>
              </w:rPr>
              <w:fldChar w:fldCharType="separate"/>
            </w:r>
            <w:r>
              <w:rPr>
                <w:noProof/>
                <w:webHidden/>
              </w:rPr>
              <w:t>9</w:t>
            </w:r>
            <w:r>
              <w:rPr>
                <w:noProof/>
                <w:webHidden/>
              </w:rPr>
              <w:fldChar w:fldCharType="end"/>
            </w:r>
          </w:hyperlink>
        </w:p>
        <w:p w14:paraId="3B628C3F" w14:textId="28A10D64" w:rsidR="00B9346B" w:rsidRDefault="00B9346B">
          <w:pPr>
            <w:pStyle w:val="TOC1"/>
            <w:tabs>
              <w:tab w:val="right" w:leader="dot" w:pos="9016"/>
            </w:tabs>
            <w:rPr>
              <w:rFonts w:asciiTheme="minorHAnsi" w:eastAsiaTheme="minorEastAsia" w:hAnsiTheme="minorHAnsi"/>
              <w:noProof/>
              <w:szCs w:val="30"/>
              <w:lang w:eastAsia="zh-CN" w:bidi="bn-IN"/>
            </w:rPr>
          </w:pPr>
          <w:hyperlink w:anchor="_Toc214617759" w:history="1">
            <w:r w:rsidRPr="00AF64E5">
              <w:rPr>
                <w:rStyle w:val="Hyperlink"/>
                <w:noProof/>
              </w:rPr>
              <w:t>Conclusion</w:t>
            </w:r>
            <w:r>
              <w:rPr>
                <w:noProof/>
                <w:webHidden/>
              </w:rPr>
              <w:tab/>
            </w:r>
            <w:r>
              <w:rPr>
                <w:noProof/>
                <w:webHidden/>
              </w:rPr>
              <w:fldChar w:fldCharType="begin"/>
            </w:r>
            <w:r>
              <w:rPr>
                <w:noProof/>
                <w:webHidden/>
              </w:rPr>
              <w:instrText xml:space="preserve"> PAGEREF _Toc214617759 \h </w:instrText>
            </w:r>
            <w:r>
              <w:rPr>
                <w:noProof/>
                <w:webHidden/>
              </w:rPr>
            </w:r>
            <w:r>
              <w:rPr>
                <w:noProof/>
                <w:webHidden/>
              </w:rPr>
              <w:fldChar w:fldCharType="separate"/>
            </w:r>
            <w:r>
              <w:rPr>
                <w:noProof/>
                <w:webHidden/>
              </w:rPr>
              <w:t>9</w:t>
            </w:r>
            <w:r>
              <w:rPr>
                <w:noProof/>
                <w:webHidden/>
              </w:rPr>
              <w:fldChar w:fldCharType="end"/>
            </w:r>
          </w:hyperlink>
        </w:p>
        <w:p w14:paraId="4EAB3350" w14:textId="10DE9166" w:rsidR="00B9346B" w:rsidRDefault="00B9346B">
          <w:pPr>
            <w:pStyle w:val="TOC1"/>
            <w:tabs>
              <w:tab w:val="right" w:leader="dot" w:pos="9016"/>
            </w:tabs>
            <w:rPr>
              <w:rFonts w:asciiTheme="minorHAnsi" w:eastAsiaTheme="minorEastAsia" w:hAnsiTheme="minorHAnsi"/>
              <w:noProof/>
              <w:szCs w:val="30"/>
              <w:lang w:eastAsia="zh-CN" w:bidi="bn-IN"/>
            </w:rPr>
          </w:pPr>
          <w:hyperlink w:anchor="_Toc214617760" w:history="1">
            <w:r w:rsidRPr="00AF64E5">
              <w:rPr>
                <w:rStyle w:val="Hyperlink"/>
                <w:noProof/>
              </w:rPr>
              <w:t>References</w:t>
            </w:r>
            <w:r>
              <w:rPr>
                <w:noProof/>
                <w:webHidden/>
              </w:rPr>
              <w:tab/>
            </w:r>
            <w:r>
              <w:rPr>
                <w:noProof/>
                <w:webHidden/>
              </w:rPr>
              <w:fldChar w:fldCharType="begin"/>
            </w:r>
            <w:r>
              <w:rPr>
                <w:noProof/>
                <w:webHidden/>
              </w:rPr>
              <w:instrText xml:space="preserve"> PAGEREF _Toc214617760 \h </w:instrText>
            </w:r>
            <w:r>
              <w:rPr>
                <w:noProof/>
                <w:webHidden/>
              </w:rPr>
            </w:r>
            <w:r>
              <w:rPr>
                <w:noProof/>
                <w:webHidden/>
              </w:rPr>
              <w:fldChar w:fldCharType="separate"/>
            </w:r>
            <w:r>
              <w:rPr>
                <w:noProof/>
                <w:webHidden/>
              </w:rPr>
              <w:t>10</w:t>
            </w:r>
            <w:r>
              <w:rPr>
                <w:noProof/>
                <w:webHidden/>
              </w:rPr>
              <w:fldChar w:fldCharType="end"/>
            </w:r>
          </w:hyperlink>
        </w:p>
        <w:p w14:paraId="623B714F" w14:textId="18DC6985" w:rsidR="005A444E" w:rsidRPr="00FA6047" w:rsidRDefault="005A444E" w:rsidP="00FA6047">
          <w:pPr>
            <w:rPr>
              <w:rFonts w:cstheme="minorHAnsi"/>
            </w:rPr>
          </w:pPr>
          <w:r w:rsidRPr="00E620A4">
            <w:rPr>
              <w:rFonts w:cs="Arial"/>
              <w:noProof/>
              <w:color w:val="000000" w:themeColor="text1"/>
              <w:sz w:val="28"/>
              <w:szCs w:val="28"/>
            </w:rPr>
            <w:fldChar w:fldCharType="end"/>
          </w:r>
        </w:p>
      </w:sdtContent>
    </w:sdt>
    <w:p w14:paraId="735406DC" w14:textId="7017E623" w:rsidR="005A444E" w:rsidRPr="00FA6047" w:rsidRDefault="005A444E" w:rsidP="00FA6047">
      <w:r w:rsidRPr="00FA6047">
        <w:br w:type="page"/>
      </w:r>
    </w:p>
    <w:p w14:paraId="4A00B6A3" w14:textId="77777777" w:rsidR="00E620A4" w:rsidRPr="00E620A4" w:rsidRDefault="00E620A4" w:rsidP="00B73338">
      <w:pPr>
        <w:pStyle w:val="Heading1"/>
        <w:numPr>
          <w:ilvl w:val="0"/>
          <w:numId w:val="0"/>
        </w:numPr>
        <w:ind w:left="432" w:hanging="432"/>
      </w:pPr>
      <w:bookmarkStart w:id="0" w:name="_Toc214617749"/>
      <w:bookmarkStart w:id="1" w:name="_Hlk214559689"/>
      <w:r w:rsidRPr="00E620A4">
        <w:lastRenderedPageBreak/>
        <w:t>Introduction</w:t>
      </w:r>
      <w:bookmarkEnd w:id="0"/>
    </w:p>
    <w:p w14:paraId="186B77F0" w14:textId="77777777" w:rsidR="00E620A4" w:rsidRPr="00E620A4" w:rsidRDefault="00E620A4" w:rsidP="0081389C">
      <w:r w:rsidRPr="00E620A4">
        <w:t>Reflective practice is vital for nursing development, helping to assess strengths and areas for growth. This action plan outlines the skills required for a Registered Nurse (Band 5), my current competencies, and areas for improvement. It also includes a Personal Development Plan (PDP) and strategies to enhance my skills, alongside preparation for key interview questions.</w:t>
      </w:r>
    </w:p>
    <w:p w14:paraId="6DE4FB2A" w14:textId="18D88A60" w:rsidR="00E620A4" w:rsidRPr="00E620A4" w:rsidRDefault="00E620A4" w:rsidP="0081389C">
      <w:pPr>
        <w:pStyle w:val="Heading1"/>
      </w:pPr>
      <w:bookmarkStart w:id="2" w:name="_Toc214617750"/>
      <w:r w:rsidRPr="00E620A4">
        <w:t xml:space="preserve">Job Role </w:t>
      </w:r>
      <w:r w:rsidRPr="0081389C">
        <w:t>Selection</w:t>
      </w:r>
      <w:r w:rsidRPr="00E620A4">
        <w:t>: Registered Nurse</w:t>
      </w:r>
      <w:bookmarkEnd w:id="2"/>
    </w:p>
    <w:p w14:paraId="04847751" w14:textId="75EAD2B7" w:rsidR="00E620A4" w:rsidRPr="00AB1666" w:rsidRDefault="00E620A4" w:rsidP="0081389C">
      <w:r w:rsidRPr="00E620A4">
        <w:rPr>
          <w:lang w:val="en-GB"/>
        </w:rPr>
        <w:t>Pursuing a career as a Registered Nurse necessitates clinical competence, interpersonal skills and professional values</w:t>
      </w:r>
      <w:r w:rsidR="00AB1666">
        <w:rPr>
          <w:lang w:val="en-GB"/>
        </w:rPr>
        <w:t xml:space="preserve"> </w:t>
      </w:r>
      <w:r w:rsidR="00AB1666" w:rsidRPr="00AB1666">
        <w:t xml:space="preserve">(Rahmah, </w:t>
      </w:r>
      <w:proofErr w:type="spellStart"/>
      <w:r w:rsidR="00AB1666" w:rsidRPr="00AB1666">
        <w:t>Hariyati</w:t>
      </w:r>
      <w:proofErr w:type="spellEnd"/>
      <w:r w:rsidR="00AB1666" w:rsidRPr="00AB1666">
        <w:t xml:space="preserve"> and Sahar, 2021)</w:t>
      </w:r>
      <w:r w:rsidRPr="00E620A4">
        <w:rPr>
          <w:lang w:val="en-GB"/>
        </w:rPr>
        <w:t xml:space="preserve">. This action plan includes what skills are demanded by the job, how I have met the requirements set out by the job, what skills I lack and my Personal Development Plan (PDP). Three interview questions and responses likely to be asked are also included. </w:t>
      </w:r>
    </w:p>
    <w:p w14:paraId="68E2180B" w14:textId="77777777" w:rsidR="00E620A4" w:rsidRPr="00E620A4" w:rsidRDefault="00E620A4" w:rsidP="00B73338">
      <w:pPr>
        <w:pStyle w:val="Heading2"/>
      </w:pPr>
      <w:bookmarkStart w:id="3" w:name="_Toc214617751"/>
      <w:r w:rsidRPr="00E620A4">
        <w:t>Key Skills Required for Nursing and Evidence of Competence</w:t>
      </w:r>
      <w:bookmarkEnd w:id="3"/>
    </w:p>
    <w:p w14:paraId="44C151FC" w14:textId="6C93392A" w:rsidR="00E620A4" w:rsidRPr="00AB1666" w:rsidRDefault="00E620A4" w:rsidP="0081389C">
      <w:r w:rsidRPr="00E620A4">
        <w:rPr>
          <w:lang w:val="en-GB"/>
        </w:rPr>
        <w:t>Fundamental to safe, person-centred nursing, effective communication is vital to support accurate assessment, handover and therapeutic relationship</w:t>
      </w:r>
      <w:r w:rsidR="003A438B">
        <w:rPr>
          <w:lang w:val="en-GB"/>
        </w:rPr>
        <w:t>s</w:t>
      </w:r>
      <w:r w:rsidR="00AB1666">
        <w:rPr>
          <w:lang w:val="en-GB"/>
        </w:rPr>
        <w:t xml:space="preserve"> </w:t>
      </w:r>
      <w:r w:rsidR="00AB1666" w:rsidRPr="00AB1666">
        <w:t xml:space="preserve">(Lange, Heyns and </w:t>
      </w:r>
      <w:proofErr w:type="spellStart"/>
      <w:r w:rsidR="00AB1666" w:rsidRPr="00AB1666">
        <w:t>Filmalter</w:t>
      </w:r>
      <w:proofErr w:type="spellEnd"/>
      <w:r w:rsidR="00AB1666" w:rsidRPr="00AB1666">
        <w:t>, 2024)</w:t>
      </w:r>
      <w:r w:rsidRPr="00E620A4">
        <w:rPr>
          <w:lang w:val="en-GB"/>
        </w:rPr>
        <w:t>. I have learned clear verbal and written communication through group work, presentations and volunteering, increasing my competence to relay information and be able to listen actively. Teamwork and collaboration are central to nursing, effective interprofessional working can improve patient outcomes and supports clinical decision making</w:t>
      </w:r>
      <w:r w:rsidR="00AB1666">
        <w:rPr>
          <w:lang w:val="en-GB"/>
        </w:rPr>
        <w:t xml:space="preserve"> </w:t>
      </w:r>
      <w:r w:rsidR="00AB1666" w:rsidRPr="00AB1666">
        <w:t xml:space="preserve">(Franklin </w:t>
      </w:r>
      <w:r w:rsidR="00AB1666" w:rsidRPr="00AB1666">
        <w:rPr>
          <w:i/>
          <w:iCs/>
        </w:rPr>
        <w:t>et al.</w:t>
      </w:r>
      <w:r w:rsidR="00AB1666" w:rsidRPr="00AB1666">
        <w:t>, 2015)</w:t>
      </w:r>
      <w:r w:rsidRPr="00E620A4">
        <w:rPr>
          <w:lang w:val="en-GB"/>
        </w:rPr>
        <w:t>. During practical sessions and group assessments, I have assumed shared responsibility, coordinated tasks and supported colleagues, which demonstrate my ability to work as part of a multidisciplinary team (Hofmeyer, Taylor and Kennedy, 2020). Compassion and empathy facilitate therapeutic relationships and patient satisfaction (Duffy, Browne and Connolly, 2024). My volunteering experience had helped me to practice active listening and person</w:t>
      </w:r>
      <w:r w:rsidR="00B73338">
        <w:rPr>
          <w:lang w:val="en-GB"/>
        </w:rPr>
        <w:t>-</w:t>
      </w:r>
      <w:r w:rsidRPr="00E620A4">
        <w:rPr>
          <w:lang w:val="en-GB"/>
        </w:rPr>
        <w:t>centred approaches, which had shown empathy and respect for patients’ dignity.</w:t>
      </w:r>
    </w:p>
    <w:p w14:paraId="61C8C0D1" w14:textId="3627D353" w:rsidR="00E620A4" w:rsidRPr="00AB1666" w:rsidRDefault="00E620A4" w:rsidP="00B73338">
      <w:r w:rsidRPr="00E620A4">
        <w:rPr>
          <w:lang w:val="en-GB"/>
        </w:rPr>
        <w:t xml:space="preserve">Clinical competence and safe practice, which includes monitoring vital signs, recognising deterioration and basic interventions are required for Band 5 nurses (Conte </w:t>
      </w:r>
      <w:r w:rsidR="0081389C" w:rsidRPr="0081389C">
        <w:rPr>
          <w:i/>
          <w:iCs/>
          <w:lang w:val="en-GB"/>
        </w:rPr>
        <w:t>et al</w:t>
      </w:r>
      <w:r w:rsidRPr="00E620A4">
        <w:rPr>
          <w:lang w:val="en-GB"/>
        </w:rPr>
        <w:t xml:space="preserve">., 2025). I have learned about clinical theory and have been able to practise basic skills in simulation labs, but as with most of us, I am aware of a necessity to be </w:t>
      </w:r>
      <w:r w:rsidRPr="00E620A4">
        <w:rPr>
          <w:lang w:val="en-GB"/>
        </w:rPr>
        <w:lastRenderedPageBreak/>
        <w:t>more confident in applying knowledge to dynamic clinical situations. Medication safety is of utmost importance to avoid harming the patients, it requires the nurses to have knowledge of pharmacology, administration protocols and strategies to prevent medication errors</w:t>
      </w:r>
      <w:r w:rsidR="00AB1666">
        <w:rPr>
          <w:lang w:val="en-GB"/>
        </w:rPr>
        <w:t xml:space="preserve"> </w:t>
      </w:r>
      <w:r w:rsidR="00AB1666" w:rsidRPr="00AB1666">
        <w:t>(Jafaru and Abubakar, 2022)</w:t>
      </w:r>
      <w:r w:rsidRPr="00E620A4">
        <w:rPr>
          <w:lang w:val="en-GB"/>
        </w:rPr>
        <w:t>. I have started building this via theoretical study and clinical observations on my patients but I am hoping to add to knowledge with a structured training. Professionalism, confidentiality and ethical practice are required by regulatory standards (Hofmeyer, Taylor and Kennedy, 2020). I model punctuality, appropriate behaviours and respect for confidentiality principles in the academic and voluntary settings. Skill Gaps and Personal Development Plan.</w:t>
      </w:r>
    </w:p>
    <w:p w14:paraId="246ABDBE" w14:textId="64105639" w:rsidR="00E620A4" w:rsidRPr="0081389C" w:rsidRDefault="00E620A4" w:rsidP="0081389C">
      <w:pPr>
        <w:pStyle w:val="Heading2"/>
      </w:pPr>
      <w:bookmarkStart w:id="4" w:name="_Toc214617752"/>
      <w:r w:rsidRPr="0081389C">
        <w:t>Skill Gaps and Personal Development Plan</w:t>
      </w:r>
      <w:bookmarkEnd w:id="4"/>
    </w:p>
    <w:p w14:paraId="2DFDD98C" w14:textId="77777777" w:rsidR="00E620A4" w:rsidRPr="00E620A4" w:rsidRDefault="00E620A4" w:rsidP="0081389C">
      <w:pPr>
        <w:rPr>
          <w:lang w:val="en-GB"/>
        </w:rPr>
      </w:pPr>
      <w:r w:rsidRPr="00E620A4">
        <w:rPr>
          <w:lang w:val="en-GB"/>
        </w:rPr>
        <w:t>I have identified three priority development areas:</w:t>
      </w:r>
    </w:p>
    <w:p w14:paraId="7E8F9A2F" w14:textId="0C2E4B9E" w:rsidR="00E620A4" w:rsidRPr="0081389C" w:rsidRDefault="00E620A4" w:rsidP="0081389C">
      <w:pPr>
        <w:pStyle w:val="ListParagraph"/>
        <w:numPr>
          <w:ilvl w:val="0"/>
          <w:numId w:val="7"/>
        </w:numPr>
        <w:spacing w:before="120"/>
        <w:ind w:left="792"/>
        <w:rPr>
          <w:rFonts w:cs="Arial"/>
          <w:lang w:val="en-GB"/>
        </w:rPr>
      </w:pPr>
      <w:r w:rsidRPr="0081389C">
        <w:rPr>
          <w:rFonts w:cs="Arial"/>
          <w:b/>
          <w:bCs/>
          <w:lang w:val="en-GB"/>
        </w:rPr>
        <w:t>Clinical decision making and identifying deterioration:</w:t>
      </w:r>
      <w:r w:rsidRPr="0081389C">
        <w:rPr>
          <w:rFonts w:cs="Arial"/>
          <w:lang w:val="en-GB"/>
        </w:rPr>
        <w:t xml:space="preserve"> Nursing students have commonly revealed that they have less assurance in escalation and early recognition skills (Conte </w:t>
      </w:r>
      <w:r w:rsidR="0081389C" w:rsidRPr="0081389C">
        <w:rPr>
          <w:rFonts w:cs="Arial"/>
          <w:i/>
          <w:iCs/>
          <w:lang w:val="en-GB"/>
        </w:rPr>
        <w:t>et al</w:t>
      </w:r>
      <w:r w:rsidRPr="0081389C">
        <w:rPr>
          <w:rFonts w:cs="Arial"/>
          <w:lang w:val="en-GB"/>
        </w:rPr>
        <w:t>., 2025).</w:t>
      </w:r>
    </w:p>
    <w:p w14:paraId="661B0478" w14:textId="19669A52" w:rsidR="00E620A4" w:rsidRPr="0081389C" w:rsidRDefault="00E620A4" w:rsidP="0081389C">
      <w:pPr>
        <w:pStyle w:val="ListParagraph"/>
        <w:numPr>
          <w:ilvl w:val="0"/>
          <w:numId w:val="7"/>
        </w:numPr>
        <w:spacing w:before="120"/>
        <w:ind w:left="792"/>
        <w:rPr>
          <w:rFonts w:cs="Arial"/>
          <w:lang w:val="en-GB"/>
        </w:rPr>
      </w:pPr>
      <w:r w:rsidRPr="0081389C">
        <w:rPr>
          <w:rFonts w:cs="Arial"/>
          <w:b/>
          <w:bCs/>
          <w:lang w:val="en-GB"/>
        </w:rPr>
        <w:t>Medication knowledge:</w:t>
      </w:r>
      <w:r w:rsidRPr="0081389C">
        <w:rPr>
          <w:rFonts w:cs="Arial"/>
          <w:lang w:val="en-GB"/>
        </w:rPr>
        <w:t xml:space="preserve"> Safe medication practice involves increasing pharmacology knowledge to minimise the risk of error</w:t>
      </w:r>
      <w:r w:rsidR="003A438B">
        <w:rPr>
          <w:rFonts w:cs="Arial"/>
          <w:lang w:val="en-GB"/>
        </w:rPr>
        <w:t>.</w:t>
      </w:r>
    </w:p>
    <w:p w14:paraId="57D57B7A" w14:textId="6F98D957" w:rsidR="0081389C" w:rsidRPr="003A438B" w:rsidRDefault="00E620A4" w:rsidP="003A438B">
      <w:pPr>
        <w:pStyle w:val="ListParagraph"/>
        <w:numPr>
          <w:ilvl w:val="0"/>
          <w:numId w:val="7"/>
        </w:numPr>
        <w:spacing w:before="120"/>
        <w:ind w:left="792"/>
        <w:rPr>
          <w:rFonts w:cs="Arial"/>
          <w:lang w:val="en-GB"/>
        </w:rPr>
      </w:pPr>
      <w:r w:rsidRPr="0081389C">
        <w:rPr>
          <w:rFonts w:cs="Arial"/>
          <w:b/>
          <w:bCs/>
          <w:lang w:val="en-GB"/>
        </w:rPr>
        <w:t>Emotional resilience:</w:t>
      </w:r>
      <w:r w:rsidRPr="0081389C">
        <w:rPr>
          <w:rFonts w:cs="Arial"/>
          <w:lang w:val="en-GB"/>
        </w:rPr>
        <w:t xml:space="preserve"> The emotional demands of nursing raise the risk of burnout, which resilience training reduces and supports wellbein</w:t>
      </w:r>
      <w:r w:rsidR="003A438B">
        <w:rPr>
          <w:rFonts w:cs="Arial"/>
          <w:lang w:val="en-GB"/>
        </w:rPr>
        <w:t>g</w:t>
      </w:r>
      <w:r w:rsidRPr="0081389C">
        <w:rPr>
          <w:rFonts w:cs="Arial"/>
          <w:lang w:val="en-GB"/>
        </w:rPr>
        <w:t>.</w:t>
      </w:r>
    </w:p>
    <w:p w14:paraId="236669FF" w14:textId="392B93E5" w:rsidR="00E620A4" w:rsidRPr="00E620A4" w:rsidRDefault="00E620A4" w:rsidP="0081389C">
      <w:pPr>
        <w:rPr>
          <w:lang w:val="en-GB"/>
        </w:rPr>
      </w:pPr>
      <w:r w:rsidRPr="00E620A4">
        <w:rPr>
          <w:lang w:val="en-GB"/>
        </w:rPr>
        <w:t>To address these gaps, I will follow a PDP combining simulation, e-learning, and reflective practice.</w:t>
      </w:r>
    </w:p>
    <w:tbl>
      <w:tblPr>
        <w:tblStyle w:val="PlainTable3"/>
        <w:tblpPr w:leftFromText="180" w:rightFromText="180" w:vertAnchor="text" w:horzAnchor="margin" w:tblpY="103"/>
        <w:tblW w:w="0" w:type="auto"/>
        <w:tblLook w:val="04A0" w:firstRow="1" w:lastRow="0" w:firstColumn="1" w:lastColumn="0" w:noHBand="0" w:noVBand="1"/>
      </w:tblPr>
      <w:tblGrid>
        <w:gridCol w:w="2174"/>
        <w:gridCol w:w="1947"/>
        <w:gridCol w:w="2012"/>
        <w:gridCol w:w="1384"/>
        <w:gridCol w:w="1509"/>
      </w:tblGrid>
      <w:tr w:rsidR="00E620A4" w:rsidRPr="00E620A4" w14:paraId="7F4CCF96" w14:textId="77777777" w:rsidTr="0081389C">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vAlign w:val="center"/>
            <w:hideMark/>
          </w:tcPr>
          <w:p w14:paraId="2AFD2358" w14:textId="77777777" w:rsidR="00E620A4" w:rsidRPr="00E620A4" w:rsidRDefault="00E620A4" w:rsidP="0081389C">
            <w:pPr>
              <w:spacing w:before="120" w:after="120" w:line="276" w:lineRule="auto"/>
              <w:jc w:val="left"/>
              <w:rPr>
                <w:rFonts w:cs="Arial"/>
                <w:b w:val="0"/>
                <w:bCs w:val="0"/>
                <w:sz w:val="22"/>
                <w:szCs w:val="22"/>
                <w:lang w:val="en-GB"/>
              </w:rPr>
            </w:pPr>
            <w:r w:rsidRPr="00E620A4">
              <w:rPr>
                <w:rFonts w:cs="Arial"/>
                <w:sz w:val="22"/>
                <w:szCs w:val="22"/>
                <w:lang w:val="en-GB"/>
              </w:rPr>
              <w:t>Development area</w:t>
            </w:r>
          </w:p>
        </w:tc>
        <w:tc>
          <w:tcPr>
            <w:tcW w:w="0" w:type="auto"/>
            <w:vAlign w:val="center"/>
            <w:hideMark/>
          </w:tcPr>
          <w:p w14:paraId="4C41BA4A" w14:textId="77777777" w:rsidR="00E620A4" w:rsidRPr="00E620A4" w:rsidRDefault="00E620A4" w:rsidP="0081389C">
            <w:pPr>
              <w:spacing w:before="120" w:after="120" w:line="276" w:lineRule="auto"/>
              <w:jc w:val="left"/>
              <w:cnfStyle w:val="100000000000" w:firstRow="1" w:lastRow="0" w:firstColumn="0" w:lastColumn="0" w:oddVBand="0" w:evenVBand="0" w:oddHBand="0" w:evenHBand="0" w:firstRowFirstColumn="0" w:firstRowLastColumn="0" w:lastRowFirstColumn="0" w:lastRowLastColumn="0"/>
              <w:rPr>
                <w:rFonts w:cs="Arial"/>
                <w:b w:val="0"/>
                <w:bCs w:val="0"/>
                <w:sz w:val="22"/>
                <w:szCs w:val="22"/>
                <w:lang w:val="en-GB"/>
              </w:rPr>
            </w:pPr>
            <w:r w:rsidRPr="00E620A4">
              <w:rPr>
                <w:rFonts w:cs="Arial"/>
                <w:sz w:val="22"/>
                <w:szCs w:val="22"/>
                <w:lang w:val="en-GB"/>
              </w:rPr>
              <w:t>Goal</w:t>
            </w:r>
          </w:p>
        </w:tc>
        <w:tc>
          <w:tcPr>
            <w:tcW w:w="0" w:type="auto"/>
            <w:vAlign w:val="center"/>
            <w:hideMark/>
          </w:tcPr>
          <w:p w14:paraId="10948220" w14:textId="77777777" w:rsidR="00E620A4" w:rsidRPr="00E620A4" w:rsidRDefault="00E620A4" w:rsidP="0081389C">
            <w:pPr>
              <w:spacing w:before="120" w:after="120" w:line="276" w:lineRule="auto"/>
              <w:jc w:val="left"/>
              <w:cnfStyle w:val="100000000000" w:firstRow="1" w:lastRow="0" w:firstColumn="0" w:lastColumn="0" w:oddVBand="0" w:evenVBand="0" w:oddHBand="0" w:evenHBand="0" w:firstRowFirstColumn="0" w:firstRowLastColumn="0" w:lastRowFirstColumn="0" w:lastRowLastColumn="0"/>
              <w:rPr>
                <w:rFonts w:cs="Arial"/>
                <w:b w:val="0"/>
                <w:bCs w:val="0"/>
                <w:sz w:val="22"/>
                <w:szCs w:val="22"/>
                <w:lang w:val="en-GB"/>
              </w:rPr>
            </w:pPr>
            <w:r w:rsidRPr="00E620A4">
              <w:rPr>
                <w:rFonts w:cs="Arial"/>
                <w:sz w:val="22"/>
                <w:szCs w:val="22"/>
                <w:lang w:val="en-GB"/>
              </w:rPr>
              <w:t>Actions</w:t>
            </w:r>
          </w:p>
        </w:tc>
        <w:tc>
          <w:tcPr>
            <w:tcW w:w="0" w:type="auto"/>
            <w:vAlign w:val="center"/>
            <w:hideMark/>
          </w:tcPr>
          <w:p w14:paraId="2C50C5EA" w14:textId="77777777" w:rsidR="00E620A4" w:rsidRPr="00E620A4" w:rsidRDefault="00E620A4" w:rsidP="0081389C">
            <w:pPr>
              <w:spacing w:before="120" w:after="120" w:line="276" w:lineRule="auto"/>
              <w:jc w:val="left"/>
              <w:cnfStyle w:val="100000000000" w:firstRow="1" w:lastRow="0" w:firstColumn="0" w:lastColumn="0" w:oddVBand="0" w:evenVBand="0" w:oddHBand="0" w:evenHBand="0" w:firstRowFirstColumn="0" w:firstRowLastColumn="0" w:lastRowFirstColumn="0" w:lastRowLastColumn="0"/>
              <w:rPr>
                <w:rFonts w:cs="Arial"/>
                <w:b w:val="0"/>
                <w:bCs w:val="0"/>
                <w:sz w:val="22"/>
                <w:szCs w:val="22"/>
                <w:lang w:val="en-GB"/>
              </w:rPr>
            </w:pPr>
            <w:r w:rsidRPr="00E620A4">
              <w:rPr>
                <w:rFonts w:cs="Arial"/>
                <w:sz w:val="22"/>
                <w:szCs w:val="22"/>
                <w:lang w:val="en-GB"/>
              </w:rPr>
              <w:t>Support needed</w:t>
            </w:r>
          </w:p>
        </w:tc>
        <w:tc>
          <w:tcPr>
            <w:tcW w:w="0" w:type="auto"/>
            <w:vAlign w:val="center"/>
            <w:hideMark/>
          </w:tcPr>
          <w:p w14:paraId="31C57601" w14:textId="77777777" w:rsidR="00E620A4" w:rsidRPr="00E620A4" w:rsidRDefault="00E620A4" w:rsidP="0081389C">
            <w:pPr>
              <w:spacing w:before="120" w:after="120" w:line="276" w:lineRule="auto"/>
              <w:jc w:val="left"/>
              <w:cnfStyle w:val="100000000000" w:firstRow="1" w:lastRow="0" w:firstColumn="0" w:lastColumn="0" w:oddVBand="0" w:evenVBand="0" w:oddHBand="0" w:evenHBand="0" w:firstRowFirstColumn="0" w:firstRowLastColumn="0" w:lastRowFirstColumn="0" w:lastRowLastColumn="0"/>
              <w:rPr>
                <w:rFonts w:cs="Arial"/>
                <w:b w:val="0"/>
                <w:bCs w:val="0"/>
                <w:sz w:val="22"/>
                <w:szCs w:val="22"/>
                <w:lang w:val="en-GB"/>
              </w:rPr>
            </w:pPr>
            <w:r w:rsidRPr="00E620A4">
              <w:rPr>
                <w:rFonts w:cs="Arial"/>
                <w:sz w:val="22"/>
                <w:szCs w:val="22"/>
                <w:lang w:val="en-GB"/>
              </w:rPr>
              <w:t>Timescale</w:t>
            </w:r>
          </w:p>
        </w:tc>
      </w:tr>
      <w:tr w:rsidR="00E620A4" w:rsidRPr="00E620A4" w14:paraId="35B85472" w14:textId="77777777" w:rsidTr="008138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0C4BBC8" w14:textId="77777777" w:rsidR="00E620A4" w:rsidRPr="00E620A4" w:rsidRDefault="00E620A4" w:rsidP="0081389C">
            <w:pPr>
              <w:spacing w:before="120"/>
              <w:jc w:val="left"/>
              <w:rPr>
                <w:rFonts w:cs="Arial"/>
                <w:b w:val="0"/>
                <w:bCs w:val="0"/>
                <w:sz w:val="22"/>
                <w:szCs w:val="22"/>
                <w:lang w:val="en-GB"/>
              </w:rPr>
            </w:pPr>
            <w:r w:rsidRPr="00E620A4">
              <w:rPr>
                <w:rFonts w:cs="Arial"/>
                <w:sz w:val="22"/>
                <w:szCs w:val="22"/>
                <w:lang w:val="en-GB"/>
              </w:rPr>
              <w:t>Clinical decision-making</w:t>
            </w:r>
          </w:p>
        </w:tc>
        <w:tc>
          <w:tcPr>
            <w:tcW w:w="0" w:type="auto"/>
            <w:vAlign w:val="center"/>
            <w:hideMark/>
          </w:tcPr>
          <w:p w14:paraId="5664BF19" w14:textId="77777777" w:rsidR="00E620A4" w:rsidRPr="00E620A4" w:rsidRDefault="00E620A4" w:rsidP="0081389C">
            <w:pPr>
              <w:spacing w:before="120"/>
              <w:jc w:val="left"/>
              <w:cnfStyle w:val="000000100000" w:firstRow="0" w:lastRow="0" w:firstColumn="0" w:lastColumn="0" w:oddVBand="0" w:evenVBand="0" w:oddHBand="1" w:evenHBand="0" w:firstRowFirstColumn="0" w:firstRowLastColumn="0" w:lastRowFirstColumn="0" w:lastRowLastColumn="0"/>
              <w:rPr>
                <w:rFonts w:cs="Arial"/>
                <w:sz w:val="22"/>
                <w:szCs w:val="22"/>
                <w:lang w:val="en-GB"/>
              </w:rPr>
            </w:pPr>
            <w:r w:rsidRPr="00E620A4">
              <w:rPr>
                <w:rFonts w:cs="Arial"/>
                <w:sz w:val="22"/>
                <w:szCs w:val="22"/>
                <w:lang w:val="en-GB"/>
              </w:rPr>
              <w:t>Confidently detect and act on deterioration</w:t>
            </w:r>
          </w:p>
        </w:tc>
        <w:tc>
          <w:tcPr>
            <w:tcW w:w="0" w:type="auto"/>
            <w:vAlign w:val="center"/>
            <w:hideMark/>
          </w:tcPr>
          <w:p w14:paraId="7203FAF2" w14:textId="77777777" w:rsidR="00E620A4" w:rsidRPr="00E620A4" w:rsidRDefault="00E620A4" w:rsidP="0081389C">
            <w:pPr>
              <w:spacing w:before="120"/>
              <w:jc w:val="left"/>
              <w:cnfStyle w:val="000000100000" w:firstRow="0" w:lastRow="0" w:firstColumn="0" w:lastColumn="0" w:oddVBand="0" w:evenVBand="0" w:oddHBand="1" w:evenHBand="0" w:firstRowFirstColumn="0" w:firstRowLastColumn="0" w:lastRowFirstColumn="0" w:lastRowLastColumn="0"/>
              <w:rPr>
                <w:rFonts w:cs="Arial"/>
                <w:sz w:val="22"/>
                <w:szCs w:val="22"/>
                <w:lang w:val="en-GB"/>
              </w:rPr>
            </w:pPr>
            <w:r w:rsidRPr="00E620A4">
              <w:rPr>
                <w:rFonts w:cs="Arial"/>
                <w:sz w:val="22"/>
                <w:szCs w:val="22"/>
                <w:lang w:val="en-GB"/>
              </w:rPr>
              <w:t>Attend high-fidelity simulation; practise SBAR handovers.</w:t>
            </w:r>
          </w:p>
        </w:tc>
        <w:tc>
          <w:tcPr>
            <w:tcW w:w="0" w:type="auto"/>
            <w:vAlign w:val="center"/>
            <w:hideMark/>
          </w:tcPr>
          <w:p w14:paraId="1DBF0017" w14:textId="77777777" w:rsidR="00E620A4" w:rsidRPr="00E620A4" w:rsidRDefault="00E620A4" w:rsidP="0081389C">
            <w:pPr>
              <w:spacing w:before="120"/>
              <w:jc w:val="left"/>
              <w:cnfStyle w:val="000000100000" w:firstRow="0" w:lastRow="0" w:firstColumn="0" w:lastColumn="0" w:oddVBand="0" w:evenVBand="0" w:oddHBand="1" w:evenHBand="0" w:firstRowFirstColumn="0" w:firstRowLastColumn="0" w:lastRowFirstColumn="0" w:lastRowLastColumn="0"/>
              <w:rPr>
                <w:rFonts w:cs="Arial"/>
                <w:sz w:val="22"/>
                <w:szCs w:val="22"/>
                <w:lang w:val="en-GB"/>
              </w:rPr>
            </w:pPr>
            <w:r w:rsidRPr="00E620A4">
              <w:rPr>
                <w:rFonts w:cs="Arial"/>
                <w:sz w:val="22"/>
                <w:szCs w:val="22"/>
                <w:lang w:val="en-GB"/>
              </w:rPr>
              <w:t>Clinical skills tutors; simulation lab</w:t>
            </w:r>
          </w:p>
        </w:tc>
        <w:tc>
          <w:tcPr>
            <w:tcW w:w="0" w:type="auto"/>
            <w:vAlign w:val="center"/>
            <w:hideMark/>
          </w:tcPr>
          <w:p w14:paraId="437334AB" w14:textId="77777777" w:rsidR="00E620A4" w:rsidRPr="00E620A4" w:rsidRDefault="00E620A4" w:rsidP="0081389C">
            <w:pPr>
              <w:spacing w:before="120"/>
              <w:jc w:val="left"/>
              <w:cnfStyle w:val="000000100000" w:firstRow="0" w:lastRow="0" w:firstColumn="0" w:lastColumn="0" w:oddVBand="0" w:evenVBand="0" w:oddHBand="1" w:evenHBand="0" w:firstRowFirstColumn="0" w:firstRowLastColumn="0" w:lastRowFirstColumn="0" w:lastRowLastColumn="0"/>
              <w:rPr>
                <w:rFonts w:cs="Arial"/>
                <w:sz w:val="22"/>
                <w:szCs w:val="22"/>
                <w:lang w:val="en-GB"/>
              </w:rPr>
            </w:pPr>
            <w:r w:rsidRPr="00E620A4">
              <w:rPr>
                <w:rFonts w:cs="Arial"/>
                <w:sz w:val="22"/>
                <w:szCs w:val="22"/>
                <w:lang w:val="en-GB"/>
              </w:rPr>
              <w:t>3 months</w:t>
            </w:r>
          </w:p>
        </w:tc>
      </w:tr>
      <w:tr w:rsidR="00E620A4" w:rsidRPr="00E620A4" w14:paraId="07476210" w14:textId="77777777" w:rsidTr="0081389C">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B8C6876" w14:textId="77777777" w:rsidR="00E620A4" w:rsidRPr="00E620A4" w:rsidRDefault="00E620A4" w:rsidP="0081389C">
            <w:pPr>
              <w:spacing w:before="120" w:after="120"/>
              <w:jc w:val="left"/>
              <w:rPr>
                <w:rFonts w:cs="Arial"/>
                <w:b w:val="0"/>
                <w:bCs w:val="0"/>
                <w:sz w:val="22"/>
                <w:szCs w:val="22"/>
                <w:lang w:val="en-GB"/>
              </w:rPr>
            </w:pPr>
            <w:r w:rsidRPr="00E620A4">
              <w:rPr>
                <w:rFonts w:cs="Arial"/>
                <w:sz w:val="22"/>
                <w:szCs w:val="22"/>
                <w:lang w:val="en-GB"/>
              </w:rPr>
              <w:t>Medication knowledge</w:t>
            </w:r>
          </w:p>
        </w:tc>
        <w:tc>
          <w:tcPr>
            <w:tcW w:w="0" w:type="auto"/>
            <w:vAlign w:val="center"/>
            <w:hideMark/>
          </w:tcPr>
          <w:p w14:paraId="549068E8" w14:textId="77777777" w:rsidR="00E620A4" w:rsidRPr="00E620A4" w:rsidRDefault="00E620A4" w:rsidP="0081389C">
            <w:pPr>
              <w:spacing w:before="120" w:after="120"/>
              <w:jc w:val="left"/>
              <w:cnfStyle w:val="000000000000" w:firstRow="0" w:lastRow="0" w:firstColumn="0" w:lastColumn="0" w:oddVBand="0" w:evenVBand="0" w:oddHBand="0" w:evenHBand="0" w:firstRowFirstColumn="0" w:firstRowLastColumn="0" w:lastRowFirstColumn="0" w:lastRowLastColumn="0"/>
              <w:rPr>
                <w:rFonts w:cs="Arial"/>
                <w:sz w:val="22"/>
                <w:szCs w:val="22"/>
                <w:lang w:val="en-GB"/>
              </w:rPr>
            </w:pPr>
            <w:r w:rsidRPr="00E620A4">
              <w:rPr>
                <w:rFonts w:cs="Arial"/>
                <w:sz w:val="22"/>
                <w:szCs w:val="22"/>
                <w:lang w:val="en-GB"/>
              </w:rPr>
              <w:t>Improve safe medication administration</w:t>
            </w:r>
          </w:p>
        </w:tc>
        <w:tc>
          <w:tcPr>
            <w:tcW w:w="0" w:type="auto"/>
            <w:vAlign w:val="center"/>
            <w:hideMark/>
          </w:tcPr>
          <w:p w14:paraId="431577CE" w14:textId="77777777" w:rsidR="00E620A4" w:rsidRPr="00E620A4" w:rsidRDefault="00E620A4" w:rsidP="0081389C">
            <w:pPr>
              <w:spacing w:before="120" w:after="120"/>
              <w:jc w:val="left"/>
              <w:cnfStyle w:val="000000000000" w:firstRow="0" w:lastRow="0" w:firstColumn="0" w:lastColumn="0" w:oddVBand="0" w:evenVBand="0" w:oddHBand="0" w:evenHBand="0" w:firstRowFirstColumn="0" w:firstRowLastColumn="0" w:lastRowFirstColumn="0" w:lastRowLastColumn="0"/>
              <w:rPr>
                <w:rFonts w:cs="Arial"/>
                <w:sz w:val="22"/>
                <w:szCs w:val="22"/>
                <w:lang w:val="en-GB"/>
              </w:rPr>
            </w:pPr>
            <w:r w:rsidRPr="00E620A4">
              <w:rPr>
                <w:rFonts w:cs="Arial"/>
                <w:sz w:val="22"/>
                <w:szCs w:val="22"/>
                <w:lang w:val="en-GB"/>
              </w:rPr>
              <w:t>Complete medication safety modules.</w:t>
            </w:r>
          </w:p>
        </w:tc>
        <w:tc>
          <w:tcPr>
            <w:tcW w:w="0" w:type="auto"/>
            <w:vAlign w:val="center"/>
            <w:hideMark/>
          </w:tcPr>
          <w:p w14:paraId="29A1E66A" w14:textId="77777777" w:rsidR="00E620A4" w:rsidRPr="00E620A4" w:rsidRDefault="00E620A4" w:rsidP="0081389C">
            <w:pPr>
              <w:spacing w:before="120" w:after="120"/>
              <w:jc w:val="left"/>
              <w:cnfStyle w:val="000000000000" w:firstRow="0" w:lastRow="0" w:firstColumn="0" w:lastColumn="0" w:oddVBand="0" w:evenVBand="0" w:oddHBand="0" w:evenHBand="0" w:firstRowFirstColumn="0" w:firstRowLastColumn="0" w:lastRowFirstColumn="0" w:lastRowLastColumn="0"/>
              <w:rPr>
                <w:rFonts w:cs="Arial"/>
                <w:sz w:val="22"/>
                <w:szCs w:val="22"/>
                <w:lang w:val="en-GB"/>
              </w:rPr>
            </w:pPr>
            <w:r w:rsidRPr="00E620A4">
              <w:rPr>
                <w:rFonts w:cs="Arial"/>
                <w:sz w:val="22"/>
                <w:szCs w:val="22"/>
                <w:lang w:val="en-GB"/>
              </w:rPr>
              <w:t>Academic staff; e-learning</w:t>
            </w:r>
          </w:p>
        </w:tc>
        <w:tc>
          <w:tcPr>
            <w:tcW w:w="0" w:type="auto"/>
            <w:vAlign w:val="center"/>
            <w:hideMark/>
          </w:tcPr>
          <w:p w14:paraId="43113C69" w14:textId="77777777" w:rsidR="00E620A4" w:rsidRPr="00E620A4" w:rsidRDefault="00E620A4" w:rsidP="0081389C">
            <w:pPr>
              <w:spacing w:before="120" w:after="120"/>
              <w:jc w:val="left"/>
              <w:cnfStyle w:val="000000000000" w:firstRow="0" w:lastRow="0" w:firstColumn="0" w:lastColumn="0" w:oddVBand="0" w:evenVBand="0" w:oddHBand="0" w:evenHBand="0" w:firstRowFirstColumn="0" w:firstRowLastColumn="0" w:lastRowFirstColumn="0" w:lastRowLastColumn="0"/>
              <w:rPr>
                <w:rFonts w:cs="Arial"/>
                <w:sz w:val="22"/>
                <w:szCs w:val="22"/>
                <w:lang w:val="en-GB"/>
              </w:rPr>
            </w:pPr>
            <w:r w:rsidRPr="00E620A4">
              <w:rPr>
                <w:rFonts w:cs="Arial"/>
                <w:sz w:val="22"/>
                <w:szCs w:val="22"/>
                <w:lang w:val="en-GB"/>
              </w:rPr>
              <w:t>2–3 months</w:t>
            </w:r>
          </w:p>
        </w:tc>
      </w:tr>
      <w:tr w:rsidR="00E620A4" w:rsidRPr="00E620A4" w14:paraId="14691A03" w14:textId="77777777" w:rsidTr="008138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889B217" w14:textId="77777777" w:rsidR="00E620A4" w:rsidRPr="00E620A4" w:rsidRDefault="00E620A4" w:rsidP="0081389C">
            <w:pPr>
              <w:spacing w:before="120" w:after="120"/>
              <w:jc w:val="left"/>
              <w:rPr>
                <w:rFonts w:cs="Arial"/>
                <w:b w:val="0"/>
                <w:bCs w:val="0"/>
                <w:sz w:val="22"/>
                <w:szCs w:val="22"/>
                <w:lang w:val="en-GB"/>
              </w:rPr>
            </w:pPr>
            <w:r w:rsidRPr="00E620A4">
              <w:rPr>
                <w:rFonts w:cs="Arial"/>
                <w:sz w:val="22"/>
                <w:szCs w:val="22"/>
                <w:lang w:val="en-GB"/>
              </w:rPr>
              <w:lastRenderedPageBreak/>
              <w:t>Emotional resilience</w:t>
            </w:r>
          </w:p>
        </w:tc>
        <w:tc>
          <w:tcPr>
            <w:tcW w:w="0" w:type="auto"/>
            <w:vAlign w:val="center"/>
            <w:hideMark/>
          </w:tcPr>
          <w:p w14:paraId="3581F1A0" w14:textId="77777777" w:rsidR="00E620A4" w:rsidRPr="00E620A4" w:rsidRDefault="00E620A4" w:rsidP="0081389C">
            <w:pPr>
              <w:spacing w:before="120" w:after="120"/>
              <w:jc w:val="left"/>
              <w:cnfStyle w:val="000000100000" w:firstRow="0" w:lastRow="0" w:firstColumn="0" w:lastColumn="0" w:oddVBand="0" w:evenVBand="0" w:oddHBand="1" w:evenHBand="0" w:firstRowFirstColumn="0" w:firstRowLastColumn="0" w:lastRowFirstColumn="0" w:lastRowLastColumn="0"/>
              <w:rPr>
                <w:rFonts w:cs="Arial"/>
                <w:sz w:val="22"/>
                <w:szCs w:val="22"/>
                <w:lang w:val="en-GB"/>
              </w:rPr>
            </w:pPr>
            <w:r w:rsidRPr="00E620A4">
              <w:rPr>
                <w:rFonts w:cs="Arial"/>
                <w:sz w:val="22"/>
                <w:szCs w:val="22"/>
                <w:lang w:val="en-GB"/>
              </w:rPr>
              <w:t>Build coping strategies</w:t>
            </w:r>
          </w:p>
        </w:tc>
        <w:tc>
          <w:tcPr>
            <w:tcW w:w="0" w:type="auto"/>
            <w:vAlign w:val="center"/>
            <w:hideMark/>
          </w:tcPr>
          <w:p w14:paraId="551F55B9" w14:textId="77777777" w:rsidR="00E620A4" w:rsidRPr="00E620A4" w:rsidRDefault="00E620A4" w:rsidP="0081389C">
            <w:pPr>
              <w:spacing w:before="120" w:after="120"/>
              <w:jc w:val="left"/>
              <w:cnfStyle w:val="000000100000" w:firstRow="0" w:lastRow="0" w:firstColumn="0" w:lastColumn="0" w:oddVBand="0" w:evenVBand="0" w:oddHBand="1" w:evenHBand="0" w:firstRowFirstColumn="0" w:firstRowLastColumn="0" w:lastRowFirstColumn="0" w:lastRowLastColumn="0"/>
              <w:rPr>
                <w:rFonts w:cs="Arial"/>
                <w:sz w:val="22"/>
                <w:szCs w:val="22"/>
                <w:lang w:val="en-GB"/>
              </w:rPr>
            </w:pPr>
            <w:r w:rsidRPr="00E620A4">
              <w:rPr>
                <w:rFonts w:cs="Arial"/>
                <w:sz w:val="22"/>
                <w:szCs w:val="22"/>
                <w:lang w:val="en-GB"/>
              </w:rPr>
              <w:t>Attend wellbeing workshops; reflective journaling.</w:t>
            </w:r>
          </w:p>
        </w:tc>
        <w:tc>
          <w:tcPr>
            <w:tcW w:w="0" w:type="auto"/>
            <w:vAlign w:val="center"/>
            <w:hideMark/>
          </w:tcPr>
          <w:p w14:paraId="2E2888CD" w14:textId="77777777" w:rsidR="00E620A4" w:rsidRPr="00E620A4" w:rsidRDefault="00E620A4" w:rsidP="0081389C">
            <w:pPr>
              <w:spacing w:before="120" w:after="120"/>
              <w:jc w:val="left"/>
              <w:cnfStyle w:val="000000100000" w:firstRow="0" w:lastRow="0" w:firstColumn="0" w:lastColumn="0" w:oddVBand="0" w:evenVBand="0" w:oddHBand="1" w:evenHBand="0" w:firstRowFirstColumn="0" w:firstRowLastColumn="0" w:lastRowFirstColumn="0" w:lastRowLastColumn="0"/>
              <w:rPr>
                <w:rFonts w:cs="Arial"/>
                <w:sz w:val="22"/>
                <w:szCs w:val="22"/>
                <w:lang w:val="en-GB"/>
              </w:rPr>
            </w:pPr>
            <w:r w:rsidRPr="00E620A4">
              <w:rPr>
                <w:rFonts w:cs="Arial"/>
                <w:sz w:val="22"/>
                <w:szCs w:val="22"/>
                <w:lang w:val="en-GB"/>
              </w:rPr>
              <w:t>Student support services</w:t>
            </w:r>
          </w:p>
        </w:tc>
        <w:tc>
          <w:tcPr>
            <w:tcW w:w="0" w:type="auto"/>
            <w:vAlign w:val="center"/>
            <w:hideMark/>
          </w:tcPr>
          <w:p w14:paraId="6414FE35" w14:textId="77777777" w:rsidR="00E620A4" w:rsidRPr="00E620A4" w:rsidRDefault="00E620A4" w:rsidP="0081389C">
            <w:pPr>
              <w:spacing w:before="120" w:after="120"/>
              <w:jc w:val="left"/>
              <w:cnfStyle w:val="000000100000" w:firstRow="0" w:lastRow="0" w:firstColumn="0" w:lastColumn="0" w:oddVBand="0" w:evenVBand="0" w:oddHBand="1" w:evenHBand="0" w:firstRowFirstColumn="0" w:firstRowLastColumn="0" w:lastRowFirstColumn="0" w:lastRowLastColumn="0"/>
              <w:rPr>
                <w:rFonts w:cs="Arial"/>
                <w:sz w:val="22"/>
                <w:szCs w:val="22"/>
                <w:lang w:val="en-GB"/>
              </w:rPr>
            </w:pPr>
            <w:r w:rsidRPr="00E620A4">
              <w:rPr>
                <w:rFonts w:cs="Arial"/>
                <w:sz w:val="22"/>
                <w:szCs w:val="22"/>
                <w:lang w:val="en-GB"/>
              </w:rPr>
              <w:t>Ongoing</w:t>
            </w:r>
          </w:p>
        </w:tc>
      </w:tr>
      <w:tr w:rsidR="00E620A4" w:rsidRPr="00E620A4" w14:paraId="401685F8" w14:textId="77777777" w:rsidTr="0081389C">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F17A801" w14:textId="77777777" w:rsidR="00E620A4" w:rsidRPr="00E620A4" w:rsidRDefault="00E620A4" w:rsidP="0081389C">
            <w:pPr>
              <w:spacing w:before="120" w:after="120"/>
              <w:jc w:val="left"/>
              <w:rPr>
                <w:rFonts w:cs="Arial"/>
                <w:b w:val="0"/>
                <w:bCs w:val="0"/>
                <w:sz w:val="22"/>
                <w:szCs w:val="22"/>
                <w:lang w:val="en-GB"/>
              </w:rPr>
            </w:pPr>
            <w:r w:rsidRPr="00E620A4">
              <w:rPr>
                <w:rFonts w:cs="Arial"/>
                <w:sz w:val="22"/>
                <w:szCs w:val="22"/>
                <w:lang w:val="en-GB"/>
              </w:rPr>
              <w:t>Communication</w:t>
            </w:r>
          </w:p>
        </w:tc>
        <w:tc>
          <w:tcPr>
            <w:tcW w:w="0" w:type="auto"/>
            <w:vAlign w:val="center"/>
            <w:hideMark/>
          </w:tcPr>
          <w:p w14:paraId="6994E9B4" w14:textId="77777777" w:rsidR="00E620A4" w:rsidRPr="00E620A4" w:rsidRDefault="00E620A4" w:rsidP="0081389C">
            <w:pPr>
              <w:spacing w:before="120" w:after="120"/>
              <w:jc w:val="left"/>
              <w:cnfStyle w:val="000000000000" w:firstRow="0" w:lastRow="0" w:firstColumn="0" w:lastColumn="0" w:oddVBand="0" w:evenVBand="0" w:oddHBand="0" w:evenHBand="0" w:firstRowFirstColumn="0" w:firstRowLastColumn="0" w:lastRowFirstColumn="0" w:lastRowLastColumn="0"/>
              <w:rPr>
                <w:rFonts w:cs="Arial"/>
                <w:sz w:val="22"/>
                <w:szCs w:val="22"/>
                <w:lang w:val="en-GB"/>
              </w:rPr>
            </w:pPr>
            <w:r w:rsidRPr="00E620A4">
              <w:rPr>
                <w:rFonts w:cs="Arial"/>
                <w:sz w:val="22"/>
                <w:szCs w:val="22"/>
                <w:lang w:val="en-GB"/>
              </w:rPr>
              <w:t>Improve clinical communication with patients and teams</w:t>
            </w:r>
          </w:p>
        </w:tc>
        <w:tc>
          <w:tcPr>
            <w:tcW w:w="0" w:type="auto"/>
            <w:vAlign w:val="center"/>
            <w:hideMark/>
          </w:tcPr>
          <w:p w14:paraId="10D69934" w14:textId="77777777" w:rsidR="00E620A4" w:rsidRPr="00E620A4" w:rsidRDefault="00E620A4" w:rsidP="0081389C">
            <w:pPr>
              <w:spacing w:before="120" w:after="120"/>
              <w:jc w:val="left"/>
              <w:cnfStyle w:val="000000000000" w:firstRow="0" w:lastRow="0" w:firstColumn="0" w:lastColumn="0" w:oddVBand="0" w:evenVBand="0" w:oddHBand="0" w:evenHBand="0" w:firstRowFirstColumn="0" w:firstRowLastColumn="0" w:lastRowFirstColumn="0" w:lastRowLastColumn="0"/>
              <w:rPr>
                <w:rFonts w:cs="Arial"/>
                <w:sz w:val="22"/>
                <w:szCs w:val="22"/>
                <w:lang w:val="en-GB"/>
              </w:rPr>
            </w:pPr>
            <w:r w:rsidRPr="00E620A4">
              <w:rPr>
                <w:rFonts w:cs="Arial"/>
                <w:sz w:val="22"/>
                <w:szCs w:val="22"/>
                <w:lang w:val="en-GB"/>
              </w:rPr>
              <w:t>Role-play difficult conversations; practise handovers</w:t>
            </w:r>
          </w:p>
        </w:tc>
        <w:tc>
          <w:tcPr>
            <w:tcW w:w="0" w:type="auto"/>
            <w:vAlign w:val="center"/>
            <w:hideMark/>
          </w:tcPr>
          <w:p w14:paraId="13C00834" w14:textId="77777777" w:rsidR="00E620A4" w:rsidRPr="00E620A4" w:rsidRDefault="00E620A4" w:rsidP="0081389C">
            <w:pPr>
              <w:spacing w:before="120" w:after="120"/>
              <w:jc w:val="left"/>
              <w:cnfStyle w:val="000000000000" w:firstRow="0" w:lastRow="0" w:firstColumn="0" w:lastColumn="0" w:oddVBand="0" w:evenVBand="0" w:oddHBand="0" w:evenHBand="0" w:firstRowFirstColumn="0" w:firstRowLastColumn="0" w:lastRowFirstColumn="0" w:lastRowLastColumn="0"/>
              <w:rPr>
                <w:rFonts w:cs="Arial"/>
                <w:sz w:val="22"/>
                <w:szCs w:val="22"/>
                <w:lang w:val="en-GB"/>
              </w:rPr>
            </w:pPr>
            <w:r w:rsidRPr="00E620A4">
              <w:rPr>
                <w:rFonts w:cs="Arial"/>
                <w:sz w:val="22"/>
                <w:szCs w:val="22"/>
                <w:lang w:val="en-GB"/>
              </w:rPr>
              <w:t>Peer and lecturer feedback</w:t>
            </w:r>
          </w:p>
        </w:tc>
        <w:tc>
          <w:tcPr>
            <w:tcW w:w="0" w:type="auto"/>
            <w:vAlign w:val="center"/>
            <w:hideMark/>
          </w:tcPr>
          <w:p w14:paraId="49078217" w14:textId="77777777" w:rsidR="00E620A4" w:rsidRPr="00E620A4" w:rsidRDefault="00E620A4" w:rsidP="0081389C">
            <w:pPr>
              <w:spacing w:before="120" w:after="120"/>
              <w:jc w:val="left"/>
              <w:cnfStyle w:val="000000000000" w:firstRow="0" w:lastRow="0" w:firstColumn="0" w:lastColumn="0" w:oddVBand="0" w:evenVBand="0" w:oddHBand="0" w:evenHBand="0" w:firstRowFirstColumn="0" w:firstRowLastColumn="0" w:lastRowFirstColumn="0" w:lastRowLastColumn="0"/>
              <w:rPr>
                <w:rFonts w:cs="Arial"/>
                <w:sz w:val="22"/>
                <w:szCs w:val="22"/>
                <w:lang w:val="en-GB"/>
              </w:rPr>
            </w:pPr>
            <w:r w:rsidRPr="00E620A4">
              <w:rPr>
                <w:rFonts w:cs="Arial"/>
                <w:sz w:val="22"/>
                <w:szCs w:val="22"/>
                <w:lang w:val="en-GB"/>
              </w:rPr>
              <w:t>1–2 months</w:t>
            </w:r>
          </w:p>
        </w:tc>
      </w:tr>
      <w:tr w:rsidR="00E620A4" w:rsidRPr="00E620A4" w14:paraId="59CA82BD" w14:textId="77777777" w:rsidTr="008138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B1E5E39" w14:textId="77777777" w:rsidR="00E620A4" w:rsidRPr="00E620A4" w:rsidRDefault="00E620A4" w:rsidP="0081389C">
            <w:pPr>
              <w:spacing w:before="120" w:after="120"/>
              <w:jc w:val="left"/>
              <w:rPr>
                <w:rFonts w:cs="Arial"/>
                <w:b w:val="0"/>
                <w:bCs w:val="0"/>
                <w:sz w:val="22"/>
                <w:szCs w:val="22"/>
                <w:lang w:val="en-GB"/>
              </w:rPr>
            </w:pPr>
            <w:r w:rsidRPr="00E620A4">
              <w:rPr>
                <w:rFonts w:cs="Arial"/>
                <w:sz w:val="22"/>
                <w:szCs w:val="22"/>
                <w:lang w:val="en-GB"/>
              </w:rPr>
              <w:t>Teamwork</w:t>
            </w:r>
          </w:p>
        </w:tc>
        <w:tc>
          <w:tcPr>
            <w:tcW w:w="0" w:type="auto"/>
            <w:vAlign w:val="center"/>
            <w:hideMark/>
          </w:tcPr>
          <w:p w14:paraId="17119676" w14:textId="77777777" w:rsidR="00E620A4" w:rsidRPr="00E620A4" w:rsidRDefault="00E620A4" w:rsidP="0081389C">
            <w:pPr>
              <w:spacing w:before="120" w:after="120"/>
              <w:jc w:val="left"/>
              <w:cnfStyle w:val="000000100000" w:firstRow="0" w:lastRow="0" w:firstColumn="0" w:lastColumn="0" w:oddVBand="0" w:evenVBand="0" w:oddHBand="1" w:evenHBand="0" w:firstRowFirstColumn="0" w:firstRowLastColumn="0" w:lastRowFirstColumn="0" w:lastRowLastColumn="0"/>
              <w:rPr>
                <w:rFonts w:cs="Arial"/>
                <w:sz w:val="22"/>
                <w:szCs w:val="22"/>
                <w:lang w:val="en-GB"/>
              </w:rPr>
            </w:pPr>
            <w:r w:rsidRPr="00E620A4">
              <w:rPr>
                <w:rFonts w:cs="Arial"/>
                <w:sz w:val="22"/>
                <w:szCs w:val="22"/>
                <w:lang w:val="en-GB"/>
              </w:rPr>
              <w:t>Adapt to multidisciplinary team working</w:t>
            </w:r>
          </w:p>
        </w:tc>
        <w:tc>
          <w:tcPr>
            <w:tcW w:w="0" w:type="auto"/>
            <w:vAlign w:val="center"/>
            <w:hideMark/>
          </w:tcPr>
          <w:p w14:paraId="18C5F9F9" w14:textId="77777777" w:rsidR="00E620A4" w:rsidRPr="00E620A4" w:rsidRDefault="00E620A4" w:rsidP="0081389C">
            <w:pPr>
              <w:spacing w:before="120" w:after="120"/>
              <w:jc w:val="left"/>
              <w:cnfStyle w:val="000000100000" w:firstRow="0" w:lastRow="0" w:firstColumn="0" w:lastColumn="0" w:oddVBand="0" w:evenVBand="0" w:oddHBand="1" w:evenHBand="0" w:firstRowFirstColumn="0" w:firstRowLastColumn="0" w:lastRowFirstColumn="0" w:lastRowLastColumn="0"/>
              <w:rPr>
                <w:rFonts w:cs="Arial"/>
                <w:sz w:val="22"/>
                <w:szCs w:val="22"/>
                <w:lang w:val="en-GB"/>
              </w:rPr>
            </w:pPr>
            <w:r w:rsidRPr="00E620A4">
              <w:rPr>
                <w:rFonts w:cs="Arial"/>
                <w:sz w:val="22"/>
                <w:szCs w:val="22"/>
                <w:lang w:val="en-GB"/>
              </w:rPr>
              <w:t>Participate in interprofessional learning sessions</w:t>
            </w:r>
          </w:p>
        </w:tc>
        <w:tc>
          <w:tcPr>
            <w:tcW w:w="0" w:type="auto"/>
            <w:vAlign w:val="center"/>
            <w:hideMark/>
          </w:tcPr>
          <w:p w14:paraId="7E137568" w14:textId="77777777" w:rsidR="00E620A4" w:rsidRPr="00E620A4" w:rsidRDefault="00E620A4" w:rsidP="0081389C">
            <w:pPr>
              <w:spacing w:before="120" w:after="120"/>
              <w:jc w:val="left"/>
              <w:cnfStyle w:val="000000100000" w:firstRow="0" w:lastRow="0" w:firstColumn="0" w:lastColumn="0" w:oddVBand="0" w:evenVBand="0" w:oddHBand="1" w:evenHBand="0" w:firstRowFirstColumn="0" w:firstRowLastColumn="0" w:lastRowFirstColumn="0" w:lastRowLastColumn="0"/>
              <w:rPr>
                <w:rFonts w:cs="Arial"/>
                <w:sz w:val="22"/>
                <w:szCs w:val="22"/>
                <w:lang w:val="en-GB"/>
              </w:rPr>
            </w:pPr>
            <w:r w:rsidRPr="00E620A4">
              <w:rPr>
                <w:rFonts w:cs="Arial"/>
                <w:sz w:val="22"/>
                <w:szCs w:val="22"/>
                <w:lang w:val="en-GB"/>
              </w:rPr>
              <w:t>Placement team</w:t>
            </w:r>
          </w:p>
        </w:tc>
        <w:tc>
          <w:tcPr>
            <w:tcW w:w="0" w:type="auto"/>
            <w:vAlign w:val="center"/>
            <w:hideMark/>
          </w:tcPr>
          <w:p w14:paraId="4B8C2093" w14:textId="77777777" w:rsidR="00E620A4" w:rsidRPr="00E620A4" w:rsidRDefault="00E620A4" w:rsidP="0081389C">
            <w:pPr>
              <w:spacing w:before="120" w:after="120"/>
              <w:jc w:val="left"/>
              <w:cnfStyle w:val="000000100000" w:firstRow="0" w:lastRow="0" w:firstColumn="0" w:lastColumn="0" w:oddVBand="0" w:evenVBand="0" w:oddHBand="1" w:evenHBand="0" w:firstRowFirstColumn="0" w:firstRowLastColumn="0" w:lastRowFirstColumn="0" w:lastRowLastColumn="0"/>
              <w:rPr>
                <w:rFonts w:cs="Arial"/>
                <w:sz w:val="22"/>
                <w:szCs w:val="22"/>
                <w:lang w:val="en-GB"/>
              </w:rPr>
            </w:pPr>
            <w:r w:rsidRPr="00E620A4">
              <w:rPr>
                <w:rFonts w:cs="Arial"/>
                <w:sz w:val="22"/>
                <w:szCs w:val="22"/>
                <w:lang w:val="en-GB"/>
              </w:rPr>
              <w:t>During placement</w:t>
            </w:r>
          </w:p>
        </w:tc>
      </w:tr>
    </w:tbl>
    <w:p w14:paraId="4906769C" w14:textId="77777777" w:rsidR="00E620A4" w:rsidRPr="00AB1666" w:rsidRDefault="00E620A4" w:rsidP="00E620A4">
      <w:pPr>
        <w:spacing w:before="160"/>
        <w:jc w:val="center"/>
        <w:rPr>
          <w:rFonts w:cs="Arial"/>
          <w:lang w:val="en-GB"/>
        </w:rPr>
      </w:pPr>
      <w:r w:rsidRPr="00AB1666">
        <w:rPr>
          <w:rFonts w:cs="Arial"/>
          <w:lang w:val="en-GB"/>
        </w:rPr>
        <w:t xml:space="preserve">Table </w:t>
      </w:r>
      <w:r w:rsidRPr="00AB1666">
        <w:rPr>
          <w:rFonts w:cs="Arial"/>
          <w:lang w:val="en-GB"/>
        </w:rPr>
        <w:fldChar w:fldCharType="begin"/>
      </w:r>
      <w:r w:rsidRPr="00AB1666">
        <w:rPr>
          <w:rFonts w:cs="Arial"/>
          <w:lang w:val="en-GB"/>
        </w:rPr>
        <w:instrText xml:space="preserve"> SEQ Table \* ARABIC </w:instrText>
      </w:r>
      <w:r w:rsidRPr="00AB1666">
        <w:rPr>
          <w:rFonts w:cs="Arial"/>
          <w:lang w:val="en-GB"/>
        </w:rPr>
        <w:fldChar w:fldCharType="separate"/>
      </w:r>
      <w:r w:rsidRPr="00AB1666">
        <w:rPr>
          <w:rFonts w:cs="Arial"/>
          <w:lang w:val="en-GB"/>
        </w:rPr>
        <w:t>1</w:t>
      </w:r>
      <w:r w:rsidRPr="00AB1666">
        <w:rPr>
          <w:rFonts w:cs="Arial"/>
          <w:lang w:val="en-GB"/>
        </w:rPr>
        <w:fldChar w:fldCharType="end"/>
      </w:r>
      <w:r w:rsidRPr="00AB1666">
        <w:rPr>
          <w:rFonts w:cs="Arial"/>
          <w:lang w:val="en-GB"/>
        </w:rPr>
        <w:t>:Personal Development Plan (PDP)</w:t>
      </w:r>
    </w:p>
    <w:p w14:paraId="1801125F" w14:textId="7C5CC8FB" w:rsidR="00E620A4" w:rsidRPr="00E620A4" w:rsidRDefault="00E620A4" w:rsidP="0081389C">
      <w:pPr>
        <w:rPr>
          <w:lang w:val="en-GB"/>
        </w:rPr>
      </w:pPr>
      <w:r w:rsidRPr="00E620A4">
        <w:rPr>
          <w:lang w:val="en-GB"/>
        </w:rPr>
        <w:t xml:space="preserve">Simulation and interprofessional education are evidence-based methods to build competence and teamwork. Resilience interventions, such as workshops or guided reflection, improve staff wellbeing. </w:t>
      </w:r>
    </w:p>
    <w:p w14:paraId="7C2A75DD" w14:textId="77777777" w:rsidR="00E620A4" w:rsidRPr="00E620A4" w:rsidRDefault="00E620A4" w:rsidP="0081389C">
      <w:pPr>
        <w:pStyle w:val="Heading2"/>
      </w:pPr>
      <w:bookmarkStart w:id="5" w:name="_Toc214617753"/>
      <w:r w:rsidRPr="00E620A4">
        <w:t>Preparation for Interview Questions and Planned Responses</w:t>
      </w:r>
      <w:bookmarkEnd w:id="5"/>
    </w:p>
    <w:p w14:paraId="03F897B3" w14:textId="0EF1E414" w:rsidR="00E620A4" w:rsidRPr="00E620A4" w:rsidRDefault="00E620A4" w:rsidP="003A438B">
      <w:pPr>
        <w:rPr>
          <w:lang w:val="en-GB"/>
        </w:rPr>
      </w:pPr>
      <w:r w:rsidRPr="00E620A4">
        <w:rPr>
          <w:lang w:val="en-GB"/>
        </w:rPr>
        <w:t xml:space="preserve">A typical Healthcare Assistant (HCA) interview question is </w:t>
      </w:r>
      <w:r w:rsidR="00AB1666">
        <w:rPr>
          <w:lang w:val="en-GB"/>
        </w:rPr>
        <w:t>“</w:t>
      </w:r>
      <w:r w:rsidRPr="00AB1666">
        <w:rPr>
          <w:i/>
          <w:iCs/>
          <w:lang w:val="en-GB"/>
        </w:rPr>
        <w:t>why do you want to work in the job</w:t>
      </w:r>
      <w:r w:rsidR="00AB1666" w:rsidRPr="00AB1666">
        <w:rPr>
          <w:i/>
          <w:iCs/>
          <w:lang w:val="en-GB"/>
        </w:rPr>
        <w:t>?</w:t>
      </w:r>
      <w:r w:rsidR="00AB1666">
        <w:rPr>
          <w:lang w:val="en-GB"/>
        </w:rPr>
        <w:t>”</w:t>
      </w:r>
      <w:r w:rsidRPr="00E620A4">
        <w:rPr>
          <w:lang w:val="en-GB"/>
        </w:rPr>
        <w:t>. I am passionate about offering hands on support and making a real difference to people's everyday lives. Through volunteering I have seen how basic care and the presence of emotion can go a long way for someone's wellbeing. Becoming an HCA will enable me to utilise my interpersonal skills and further develop my clinical skills in a caring, team-based setting.</w:t>
      </w:r>
    </w:p>
    <w:p w14:paraId="72E05D9B" w14:textId="33ED3D26" w:rsidR="00E620A4" w:rsidRPr="00E620A4" w:rsidRDefault="00E620A4" w:rsidP="0081389C">
      <w:pPr>
        <w:rPr>
          <w:lang w:val="en-GB"/>
        </w:rPr>
      </w:pPr>
      <w:r w:rsidRPr="00E620A4">
        <w:rPr>
          <w:lang w:val="en-GB"/>
        </w:rPr>
        <w:t>Interviewers often also ask for examples of good communication. While working in academic groups, I often served as facilitator, organi</w:t>
      </w:r>
      <w:r w:rsidR="00AB1666">
        <w:rPr>
          <w:lang w:val="en-GB"/>
        </w:rPr>
        <w:t>s</w:t>
      </w:r>
      <w:r w:rsidRPr="00E620A4">
        <w:rPr>
          <w:lang w:val="en-GB"/>
        </w:rPr>
        <w:t>ing meetings, making sure everybody knew what they were supposed to do, and encouraging quieter members to make a contribution. When someone was having trouble with a section I worked with them to help them refine their part to make sure our final presentation was clear and coherent. This experience shows that I can communicate in ways which are sensitive and effective, which goes hand-in-hand for patient care.</w:t>
      </w:r>
    </w:p>
    <w:p w14:paraId="2473EA43" w14:textId="463BFC95" w:rsidR="00E620A4" w:rsidRPr="00E620A4" w:rsidRDefault="00E620A4" w:rsidP="0081389C">
      <w:pPr>
        <w:rPr>
          <w:lang w:val="en-GB"/>
        </w:rPr>
      </w:pPr>
      <w:r w:rsidRPr="00E620A4">
        <w:rPr>
          <w:lang w:val="en-GB"/>
        </w:rPr>
        <w:lastRenderedPageBreak/>
        <w:t xml:space="preserve">Another common question is </w:t>
      </w:r>
      <w:r w:rsidR="00B9346B" w:rsidRPr="00B9346B">
        <w:rPr>
          <w:i/>
          <w:iCs/>
          <w:lang w:val="en-GB"/>
        </w:rPr>
        <w:t>“</w:t>
      </w:r>
      <w:r w:rsidRPr="00B9346B">
        <w:rPr>
          <w:i/>
          <w:iCs/>
          <w:lang w:val="en-GB"/>
        </w:rPr>
        <w:t xml:space="preserve">how would </w:t>
      </w:r>
      <w:r w:rsidR="00B9346B" w:rsidRPr="00B9346B">
        <w:rPr>
          <w:i/>
          <w:iCs/>
          <w:lang w:val="en-GB"/>
        </w:rPr>
        <w:t xml:space="preserve">you </w:t>
      </w:r>
      <w:r w:rsidRPr="00B9346B">
        <w:rPr>
          <w:i/>
          <w:iCs/>
          <w:lang w:val="en-GB"/>
        </w:rPr>
        <w:t>deal with a difficult situation with a patient, such as someone not wanting care</w:t>
      </w:r>
      <w:r w:rsidR="00B9346B" w:rsidRPr="00B9346B">
        <w:rPr>
          <w:i/>
          <w:iCs/>
          <w:lang w:val="en-GB"/>
        </w:rPr>
        <w:t>?”</w:t>
      </w:r>
      <w:r w:rsidRPr="00E620A4">
        <w:rPr>
          <w:lang w:val="en-GB"/>
        </w:rPr>
        <w:t xml:space="preserve">. I would stay calm, listen diligently and talk to them with empathy to know why they are reluctant. Respecting patient autonomy, I would validate patient feelings and negotiate options for care. </w:t>
      </w:r>
    </w:p>
    <w:p w14:paraId="0DEED5FF" w14:textId="77777777" w:rsidR="00E620A4" w:rsidRPr="00E620A4" w:rsidRDefault="00E620A4" w:rsidP="0081389C">
      <w:pPr>
        <w:pStyle w:val="Heading1"/>
      </w:pPr>
      <w:bookmarkStart w:id="6" w:name="_Toc214617754"/>
      <w:r w:rsidRPr="00E620A4">
        <w:t>The Importance of Communication Skills in Nursing</w:t>
      </w:r>
      <w:bookmarkEnd w:id="6"/>
    </w:p>
    <w:p w14:paraId="1E946052" w14:textId="55A9D61F" w:rsidR="00E620A4" w:rsidRPr="00B9346B" w:rsidRDefault="00E620A4" w:rsidP="003A438B">
      <w:r w:rsidRPr="00E620A4">
        <w:rPr>
          <w:lang w:val="en-GB"/>
        </w:rPr>
        <w:t>Effective communication is a fundamental competency in nursing and is essential in delivering safe care, quality and person</w:t>
      </w:r>
      <w:r w:rsidR="0081389C">
        <w:rPr>
          <w:lang w:val="en-GB"/>
        </w:rPr>
        <w:t>-</w:t>
      </w:r>
      <w:r w:rsidRPr="00E620A4">
        <w:rPr>
          <w:lang w:val="en-GB"/>
        </w:rPr>
        <w:t xml:space="preserve">centred care. It enables nurses to work effectively and best with one another, communicate information appropriately, show empathy and support informed clinical decision making. Although early warning systems such as NEWS2 are clinical tools, these systems are highly dependent on effective communication between nurses and multidimensional teams (Conte </w:t>
      </w:r>
      <w:r w:rsidR="0081389C" w:rsidRPr="0081389C">
        <w:rPr>
          <w:i/>
          <w:iCs/>
          <w:lang w:val="en-GB"/>
        </w:rPr>
        <w:t>et al</w:t>
      </w:r>
      <w:r w:rsidRPr="00E620A4">
        <w:rPr>
          <w:lang w:val="en-GB"/>
        </w:rPr>
        <w:t>., 2025). Effective therapeutic communication is also a contributor to trusting nurse and patient relationships with compassionate and person-centred relationships enhancing emotional wellbeing, shared decision making and patient satisfaction overall</w:t>
      </w:r>
      <w:r w:rsidR="00B9346B">
        <w:rPr>
          <w:lang w:val="en-GB"/>
        </w:rPr>
        <w:t xml:space="preserve"> </w:t>
      </w:r>
      <w:r w:rsidR="00B9346B" w:rsidRPr="00B9346B">
        <w:t>(Sharma and Gupta, 2023)</w:t>
      </w:r>
      <w:r w:rsidRPr="00E620A4">
        <w:rPr>
          <w:lang w:val="en-GB"/>
        </w:rPr>
        <w:t>. These interpersonal skills involve empathy, being an active listener and being ethnoculturally sensitive, and are important in ensuring that patients feel truly heard and involved in their care.</w:t>
      </w:r>
    </w:p>
    <w:p w14:paraId="3D3FE49C" w14:textId="1C6ACC49" w:rsidR="00E620A4" w:rsidRPr="00AB1666" w:rsidRDefault="00E620A4" w:rsidP="0081389C">
      <w:r w:rsidRPr="00E620A4">
        <w:rPr>
          <w:lang w:val="en-GB"/>
        </w:rPr>
        <w:t>Communication is also further critical for safe medication management and education. Nurses have to be able to communicate about the medication procedures clearly and report about possible side effects and questions to decrease the risk of errors</w:t>
      </w:r>
      <w:r w:rsidR="00AB1666">
        <w:rPr>
          <w:lang w:val="en-GB"/>
        </w:rPr>
        <w:t xml:space="preserve"> </w:t>
      </w:r>
      <w:r w:rsidR="00AB1666" w:rsidRPr="00AB1666">
        <w:t xml:space="preserve">(Tariq </w:t>
      </w:r>
      <w:r w:rsidR="00AB1666" w:rsidRPr="00AB1666">
        <w:rPr>
          <w:i/>
          <w:iCs/>
        </w:rPr>
        <w:t>et al.</w:t>
      </w:r>
      <w:r w:rsidR="00AB1666" w:rsidRPr="00AB1666">
        <w:t>, 2024)</w:t>
      </w:r>
      <w:r w:rsidRPr="00E620A4">
        <w:rPr>
          <w:lang w:val="en-GB"/>
        </w:rPr>
        <w:t>. There is evidence to indicate that good communication skills directly benefit safe medication practices. In addition, communication is the cornerstone of effective team work and interprofessional collaboration. In fast-paced environments, the lack of communications can result in continuity of care issues whereas ongoing good communication supports joint decision making and minimi</w:t>
      </w:r>
      <w:r w:rsidR="00AB1666">
        <w:rPr>
          <w:lang w:val="en-GB"/>
        </w:rPr>
        <w:t>s</w:t>
      </w:r>
      <w:r w:rsidRPr="00E620A4">
        <w:rPr>
          <w:lang w:val="en-GB"/>
        </w:rPr>
        <w:t xml:space="preserve">es conflict. McLaney </w:t>
      </w:r>
      <w:r w:rsidR="0081389C" w:rsidRPr="0081389C">
        <w:rPr>
          <w:i/>
          <w:iCs/>
          <w:lang w:val="en-GB"/>
        </w:rPr>
        <w:t>et al</w:t>
      </w:r>
      <w:r w:rsidRPr="00E620A4">
        <w:rPr>
          <w:lang w:val="en-GB"/>
        </w:rPr>
        <w:t>. (2022) emphasi</w:t>
      </w:r>
      <w:r w:rsidR="00AB1666">
        <w:rPr>
          <w:lang w:val="en-GB"/>
        </w:rPr>
        <w:t>s</w:t>
      </w:r>
      <w:r w:rsidRPr="00E620A4">
        <w:rPr>
          <w:lang w:val="en-GB"/>
        </w:rPr>
        <w:t xml:space="preserve">es that, interprofessional collaboration requires shared communication competencies, mutual understanding and information exchange. </w:t>
      </w:r>
    </w:p>
    <w:p w14:paraId="5731FEB3" w14:textId="77777777" w:rsidR="00E620A4" w:rsidRPr="00E620A4" w:rsidRDefault="00E620A4" w:rsidP="003A438B">
      <w:pPr>
        <w:rPr>
          <w:lang w:val="en-GB"/>
        </w:rPr>
      </w:pPr>
      <w:r w:rsidRPr="00E620A4">
        <w:rPr>
          <w:lang w:val="en-GB"/>
        </w:rPr>
        <w:t xml:space="preserve">Safeguarding is also another area where communication is central. Nurses need to be able to recognise, articulate and record safeguarding issues to enable timely intervention. Poor communication can push referrals back and cause risks to vulnerable people. Duffy, Browne and Connolly (2024) emphasise on the importance of protecting that requires precise, sensitive and ethically grounded communication. </w:t>
      </w:r>
      <w:r w:rsidRPr="00E620A4">
        <w:rPr>
          <w:lang w:val="en-GB"/>
        </w:rPr>
        <w:lastRenderedPageBreak/>
        <w:t>Emotional wellbeing and resilience are also a factor that plays in the quality of communication because stress and fatigue can affect the ability to be clear and compassionate. Research has shown that nurses who participate in resilience-building activities are able to communicate better when faced with challenging circumstances (Hofmeyer, Taylor and Kennedy, 2020), leading to safer and more consistent practice. This demonstrates that communication is not a technical skill but closely linked to emotional intelligence as well as professional self-management.</w:t>
      </w:r>
    </w:p>
    <w:p w14:paraId="3405048D" w14:textId="3ADC8AE9" w:rsidR="00E620A4" w:rsidRPr="00E620A4" w:rsidRDefault="00E620A4" w:rsidP="003A438B">
      <w:pPr>
        <w:rPr>
          <w:lang w:val="en-GB"/>
        </w:rPr>
      </w:pPr>
      <w:r w:rsidRPr="00E620A4">
        <w:rPr>
          <w:lang w:val="en-GB"/>
        </w:rPr>
        <w:t xml:space="preserve">Communication is also a vital element in reflective practice and professional behaviour. The reflection helps nurse to analyse the experience of communicating and determine the weaknesses and adjust the methods used to enhance the performance in future experience. Foundational models such as Gibbs (1988) have outlined and reflective theorists such as Moon (2013) and Huseboe, O'Regan and Nestel (2015) demonstrate the powerful role of reflection in deepening self-awareness and connecting to practice. Reflective processes are also useful in self-regulated learning, in which students can put feedback to good use (Nicol and Macfarlane-Dick, 2006). At an organisational level, communication helps in strategic thinking, coordination and leadership that underpins the implementation of broader healthcare goals (Whittington </w:t>
      </w:r>
      <w:r w:rsidR="0081389C" w:rsidRPr="0081389C">
        <w:rPr>
          <w:i/>
          <w:iCs/>
          <w:lang w:val="en-GB"/>
        </w:rPr>
        <w:t>et al</w:t>
      </w:r>
      <w:r w:rsidRPr="00E620A4">
        <w:rPr>
          <w:lang w:val="en-GB"/>
        </w:rPr>
        <w:t xml:space="preserve">., 2019). </w:t>
      </w:r>
    </w:p>
    <w:p w14:paraId="3F8C61CD" w14:textId="18FCC028" w:rsidR="00E620A4" w:rsidRPr="00AB1666" w:rsidRDefault="00E620A4" w:rsidP="003A438B">
      <w:r w:rsidRPr="00E620A4">
        <w:rPr>
          <w:lang w:val="en-GB"/>
        </w:rPr>
        <w:t>Overall, communication underpins safe, compassionate and effective nursing practice, which includes supporting clinical decision-making, therapeutic relationships, medication safety, collaboration, safeguarding, resilience and continuous learning, and is therefore a cornerstone to professional nursing identity</w:t>
      </w:r>
      <w:r w:rsidR="00AB1666">
        <w:rPr>
          <w:lang w:val="en-GB"/>
        </w:rPr>
        <w:t xml:space="preserve"> </w:t>
      </w:r>
      <w:r w:rsidR="00AB1666" w:rsidRPr="00AB1666">
        <w:t xml:space="preserve">(Yang </w:t>
      </w:r>
      <w:r w:rsidR="00AB1666" w:rsidRPr="00AB1666">
        <w:rPr>
          <w:i/>
          <w:iCs/>
        </w:rPr>
        <w:t>et al.</w:t>
      </w:r>
      <w:r w:rsidR="00AB1666" w:rsidRPr="00AB1666">
        <w:t>, 2025)</w:t>
      </w:r>
      <w:r w:rsidRPr="00E620A4">
        <w:rPr>
          <w:lang w:val="en-GB"/>
        </w:rPr>
        <w:t xml:space="preserve">. As the healthcare landscape becomes more and more complex, the need to be able to communicate effectively will only increase in importance. Strong communication also helps in bridging the gap between patients and staff, which reduces misunderstandings and helps in building trust. Finally, communication with confidence and empathy can only lead to nurses who are better able to provide the care that is both safe and person-centred. </w:t>
      </w:r>
    </w:p>
    <w:p w14:paraId="0790C161" w14:textId="77777777" w:rsidR="00E620A4" w:rsidRPr="00E620A4" w:rsidRDefault="00E620A4" w:rsidP="0081389C">
      <w:pPr>
        <w:pStyle w:val="Heading1"/>
      </w:pPr>
      <w:bookmarkStart w:id="7" w:name="_Toc214617755"/>
      <w:r w:rsidRPr="00E620A4">
        <w:t>Reflective Context and Approach</w:t>
      </w:r>
      <w:bookmarkEnd w:id="7"/>
    </w:p>
    <w:p w14:paraId="575759CA" w14:textId="77777777" w:rsidR="00E620A4" w:rsidRPr="00E620A4" w:rsidRDefault="00E620A4" w:rsidP="003A438B">
      <w:pPr>
        <w:rPr>
          <w:lang w:val="en-GB"/>
        </w:rPr>
      </w:pPr>
      <w:r w:rsidRPr="00E620A4">
        <w:rPr>
          <w:lang w:val="en-GB"/>
        </w:rPr>
        <w:t xml:space="preserve">Reflective practise is at the heart of professional development in health and social care practise as it helps practitioners to make judgements about their own performance, build confidence and create informed strategies for improvement. There are some </w:t>
      </w:r>
      <w:r w:rsidRPr="00E620A4">
        <w:rPr>
          <w:lang w:val="en-GB"/>
        </w:rPr>
        <w:lastRenderedPageBreak/>
        <w:t xml:space="preserve">structured approaches such as the ERA model - Experience, Reflection, Action - which is helpful for deepening learning and self-awareness (White, Humphreys and Oomens, 2024). </w:t>
      </w:r>
    </w:p>
    <w:p w14:paraId="4D1C7306" w14:textId="77777777" w:rsidR="00E620A4" w:rsidRPr="00E620A4" w:rsidRDefault="00E620A4" w:rsidP="0081389C">
      <w:pPr>
        <w:pStyle w:val="Heading2"/>
      </w:pPr>
      <w:bookmarkStart w:id="8" w:name="_Toc214617756"/>
      <w:r w:rsidRPr="00E620A4">
        <w:t>Experience</w:t>
      </w:r>
      <w:bookmarkEnd w:id="8"/>
    </w:p>
    <w:p w14:paraId="57758272" w14:textId="77777777" w:rsidR="00E620A4" w:rsidRPr="00E620A4" w:rsidRDefault="00E620A4" w:rsidP="003A438B">
      <w:pPr>
        <w:rPr>
          <w:lang w:val="en-GB"/>
        </w:rPr>
      </w:pPr>
      <w:r w:rsidRPr="00E620A4">
        <w:t xml:space="preserve">The </w:t>
      </w:r>
      <w:r w:rsidRPr="00E620A4">
        <w:rPr>
          <w:lang w:val="en-GB"/>
        </w:rPr>
        <w:t xml:space="preserve">presentation was a personal SWOT analysis of my preparedness to advance in the UK health and social care sector. I identified strengths like leadership skills that were built through the experience of the pandemic of Covid-19, resilience, multi-language communication and desire for continuous learning. My weaknesses included limited experience in academia up to Level 3, time management problems and sometimes lack of confidence in academic writing. Opportunities included progression to higher education, building leadership skills and employability by developing cultural competence - threats included competition for entry to nursing programmes, possible burnout and the fact that my informal experience of care may be under-valued. </w:t>
      </w:r>
    </w:p>
    <w:p w14:paraId="521A4460" w14:textId="40E7B8BE" w:rsidR="00E620A4" w:rsidRPr="00E620A4" w:rsidRDefault="00E620A4" w:rsidP="003A438B">
      <w:r w:rsidRPr="00E620A4">
        <w:rPr>
          <w:lang w:val="en-GB"/>
        </w:rPr>
        <w:t>I gave a presentation with confidence, made eye contact and stuck to the time. My lecturer praised me on the clarity and organisation of my work but encouraged me to go into more depth within professional nursing roles. This is in line with broader debates in the sector regarding generalist development versus specialist development, where balanced skills, with critical insight, are now being emphasised.</w:t>
      </w:r>
    </w:p>
    <w:p w14:paraId="54BE0578" w14:textId="77777777" w:rsidR="00E620A4" w:rsidRPr="00E620A4" w:rsidRDefault="00E620A4" w:rsidP="0081389C">
      <w:pPr>
        <w:pStyle w:val="Heading2"/>
      </w:pPr>
      <w:bookmarkStart w:id="9" w:name="_Toc214617757"/>
      <w:r w:rsidRPr="00E620A4">
        <w:t>Reflection</w:t>
      </w:r>
      <w:bookmarkEnd w:id="9"/>
    </w:p>
    <w:p w14:paraId="18E4AA55" w14:textId="4E99B6C6" w:rsidR="00E620A4" w:rsidRPr="00E620A4" w:rsidRDefault="00E620A4" w:rsidP="003A438B">
      <w:pPr>
        <w:rPr>
          <w:lang w:val="en-GB"/>
        </w:rPr>
      </w:pPr>
      <w:r w:rsidRPr="00E620A4">
        <w:rPr>
          <w:lang w:val="en-GB"/>
        </w:rPr>
        <w:t xml:space="preserve">Reflecting on my presentation, by discussing my own development helped me feel to communicate naturally and with confidence showing my knowledge of the value of clear communication in health and social care. However, although my work had good delivery, it did not exhibit a deeper critical analysis. For example, while I said something about the time management problems, I did not fully discuss the impact of this on their academic or professional life, even though it is necessary to critically evaluate in a reflective work. </w:t>
      </w:r>
    </w:p>
    <w:p w14:paraId="17673B46" w14:textId="65222B47" w:rsidR="00E620A4" w:rsidRPr="00E620A4" w:rsidRDefault="00E620A4" w:rsidP="003A438B">
      <w:pPr>
        <w:rPr>
          <w:lang w:val="en-GB"/>
        </w:rPr>
      </w:pPr>
      <w:r w:rsidRPr="00E620A4">
        <w:rPr>
          <w:lang w:val="en-GB"/>
        </w:rPr>
        <w:t>My SWOT analysis would have been stronger if I had made a stronger connexion between my development needs and the requirements of nursing. Bachelor-level study is becoming the norm in order to enter the profession, focusing on academic preparedness (</w:t>
      </w:r>
      <w:proofErr w:type="spellStart"/>
      <w:r w:rsidRPr="00E620A4">
        <w:rPr>
          <w:lang w:val="en-GB"/>
        </w:rPr>
        <w:t>Schnelli</w:t>
      </w:r>
      <w:proofErr w:type="spellEnd"/>
      <w:r w:rsidRPr="00E620A4">
        <w:rPr>
          <w:lang w:val="en-GB"/>
        </w:rPr>
        <w:t xml:space="preserve"> </w:t>
      </w:r>
      <w:r w:rsidR="0081389C" w:rsidRPr="0081389C">
        <w:rPr>
          <w:i/>
          <w:iCs/>
          <w:lang w:val="en-GB"/>
        </w:rPr>
        <w:t>et al</w:t>
      </w:r>
      <w:r w:rsidRPr="00E620A4">
        <w:rPr>
          <w:lang w:val="en-GB"/>
        </w:rPr>
        <w:t xml:space="preserve">., 2023). Literature also emphasises leadership as a key expectation for nursing students (Shen and Tucker, 2024), and the new leadership </w:t>
      </w:r>
      <w:r w:rsidRPr="00E620A4">
        <w:rPr>
          <w:lang w:val="en-GB"/>
        </w:rPr>
        <w:lastRenderedPageBreak/>
        <w:t>challenges in the UK also underline the key of early analytical skills (</w:t>
      </w:r>
      <w:proofErr w:type="spellStart"/>
      <w:r w:rsidRPr="00E620A4">
        <w:rPr>
          <w:lang w:val="en-GB"/>
        </w:rPr>
        <w:t>Vamadevan</w:t>
      </w:r>
      <w:proofErr w:type="spellEnd"/>
      <w:r w:rsidRPr="00E620A4">
        <w:rPr>
          <w:lang w:val="en-GB"/>
        </w:rPr>
        <w:t xml:space="preserve"> </w:t>
      </w:r>
      <w:r w:rsidR="0081389C" w:rsidRPr="0081389C">
        <w:rPr>
          <w:i/>
          <w:iCs/>
          <w:lang w:val="en-GB"/>
        </w:rPr>
        <w:t>et al</w:t>
      </w:r>
      <w:r w:rsidRPr="00E620A4">
        <w:rPr>
          <w:lang w:val="en-GB"/>
        </w:rPr>
        <w:t xml:space="preserve">., 2025). </w:t>
      </w:r>
    </w:p>
    <w:p w14:paraId="6E59AF57" w14:textId="25A1912E" w:rsidR="00E620A4" w:rsidRPr="00E620A4" w:rsidRDefault="00E620A4" w:rsidP="003A438B">
      <w:pPr>
        <w:rPr>
          <w:lang w:val="en-GB"/>
        </w:rPr>
      </w:pPr>
      <w:r w:rsidRPr="00E620A4">
        <w:rPr>
          <w:lang w:val="en-GB"/>
        </w:rPr>
        <w:t>I also appreciated the connexions between my own personal threats, such as burnout and research indicators of pressures of nurses in high-demand environments, which reinforced the importance of resilience and how to manage myself. Overall, the experience showed the need to continue to build up my analysis skills and academic confidence in order to fulfil professional expectations (White, Humphreys and Oomens, 2024).</w:t>
      </w:r>
    </w:p>
    <w:p w14:paraId="01A87E51" w14:textId="77777777" w:rsidR="00E620A4" w:rsidRPr="00E620A4" w:rsidRDefault="00E620A4" w:rsidP="0081389C">
      <w:pPr>
        <w:pStyle w:val="Heading2"/>
      </w:pPr>
      <w:bookmarkStart w:id="10" w:name="_Toc214617758"/>
      <w:r w:rsidRPr="00E620A4">
        <w:t>Action</w:t>
      </w:r>
      <w:bookmarkEnd w:id="10"/>
    </w:p>
    <w:p w14:paraId="38029782" w14:textId="59364256" w:rsidR="00E620A4" w:rsidRPr="00AB1666" w:rsidRDefault="00E620A4" w:rsidP="003A438B">
      <w:r w:rsidRPr="00E620A4">
        <w:rPr>
          <w:lang w:val="en-GB"/>
        </w:rPr>
        <w:t>In order to make future presentations more effective, I would like to include a deeper critical analysis through linking my points back to academic literature and professional frameworks. This will increase my academic voice and show a better understanding of sector expectations</w:t>
      </w:r>
      <w:r w:rsidR="00AB1666">
        <w:rPr>
          <w:lang w:val="en-GB"/>
        </w:rPr>
        <w:t xml:space="preserve"> </w:t>
      </w:r>
      <w:r w:rsidR="00AB1666" w:rsidRPr="00AB1666">
        <w:t>(Golden, 2023)</w:t>
      </w:r>
      <w:r w:rsidRPr="00E620A4">
        <w:rPr>
          <w:lang w:val="en-GB"/>
        </w:rPr>
        <w:t xml:space="preserve">. Professional rehearsing more often will also support better flow and better confidence. </w:t>
      </w:r>
    </w:p>
    <w:p w14:paraId="567B24E7" w14:textId="77777777" w:rsidR="00E620A4" w:rsidRPr="00E620A4" w:rsidRDefault="00E620A4" w:rsidP="0081389C">
      <w:pPr>
        <w:rPr>
          <w:lang w:val="en-GB"/>
        </w:rPr>
      </w:pPr>
      <w:r w:rsidRPr="00E620A4">
        <w:rPr>
          <w:lang w:val="en-GB"/>
        </w:rPr>
        <w:t xml:space="preserve">To overcome my weaknesses, I will attend study skills workshops; prepare a regular study and seek regular feedback to help me study and improve my writing and time management. As the role of leadership is becoming an increasingly important aspect of nursing, I would like to develop as a leader by seeking progression through for example group projects or mentoring schemes (Shen and Tucker, 2024). </w:t>
      </w:r>
    </w:p>
    <w:p w14:paraId="4D438C95" w14:textId="2A7E6552" w:rsidR="00E620A4" w:rsidRPr="00E620A4" w:rsidRDefault="00E620A4" w:rsidP="0081389C">
      <w:pPr>
        <w:pStyle w:val="Heading1"/>
        <w:numPr>
          <w:ilvl w:val="0"/>
          <w:numId w:val="0"/>
        </w:numPr>
        <w:ind w:left="432" w:hanging="432"/>
      </w:pPr>
      <w:bookmarkStart w:id="11" w:name="_Toc214617759"/>
      <w:r w:rsidRPr="00E620A4">
        <w:t>Conclusion</w:t>
      </w:r>
      <w:bookmarkEnd w:id="11"/>
    </w:p>
    <w:p w14:paraId="337501BA" w14:textId="77777777" w:rsidR="00E620A4" w:rsidRPr="00E620A4" w:rsidRDefault="00E620A4" w:rsidP="0081389C">
      <w:pPr>
        <w:rPr>
          <w:lang w:val="en-GB"/>
        </w:rPr>
      </w:pPr>
      <w:r w:rsidRPr="00E620A4">
        <w:rPr>
          <w:lang w:val="en-GB"/>
        </w:rPr>
        <w:t>In conclusion, ongoing reflection and targeted development will strengthen my nursing practice. By focusing on key areas like clinical decision-making, medication safety, and resilience, I aim to improve my skills and provide high-quality, compassionate care.</w:t>
      </w:r>
    </w:p>
    <w:p w14:paraId="171E31A6" w14:textId="77777777" w:rsidR="003A438B" w:rsidRDefault="003A438B">
      <w:pPr>
        <w:spacing w:line="278" w:lineRule="auto"/>
        <w:jc w:val="left"/>
        <w:rPr>
          <w:rFonts w:eastAsiaTheme="majorEastAsia" w:cstheme="majorBidi"/>
          <w:b/>
          <w:color w:val="1F4E79" w:themeColor="accent5" w:themeShade="80"/>
          <w:sz w:val="28"/>
          <w:szCs w:val="40"/>
        </w:rPr>
      </w:pPr>
      <w:r>
        <w:br w:type="page"/>
      </w:r>
    </w:p>
    <w:p w14:paraId="10F059E6" w14:textId="7F9BCD41" w:rsidR="0081389C" w:rsidRDefault="00E620A4" w:rsidP="003A438B">
      <w:pPr>
        <w:pStyle w:val="Heading1"/>
        <w:numPr>
          <w:ilvl w:val="0"/>
          <w:numId w:val="0"/>
        </w:numPr>
      </w:pPr>
      <w:bookmarkStart w:id="12" w:name="_Toc214617760"/>
      <w:r w:rsidRPr="00E620A4">
        <w:lastRenderedPageBreak/>
        <w:t>References</w:t>
      </w:r>
      <w:bookmarkEnd w:id="1"/>
      <w:bookmarkEnd w:id="12"/>
    </w:p>
    <w:p w14:paraId="21069B02" w14:textId="77777777" w:rsidR="00010ACD" w:rsidRPr="00010ACD" w:rsidRDefault="00010ACD" w:rsidP="00010ACD">
      <w:pPr>
        <w:jc w:val="left"/>
        <w:rPr>
          <w:rFonts w:cs="Arial"/>
          <w:color w:val="0D0D0D" w:themeColor="text1" w:themeTint="F2"/>
        </w:rPr>
      </w:pPr>
      <w:r w:rsidRPr="00010ACD">
        <w:rPr>
          <w:rFonts w:cs="Arial"/>
          <w:color w:val="0D0D0D" w:themeColor="text1" w:themeTint="F2"/>
          <w:lang w:val="nl-NL"/>
        </w:rPr>
        <w:t xml:space="preserve">Conte, S.L. et al. </w:t>
      </w:r>
      <w:r w:rsidRPr="00010ACD">
        <w:rPr>
          <w:rFonts w:cs="Arial"/>
          <w:color w:val="0D0D0D" w:themeColor="text1" w:themeTint="F2"/>
        </w:rPr>
        <w:t xml:space="preserve">(2025) ‘Development and Validation of a NEWS2-Enhanced Multivariable Prediction Model for Clinical Deterioration and In-Hospital Mortality in Hospitalized Adults’, </w:t>
      </w:r>
      <w:r w:rsidRPr="00010ACD">
        <w:rPr>
          <w:rFonts w:cs="Arial"/>
          <w:i/>
          <w:iCs/>
          <w:color w:val="0D0D0D" w:themeColor="text1" w:themeTint="F2"/>
        </w:rPr>
        <w:t>Medicina</w:t>
      </w:r>
      <w:r w:rsidRPr="00010ACD">
        <w:rPr>
          <w:rFonts w:cs="Arial"/>
          <w:color w:val="0D0D0D" w:themeColor="text1" w:themeTint="F2"/>
        </w:rPr>
        <w:t xml:space="preserve">, 61(9), p. 1543. Available at: </w:t>
      </w:r>
      <w:hyperlink r:id="rId9" w:tgtFrame="_new" w:history="1">
        <w:r w:rsidRPr="00010ACD">
          <w:rPr>
            <w:rStyle w:val="Hyperlink"/>
            <w:rFonts w:cs="Arial"/>
            <w:color w:val="0D0D0D" w:themeColor="text1" w:themeTint="F2"/>
            <w:u w:val="none"/>
          </w:rPr>
          <w:t>https://doi.org/10.3390/medicina61091543</w:t>
        </w:r>
      </w:hyperlink>
      <w:r w:rsidRPr="00010ACD">
        <w:rPr>
          <w:rFonts w:cs="Arial"/>
          <w:color w:val="0D0D0D" w:themeColor="text1" w:themeTint="F2"/>
        </w:rPr>
        <w:t>.</w:t>
      </w:r>
    </w:p>
    <w:p w14:paraId="1575605D" w14:textId="77777777" w:rsidR="00010ACD" w:rsidRPr="00010ACD" w:rsidRDefault="00010ACD" w:rsidP="00010ACD">
      <w:pPr>
        <w:jc w:val="left"/>
        <w:rPr>
          <w:rFonts w:cs="Arial"/>
          <w:color w:val="0D0D0D" w:themeColor="text1" w:themeTint="F2"/>
        </w:rPr>
      </w:pPr>
      <w:r w:rsidRPr="00010ACD">
        <w:rPr>
          <w:rFonts w:cs="Arial"/>
          <w:color w:val="0D0D0D" w:themeColor="text1" w:themeTint="F2"/>
        </w:rPr>
        <w:t xml:space="preserve">Duffy, A., Browne, F. and Connolly, M. (2024) ‘Safeguarding adults: A concept analysis’, </w:t>
      </w:r>
      <w:r w:rsidRPr="00010ACD">
        <w:rPr>
          <w:rFonts w:cs="Arial"/>
          <w:i/>
          <w:iCs/>
          <w:color w:val="0D0D0D" w:themeColor="text1" w:themeTint="F2"/>
        </w:rPr>
        <w:t>Journal of Advanced Nursing</w:t>
      </w:r>
      <w:r w:rsidRPr="00010ACD">
        <w:rPr>
          <w:rFonts w:cs="Arial"/>
          <w:color w:val="0D0D0D" w:themeColor="text1" w:themeTint="F2"/>
        </w:rPr>
        <w:t>, 81(1), pp. 181–197.</w:t>
      </w:r>
    </w:p>
    <w:p w14:paraId="52FE91F2" w14:textId="77777777" w:rsidR="00010ACD" w:rsidRPr="00010ACD" w:rsidRDefault="00010ACD" w:rsidP="00010ACD">
      <w:pPr>
        <w:jc w:val="left"/>
        <w:rPr>
          <w:rFonts w:cs="Arial"/>
          <w:color w:val="0D0D0D" w:themeColor="text1" w:themeTint="F2"/>
        </w:rPr>
      </w:pPr>
      <w:r w:rsidRPr="00010ACD">
        <w:rPr>
          <w:rFonts w:cs="Arial"/>
          <w:color w:val="0D0D0D" w:themeColor="text1" w:themeTint="F2"/>
        </w:rPr>
        <w:t xml:space="preserve">Franklin, C.M. et al. (2015) ‘Interprofessional teamwork and collaboration between community health workers and healthcare teams’, </w:t>
      </w:r>
      <w:r w:rsidRPr="00010ACD">
        <w:rPr>
          <w:rFonts w:cs="Arial"/>
          <w:i/>
          <w:iCs/>
          <w:color w:val="0D0D0D" w:themeColor="text1" w:themeTint="F2"/>
        </w:rPr>
        <w:t>Health Services Research and Managerial Epidemiology</w:t>
      </w:r>
      <w:r w:rsidRPr="00010ACD">
        <w:rPr>
          <w:rFonts w:cs="Arial"/>
          <w:color w:val="0D0D0D" w:themeColor="text1" w:themeTint="F2"/>
        </w:rPr>
        <w:t xml:space="preserve">, 2(2). Available at: </w:t>
      </w:r>
      <w:hyperlink r:id="rId10" w:tgtFrame="_new" w:history="1">
        <w:r w:rsidRPr="00010ACD">
          <w:rPr>
            <w:rStyle w:val="Hyperlink"/>
            <w:rFonts w:cs="Arial"/>
            <w:color w:val="0D0D0D" w:themeColor="text1" w:themeTint="F2"/>
            <w:u w:val="none"/>
          </w:rPr>
          <w:t>https://doi.org/10.1177/2333392815573312</w:t>
        </w:r>
      </w:hyperlink>
      <w:r w:rsidRPr="00010ACD">
        <w:rPr>
          <w:rFonts w:cs="Arial"/>
          <w:color w:val="0D0D0D" w:themeColor="text1" w:themeTint="F2"/>
        </w:rPr>
        <w:t>.</w:t>
      </w:r>
    </w:p>
    <w:p w14:paraId="0B31D9AB" w14:textId="77777777" w:rsidR="00010ACD" w:rsidRPr="00010ACD" w:rsidRDefault="00010ACD" w:rsidP="00010ACD">
      <w:pPr>
        <w:jc w:val="left"/>
        <w:rPr>
          <w:rFonts w:cs="Arial"/>
          <w:color w:val="0D0D0D" w:themeColor="text1" w:themeTint="F2"/>
        </w:rPr>
      </w:pPr>
      <w:r w:rsidRPr="00010ACD">
        <w:rPr>
          <w:rFonts w:cs="Arial"/>
          <w:color w:val="0D0D0D" w:themeColor="text1" w:themeTint="F2"/>
        </w:rPr>
        <w:t xml:space="preserve">Gibbs, G. (1988) </w:t>
      </w:r>
      <w:r w:rsidRPr="00010ACD">
        <w:rPr>
          <w:rFonts w:cs="Arial"/>
          <w:i/>
          <w:iCs/>
          <w:color w:val="0D0D0D" w:themeColor="text1" w:themeTint="F2"/>
        </w:rPr>
        <w:t>Learning by Doing</w:t>
      </w:r>
      <w:r w:rsidRPr="00010ACD">
        <w:rPr>
          <w:rFonts w:cs="Arial"/>
          <w:color w:val="0D0D0D" w:themeColor="text1" w:themeTint="F2"/>
        </w:rPr>
        <w:t>. Oxford: Oxford Brookes University.</w:t>
      </w:r>
    </w:p>
    <w:p w14:paraId="1278260D" w14:textId="77777777" w:rsidR="00010ACD" w:rsidRPr="00010ACD" w:rsidRDefault="00010ACD" w:rsidP="00010ACD">
      <w:pPr>
        <w:jc w:val="left"/>
        <w:rPr>
          <w:rFonts w:cs="Arial"/>
          <w:color w:val="0D0D0D" w:themeColor="text1" w:themeTint="F2"/>
        </w:rPr>
      </w:pPr>
      <w:r w:rsidRPr="00010ACD">
        <w:rPr>
          <w:rFonts w:cs="Arial"/>
          <w:color w:val="0D0D0D" w:themeColor="text1" w:themeTint="F2"/>
        </w:rPr>
        <w:t xml:space="preserve">Golden, B. (2023) ‘Enabling critical thinking development in higher education through the use of a structured planning tool’, </w:t>
      </w:r>
      <w:r w:rsidRPr="00010ACD">
        <w:rPr>
          <w:rFonts w:cs="Arial"/>
          <w:i/>
          <w:iCs/>
          <w:color w:val="0D0D0D" w:themeColor="text1" w:themeTint="F2"/>
        </w:rPr>
        <w:t>Irish Educational Studies</w:t>
      </w:r>
      <w:r w:rsidRPr="00010ACD">
        <w:rPr>
          <w:rFonts w:cs="Arial"/>
          <w:color w:val="0D0D0D" w:themeColor="text1" w:themeTint="F2"/>
        </w:rPr>
        <w:t xml:space="preserve">, 42(4), pp. 1–21. Available at: </w:t>
      </w:r>
      <w:hyperlink r:id="rId11" w:tgtFrame="_new" w:history="1">
        <w:r w:rsidRPr="00010ACD">
          <w:rPr>
            <w:rStyle w:val="Hyperlink"/>
            <w:rFonts w:cs="Arial"/>
            <w:color w:val="0D0D0D" w:themeColor="text1" w:themeTint="F2"/>
            <w:u w:val="none"/>
          </w:rPr>
          <w:t>https://doi.org/10.1080/03323315.2023.2258497</w:t>
        </w:r>
      </w:hyperlink>
      <w:r w:rsidRPr="00010ACD">
        <w:rPr>
          <w:rFonts w:cs="Arial"/>
          <w:color w:val="0D0D0D" w:themeColor="text1" w:themeTint="F2"/>
        </w:rPr>
        <w:t>.</w:t>
      </w:r>
    </w:p>
    <w:p w14:paraId="26588BA7" w14:textId="77777777" w:rsidR="00010ACD" w:rsidRPr="00010ACD" w:rsidRDefault="00010ACD" w:rsidP="00010ACD">
      <w:pPr>
        <w:jc w:val="left"/>
        <w:rPr>
          <w:rFonts w:cs="Arial"/>
          <w:color w:val="0D0D0D" w:themeColor="text1" w:themeTint="F2"/>
        </w:rPr>
      </w:pPr>
      <w:r w:rsidRPr="00010ACD">
        <w:rPr>
          <w:rFonts w:cs="Arial"/>
          <w:color w:val="0D0D0D" w:themeColor="text1" w:themeTint="F2"/>
        </w:rPr>
        <w:t xml:space="preserve">Hofmeyer, A., Taylor, R. and Kennedy, K. (2020) ‘Knowledge for nurses to better care for themselves so they can better care for others during the Covid-19 pandemic and beyond’, </w:t>
      </w:r>
      <w:r w:rsidRPr="00010ACD">
        <w:rPr>
          <w:rFonts w:cs="Arial"/>
          <w:i/>
          <w:iCs/>
          <w:color w:val="0D0D0D" w:themeColor="text1" w:themeTint="F2"/>
        </w:rPr>
        <w:t>Nurse Education Today</w:t>
      </w:r>
      <w:r w:rsidRPr="00010ACD">
        <w:rPr>
          <w:rFonts w:cs="Arial"/>
          <w:color w:val="0D0D0D" w:themeColor="text1" w:themeTint="F2"/>
        </w:rPr>
        <w:t xml:space="preserve">, 94, p. 104503. Available at: </w:t>
      </w:r>
      <w:hyperlink r:id="rId12" w:tgtFrame="_new" w:history="1">
        <w:r w:rsidRPr="00010ACD">
          <w:rPr>
            <w:rStyle w:val="Hyperlink"/>
            <w:rFonts w:cs="Arial"/>
            <w:color w:val="0D0D0D" w:themeColor="text1" w:themeTint="F2"/>
            <w:u w:val="none"/>
          </w:rPr>
          <w:t>https://doi.org/10.1016/j.nedt.2020.10450</w:t>
        </w:r>
      </w:hyperlink>
      <w:r w:rsidRPr="00010ACD">
        <w:rPr>
          <w:rFonts w:cs="Arial"/>
          <w:color w:val="0D0D0D" w:themeColor="text1" w:themeTint="F2"/>
        </w:rPr>
        <w:t>.</w:t>
      </w:r>
    </w:p>
    <w:p w14:paraId="2DF251B9" w14:textId="77777777" w:rsidR="00010ACD" w:rsidRPr="00010ACD" w:rsidRDefault="00010ACD" w:rsidP="00010ACD">
      <w:pPr>
        <w:jc w:val="left"/>
        <w:rPr>
          <w:rFonts w:cs="Arial"/>
          <w:color w:val="0D0D0D" w:themeColor="text1" w:themeTint="F2"/>
        </w:rPr>
      </w:pPr>
      <w:r w:rsidRPr="00010ACD">
        <w:rPr>
          <w:rFonts w:cs="Arial"/>
          <w:color w:val="0D0D0D" w:themeColor="text1" w:themeTint="F2"/>
        </w:rPr>
        <w:t xml:space="preserve">Huseboe, S.E., O’Regan, S. and Nestel, D. (2015) ‘Reflective practice and its role in simulation’, </w:t>
      </w:r>
      <w:r w:rsidRPr="00010ACD">
        <w:rPr>
          <w:rFonts w:cs="Arial"/>
          <w:i/>
          <w:iCs/>
          <w:color w:val="0D0D0D" w:themeColor="text1" w:themeTint="F2"/>
        </w:rPr>
        <w:t>Clinical Simulation in Nursing</w:t>
      </w:r>
      <w:r w:rsidRPr="00010ACD">
        <w:rPr>
          <w:rFonts w:cs="Arial"/>
          <w:color w:val="0D0D0D" w:themeColor="text1" w:themeTint="F2"/>
        </w:rPr>
        <w:t xml:space="preserve">, 11(8), pp. 368–375. Available at: </w:t>
      </w:r>
      <w:hyperlink r:id="rId13" w:tgtFrame="_new" w:history="1">
        <w:r w:rsidRPr="00010ACD">
          <w:rPr>
            <w:rStyle w:val="Hyperlink"/>
            <w:rFonts w:cs="Arial"/>
            <w:color w:val="0D0D0D" w:themeColor="text1" w:themeTint="F2"/>
            <w:u w:val="none"/>
          </w:rPr>
          <w:t>https://doi.org/10.1016/j.ecns.2015.04.005</w:t>
        </w:r>
      </w:hyperlink>
      <w:r w:rsidRPr="00010ACD">
        <w:rPr>
          <w:rFonts w:cs="Arial"/>
          <w:color w:val="0D0D0D" w:themeColor="text1" w:themeTint="F2"/>
        </w:rPr>
        <w:t>.</w:t>
      </w:r>
    </w:p>
    <w:p w14:paraId="4435E7B2" w14:textId="77777777" w:rsidR="00010ACD" w:rsidRPr="00010ACD" w:rsidRDefault="00010ACD" w:rsidP="00010ACD">
      <w:pPr>
        <w:jc w:val="left"/>
        <w:rPr>
          <w:rFonts w:cs="Arial"/>
          <w:color w:val="0D0D0D" w:themeColor="text1" w:themeTint="F2"/>
        </w:rPr>
      </w:pPr>
      <w:r w:rsidRPr="00010ACD">
        <w:rPr>
          <w:rFonts w:cs="Arial"/>
          <w:color w:val="0D0D0D" w:themeColor="text1" w:themeTint="F2"/>
        </w:rPr>
        <w:t xml:space="preserve">Jafaru, Y. and Abubakar, D. (2022) ‘Medication administration safety practices and perceived barriers among nurses: A cross-sectional study in Northern Nigeria’, </w:t>
      </w:r>
      <w:r w:rsidRPr="00010ACD">
        <w:rPr>
          <w:rFonts w:cs="Arial"/>
          <w:i/>
          <w:iCs/>
          <w:color w:val="0D0D0D" w:themeColor="text1" w:themeTint="F2"/>
        </w:rPr>
        <w:t>Global Journal on Quality and Safety in Healthcare</w:t>
      </w:r>
      <w:r w:rsidRPr="00010ACD">
        <w:rPr>
          <w:rFonts w:cs="Arial"/>
          <w:color w:val="0D0D0D" w:themeColor="text1" w:themeTint="F2"/>
        </w:rPr>
        <w:t xml:space="preserve">, 5(1), pp. 10–17. Available at: </w:t>
      </w:r>
      <w:hyperlink r:id="rId14" w:tgtFrame="_new" w:history="1">
        <w:r w:rsidRPr="00010ACD">
          <w:rPr>
            <w:rStyle w:val="Hyperlink"/>
            <w:rFonts w:cs="Arial"/>
            <w:color w:val="0D0D0D" w:themeColor="text1" w:themeTint="F2"/>
            <w:u w:val="none"/>
          </w:rPr>
          <w:t>https://doi.org/10.36401/jqsh-21-11</w:t>
        </w:r>
      </w:hyperlink>
      <w:r w:rsidRPr="00010ACD">
        <w:rPr>
          <w:rFonts w:cs="Arial"/>
          <w:color w:val="0D0D0D" w:themeColor="text1" w:themeTint="F2"/>
        </w:rPr>
        <w:t>.</w:t>
      </w:r>
    </w:p>
    <w:p w14:paraId="6306680F" w14:textId="77777777" w:rsidR="00010ACD" w:rsidRPr="00010ACD" w:rsidRDefault="00010ACD" w:rsidP="00010ACD">
      <w:pPr>
        <w:jc w:val="left"/>
        <w:rPr>
          <w:rFonts w:cs="Arial"/>
          <w:color w:val="0D0D0D" w:themeColor="text1" w:themeTint="F2"/>
        </w:rPr>
      </w:pPr>
      <w:r w:rsidRPr="00010ACD">
        <w:rPr>
          <w:rFonts w:cs="Arial"/>
          <w:color w:val="0D0D0D" w:themeColor="text1" w:themeTint="F2"/>
        </w:rPr>
        <w:t xml:space="preserve">Lange, S., Heyns, T. and </w:t>
      </w:r>
      <w:proofErr w:type="spellStart"/>
      <w:r w:rsidRPr="00010ACD">
        <w:rPr>
          <w:rFonts w:cs="Arial"/>
          <w:color w:val="0D0D0D" w:themeColor="text1" w:themeTint="F2"/>
        </w:rPr>
        <w:t>Filmalter</w:t>
      </w:r>
      <w:proofErr w:type="spellEnd"/>
      <w:r w:rsidRPr="00010ACD">
        <w:rPr>
          <w:rFonts w:cs="Arial"/>
          <w:color w:val="0D0D0D" w:themeColor="text1" w:themeTint="F2"/>
        </w:rPr>
        <w:t xml:space="preserve">, C. (2024) ‘A concept analysis of person-centred handover practices: The meaning in emergency departments’, </w:t>
      </w:r>
      <w:r w:rsidRPr="00010ACD">
        <w:rPr>
          <w:rFonts w:cs="Arial"/>
          <w:i/>
          <w:iCs/>
          <w:color w:val="0D0D0D" w:themeColor="text1" w:themeTint="F2"/>
        </w:rPr>
        <w:t>International Emergency Nursing</w:t>
      </w:r>
      <w:r w:rsidRPr="00010ACD">
        <w:rPr>
          <w:rFonts w:cs="Arial"/>
          <w:color w:val="0D0D0D" w:themeColor="text1" w:themeTint="F2"/>
        </w:rPr>
        <w:t xml:space="preserve">, 74(1), pp. 101446–101446. Available at: </w:t>
      </w:r>
      <w:hyperlink r:id="rId15" w:tgtFrame="_new" w:history="1">
        <w:r w:rsidRPr="00010ACD">
          <w:rPr>
            <w:rStyle w:val="Hyperlink"/>
            <w:rFonts w:cs="Arial"/>
            <w:color w:val="0D0D0D" w:themeColor="text1" w:themeTint="F2"/>
            <w:u w:val="none"/>
          </w:rPr>
          <w:t>https://doi.org/10.1016/j.ienj.2024.101446</w:t>
        </w:r>
      </w:hyperlink>
      <w:r w:rsidRPr="00010ACD">
        <w:rPr>
          <w:rFonts w:cs="Arial"/>
          <w:color w:val="0D0D0D" w:themeColor="text1" w:themeTint="F2"/>
        </w:rPr>
        <w:t>.</w:t>
      </w:r>
    </w:p>
    <w:p w14:paraId="07D303D5" w14:textId="77777777" w:rsidR="00010ACD" w:rsidRPr="00010ACD" w:rsidRDefault="00010ACD" w:rsidP="00010ACD">
      <w:pPr>
        <w:jc w:val="left"/>
        <w:rPr>
          <w:rFonts w:cs="Arial"/>
          <w:color w:val="0D0D0D" w:themeColor="text1" w:themeTint="F2"/>
        </w:rPr>
      </w:pPr>
      <w:r w:rsidRPr="00010ACD">
        <w:rPr>
          <w:rFonts w:cs="Arial"/>
          <w:color w:val="0D0D0D" w:themeColor="text1" w:themeTint="F2"/>
        </w:rPr>
        <w:lastRenderedPageBreak/>
        <w:t xml:space="preserve">McLaney, E. et al. (2022) ‘A framework for interprofessional team collaboration in a hospital setting: Advancing team competencies and </w:t>
      </w:r>
      <w:proofErr w:type="spellStart"/>
      <w:r w:rsidRPr="00010ACD">
        <w:rPr>
          <w:rFonts w:cs="Arial"/>
          <w:color w:val="0D0D0D" w:themeColor="text1" w:themeTint="F2"/>
        </w:rPr>
        <w:t>behaviours</w:t>
      </w:r>
      <w:proofErr w:type="spellEnd"/>
      <w:r w:rsidRPr="00010ACD">
        <w:rPr>
          <w:rFonts w:cs="Arial"/>
          <w:color w:val="0D0D0D" w:themeColor="text1" w:themeTint="F2"/>
        </w:rPr>
        <w:t xml:space="preserve">’, </w:t>
      </w:r>
      <w:r w:rsidRPr="00010ACD">
        <w:rPr>
          <w:rFonts w:cs="Arial"/>
          <w:i/>
          <w:iCs/>
          <w:color w:val="0D0D0D" w:themeColor="text1" w:themeTint="F2"/>
        </w:rPr>
        <w:t>Healthcare Management Forum</w:t>
      </w:r>
      <w:r w:rsidRPr="00010ACD">
        <w:rPr>
          <w:rFonts w:cs="Arial"/>
          <w:color w:val="0D0D0D" w:themeColor="text1" w:themeTint="F2"/>
        </w:rPr>
        <w:t xml:space="preserve">, 35(2), pp. 112–117. Available at: </w:t>
      </w:r>
      <w:hyperlink r:id="rId16" w:tgtFrame="_new" w:history="1">
        <w:r w:rsidRPr="00010ACD">
          <w:rPr>
            <w:rStyle w:val="Hyperlink"/>
            <w:rFonts w:cs="Arial"/>
            <w:color w:val="0D0D0D" w:themeColor="text1" w:themeTint="F2"/>
            <w:u w:val="none"/>
          </w:rPr>
          <w:t>https://doi.org/10.1177/08404704211063584</w:t>
        </w:r>
      </w:hyperlink>
      <w:r w:rsidRPr="00010ACD">
        <w:rPr>
          <w:rFonts w:cs="Arial"/>
          <w:color w:val="0D0D0D" w:themeColor="text1" w:themeTint="F2"/>
        </w:rPr>
        <w:t>.</w:t>
      </w:r>
    </w:p>
    <w:p w14:paraId="4546C9EF" w14:textId="77777777" w:rsidR="00010ACD" w:rsidRPr="00010ACD" w:rsidRDefault="00010ACD" w:rsidP="00010ACD">
      <w:pPr>
        <w:jc w:val="left"/>
        <w:rPr>
          <w:rFonts w:cs="Arial"/>
          <w:color w:val="0D0D0D" w:themeColor="text1" w:themeTint="F2"/>
        </w:rPr>
      </w:pPr>
      <w:r w:rsidRPr="00010ACD">
        <w:rPr>
          <w:rFonts w:cs="Arial"/>
          <w:color w:val="0D0D0D" w:themeColor="text1" w:themeTint="F2"/>
        </w:rPr>
        <w:t xml:space="preserve">Moon, J.A. (2013) </w:t>
      </w:r>
      <w:r w:rsidRPr="00010ACD">
        <w:rPr>
          <w:rFonts w:cs="Arial"/>
          <w:i/>
          <w:iCs/>
          <w:color w:val="0D0D0D" w:themeColor="text1" w:themeTint="F2"/>
        </w:rPr>
        <w:t>Reflection in Learning and Professional Development</w:t>
      </w:r>
      <w:r w:rsidRPr="00010ACD">
        <w:rPr>
          <w:rFonts w:cs="Arial"/>
          <w:color w:val="0D0D0D" w:themeColor="text1" w:themeTint="F2"/>
        </w:rPr>
        <w:t xml:space="preserve">. London: Routledge. Available at: </w:t>
      </w:r>
      <w:hyperlink r:id="rId17" w:tgtFrame="_new" w:history="1">
        <w:r w:rsidRPr="00010ACD">
          <w:rPr>
            <w:rStyle w:val="Hyperlink"/>
            <w:rFonts w:cs="Arial"/>
            <w:color w:val="0D0D0D" w:themeColor="text1" w:themeTint="F2"/>
            <w:u w:val="none"/>
          </w:rPr>
          <w:t>https://doi.org/10.4324/9780203822296</w:t>
        </w:r>
      </w:hyperlink>
      <w:r w:rsidRPr="00010ACD">
        <w:rPr>
          <w:rFonts w:cs="Arial"/>
          <w:color w:val="0D0D0D" w:themeColor="text1" w:themeTint="F2"/>
        </w:rPr>
        <w:t>.</w:t>
      </w:r>
    </w:p>
    <w:p w14:paraId="47BDC192" w14:textId="77777777" w:rsidR="00010ACD" w:rsidRPr="00010ACD" w:rsidRDefault="00010ACD" w:rsidP="00010ACD">
      <w:pPr>
        <w:jc w:val="left"/>
        <w:rPr>
          <w:rFonts w:cs="Arial"/>
          <w:color w:val="0D0D0D" w:themeColor="text1" w:themeTint="F2"/>
        </w:rPr>
      </w:pPr>
      <w:r w:rsidRPr="00010ACD">
        <w:rPr>
          <w:rFonts w:cs="Arial"/>
          <w:color w:val="0D0D0D" w:themeColor="text1" w:themeTint="F2"/>
        </w:rPr>
        <w:t>Nicol, D.J. and Macfarlane-Dick, D. (2006) ‘Formative assessment and self</w:t>
      </w:r>
      <w:r w:rsidRPr="00010ACD">
        <w:rPr>
          <w:rFonts w:ascii="Cambria Math" w:hAnsi="Cambria Math" w:cs="Cambria Math"/>
          <w:color w:val="0D0D0D" w:themeColor="text1" w:themeTint="F2"/>
        </w:rPr>
        <w:t>‐</w:t>
      </w:r>
      <w:r w:rsidRPr="00010ACD">
        <w:rPr>
          <w:rFonts w:cs="Arial"/>
          <w:color w:val="0D0D0D" w:themeColor="text1" w:themeTint="F2"/>
        </w:rPr>
        <w:t xml:space="preserve">regulated learning: A model and seven principles of good feedback practice’, </w:t>
      </w:r>
      <w:r w:rsidRPr="00010ACD">
        <w:rPr>
          <w:rFonts w:cs="Arial"/>
          <w:i/>
          <w:iCs/>
          <w:color w:val="0D0D0D" w:themeColor="text1" w:themeTint="F2"/>
        </w:rPr>
        <w:t>Studies in Higher Education</w:t>
      </w:r>
      <w:r w:rsidRPr="00010ACD">
        <w:rPr>
          <w:rFonts w:cs="Arial"/>
          <w:color w:val="0D0D0D" w:themeColor="text1" w:themeTint="F2"/>
        </w:rPr>
        <w:t xml:space="preserve">, 31(2), pp. 199–218. Available at: </w:t>
      </w:r>
      <w:hyperlink r:id="rId18" w:tgtFrame="_new" w:history="1">
        <w:r w:rsidRPr="00010ACD">
          <w:rPr>
            <w:rStyle w:val="Hyperlink"/>
            <w:rFonts w:cs="Arial"/>
            <w:color w:val="0D0D0D" w:themeColor="text1" w:themeTint="F2"/>
            <w:u w:val="none"/>
          </w:rPr>
          <w:t>https://doi.org/10.1080/03075070600572090</w:t>
        </w:r>
      </w:hyperlink>
      <w:r w:rsidRPr="00010ACD">
        <w:rPr>
          <w:rFonts w:cs="Arial"/>
          <w:color w:val="0D0D0D" w:themeColor="text1" w:themeTint="F2"/>
        </w:rPr>
        <w:t>.</w:t>
      </w:r>
    </w:p>
    <w:p w14:paraId="55B7DF85" w14:textId="77777777" w:rsidR="00010ACD" w:rsidRPr="00010ACD" w:rsidRDefault="00010ACD" w:rsidP="00010ACD">
      <w:pPr>
        <w:jc w:val="left"/>
        <w:rPr>
          <w:rFonts w:cs="Arial"/>
          <w:color w:val="0D0D0D" w:themeColor="text1" w:themeTint="F2"/>
        </w:rPr>
      </w:pPr>
      <w:r w:rsidRPr="00010ACD">
        <w:rPr>
          <w:rFonts w:cs="Arial"/>
          <w:color w:val="0D0D0D" w:themeColor="text1" w:themeTint="F2"/>
        </w:rPr>
        <w:t xml:space="preserve">Rahmah, N.M., </w:t>
      </w:r>
      <w:proofErr w:type="spellStart"/>
      <w:r w:rsidRPr="00010ACD">
        <w:rPr>
          <w:rFonts w:cs="Arial"/>
          <w:color w:val="0D0D0D" w:themeColor="text1" w:themeTint="F2"/>
        </w:rPr>
        <w:t>Hariyati</w:t>
      </w:r>
      <w:proofErr w:type="spellEnd"/>
      <w:r w:rsidRPr="00010ACD">
        <w:rPr>
          <w:rFonts w:cs="Arial"/>
          <w:color w:val="0D0D0D" w:themeColor="text1" w:themeTint="F2"/>
        </w:rPr>
        <w:t xml:space="preserve">, T.S. and Sahar, J. (2021) ‘Nurses’ efforts to maintain competence: A qualitative study’, </w:t>
      </w:r>
      <w:r w:rsidRPr="00010ACD">
        <w:rPr>
          <w:rFonts w:cs="Arial"/>
          <w:i/>
          <w:iCs/>
          <w:color w:val="0D0D0D" w:themeColor="text1" w:themeTint="F2"/>
        </w:rPr>
        <w:t>Journal of Public Health Research</w:t>
      </w:r>
      <w:r w:rsidRPr="00010ACD">
        <w:rPr>
          <w:rFonts w:cs="Arial"/>
          <w:color w:val="0D0D0D" w:themeColor="text1" w:themeTint="F2"/>
        </w:rPr>
        <w:t xml:space="preserve">, 11(2), p. 2736. Available at: </w:t>
      </w:r>
      <w:hyperlink r:id="rId19" w:tgtFrame="_new" w:history="1">
        <w:r w:rsidRPr="00010ACD">
          <w:rPr>
            <w:rStyle w:val="Hyperlink"/>
            <w:rFonts w:cs="Arial"/>
            <w:color w:val="0D0D0D" w:themeColor="text1" w:themeTint="F2"/>
            <w:u w:val="none"/>
          </w:rPr>
          <w:t>https://doi.org/10.4081/jphr.2021.2736</w:t>
        </w:r>
      </w:hyperlink>
      <w:r w:rsidRPr="00010ACD">
        <w:rPr>
          <w:rFonts w:cs="Arial"/>
          <w:color w:val="0D0D0D" w:themeColor="text1" w:themeTint="F2"/>
        </w:rPr>
        <w:t>.</w:t>
      </w:r>
    </w:p>
    <w:p w14:paraId="0A06D739" w14:textId="77777777" w:rsidR="00010ACD" w:rsidRPr="00010ACD" w:rsidRDefault="00010ACD" w:rsidP="00010ACD">
      <w:pPr>
        <w:jc w:val="left"/>
        <w:rPr>
          <w:rFonts w:cs="Arial"/>
          <w:color w:val="0D0D0D" w:themeColor="text1" w:themeTint="F2"/>
        </w:rPr>
      </w:pPr>
      <w:r w:rsidRPr="00010ACD">
        <w:rPr>
          <w:rFonts w:cs="Arial"/>
          <w:color w:val="0D0D0D" w:themeColor="text1" w:themeTint="F2"/>
        </w:rPr>
        <w:t xml:space="preserve">Schnelli, A. et al. (2023) ‘A bachelor’s degree for entering the nursing profession: A scoping review for supporting informed health care policies’, </w:t>
      </w:r>
      <w:r w:rsidRPr="00010ACD">
        <w:rPr>
          <w:rFonts w:cs="Arial"/>
          <w:i/>
          <w:iCs/>
          <w:color w:val="0D0D0D" w:themeColor="text1" w:themeTint="F2"/>
        </w:rPr>
        <w:t>International Journal of Nursing Studies Advances</w:t>
      </w:r>
      <w:r w:rsidRPr="00010ACD">
        <w:rPr>
          <w:rFonts w:cs="Arial"/>
          <w:color w:val="0D0D0D" w:themeColor="text1" w:themeTint="F2"/>
        </w:rPr>
        <w:t xml:space="preserve">, 6, p. 100171. Available at: </w:t>
      </w:r>
      <w:hyperlink r:id="rId20" w:tgtFrame="_new" w:history="1">
        <w:r w:rsidRPr="00010ACD">
          <w:rPr>
            <w:rStyle w:val="Hyperlink"/>
            <w:rFonts w:cs="Arial"/>
            <w:color w:val="0D0D0D" w:themeColor="text1" w:themeTint="F2"/>
            <w:u w:val="none"/>
          </w:rPr>
          <w:t>https://doi.org/10.1016/j.ijnsa.2023.100171</w:t>
        </w:r>
      </w:hyperlink>
      <w:r w:rsidRPr="00010ACD">
        <w:rPr>
          <w:rFonts w:cs="Arial"/>
          <w:color w:val="0D0D0D" w:themeColor="text1" w:themeTint="F2"/>
        </w:rPr>
        <w:t>.</w:t>
      </w:r>
    </w:p>
    <w:p w14:paraId="437B5A62" w14:textId="77777777" w:rsidR="00010ACD" w:rsidRPr="00010ACD" w:rsidRDefault="00010ACD" w:rsidP="00010ACD">
      <w:pPr>
        <w:jc w:val="left"/>
        <w:rPr>
          <w:rFonts w:cs="Arial"/>
          <w:color w:val="0D0D0D" w:themeColor="text1" w:themeTint="F2"/>
        </w:rPr>
      </w:pPr>
      <w:r w:rsidRPr="00010ACD">
        <w:rPr>
          <w:rFonts w:cs="Arial"/>
          <w:color w:val="0D0D0D" w:themeColor="text1" w:themeTint="F2"/>
        </w:rPr>
        <w:t xml:space="preserve">Sharma, N. and Gupta, V. (2023) </w:t>
      </w:r>
      <w:r w:rsidRPr="00010ACD">
        <w:rPr>
          <w:rFonts w:cs="Arial"/>
          <w:i/>
          <w:iCs/>
          <w:color w:val="0D0D0D" w:themeColor="text1" w:themeTint="F2"/>
        </w:rPr>
        <w:t>Therapeutic communication</w:t>
      </w:r>
      <w:r w:rsidRPr="00010ACD">
        <w:rPr>
          <w:rFonts w:cs="Arial"/>
          <w:color w:val="0D0D0D" w:themeColor="text1" w:themeTint="F2"/>
        </w:rPr>
        <w:t xml:space="preserve">. Treasure Island (FL): </w:t>
      </w:r>
      <w:proofErr w:type="spellStart"/>
      <w:r w:rsidRPr="00010ACD">
        <w:rPr>
          <w:rFonts w:cs="Arial"/>
          <w:color w:val="0D0D0D" w:themeColor="text1" w:themeTint="F2"/>
        </w:rPr>
        <w:t>StatPearls</w:t>
      </w:r>
      <w:proofErr w:type="spellEnd"/>
      <w:r w:rsidRPr="00010ACD">
        <w:rPr>
          <w:rFonts w:cs="Arial"/>
          <w:color w:val="0D0D0D" w:themeColor="text1" w:themeTint="F2"/>
        </w:rPr>
        <w:t xml:space="preserve"> Publishing. Available at: </w:t>
      </w:r>
      <w:hyperlink r:id="rId21" w:tgtFrame="_new" w:history="1">
        <w:r w:rsidRPr="00010ACD">
          <w:rPr>
            <w:rStyle w:val="Hyperlink"/>
            <w:rFonts w:cs="Arial"/>
            <w:color w:val="0D0D0D" w:themeColor="text1" w:themeTint="F2"/>
            <w:u w:val="none"/>
          </w:rPr>
          <w:t>https://www.ncbi.nlm.nih.gov/books/NBK567775/</w:t>
        </w:r>
      </w:hyperlink>
      <w:r w:rsidRPr="00010ACD">
        <w:rPr>
          <w:rFonts w:cs="Arial"/>
          <w:color w:val="0D0D0D" w:themeColor="text1" w:themeTint="F2"/>
        </w:rPr>
        <w:t>.</w:t>
      </w:r>
    </w:p>
    <w:p w14:paraId="6E472FAD" w14:textId="77777777" w:rsidR="00010ACD" w:rsidRPr="00010ACD" w:rsidRDefault="00010ACD" w:rsidP="00010ACD">
      <w:pPr>
        <w:jc w:val="left"/>
        <w:rPr>
          <w:rFonts w:cs="Arial"/>
          <w:color w:val="0D0D0D" w:themeColor="text1" w:themeTint="F2"/>
        </w:rPr>
      </w:pPr>
      <w:r w:rsidRPr="00010ACD">
        <w:rPr>
          <w:rFonts w:cs="Arial"/>
          <w:color w:val="0D0D0D" w:themeColor="text1" w:themeTint="F2"/>
        </w:rPr>
        <w:t xml:space="preserve">Shen, Q. and Tucker, S. (2024) ‘Fostering leadership development and growth of nurse leaders: Experiences from Midwest Nursing Research Society Leadership Academy’, </w:t>
      </w:r>
      <w:r w:rsidRPr="00010ACD">
        <w:rPr>
          <w:rFonts w:cs="Arial"/>
          <w:i/>
          <w:iCs/>
          <w:color w:val="0D0D0D" w:themeColor="text1" w:themeTint="F2"/>
        </w:rPr>
        <w:t>Nursing</w:t>
      </w:r>
      <w:r w:rsidRPr="00010ACD">
        <w:rPr>
          <w:rFonts w:cs="Arial"/>
          <w:color w:val="0D0D0D" w:themeColor="text1" w:themeTint="F2"/>
        </w:rPr>
        <w:t xml:space="preserve"> [Incomplete reference: missing volume, issue, pages. Provide details to complete].</w:t>
      </w:r>
    </w:p>
    <w:p w14:paraId="3BFCE407" w14:textId="77777777" w:rsidR="00010ACD" w:rsidRPr="00010ACD" w:rsidRDefault="00010ACD" w:rsidP="00010ACD">
      <w:pPr>
        <w:jc w:val="left"/>
        <w:rPr>
          <w:rFonts w:cs="Arial"/>
          <w:color w:val="0D0D0D" w:themeColor="text1" w:themeTint="F2"/>
        </w:rPr>
      </w:pPr>
      <w:r w:rsidRPr="00010ACD">
        <w:rPr>
          <w:rFonts w:cs="Arial"/>
          <w:color w:val="0D0D0D" w:themeColor="text1" w:themeTint="F2"/>
        </w:rPr>
        <w:t xml:space="preserve">Tariq, R. et al. (2024) </w:t>
      </w:r>
      <w:r w:rsidRPr="00010ACD">
        <w:rPr>
          <w:rFonts w:cs="Arial"/>
          <w:i/>
          <w:iCs/>
          <w:color w:val="0D0D0D" w:themeColor="text1" w:themeTint="F2"/>
        </w:rPr>
        <w:t>Medication dispensing errors and prevention</w:t>
      </w:r>
      <w:r w:rsidRPr="00010ACD">
        <w:rPr>
          <w:rFonts w:cs="Arial"/>
          <w:color w:val="0D0D0D" w:themeColor="text1" w:themeTint="F2"/>
        </w:rPr>
        <w:t xml:space="preserve">. Treasure Island (FL): </w:t>
      </w:r>
      <w:proofErr w:type="spellStart"/>
      <w:r w:rsidRPr="00010ACD">
        <w:rPr>
          <w:rFonts w:cs="Arial"/>
          <w:color w:val="0D0D0D" w:themeColor="text1" w:themeTint="F2"/>
        </w:rPr>
        <w:t>StatPearls</w:t>
      </w:r>
      <w:proofErr w:type="spellEnd"/>
      <w:r w:rsidRPr="00010ACD">
        <w:rPr>
          <w:rFonts w:cs="Arial"/>
          <w:color w:val="0D0D0D" w:themeColor="text1" w:themeTint="F2"/>
        </w:rPr>
        <w:t xml:space="preserve"> Publishing. Available at: </w:t>
      </w:r>
      <w:hyperlink r:id="rId22" w:tgtFrame="_new" w:history="1">
        <w:r w:rsidRPr="00010ACD">
          <w:rPr>
            <w:rStyle w:val="Hyperlink"/>
            <w:rFonts w:cs="Arial"/>
            <w:color w:val="0D0D0D" w:themeColor="text1" w:themeTint="F2"/>
            <w:u w:val="none"/>
          </w:rPr>
          <w:t>https://www.ncbi.nlm.nih.gov/books/NBK519065/</w:t>
        </w:r>
      </w:hyperlink>
      <w:r w:rsidRPr="00010ACD">
        <w:rPr>
          <w:rFonts w:cs="Arial"/>
          <w:color w:val="0D0D0D" w:themeColor="text1" w:themeTint="F2"/>
        </w:rPr>
        <w:t>.</w:t>
      </w:r>
    </w:p>
    <w:p w14:paraId="6FC4B4D6" w14:textId="77777777" w:rsidR="00010ACD" w:rsidRPr="00010ACD" w:rsidRDefault="00010ACD" w:rsidP="00010ACD">
      <w:pPr>
        <w:jc w:val="left"/>
        <w:rPr>
          <w:rFonts w:cs="Arial"/>
          <w:color w:val="0D0D0D" w:themeColor="text1" w:themeTint="F2"/>
        </w:rPr>
      </w:pPr>
      <w:proofErr w:type="spellStart"/>
      <w:r w:rsidRPr="00010ACD">
        <w:rPr>
          <w:rFonts w:cs="Arial"/>
          <w:color w:val="0D0D0D" w:themeColor="text1" w:themeTint="F2"/>
        </w:rPr>
        <w:t>Vamadevan</w:t>
      </w:r>
      <w:proofErr w:type="spellEnd"/>
      <w:r w:rsidRPr="00010ACD">
        <w:rPr>
          <w:rFonts w:cs="Arial"/>
          <w:color w:val="0D0D0D" w:themeColor="text1" w:themeTint="F2"/>
        </w:rPr>
        <w:t xml:space="preserve">, A. et al. (2025) ‘Challenges to nursing leadership in research and academia in the UK: A systematic narrative review’, </w:t>
      </w:r>
      <w:r w:rsidRPr="00010ACD">
        <w:rPr>
          <w:rFonts w:cs="Arial"/>
          <w:i/>
          <w:iCs/>
          <w:color w:val="0D0D0D" w:themeColor="text1" w:themeTint="F2"/>
        </w:rPr>
        <w:t>International Journal of Nursing Studies Advances</w:t>
      </w:r>
      <w:r w:rsidRPr="00010ACD">
        <w:rPr>
          <w:rFonts w:cs="Arial"/>
          <w:color w:val="0D0D0D" w:themeColor="text1" w:themeTint="F2"/>
        </w:rPr>
        <w:t xml:space="preserve">, 9, p. 100411. Available at: </w:t>
      </w:r>
      <w:hyperlink r:id="rId23" w:tgtFrame="_new" w:history="1">
        <w:r w:rsidRPr="00010ACD">
          <w:rPr>
            <w:rStyle w:val="Hyperlink"/>
            <w:rFonts w:cs="Arial"/>
            <w:color w:val="0D0D0D" w:themeColor="text1" w:themeTint="F2"/>
            <w:u w:val="none"/>
          </w:rPr>
          <w:t>https://doi.org/10.1016/j.ijnsa.2025.100411</w:t>
        </w:r>
      </w:hyperlink>
      <w:r w:rsidRPr="00010ACD">
        <w:rPr>
          <w:rFonts w:cs="Arial"/>
          <w:color w:val="0D0D0D" w:themeColor="text1" w:themeTint="F2"/>
        </w:rPr>
        <w:t>.</w:t>
      </w:r>
    </w:p>
    <w:p w14:paraId="685A5CD7" w14:textId="77777777" w:rsidR="00010ACD" w:rsidRPr="00010ACD" w:rsidRDefault="00010ACD" w:rsidP="00010ACD">
      <w:pPr>
        <w:jc w:val="left"/>
        <w:rPr>
          <w:rFonts w:cs="Arial"/>
          <w:color w:val="0D0D0D" w:themeColor="text1" w:themeTint="F2"/>
        </w:rPr>
      </w:pPr>
      <w:r w:rsidRPr="00010ACD">
        <w:rPr>
          <w:rFonts w:cs="Arial"/>
          <w:color w:val="0D0D0D" w:themeColor="text1" w:themeTint="F2"/>
        </w:rPr>
        <w:lastRenderedPageBreak/>
        <w:t>White, A., Humphreys, L. and Oomens, D. (2024) ‘Building emotional resilience to foster well</w:t>
      </w:r>
      <w:r w:rsidRPr="00010ACD">
        <w:rPr>
          <w:rFonts w:ascii="Cambria Math" w:hAnsi="Cambria Math" w:cs="Cambria Math"/>
          <w:color w:val="0D0D0D" w:themeColor="text1" w:themeTint="F2"/>
        </w:rPr>
        <w:t>‐</w:t>
      </w:r>
      <w:r w:rsidRPr="00010ACD">
        <w:rPr>
          <w:rFonts w:cs="Arial"/>
          <w:color w:val="0D0D0D" w:themeColor="text1" w:themeTint="F2"/>
        </w:rPr>
        <w:t xml:space="preserve">being by </w:t>
      </w:r>
      <w:proofErr w:type="spellStart"/>
      <w:r w:rsidRPr="00010ACD">
        <w:rPr>
          <w:rFonts w:cs="Arial"/>
          <w:color w:val="0D0D0D" w:themeColor="text1" w:themeTint="F2"/>
        </w:rPr>
        <w:t>utilising</w:t>
      </w:r>
      <w:proofErr w:type="spellEnd"/>
      <w:r w:rsidRPr="00010ACD">
        <w:rPr>
          <w:rFonts w:cs="Arial"/>
          <w:color w:val="0D0D0D" w:themeColor="text1" w:themeTint="F2"/>
        </w:rPr>
        <w:t xml:space="preserve"> reflective practice in the sonography workplace’, </w:t>
      </w:r>
      <w:r w:rsidRPr="00010ACD">
        <w:rPr>
          <w:rFonts w:cs="Arial"/>
          <w:i/>
          <w:iCs/>
          <w:color w:val="0D0D0D" w:themeColor="text1" w:themeTint="F2"/>
        </w:rPr>
        <w:t>Sonography</w:t>
      </w:r>
      <w:r w:rsidRPr="00010ACD">
        <w:rPr>
          <w:rFonts w:cs="Arial"/>
          <w:color w:val="0D0D0D" w:themeColor="text1" w:themeTint="F2"/>
        </w:rPr>
        <w:t xml:space="preserve">, 11(3). Available at: </w:t>
      </w:r>
      <w:hyperlink r:id="rId24" w:tgtFrame="_new" w:history="1">
        <w:r w:rsidRPr="00010ACD">
          <w:rPr>
            <w:rStyle w:val="Hyperlink"/>
            <w:rFonts w:cs="Arial"/>
            <w:color w:val="0D0D0D" w:themeColor="text1" w:themeTint="F2"/>
            <w:u w:val="none"/>
          </w:rPr>
          <w:t>https://doi.org/10.1002/sono.12405</w:t>
        </w:r>
      </w:hyperlink>
      <w:r w:rsidRPr="00010ACD">
        <w:rPr>
          <w:rFonts w:cs="Arial"/>
          <w:color w:val="0D0D0D" w:themeColor="text1" w:themeTint="F2"/>
        </w:rPr>
        <w:t>.</w:t>
      </w:r>
    </w:p>
    <w:p w14:paraId="6DA8A1E8" w14:textId="77777777" w:rsidR="00010ACD" w:rsidRPr="00010ACD" w:rsidRDefault="00010ACD" w:rsidP="00010ACD">
      <w:pPr>
        <w:jc w:val="left"/>
        <w:rPr>
          <w:rFonts w:cs="Arial"/>
          <w:color w:val="0D0D0D" w:themeColor="text1" w:themeTint="F2"/>
        </w:rPr>
      </w:pPr>
      <w:r w:rsidRPr="00010ACD">
        <w:rPr>
          <w:rFonts w:cs="Arial"/>
          <w:color w:val="0D0D0D" w:themeColor="text1" w:themeTint="F2"/>
        </w:rPr>
        <w:t xml:space="preserve">Whittington, R. et al. (2019) </w:t>
      </w:r>
      <w:r w:rsidRPr="00010ACD">
        <w:rPr>
          <w:rFonts w:cs="Arial"/>
          <w:i/>
          <w:iCs/>
          <w:color w:val="0D0D0D" w:themeColor="text1" w:themeTint="F2"/>
        </w:rPr>
        <w:t>Exploring Strategy</w:t>
      </w:r>
      <w:r w:rsidRPr="00010ACD">
        <w:rPr>
          <w:rFonts w:cs="Arial"/>
          <w:color w:val="0D0D0D" w:themeColor="text1" w:themeTint="F2"/>
        </w:rPr>
        <w:t xml:space="preserve">. 12th </w:t>
      </w:r>
      <w:proofErr w:type="spellStart"/>
      <w:r w:rsidRPr="00010ACD">
        <w:rPr>
          <w:rFonts w:cs="Arial"/>
          <w:color w:val="0D0D0D" w:themeColor="text1" w:themeTint="F2"/>
        </w:rPr>
        <w:t>edn</w:t>
      </w:r>
      <w:proofErr w:type="spellEnd"/>
      <w:r w:rsidRPr="00010ACD">
        <w:rPr>
          <w:rFonts w:cs="Arial"/>
          <w:color w:val="0D0D0D" w:themeColor="text1" w:themeTint="F2"/>
        </w:rPr>
        <w:t>. Hoboken: Pearson.</w:t>
      </w:r>
    </w:p>
    <w:p w14:paraId="79584082" w14:textId="77777777" w:rsidR="00010ACD" w:rsidRPr="00010ACD" w:rsidRDefault="00010ACD" w:rsidP="00B9346B">
      <w:pPr>
        <w:jc w:val="left"/>
        <w:rPr>
          <w:rFonts w:cs="Arial"/>
          <w:color w:val="0D0D0D" w:themeColor="text1" w:themeTint="F2"/>
        </w:rPr>
      </w:pPr>
      <w:r w:rsidRPr="00010ACD">
        <w:rPr>
          <w:rFonts w:cs="Arial"/>
          <w:color w:val="0D0D0D" w:themeColor="text1" w:themeTint="F2"/>
        </w:rPr>
        <w:t xml:space="preserve">Yang, L. et al. (2025) ‘Unveiling the relationships of professional identity, values and communication competence in nursing students’ clinical practice </w:t>
      </w:r>
      <w:proofErr w:type="spellStart"/>
      <w:r w:rsidRPr="00010ACD">
        <w:rPr>
          <w:rFonts w:cs="Arial"/>
          <w:color w:val="0D0D0D" w:themeColor="text1" w:themeTint="F2"/>
        </w:rPr>
        <w:t>behaviours</w:t>
      </w:r>
      <w:proofErr w:type="spellEnd"/>
      <w:r w:rsidRPr="00010ACD">
        <w:rPr>
          <w:rFonts w:cs="Arial"/>
          <w:color w:val="0D0D0D" w:themeColor="text1" w:themeTint="F2"/>
        </w:rPr>
        <w:t xml:space="preserve">: A cross-sectional study and mediation model analysis’, </w:t>
      </w:r>
      <w:r w:rsidRPr="00010ACD">
        <w:rPr>
          <w:rFonts w:cs="Arial"/>
          <w:i/>
          <w:iCs/>
          <w:color w:val="0D0D0D" w:themeColor="text1" w:themeTint="F2"/>
        </w:rPr>
        <w:t>Nursing Open</w:t>
      </w:r>
      <w:r w:rsidRPr="00010ACD">
        <w:rPr>
          <w:rFonts w:cs="Arial"/>
          <w:color w:val="0D0D0D" w:themeColor="text1" w:themeTint="F2"/>
        </w:rPr>
        <w:t xml:space="preserve">, 12(7). Available at: </w:t>
      </w:r>
      <w:hyperlink r:id="rId25" w:tgtFrame="_new" w:history="1">
        <w:r w:rsidRPr="00010ACD">
          <w:rPr>
            <w:rStyle w:val="Hyperlink"/>
            <w:rFonts w:cs="Arial"/>
            <w:color w:val="0D0D0D" w:themeColor="text1" w:themeTint="F2"/>
            <w:u w:val="none"/>
          </w:rPr>
          <w:t>https://doi.org/10.1002/nop2.70270</w:t>
        </w:r>
      </w:hyperlink>
      <w:r w:rsidRPr="00010ACD">
        <w:rPr>
          <w:rFonts w:cs="Arial"/>
          <w:color w:val="0D0D0D" w:themeColor="text1" w:themeTint="F2"/>
        </w:rPr>
        <w:t>.</w:t>
      </w:r>
    </w:p>
    <w:sectPr w:rsidR="00010ACD" w:rsidRPr="00010ACD" w:rsidSect="00FA6047">
      <w:footerReference w:type="default" r:id="rId26"/>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C78231" w14:textId="77777777" w:rsidR="008E4DF9" w:rsidRDefault="008E4DF9" w:rsidP="003E1097">
      <w:pPr>
        <w:spacing w:after="0" w:line="240" w:lineRule="auto"/>
      </w:pPr>
      <w:r>
        <w:separator/>
      </w:r>
    </w:p>
  </w:endnote>
  <w:endnote w:type="continuationSeparator" w:id="0">
    <w:p w14:paraId="4EB374FD" w14:textId="77777777" w:rsidR="008E4DF9" w:rsidRDefault="008E4DF9" w:rsidP="003E10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13948451"/>
      <w:docPartObj>
        <w:docPartGallery w:val="Page Numbers (Bottom of Page)"/>
        <w:docPartUnique/>
      </w:docPartObj>
    </w:sdtPr>
    <w:sdtEndPr>
      <w:rPr>
        <w:noProof/>
      </w:rPr>
    </w:sdtEndPr>
    <w:sdtContent>
      <w:p w14:paraId="109E3E98" w14:textId="5B9ED02E" w:rsidR="003E1097" w:rsidRDefault="003E109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569870" w14:textId="77777777" w:rsidR="003E1097" w:rsidRDefault="003E10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6AAE03" w14:textId="77777777" w:rsidR="008E4DF9" w:rsidRDefault="008E4DF9" w:rsidP="003E1097">
      <w:pPr>
        <w:spacing w:after="0" w:line="240" w:lineRule="auto"/>
      </w:pPr>
      <w:r>
        <w:separator/>
      </w:r>
    </w:p>
  </w:footnote>
  <w:footnote w:type="continuationSeparator" w:id="0">
    <w:p w14:paraId="58FCECE9" w14:textId="77777777" w:rsidR="008E4DF9" w:rsidRDefault="008E4DF9" w:rsidP="003E10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3F4B09"/>
    <w:multiLevelType w:val="hybridMultilevel"/>
    <w:tmpl w:val="561AAB30"/>
    <w:lvl w:ilvl="0" w:tplc="627497A8">
      <w:start w:val="1"/>
      <w:numFmt w:val="decimal"/>
      <w:lvlText w:val="%1."/>
      <w:lvlJc w:val="center"/>
      <w:pPr>
        <w:ind w:left="720" w:hanging="360"/>
      </w:pPr>
      <w:rPr>
        <w:rFonts w:ascii="Arial" w:hAnsi="Arial" w:hint="default"/>
        <w:color w:val="4472C4" w:themeColor="accent1"/>
        <w:sz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FAC1E5D"/>
    <w:multiLevelType w:val="hybridMultilevel"/>
    <w:tmpl w:val="2CE016F6"/>
    <w:lvl w:ilvl="0" w:tplc="EAFECFF4">
      <w:start w:val="1"/>
      <w:numFmt w:val="decimal"/>
      <w:lvlText w:val="%1.1"/>
      <w:lvlJc w:val="center"/>
      <w:pPr>
        <w:ind w:left="720" w:hanging="360"/>
      </w:pPr>
      <w:rPr>
        <w:rFonts w:ascii="Arial" w:hAnsi="Arial" w:hint="default"/>
        <w:color w:val="4472C4" w:themeColor="accent1"/>
        <w:sz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34635E4"/>
    <w:multiLevelType w:val="hybridMultilevel"/>
    <w:tmpl w:val="492EFF02"/>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58824789"/>
    <w:multiLevelType w:val="multilevel"/>
    <w:tmpl w:val="5268D2E4"/>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5E4B3F0D"/>
    <w:multiLevelType w:val="multilevel"/>
    <w:tmpl w:val="4A4CB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7FF4A6C"/>
    <w:multiLevelType w:val="multilevel"/>
    <w:tmpl w:val="A3A2F0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96728947">
    <w:abstractNumId w:val="4"/>
  </w:num>
  <w:num w:numId="2" w16cid:durableId="1335453720">
    <w:abstractNumId w:val="0"/>
  </w:num>
  <w:num w:numId="3" w16cid:durableId="563561463">
    <w:abstractNumId w:val="1"/>
  </w:num>
  <w:num w:numId="4" w16cid:durableId="5376792">
    <w:abstractNumId w:val="3"/>
  </w:num>
  <w:num w:numId="5" w16cid:durableId="1775787389">
    <w:abstractNumId w:val="3"/>
    <w:lvlOverride w:ilvl="0">
      <w:startOverride w:val="1"/>
    </w:lvlOverride>
  </w:num>
  <w:num w:numId="6" w16cid:durableId="920984999">
    <w:abstractNumId w:val="5"/>
  </w:num>
  <w:num w:numId="7" w16cid:durableId="159829615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3EAD"/>
    <w:rsid w:val="00010ACD"/>
    <w:rsid w:val="00026BEA"/>
    <w:rsid w:val="00037BC3"/>
    <w:rsid w:val="0004011E"/>
    <w:rsid w:val="00041918"/>
    <w:rsid w:val="00085DFD"/>
    <w:rsid w:val="00097151"/>
    <w:rsid w:val="000A3BB0"/>
    <w:rsid w:val="000B7F09"/>
    <w:rsid w:val="000C1794"/>
    <w:rsid w:val="000C5E65"/>
    <w:rsid w:val="000F1778"/>
    <w:rsid w:val="00123B00"/>
    <w:rsid w:val="00124CEE"/>
    <w:rsid w:val="0016535E"/>
    <w:rsid w:val="001745B5"/>
    <w:rsid w:val="001A0D71"/>
    <w:rsid w:val="001C323A"/>
    <w:rsid w:val="001F0F68"/>
    <w:rsid w:val="0021446A"/>
    <w:rsid w:val="0023450F"/>
    <w:rsid w:val="00264E3D"/>
    <w:rsid w:val="00290E8B"/>
    <w:rsid w:val="002F2684"/>
    <w:rsid w:val="002F498A"/>
    <w:rsid w:val="00344A45"/>
    <w:rsid w:val="0034782D"/>
    <w:rsid w:val="00373742"/>
    <w:rsid w:val="003742CF"/>
    <w:rsid w:val="00382A4D"/>
    <w:rsid w:val="00393228"/>
    <w:rsid w:val="003A438B"/>
    <w:rsid w:val="003B3147"/>
    <w:rsid w:val="003D4BFA"/>
    <w:rsid w:val="003E1097"/>
    <w:rsid w:val="00406AAB"/>
    <w:rsid w:val="004417CA"/>
    <w:rsid w:val="00474E63"/>
    <w:rsid w:val="004C7365"/>
    <w:rsid w:val="004E2491"/>
    <w:rsid w:val="004F3501"/>
    <w:rsid w:val="00520EBA"/>
    <w:rsid w:val="0057234B"/>
    <w:rsid w:val="00581403"/>
    <w:rsid w:val="00585B57"/>
    <w:rsid w:val="005A444E"/>
    <w:rsid w:val="005B15C5"/>
    <w:rsid w:val="005D05E1"/>
    <w:rsid w:val="005F1980"/>
    <w:rsid w:val="00602FE0"/>
    <w:rsid w:val="006308F0"/>
    <w:rsid w:val="00635078"/>
    <w:rsid w:val="007068FB"/>
    <w:rsid w:val="00736E9F"/>
    <w:rsid w:val="007C42F8"/>
    <w:rsid w:val="007D67D8"/>
    <w:rsid w:val="0080471A"/>
    <w:rsid w:val="0081389C"/>
    <w:rsid w:val="00860EFE"/>
    <w:rsid w:val="008E4DF9"/>
    <w:rsid w:val="00953EAD"/>
    <w:rsid w:val="009938B4"/>
    <w:rsid w:val="009C292B"/>
    <w:rsid w:val="009C6B01"/>
    <w:rsid w:val="00A12AE5"/>
    <w:rsid w:val="00A13D90"/>
    <w:rsid w:val="00AB1666"/>
    <w:rsid w:val="00AB6D75"/>
    <w:rsid w:val="00AC2C2C"/>
    <w:rsid w:val="00B00BB0"/>
    <w:rsid w:val="00B00CBE"/>
    <w:rsid w:val="00B120F9"/>
    <w:rsid w:val="00B12687"/>
    <w:rsid w:val="00B16F0F"/>
    <w:rsid w:val="00B3692C"/>
    <w:rsid w:val="00B70311"/>
    <w:rsid w:val="00B73338"/>
    <w:rsid w:val="00B9346B"/>
    <w:rsid w:val="00BA57F8"/>
    <w:rsid w:val="00BF4BC3"/>
    <w:rsid w:val="00C3251C"/>
    <w:rsid w:val="00C6099E"/>
    <w:rsid w:val="00C85119"/>
    <w:rsid w:val="00CA34D1"/>
    <w:rsid w:val="00CA464E"/>
    <w:rsid w:val="00CD7C23"/>
    <w:rsid w:val="00CE0536"/>
    <w:rsid w:val="00D0354E"/>
    <w:rsid w:val="00D925E3"/>
    <w:rsid w:val="00DE24F6"/>
    <w:rsid w:val="00E16F11"/>
    <w:rsid w:val="00E5152F"/>
    <w:rsid w:val="00E54BE1"/>
    <w:rsid w:val="00E620A4"/>
    <w:rsid w:val="00E71B83"/>
    <w:rsid w:val="00EA637F"/>
    <w:rsid w:val="00EA6E78"/>
    <w:rsid w:val="00EB075A"/>
    <w:rsid w:val="00EB0F1D"/>
    <w:rsid w:val="00F82C66"/>
    <w:rsid w:val="00F93984"/>
    <w:rsid w:val="00FA47A5"/>
    <w:rsid w:val="00FA6047"/>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2D1214"/>
  <w15:chartTrackingRefBased/>
  <w15:docId w15:val="{023EC812-C368-4CD3-8ED6-DFC4DE7FEF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338"/>
    <w:pPr>
      <w:spacing w:line="360" w:lineRule="auto"/>
      <w:jc w:val="both"/>
    </w:pPr>
    <w:rPr>
      <w:rFonts w:ascii="Arial" w:hAnsi="Arial"/>
    </w:rPr>
  </w:style>
  <w:style w:type="paragraph" w:styleId="Heading1">
    <w:name w:val="heading 1"/>
    <w:basedOn w:val="Normal"/>
    <w:next w:val="Normal"/>
    <w:link w:val="Heading1Char"/>
    <w:uiPriority w:val="9"/>
    <w:qFormat/>
    <w:rsid w:val="0081389C"/>
    <w:pPr>
      <w:keepNext/>
      <w:keepLines/>
      <w:numPr>
        <w:numId w:val="4"/>
      </w:numPr>
      <w:spacing w:before="160" w:after="60"/>
      <w:outlineLvl w:val="0"/>
    </w:pPr>
    <w:rPr>
      <w:rFonts w:eastAsiaTheme="majorEastAsia" w:cstheme="majorBidi"/>
      <w:b/>
      <w:color w:val="1F4E79" w:themeColor="accent5" w:themeShade="80"/>
      <w:sz w:val="28"/>
      <w:szCs w:val="40"/>
    </w:rPr>
  </w:style>
  <w:style w:type="paragraph" w:styleId="Heading2">
    <w:name w:val="heading 2"/>
    <w:basedOn w:val="Normal"/>
    <w:next w:val="Normal"/>
    <w:link w:val="Heading2Char"/>
    <w:uiPriority w:val="9"/>
    <w:unhideWhenUsed/>
    <w:qFormat/>
    <w:rsid w:val="00FA6047"/>
    <w:pPr>
      <w:keepNext/>
      <w:keepLines/>
      <w:numPr>
        <w:ilvl w:val="1"/>
        <w:numId w:val="4"/>
      </w:numPr>
      <w:spacing w:after="120"/>
      <w:outlineLvl w:val="1"/>
    </w:pPr>
    <w:rPr>
      <w:rFonts w:eastAsiaTheme="majorEastAsia" w:cstheme="majorBidi"/>
      <w:b/>
      <w:color w:val="2F5496" w:themeColor="accent1" w:themeShade="BF"/>
      <w:sz w:val="26"/>
      <w:szCs w:val="32"/>
    </w:rPr>
  </w:style>
  <w:style w:type="paragraph" w:styleId="Heading3">
    <w:name w:val="heading 3"/>
    <w:basedOn w:val="Normal"/>
    <w:next w:val="Normal"/>
    <w:link w:val="Heading3Char"/>
    <w:uiPriority w:val="9"/>
    <w:semiHidden/>
    <w:unhideWhenUsed/>
    <w:qFormat/>
    <w:rsid w:val="00953EAD"/>
    <w:pPr>
      <w:keepNext/>
      <w:keepLines/>
      <w:numPr>
        <w:ilvl w:val="2"/>
        <w:numId w:val="4"/>
      </w:numPr>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53EAD"/>
    <w:pPr>
      <w:keepNext/>
      <w:keepLines/>
      <w:numPr>
        <w:ilvl w:val="3"/>
        <w:numId w:val="4"/>
      </w:numPr>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53EAD"/>
    <w:pPr>
      <w:keepNext/>
      <w:keepLines/>
      <w:numPr>
        <w:ilvl w:val="4"/>
        <w:numId w:val="4"/>
      </w:numPr>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53EAD"/>
    <w:pPr>
      <w:keepNext/>
      <w:keepLines/>
      <w:numPr>
        <w:ilvl w:val="5"/>
        <w:numId w:val="4"/>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3EAD"/>
    <w:pPr>
      <w:keepNext/>
      <w:keepLines/>
      <w:numPr>
        <w:ilvl w:val="6"/>
        <w:numId w:val="4"/>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3EAD"/>
    <w:pPr>
      <w:keepNext/>
      <w:keepLines/>
      <w:numPr>
        <w:ilvl w:val="7"/>
        <w:numId w:val="4"/>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3EAD"/>
    <w:pPr>
      <w:keepNext/>
      <w:keepLines/>
      <w:numPr>
        <w:ilvl w:val="8"/>
        <w:numId w:val="4"/>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389C"/>
    <w:rPr>
      <w:rFonts w:ascii="Arial" w:eastAsiaTheme="majorEastAsia" w:hAnsi="Arial" w:cstheme="majorBidi"/>
      <w:b/>
      <w:color w:val="1F4E79" w:themeColor="accent5" w:themeShade="80"/>
      <w:sz w:val="28"/>
      <w:szCs w:val="40"/>
    </w:rPr>
  </w:style>
  <w:style w:type="character" w:customStyle="1" w:styleId="Heading2Char">
    <w:name w:val="Heading 2 Char"/>
    <w:basedOn w:val="DefaultParagraphFont"/>
    <w:link w:val="Heading2"/>
    <w:uiPriority w:val="9"/>
    <w:rsid w:val="00FA6047"/>
    <w:rPr>
      <w:rFonts w:ascii="Arial" w:eastAsiaTheme="majorEastAsia" w:hAnsi="Arial" w:cstheme="majorBidi"/>
      <w:b/>
      <w:color w:val="2F5496" w:themeColor="accent1" w:themeShade="BF"/>
      <w:sz w:val="26"/>
      <w:szCs w:val="32"/>
    </w:rPr>
  </w:style>
  <w:style w:type="character" w:customStyle="1" w:styleId="Heading3Char">
    <w:name w:val="Heading 3 Char"/>
    <w:basedOn w:val="DefaultParagraphFont"/>
    <w:link w:val="Heading3"/>
    <w:uiPriority w:val="9"/>
    <w:semiHidden/>
    <w:rsid w:val="00953EA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53EA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53EA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53E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3E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3E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3EAD"/>
    <w:rPr>
      <w:rFonts w:eastAsiaTheme="majorEastAsia" w:cstheme="majorBidi"/>
      <w:color w:val="272727" w:themeColor="text1" w:themeTint="D8"/>
    </w:rPr>
  </w:style>
  <w:style w:type="paragraph" w:styleId="Title">
    <w:name w:val="Title"/>
    <w:basedOn w:val="Normal"/>
    <w:next w:val="Normal"/>
    <w:link w:val="TitleChar"/>
    <w:uiPriority w:val="10"/>
    <w:qFormat/>
    <w:rsid w:val="00953E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3E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3E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3E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3EAD"/>
    <w:pPr>
      <w:spacing w:before="160"/>
      <w:jc w:val="center"/>
    </w:pPr>
    <w:rPr>
      <w:i/>
      <w:iCs/>
      <w:color w:val="404040" w:themeColor="text1" w:themeTint="BF"/>
    </w:rPr>
  </w:style>
  <w:style w:type="character" w:customStyle="1" w:styleId="QuoteChar">
    <w:name w:val="Quote Char"/>
    <w:basedOn w:val="DefaultParagraphFont"/>
    <w:link w:val="Quote"/>
    <w:uiPriority w:val="29"/>
    <w:rsid w:val="00953EAD"/>
    <w:rPr>
      <w:i/>
      <w:iCs/>
      <w:color w:val="404040" w:themeColor="text1" w:themeTint="BF"/>
    </w:rPr>
  </w:style>
  <w:style w:type="paragraph" w:styleId="ListParagraph">
    <w:name w:val="List Paragraph"/>
    <w:basedOn w:val="Normal"/>
    <w:uiPriority w:val="34"/>
    <w:qFormat/>
    <w:rsid w:val="00953EAD"/>
    <w:pPr>
      <w:ind w:left="720"/>
      <w:contextualSpacing/>
    </w:pPr>
  </w:style>
  <w:style w:type="character" w:styleId="IntenseEmphasis">
    <w:name w:val="Intense Emphasis"/>
    <w:basedOn w:val="DefaultParagraphFont"/>
    <w:uiPriority w:val="21"/>
    <w:qFormat/>
    <w:rsid w:val="00953EAD"/>
    <w:rPr>
      <w:i/>
      <w:iCs/>
      <w:color w:val="2F5496" w:themeColor="accent1" w:themeShade="BF"/>
    </w:rPr>
  </w:style>
  <w:style w:type="paragraph" w:styleId="IntenseQuote">
    <w:name w:val="Intense Quote"/>
    <w:basedOn w:val="Normal"/>
    <w:next w:val="Normal"/>
    <w:link w:val="IntenseQuoteChar"/>
    <w:uiPriority w:val="30"/>
    <w:qFormat/>
    <w:rsid w:val="00953EA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53EAD"/>
    <w:rPr>
      <w:i/>
      <w:iCs/>
      <w:color w:val="2F5496" w:themeColor="accent1" w:themeShade="BF"/>
    </w:rPr>
  </w:style>
  <w:style w:type="character" w:styleId="IntenseReference">
    <w:name w:val="Intense Reference"/>
    <w:basedOn w:val="DefaultParagraphFont"/>
    <w:uiPriority w:val="32"/>
    <w:qFormat/>
    <w:rsid w:val="00953EAD"/>
    <w:rPr>
      <w:b/>
      <w:bCs/>
      <w:smallCaps/>
      <w:color w:val="2F5496" w:themeColor="accent1" w:themeShade="BF"/>
      <w:spacing w:val="5"/>
    </w:rPr>
  </w:style>
  <w:style w:type="paragraph" w:styleId="NormalWeb">
    <w:name w:val="Normal (Web)"/>
    <w:basedOn w:val="Normal"/>
    <w:uiPriority w:val="99"/>
    <w:semiHidden/>
    <w:unhideWhenUsed/>
    <w:rsid w:val="00344A45"/>
    <w:rPr>
      <w:rFonts w:ascii="Times New Roman" w:hAnsi="Times New Roman" w:cs="Times New Roman"/>
    </w:rPr>
  </w:style>
  <w:style w:type="paragraph" w:styleId="TOCHeading">
    <w:name w:val="TOC Heading"/>
    <w:basedOn w:val="Heading1"/>
    <w:next w:val="Normal"/>
    <w:uiPriority w:val="39"/>
    <w:unhideWhenUsed/>
    <w:qFormat/>
    <w:rsid w:val="005A444E"/>
    <w:pPr>
      <w:spacing w:before="240" w:after="0" w:line="259" w:lineRule="auto"/>
      <w:outlineLvl w:val="9"/>
    </w:pPr>
    <w:rPr>
      <w:rFonts w:asciiTheme="majorHAnsi" w:hAnsiTheme="majorHAnsi"/>
      <w:b w:val="0"/>
      <w:kern w:val="0"/>
      <w:szCs w:val="32"/>
      <w14:ligatures w14:val="none"/>
    </w:rPr>
  </w:style>
  <w:style w:type="paragraph" w:styleId="TOC1">
    <w:name w:val="toc 1"/>
    <w:basedOn w:val="Normal"/>
    <w:next w:val="Normal"/>
    <w:autoRedefine/>
    <w:uiPriority w:val="39"/>
    <w:unhideWhenUsed/>
    <w:rsid w:val="005A444E"/>
    <w:pPr>
      <w:spacing w:after="100"/>
    </w:pPr>
  </w:style>
  <w:style w:type="paragraph" w:styleId="TOC2">
    <w:name w:val="toc 2"/>
    <w:basedOn w:val="Normal"/>
    <w:next w:val="Normal"/>
    <w:autoRedefine/>
    <w:uiPriority w:val="39"/>
    <w:unhideWhenUsed/>
    <w:rsid w:val="005A444E"/>
    <w:pPr>
      <w:spacing w:after="100"/>
      <w:ind w:left="240"/>
    </w:pPr>
  </w:style>
  <w:style w:type="character" w:styleId="Hyperlink">
    <w:name w:val="Hyperlink"/>
    <w:basedOn w:val="DefaultParagraphFont"/>
    <w:uiPriority w:val="99"/>
    <w:unhideWhenUsed/>
    <w:rsid w:val="005A444E"/>
    <w:rPr>
      <w:color w:val="0563C1" w:themeColor="hyperlink"/>
      <w:u w:val="single"/>
    </w:rPr>
  </w:style>
  <w:style w:type="character" w:customStyle="1" w:styleId="markedcontent">
    <w:name w:val="markedcontent"/>
    <w:basedOn w:val="DefaultParagraphFont"/>
    <w:rsid w:val="00B3692C"/>
  </w:style>
  <w:style w:type="paragraph" w:styleId="Header">
    <w:name w:val="header"/>
    <w:basedOn w:val="Normal"/>
    <w:link w:val="HeaderChar"/>
    <w:uiPriority w:val="99"/>
    <w:unhideWhenUsed/>
    <w:rsid w:val="003E1097"/>
    <w:pPr>
      <w:tabs>
        <w:tab w:val="center" w:pos="4680"/>
        <w:tab w:val="right" w:pos="9360"/>
      </w:tabs>
      <w:spacing w:after="0" w:line="240" w:lineRule="auto"/>
    </w:pPr>
  </w:style>
  <w:style w:type="character" w:customStyle="1" w:styleId="HeaderChar">
    <w:name w:val="Header Char"/>
    <w:basedOn w:val="DefaultParagraphFont"/>
    <w:link w:val="Header"/>
    <w:uiPriority w:val="99"/>
    <w:rsid w:val="003E1097"/>
  </w:style>
  <w:style w:type="paragraph" w:styleId="Footer">
    <w:name w:val="footer"/>
    <w:basedOn w:val="Normal"/>
    <w:link w:val="FooterChar"/>
    <w:uiPriority w:val="99"/>
    <w:unhideWhenUsed/>
    <w:rsid w:val="003E1097"/>
    <w:pPr>
      <w:tabs>
        <w:tab w:val="center" w:pos="4680"/>
        <w:tab w:val="right" w:pos="9360"/>
      </w:tabs>
      <w:spacing w:after="0" w:line="240" w:lineRule="auto"/>
    </w:pPr>
  </w:style>
  <w:style w:type="character" w:customStyle="1" w:styleId="FooterChar">
    <w:name w:val="Footer Char"/>
    <w:basedOn w:val="DefaultParagraphFont"/>
    <w:link w:val="Footer"/>
    <w:uiPriority w:val="99"/>
    <w:rsid w:val="003E1097"/>
  </w:style>
  <w:style w:type="character" w:styleId="Emphasis">
    <w:name w:val="Emphasis"/>
    <w:basedOn w:val="DefaultParagraphFont"/>
    <w:uiPriority w:val="20"/>
    <w:qFormat/>
    <w:rsid w:val="00FA6047"/>
    <w:rPr>
      <w:i/>
      <w:iCs/>
    </w:rPr>
  </w:style>
  <w:style w:type="table" w:styleId="PlainTable5">
    <w:name w:val="Plain Table 5"/>
    <w:basedOn w:val="TableNormal"/>
    <w:uiPriority w:val="45"/>
    <w:rsid w:val="00E620A4"/>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3">
    <w:name w:val="Plain Table 3"/>
    <w:basedOn w:val="TableNormal"/>
    <w:uiPriority w:val="43"/>
    <w:rsid w:val="0081389C"/>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styleId="UnresolvedMention">
    <w:name w:val="Unresolved Mention"/>
    <w:basedOn w:val="DefaultParagraphFont"/>
    <w:uiPriority w:val="99"/>
    <w:semiHidden/>
    <w:unhideWhenUsed/>
    <w:rsid w:val="00010AC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oi.org/10.1016/j.ecns.2015.04.005" TargetMode="External"/><Relationship Id="rId18" Type="http://schemas.openxmlformats.org/officeDocument/2006/relationships/hyperlink" Target="https://doi.org/10.1080/03075070600572090"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ncbi.nlm.nih.gov/books/NBK567775/" TargetMode="External"/><Relationship Id="rId7" Type="http://schemas.openxmlformats.org/officeDocument/2006/relationships/endnotes" Target="endnotes.xml"/><Relationship Id="rId12" Type="http://schemas.openxmlformats.org/officeDocument/2006/relationships/hyperlink" Target="https://doi.org/10.1016/j.nedt.2020.10450" TargetMode="External"/><Relationship Id="rId17" Type="http://schemas.openxmlformats.org/officeDocument/2006/relationships/hyperlink" Target="https://doi.org/10.4324/9780203822296" TargetMode="External"/><Relationship Id="rId25" Type="http://schemas.openxmlformats.org/officeDocument/2006/relationships/hyperlink" Target="https://doi.org/10.1002/nop2.70270" TargetMode="External"/><Relationship Id="rId2" Type="http://schemas.openxmlformats.org/officeDocument/2006/relationships/numbering" Target="numbering.xml"/><Relationship Id="rId16" Type="http://schemas.openxmlformats.org/officeDocument/2006/relationships/hyperlink" Target="https://doi.org/10.1177/08404704211063584" TargetMode="External"/><Relationship Id="rId20" Type="http://schemas.openxmlformats.org/officeDocument/2006/relationships/hyperlink" Target="https://doi.org/10.1016/j.ijnsa.2023.10017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03323315.2023.2258497" TargetMode="External"/><Relationship Id="rId24" Type="http://schemas.openxmlformats.org/officeDocument/2006/relationships/hyperlink" Target="https://doi.org/10.1002/sono.12405" TargetMode="External"/><Relationship Id="rId5" Type="http://schemas.openxmlformats.org/officeDocument/2006/relationships/webSettings" Target="webSettings.xml"/><Relationship Id="rId15" Type="http://schemas.openxmlformats.org/officeDocument/2006/relationships/hyperlink" Target="https://doi.org/10.1016/j.ienj.2024.101446" TargetMode="External"/><Relationship Id="rId23" Type="http://schemas.openxmlformats.org/officeDocument/2006/relationships/hyperlink" Target="https://doi.org/10.1016/j.ijnsa.2025.100411" TargetMode="External"/><Relationship Id="rId28" Type="http://schemas.openxmlformats.org/officeDocument/2006/relationships/theme" Target="theme/theme1.xml"/><Relationship Id="rId10" Type="http://schemas.openxmlformats.org/officeDocument/2006/relationships/hyperlink" Target="https://doi.org/10.1177/2333392815573312" TargetMode="External"/><Relationship Id="rId19" Type="http://schemas.openxmlformats.org/officeDocument/2006/relationships/hyperlink" Target="https://doi.org/10.4081/jphr.2021.2736" TargetMode="External"/><Relationship Id="rId4" Type="http://schemas.openxmlformats.org/officeDocument/2006/relationships/settings" Target="settings.xml"/><Relationship Id="rId9" Type="http://schemas.openxmlformats.org/officeDocument/2006/relationships/hyperlink" Target="https://doi.org/10.3390/medicina61091543" TargetMode="External"/><Relationship Id="rId14" Type="http://schemas.openxmlformats.org/officeDocument/2006/relationships/hyperlink" Target="https://doi.org/10.36401/jqsh-21-11" TargetMode="External"/><Relationship Id="rId22" Type="http://schemas.openxmlformats.org/officeDocument/2006/relationships/hyperlink" Target="https://www.ncbi.nlm.nih.gov/books/NBK519065/"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D3EAD4-A2B9-4037-B362-0C5728DE23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12</Pages>
  <Words>3276</Words>
  <Characters>18679</Characters>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2025-11-20T15:17:00Z</dcterms:created>
  <dcterms:modified xsi:type="dcterms:W3CDTF">2025-11-21T06:04:00Z</dcterms:modified>
</cp:coreProperties>
</file>