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1838"/>
        <w:gridCol w:w="3531"/>
        <w:gridCol w:w="3647"/>
      </w:tblGrid>
      <w:tr w:rsidR="00F11D53" w14:paraId="0A27EC08" w14:textId="77777777" w:rsidTr="004C4519">
        <w:tc>
          <w:tcPr>
            <w:tcW w:w="1838" w:type="dxa"/>
          </w:tcPr>
          <w:p w14:paraId="1FEA1CB6" w14:textId="77777777" w:rsidR="00F11D53" w:rsidRPr="00314E59" w:rsidRDefault="00F11D53" w:rsidP="004C4519">
            <w:pPr>
              <w:pStyle w:val="AssignBody"/>
              <w:rPr>
                <w:rFonts w:ascii="Times New Roman" w:hAnsi="Times New Roman" w:cs="Times New Roman"/>
              </w:rPr>
            </w:pPr>
          </w:p>
        </w:tc>
        <w:tc>
          <w:tcPr>
            <w:tcW w:w="3531" w:type="dxa"/>
          </w:tcPr>
          <w:p w14:paraId="735C3912" w14:textId="77777777" w:rsidR="00F11D53" w:rsidRPr="00067D23" w:rsidRDefault="00F11D53" w:rsidP="004C4519">
            <w:pPr>
              <w:pStyle w:val="AssignBody"/>
              <w:rPr>
                <w:rFonts w:ascii="Times New Roman" w:hAnsi="Times New Roman" w:cs="Times New Roman"/>
                <w:sz w:val="24"/>
                <w:szCs w:val="24"/>
              </w:rPr>
            </w:pPr>
            <w:proofErr w:type="spellStart"/>
            <w:r w:rsidRPr="00067D23">
              <w:rPr>
                <w:rFonts w:ascii="Times New Roman" w:hAnsi="Times New Roman" w:cs="Times New Roman"/>
                <w:sz w:val="24"/>
                <w:szCs w:val="24"/>
              </w:rPr>
              <w:t>Targed</w:t>
            </w:r>
            <w:proofErr w:type="spellEnd"/>
            <w:r w:rsidRPr="00067D23">
              <w:rPr>
                <w:rFonts w:ascii="Times New Roman" w:hAnsi="Times New Roman" w:cs="Times New Roman"/>
                <w:sz w:val="24"/>
                <w:szCs w:val="24"/>
              </w:rPr>
              <w:t>/target</w:t>
            </w:r>
          </w:p>
        </w:tc>
        <w:tc>
          <w:tcPr>
            <w:tcW w:w="3647" w:type="dxa"/>
          </w:tcPr>
          <w:p w14:paraId="34066844" w14:textId="77777777" w:rsidR="00F11D53" w:rsidRPr="00314E59" w:rsidRDefault="00F11D53" w:rsidP="004C4519">
            <w:pPr>
              <w:pStyle w:val="NormalWeb"/>
              <w:spacing w:before="0" w:beforeAutospacing="0" w:after="0" w:afterAutospacing="0"/>
              <w:rPr>
                <w:lang w:val="en-US"/>
              </w:rPr>
            </w:pPr>
            <w:r w:rsidRPr="00314E59">
              <w:rPr>
                <w:lang w:val="en-US"/>
              </w:rPr>
              <w:t>What I have done in this assignment...</w:t>
            </w:r>
          </w:p>
          <w:p w14:paraId="74DAD4F0" w14:textId="77777777" w:rsidR="00F11D53" w:rsidRPr="00314E59" w:rsidRDefault="00F11D53" w:rsidP="004C4519">
            <w:pPr>
              <w:pStyle w:val="AssignBody"/>
              <w:rPr>
                <w:rFonts w:ascii="Times New Roman" w:hAnsi="Times New Roman" w:cs="Times New Roman"/>
              </w:rPr>
            </w:pPr>
          </w:p>
        </w:tc>
      </w:tr>
      <w:tr w:rsidR="00F11D53" w14:paraId="76533B7F" w14:textId="77777777" w:rsidTr="004C4519">
        <w:tc>
          <w:tcPr>
            <w:tcW w:w="1838" w:type="dxa"/>
          </w:tcPr>
          <w:p w14:paraId="3896B7AA" w14:textId="77777777" w:rsidR="00F11D53" w:rsidRPr="00067D23" w:rsidRDefault="00F11D53" w:rsidP="004C4519">
            <w:pPr>
              <w:pStyle w:val="AssignBody"/>
              <w:rPr>
                <w:rFonts w:ascii="Times New Roman" w:hAnsi="Times New Roman" w:cs="Times New Roman"/>
                <w:sz w:val="24"/>
                <w:szCs w:val="24"/>
              </w:rPr>
            </w:pPr>
            <w:proofErr w:type="spellStart"/>
            <w:r w:rsidRPr="00067D23">
              <w:rPr>
                <w:rFonts w:ascii="Times New Roman" w:hAnsi="Times New Roman" w:cs="Times New Roman"/>
                <w:sz w:val="24"/>
                <w:szCs w:val="24"/>
              </w:rPr>
              <w:t>T</w:t>
            </w:r>
            <w:bookmarkStart w:id="0" w:name="cysill"/>
            <w:bookmarkEnd w:id="0"/>
            <w:r w:rsidRPr="00067D23">
              <w:rPr>
                <w:rFonts w:ascii="Times New Roman" w:hAnsi="Times New Roman" w:cs="Times New Roman"/>
                <w:sz w:val="24"/>
                <w:szCs w:val="24"/>
              </w:rPr>
              <w:t>arged</w:t>
            </w:r>
            <w:proofErr w:type="spellEnd"/>
            <w:r w:rsidRPr="00067D23">
              <w:rPr>
                <w:rFonts w:ascii="Times New Roman" w:hAnsi="Times New Roman" w:cs="Times New Roman"/>
                <w:sz w:val="24"/>
                <w:szCs w:val="24"/>
              </w:rPr>
              <w:t>/Target 1</w:t>
            </w:r>
          </w:p>
        </w:tc>
        <w:tc>
          <w:tcPr>
            <w:tcW w:w="3531" w:type="dxa"/>
          </w:tcPr>
          <w:p w14:paraId="0910B68C" w14:textId="77777777" w:rsidR="00F11D53" w:rsidRPr="00314E59" w:rsidRDefault="00F11D53" w:rsidP="004C4519">
            <w:pPr>
              <w:pStyle w:val="NormalWeb"/>
              <w:shd w:val="clear" w:color="auto" w:fill="FFFFFF"/>
              <w:spacing w:before="0" w:beforeAutospacing="0" w:after="0" w:afterAutospacing="0"/>
              <w:rPr>
                <w:color w:val="283041"/>
              </w:rPr>
            </w:pPr>
            <w:r w:rsidRPr="00314E59">
              <w:rPr>
                <w:color w:val="283041"/>
              </w:rPr>
              <w:t>Ensure that you define key terms in your work when introducing them.</w:t>
            </w:r>
          </w:p>
          <w:p w14:paraId="6137DEC4" w14:textId="77777777" w:rsidR="00F11D53" w:rsidRPr="00314E59" w:rsidRDefault="00F11D53" w:rsidP="004C4519">
            <w:pPr>
              <w:pStyle w:val="NormalWeb"/>
              <w:shd w:val="clear" w:color="auto" w:fill="FFFFFF"/>
              <w:spacing w:before="0" w:beforeAutospacing="0" w:after="0" w:afterAutospacing="0"/>
            </w:pPr>
          </w:p>
        </w:tc>
        <w:tc>
          <w:tcPr>
            <w:tcW w:w="3647" w:type="dxa"/>
          </w:tcPr>
          <w:p w14:paraId="3769F11A" w14:textId="77777777" w:rsidR="00F11D53" w:rsidRPr="00314E59" w:rsidRDefault="00F11D53" w:rsidP="004C4519">
            <w:pPr>
              <w:pStyle w:val="AssignBody"/>
              <w:rPr>
                <w:rFonts w:ascii="Times New Roman" w:hAnsi="Times New Roman" w:cs="Times New Roman"/>
                <w:sz w:val="24"/>
                <w:szCs w:val="24"/>
              </w:rPr>
            </w:pPr>
            <w:r w:rsidRPr="00314E59">
              <w:rPr>
                <w:rFonts w:ascii="Times New Roman" w:hAnsi="Times New Roman" w:cs="Times New Roman"/>
                <w:color w:val="0D0D0D"/>
                <w:sz w:val="24"/>
                <w:szCs w:val="24"/>
                <w:shd w:val="clear" w:color="auto" w:fill="FFFFFF"/>
              </w:rPr>
              <w:t xml:space="preserve">I have worked hard to try and define and introduce key terms in this assignment to ensure clarity for the reader. </w:t>
            </w:r>
          </w:p>
        </w:tc>
      </w:tr>
      <w:tr w:rsidR="00F11D53" w14:paraId="1281AFD8" w14:textId="77777777" w:rsidTr="004C4519">
        <w:tc>
          <w:tcPr>
            <w:tcW w:w="1838" w:type="dxa"/>
          </w:tcPr>
          <w:p w14:paraId="721E7B28" w14:textId="77777777" w:rsidR="00F11D53" w:rsidRPr="00067D23" w:rsidRDefault="00F11D53" w:rsidP="004C4519">
            <w:pPr>
              <w:pStyle w:val="AssignBody"/>
              <w:rPr>
                <w:rFonts w:ascii="Times New Roman" w:hAnsi="Times New Roman" w:cs="Times New Roman"/>
                <w:sz w:val="24"/>
                <w:szCs w:val="24"/>
              </w:rPr>
            </w:pPr>
            <w:proofErr w:type="spellStart"/>
            <w:r w:rsidRPr="00067D23">
              <w:rPr>
                <w:rFonts w:ascii="Times New Roman" w:hAnsi="Times New Roman" w:cs="Times New Roman"/>
                <w:sz w:val="24"/>
                <w:szCs w:val="24"/>
              </w:rPr>
              <w:t>Targed</w:t>
            </w:r>
            <w:proofErr w:type="spellEnd"/>
            <w:r w:rsidRPr="00067D23">
              <w:rPr>
                <w:rFonts w:ascii="Times New Roman" w:hAnsi="Times New Roman" w:cs="Times New Roman"/>
                <w:sz w:val="24"/>
                <w:szCs w:val="24"/>
              </w:rPr>
              <w:t>/Target 2</w:t>
            </w:r>
          </w:p>
        </w:tc>
        <w:tc>
          <w:tcPr>
            <w:tcW w:w="3531" w:type="dxa"/>
          </w:tcPr>
          <w:p w14:paraId="1667AFD6" w14:textId="77777777" w:rsidR="00F11D53" w:rsidRPr="00314E59" w:rsidRDefault="00F11D53" w:rsidP="004C4519">
            <w:pPr>
              <w:pStyle w:val="NormalWeb"/>
              <w:shd w:val="clear" w:color="auto" w:fill="FFFFFF"/>
              <w:spacing w:before="0" w:beforeAutospacing="0" w:after="0" w:afterAutospacing="0"/>
              <w:rPr>
                <w:color w:val="283041"/>
              </w:rPr>
            </w:pPr>
            <w:r w:rsidRPr="00314E59">
              <w:rPr>
                <w:color w:val="283041"/>
              </w:rPr>
              <w:t>Ensure that you write critically. Compare sources and question some of the findings.</w:t>
            </w:r>
          </w:p>
          <w:p w14:paraId="22D1536D" w14:textId="77777777" w:rsidR="00F11D53" w:rsidRPr="00314E59" w:rsidRDefault="00F11D53" w:rsidP="004C4519">
            <w:pPr>
              <w:pStyle w:val="AssignBody"/>
              <w:rPr>
                <w:rFonts w:ascii="Times New Roman" w:hAnsi="Times New Roman" w:cs="Times New Roman"/>
                <w:sz w:val="24"/>
                <w:szCs w:val="24"/>
              </w:rPr>
            </w:pPr>
          </w:p>
        </w:tc>
        <w:tc>
          <w:tcPr>
            <w:tcW w:w="3647" w:type="dxa"/>
          </w:tcPr>
          <w:p w14:paraId="537A364B" w14:textId="77777777" w:rsidR="00F11D53" w:rsidRPr="00067D23" w:rsidRDefault="00F11D53" w:rsidP="004C4519">
            <w:pPr>
              <w:pStyle w:val="AssignBody"/>
              <w:rPr>
                <w:rFonts w:ascii="Times New Roman" w:hAnsi="Times New Roman" w:cs="Times New Roman"/>
                <w:sz w:val="24"/>
                <w:szCs w:val="24"/>
              </w:rPr>
            </w:pPr>
            <w:r w:rsidRPr="00067D23">
              <w:rPr>
                <w:rFonts w:ascii="Times New Roman" w:hAnsi="Times New Roman" w:cs="Times New Roman"/>
                <w:sz w:val="24"/>
                <w:szCs w:val="24"/>
              </w:rPr>
              <w:t>I feel again that this is an area I am improving in each time I research, however I know I still have a long way to go with my criticality. I will continue to work towards this in any future study.</w:t>
            </w:r>
          </w:p>
        </w:tc>
      </w:tr>
    </w:tbl>
    <w:p w14:paraId="1443A7B8" w14:textId="77777777" w:rsidR="00F11D53" w:rsidRDefault="00F11D53" w:rsidP="00F11D53">
      <w:pPr>
        <w:spacing w:line="360" w:lineRule="auto"/>
        <w:jc w:val="both"/>
        <w:rPr>
          <w:rFonts w:ascii="Times New Roman" w:hAnsi="Times New Roman" w:cs="Times New Roman"/>
          <w:b/>
          <w:bCs/>
          <w:i/>
          <w:iCs/>
          <w:sz w:val="28"/>
          <w:szCs w:val="28"/>
        </w:rPr>
      </w:pPr>
    </w:p>
    <w:p w14:paraId="028604CE" w14:textId="77777777" w:rsidR="00F11D53" w:rsidRPr="00FC2065" w:rsidRDefault="00F11D53" w:rsidP="00F11D53">
      <w:pPr>
        <w:spacing w:line="360" w:lineRule="auto"/>
        <w:jc w:val="both"/>
        <w:rPr>
          <w:rFonts w:ascii="Times New Roman" w:hAnsi="Times New Roman" w:cs="Times New Roman"/>
          <w:b/>
          <w:bCs/>
          <w:i/>
          <w:iCs/>
          <w:sz w:val="32"/>
          <w:szCs w:val="32"/>
          <w:u w:val="single"/>
        </w:rPr>
      </w:pPr>
      <w:r w:rsidRPr="00FC2065">
        <w:rPr>
          <w:rFonts w:ascii="Times New Roman" w:hAnsi="Times New Roman" w:cs="Times New Roman"/>
          <w:b/>
          <w:bCs/>
          <w:i/>
          <w:iCs/>
          <w:sz w:val="32"/>
          <w:szCs w:val="32"/>
          <w:u w:val="single"/>
        </w:rPr>
        <w:t>Researching the Learning</w:t>
      </w:r>
      <w:r>
        <w:rPr>
          <w:rFonts w:ascii="Times New Roman" w:hAnsi="Times New Roman" w:cs="Times New Roman"/>
          <w:b/>
          <w:bCs/>
          <w:i/>
          <w:iCs/>
          <w:sz w:val="32"/>
          <w:szCs w:val="32"/>
          <w:u w:val="single"/>
        </w:rPr>
        <w:t xml:space="preserve"> – Word Count (4380)</w:t>
      </w:r>
    </w:p>
    <w:p w14:paraId="6A7306D5" w14:textId="77777777" w:rsidR="00F11D53" w:rsidRPr="0022174C" w:rsidRDefault="00F11D53" w:rsidP="00F11D53">
      <w:pPr>
        <w:spacing w:line="360" w:lineRule="auto"/>
        <w:jc w:val="both"/>
        <w:rPr>
          <w:rFonts w:ascii="Times New Roman" w:hAnsi="Times New Roman" w:cs="Times New Roman"/>
          <w:b/>
          <w:bCs/>
          <w:i/>
          <w:iCs/>
          <w:sz w:val="28"/>
          <w:szCs w:val="28"/>
        </w:rPr>
      </w:pPr>
      <w:r w:rsidRPr="0022174C">
        <w:rPr>
          <w:rFonts w:ascii="Times New Roman" w:hAnsi="Times New Roman" w:cs="Times New Roman"/>
          <w:b/>
          <w:bCs/>
          <w:i/>
          <w:iCs/>
          <w:sz w:val="28"/>
          <w:szCs w:val="28"/>
        </w:rPr>
        <w:t>Introduction to Assignment:</w:t>
      </w:r>
    </w:p>
    <w:p w14:paraId="59DA1BD5" w14:textId="77777777" w:rsidR="00F11D53" w:rsidRPr="005D38C6" w:rsidRDefault="00F11D53" w:rsidP="00F11D53">
      <w:pPr>
        <w:spacing w:line="360" w:lineRule="auto"/>
        <w:jc w:val="both"/>
        <w:rPr>
          <w:rFonts w:ascii="Arial" w:hAnsi="Arial" w:cs="Arial"/>
          <w:sz w:val="24"/>
          <w:szCs w:val="24"/>
        </w:rPr>
      </w:pPr>
      <w:r w:rsidRPr="005035B1">
        <w:rPr>
          <w:rFonts w:ascii="Arial" w:hAnsi="Arial" w:cs="Arial"/>
          <w:sz w:val="24"/>
          <w:szCs w:val="24"/>
        </w:rPr>
        <w:t xml:space="preserve">The aim of this research assignment is to investigate how implementing a structured peer feedback strategy affects the confidence of drama students when evaluating their peers' work. </w:t>
      </w:r>
      <w:r w:rsidRPr="005D38C6">
        <w:rPr>
          <w:rFonts w:ascii="Arial" w:hAnsi="Arial" w:cs="Arial"/>
          <w:sz w:val="24"/>
          <w:szCs w:val="24"/>
        </w:rPr>
        <w:t>It delves into students' perceptions of peer feedback and assessment to uncover the benefits, limitations, and pedagogical implications of this approach. By examining students' perspectives, this research seeks to shed light on the effectiveness of peer assessment strategies and their implications for teaching and learning practices. The underlying motivation for this research lies in understanding how interpersonal dynamics within the classroom influence individuals' capacity to provide constructive feedback that fosters growth.</w:t>
      </w:r>
    </w:p>
    <w:p w14:paraId="1F6A8DED" w14:textId="77777777" w:rsidR="00F11D53" w:rsidRPr="005D38C6" w:rsidRDefault="00F11D53" w:rsidP="00F11D53">
      <w:pPr>
        <w:spacing w:line="360" w:lineRule="auto"/>
        <w:jc w:val="both"/>
        <w:rPr>
          <w:rFonts w:ascii="Arial" w:hAnsi="Arial" w:cs="Arial"/>
          <w:sz w:val="24"/>
          <w:szCs w:val="24"/>
        </w:rPr>
      </w:pPr>
      <w:r w:rsidRPr="005D38C6">
        <w:rPr>
          <w:rFonts w:ascii="Arial" w:hAnsi="Arial" w:cs="Arial"/>
          <w:sz w:val="24"/>
          <w:szCs w:val="24"/>
        </w:rPr>
        <w:t>The emphasis on understanding students' perceptions, exploring the interplay between structured feedback strategies and confidence levels, and promoting collaborative learning environments resonates with constructivist theories of learning. Piaget and Vygotsky highlight the significance of social interactions and scaffolding in learning processes. While Piaget emphasi</w:t>
      </w:r>
      <w:r>
        <w:rPr>
          <w:rFonts w:ascii="Arial" w:hAnsi="Arial" w:cs="Arial"/>
          <w:sz w:val="24"/>
          <w:szCs w:val="24"/>
        </w:rPr>
        <w:t>s</w:t>
      </w:r>
      <w:r w:rsidRPr="005D38C6">
        <w:rPr>
          <w:rFonts w:ascii="Arial" w:hAnsi="Arial" w:cs="Arial"/>
          <w:sz w:val="24"/>
          <w:szCs w:val="24"/>
        </w:rPr>
        <w:t xml:space="preserve">es peer engagement and mutual learning among young people, Vygotsky underscores the importance of interactions between individuals with varying levels of knowledge, advocating for scaffolded support. </w:t>
      </w:r>
      <w:r w:rsidRPr="00652977">
        <w:rPr>
          <w:rFonts w:ascii="Arial" w:hAnsi="Arial" w:cs="Arial"/>
          <w:sz w:val="24"/>
          <w:szCs w:val="24"/>
        </w:rPr>
        <w:lastRenderedPageBreak/>
        <w:t>(</w:t>
      </w:r>
      <w:proofErr w:type="spellStart"/>
      <w:r w:rsidRPr="00652977">
        <w:rPr>
          <w:rFonts w:ascii="Arial" w:hAnsi="Arial" w:cs="Arial"/>
          <w:sz w:val="24"/>
          <w:szCs w:val="24"/>
        </w:rPr>
        <w:t>Kouicem</w:t>
      </w:r>
      <w:proofErr w:type="spellEnd"/>
      <w:r w:rsidRPr="00652977">
        <w:rPr>
          <w:rFonts w:ascii="Arial" w:hAnsi="Arial" w:cs="Arial"/>
          <w:sz w:val="24"/>
          <w:szCs w:val="24"/>
        </w:rPr>
        <w:t xml:space="preserve"> Khadidja, 2020)</w:t>
      </w:r>
      <w:r>
        <w:rPr>
          <w:rFonts w:ascii="Arial" w:hAnsi="Arial" w:cs="Arial"/>
          <w:sz w:val="24"/>
          <w:szCs w:val="24"/>
        </w:rPr>
        <w:t xml:space="preserve">. </w:t>
      </w:r>
      <w:r w:rsidRPr="005D38C6">
        <w:rPr>
          <w:rFonts w:ascii="Arial" w:hAnsi="Arial" w:cs="Arial"/>
          <w:sz w:val="24"/>
          <w:szCs w:val="24"/>
        </w:rPr>
        <w:t>Both theories, despite their differences, align with the research into structured peer feedback and its potential to bolster students' confidence.</w:t>
      </w:r>
    </w:p>
    <w:p w14:paraId="55D384E1" w14:textId="77777777" w:rsidR="00F11D53" w:rsidRPr="005D38C6" w:rsidRDefault="00F11D53" w:rsidP="00F11D53">
      <w:pPr>
        <w:spacing w:line="360" w:lineRule="auto"/>
        <w:jc w:val="both"/>
        <w:rPr>
          <w:rFonts w:ascii="Arial" w:hAnsi="Arial" w:cs="Arial"/>
          <w:sz w:val="24"/>
          <w:szCs w:val="24"/>
        </w:rPr>
      </w:pPr>
      <w:r w:rsidRPr="005D38C6">
        <w:rPr>
          <w:rFonts w:ascii="Arial" w:hAnsi="Arial" w:cs="Arial"/>
          <w:sz w:val="24"/>
          <w:szCs w:val="24"/>
        </w:rPr>
        <w:t>This study is situated in an English-medium 11-19 school located in the north of Swansea, accommodating 1034 pupils, with 34% entitled to Free School Meals and an average attendance of 87%. These figures provide contextual information, with attendance acknowledged as a potential limitation affecting the results. The research participants consist of twenty-four Key Stage 3 drama students selected from six classes (two each from Year 7, Year 8, and Year 9). The purposive sampling method, further e</w:t>
      </w:r>
      <w:r>
        <w:rPr>
          <w:rFonts w:ascii="Arial" w:hAnsi="Arial" w:cs="Arial"/>
          <w:sz w:val="24"/>
          <w:szCs w:val="24"/>
        </w:rPr>
        <w:t>xplained</w:t>
      </w:r>
      <w:r w:rsidRPr="005D38C6">
        <w:rPr>
          <w:rFonts w:ascii="Arial" w:hAnsi="Arial" w:cs="Arial"/>
          <w:sz w:val="24"/>
          <w:szCs w:val="24"/>
        </w:rPr>
        <w:t xml:space="preserve"> in the forthcoming case study, ensured a representative sample reflective of diverse perspectives.</w:t>
      </w:r>
    </w:p>
    <w:p w14:paraId="2E9D8607" w14:textId="77777777" w:rsidR="00F11D53" w:rsidRPr="005D38C6" w:rsidRDefault="00F11D53" w:rsidP="00F11D53">
      <w:pPr>
        <w:spacing w:line="360" w:lineRule="auto"/>
        <w:jc w:val="both"/>
        <w:rPr>
          <w:rFonts w:ascii="Arial" w:hAnsi="Arial" w:cs="Arial"/>
          <w:sz w:val="24"/>
          <w:szCs w:val="24"/>
        </w:rPr>
      </w:pPr>
      <w:r>
        <w:rPr>
          <w:rFonts w:ascii="Arial" w:hAnsi="Arial" w:cs="Arial"/>
          <w:sz w:val="24"/>
          <w:szCs w:val="24"/>
        </w:rPr>
        <w:t xml:space="preserve">Implementing </w:t>
      </w:r>
      <w:r w:rsidRPr="005D38C6">
        <w:rPr>
          <w:rFonts w:ascii="Arial" w:hAnsi="Arial" w:cs="Arial"/>
          <w:sz w:val="24"/>
          <w:szCs w:val="24"/>
        </w:rPr>
        <w:t xml:space="preserve">structured peer feedback </w:t>
      </w:r>
      <w:r>
        <w:rPr>
          <w:rFonts w:ascii="Arial" w:hAnsi="Arial" w:cs="Arial"/>
          <w:sz w:val="24"/>
          <w:szCs w:val="24"/>
        </w:rPr>
        <w:t>in school links directly to</w:t>
      </w:r>
      <w:r w:rsidRPr="005D38C6">
        <w:rPr>
          <w:rFonts w:ascii="Arial" w:hAnsi="Arial" w:cs="Arial"/>
          <w:sz w:val="24"/>
          <w:szCs w:val="24"/>
        </w:rPr>
        <w:t xml:space="preserve"> Wales's Professional Standards in teaching, as outlined by the Welsh Government (2019), </w:t>
      </w:r>
      <w:r>
        <w:rPr>
          <w:rFonts w:ascii="Arial" w:hAnsi="Arial" w:cs="Arial"/>
          <w:sz w:val="24"/>
          <w:szCs w:val="24"/>
        </w:rPr>
        <w:t xml:space="preserve">which </w:t>
      </w:r>
      <w:r w:rsidRPr="005D38C6">
        <w:rPr>
          <w:rFonts w:ascii="Arial" w:hAnsi="Arial" w:cs="Arial"/>
          <w:sz w:val="24"/>
          <w:szCs w:val="24"/>
        </w:rPr>
        <w:t xml:space="preserve">underscores its alignment with </w:t>
      </w:r>
      <w:r>
        <w:rPr>
          <w:rFonts w:ascii="Arial" w:hAnsi="Arial" w:cs="Arial"/>
          <w:sz w:val="24"/>
          <w:szCs w:val="24"/>
        </w:rPr>
        <w:t xml:space="preserve">enhancing </w:t>
      </w:r>
      <w:r w:rsidRPr="005D38C6">
        <w:rPr>
          <w:rFonts w:ascii="Arial" w:hAnsi="Arial" w:cs="Arial"/>
          <w:sz w:val="24"/>
          <w:szCs w:val="24"/>
        </w:rPr>
        <w:t>pedagogical principles. It fosters collaboration, demonstrates leadership, promotes innovation, and facilitates ongoing professional learning. By embracing structured peer feedback, educators cultivate dynamic and supportive learning environments where students actively engage, collaborate, and develop critical skills. This approach empowers students to take ownership of their learning journey while encouraging teachers to refine their instructional practices to meet evolving educational needs</w:t>
      </w:r>
      <w:r>
        <w:rPr>
          <w:rFonts w:ascii="Arial" w:hAnsi="Arial" w:cs="Arial"/>
          <w:sz w:val="24"/>
          <w:szCs w:val="24"/>
        </w:rPr>
        <w:t xml:space="preserve"> within the New Curriculum for Wales (Welsh Government, 2022)</w:t>
      </w:r>
      <w:r w:rsidRPr="005D38C6">
        <w:rPr>
          <w:rFonts w:ascii="Arial" w:hAnsi="Arial" w:cs="Arial"/>
          <w:sz w:val="24"/>
          <w:szCs w:val="24"/>
        </w:rPr>
        <w:t>.</w:t>
      </w:r>
    </w:p>
    <w:p w14:paraId="6C2B8FA9" w14:textId="77777777" w:rsidR="00F11D53" w:rsidRPr="005D38C6" w:rsidRDefault="00F11D53" w:rsidP="00F11D53">
      <w:pPr>
        <w:spacing w:line="360" w:lineRule="auto"/>
        <w:jc w:val="both"/>
        <w:rPr>
          <w:rFonts w:ascii="Times New Roman" w:hAnsi="Times New Roman" w:cs="Times New Roman"/>
          <w:i/>
          <w:iCs/>
          <w:sz w:val="28"/>
          <w:szCs w:val="28"/>
        </w:rPr>
      </w:pPr>
      <w:r w:rsidRPr="005D38C6">
        <w:rPr>
          <w:rFonts w:ascii="Times New Roman" w:hAnsi="Times New Roman" w:cs="Times New Roman"/>
          <w:i/>
          <w:iCs/>
          <w:sz w:val="28"/>
          <w:szCs w:val="28"/>
        </w:rPr>
        <w:t>Literature Review:</w:t>
      </w:r>
    </w:p>
    <w:p w14:paraId="5E332D6B" w14:textId="77777777" w:rsidR="00F11D53" w:rsidRPr="005D38C6" w:rsidRDefault="00F11D53" w:rsidP="00F11D53">
      <w:pPr>
        <w:spacing w:line="360" w:lineRule="auto"/>
        <w:jc w:val="both"/>
        <w:rPr>
          <w:rFonts w:ascii="Arial" w:hAnsi="Arial" w:cs="Arial"/>
          <w:sz w:val="24"/>
          <w:szCs w:val="24"/>
        </w:rPr>
      </w:pPr>
      <w:r w:rsidRPr="005D38C6">
        <w:rPr>
          <w:rFonts w:ascii="Arial" w:hAnsi="Arial" w:cs="Arial"/>
          <w:sz w:val="24"/>
          <w:szCs w:val="24"/>
        </w:rPr>
        <w:t xml:space="preserve">Peer assessment, a process where students evaluate each other's work, has gained significant attention in educational research for its potential to enhance learning outcomes and foster a collaborative learning environment. This critical literature review aims to analyse key findings from various studies on peer assessment, focusing on its advantages, challenges, implications for teaching and learning, and the building of </w:t>
      </w:r>
      <w:r>
        <w:rPr>
          <w:rFonts w:ascii="Arial" w:hAnsi="Arial" w:cs="Arial"/>
          <w:sz w:val="24"/>
          <w:szCs w:val="24"/>
        </w:rPr>
        <w:t xml:space="preserve">pupil </w:t>
      </w:r>
      <w:r w:rsidRPr="005D38C6">
        <w:rPr>
          <w:rFonts w:ascii="Arial" w:hAnsi="Arial" w:cs="Arial"/>
          <w:sz w:val="24"/>
          <w:szCs w:val="24"/>
        </w:rPr>
        <w:t>confidence in its process, particularly in the subject of drama.</w:t>
      </w:r>
    </w:p>
    <w:p w14:paraId="6C6258C8" w14:textId="77777777" w:rsidR="00F11D53" w:rsidRPr="005D38C6" w:rsidRDefault="00F11D53" w:rsidP="00F11D53">
      <w:pPr>
        <w:spacing w:line="360" w:lineRule="auto"/>
        <w:jc w:val="both"/>
        <w:rPr>
          <w:rFonts w:ascii="Times New Roman" w:hAnsi="Times New Roman" w:cs="Times New Roman"/>
          <w:i/>
          <w:iCs/>
          <w:sz w:val="28"/>
          <w:szCs w:val="28"/>
        </w:rPr>
      </w:pPr>
      <w:r w:rsidRPr="005D38C6">
        <w:rPr>
          <w:rFonts w:ascii="Times New Roman" w:hAnsi="Times New Roman" w:cs="Times New Roman"/>
          <w:i/>
          <w:iCs/>
          <w:sz w:val="28"/>
          <w:szCs w:val="28"/>
        </w:rPr>
        <w:t>Peer Assessment Literature Analysis:</w:t>
      </w:r>
    </w:p>
    <w:p w14:paraId="13F4D49D" w14:textId="77777777" w:rsidR="00F11D53" w:rsidRPr="005D38C6" w:rsidRDefault="00F11D53" w:rsidP="00F11D53">
      <w:pPr>
        <w:spacing w:line="360" w:lineRule="auto"/>
        <w:jc w:val="both"/>
        <w:rPr>
          <w:rFonts w:ascii="Arial" w:hAnsi="Arial" w:cs="Arial"/>
          <w:sz w:val="24"/>
          <w:szCs w:val="24"/>
        </w:rPr>
      </w:pPr>
      <w:r w:rsidRPr="005D38C6">
        <w:rPr>
          <w:rFonts w:ascii="Arial" w:hAnsi="Arial" w:cs="Arial"/>
          <w:sz w:val="24"/>
          <w:szCs w:val="24"/>
        </w:rPr>
        <w:t xml:space="preserve">Peer assessment provides numerous benefits within educational contexts. It facilitates a deeper understanding of individual learning journeys, promoting personal growth </w:t>
      </w:r>
      <w:r w:rsidRPr="005D38C6">
        <w:rPr>
          <w:rFonts w:ascii="Arial" w:hAnsi="Arial" w:cs="Arial"/>
          <w:sz w:val="24"/>
          <w:szCs w:val="24"/>
        </w:rPr>
        <w:lastRenderedPageBreak/>
        <w:t>(Donaldson, 2015). Moreover, it cultivates critical thinking skills, enhances self-regulation, and encourages students to take responsibility for their own learning (Estyn, 2022)</w:t>
      </w:r>
      <w:r>
        <w:rPr>
          <w:rFonts w:ascii="Arial" w:hAnsi="Arial" w:cs="Arial"/>
          <w:sz w:val="24"/>
          <w:szCs w:val="24"/>
        </w:rPr>
        <w:t>. The evidence s</w:t>
      </w:r>
      <w:r w:rsidRPr="005D38C6">
        <w:rPr>
          <w:rFonts w:ascii="Arial" w:hAnsi="Arial" w:cs="Arial"/>
          <w:sz w:val="24"/>
          <w:szCs w:val="24"/>
        </w:rPr>
        <w:t>uggest</w:t>
      </w:r>
      <w:r>
        <w:rPr>
          <w:rFonts w:ascii="Arial" w:hAnsi="Arial" w:cs="Arial"/>
          <w:sz w:val="24"/>
          <w:szCs w:val="24"/>
        </w:rPr>
        <w:t>s</w:t>
      </w:r>
      <w:r w:rsidRPr="005D38C6">
        <w:rPr>
          <w:rFonts w:ascii="Arial" w:hAnsi="Arial" w:cs="Arial"/>
          <w:sz w:val="24"/>
          <w:szCs w:val="24"/>
        </w:rPr>
        <w:t xml:space="preserve"> that Peer assessment is not just about assessing each other's work</w:t>
      </w:r>
      <w:r>
        <w:rPr>
          <w:rFonts w:ascii="Arial" w:hAnsi="Arial" w:cs="Arial"/>
          <w:sz w:val="24"/>
          <w:szCs w:val="24"/>
        </w:rPr>
        <w:t>,</w:t>
      </w:r>
      <w:r w:rsidRPr="005D38C6">
        <w:rPr>
          <w:rFonts w:ascii="Arial" w:hAnsi="Arial" w:cs="Arial"/>
          <w:sz w:val="24"/>
          <w:szCs w:val="24"/>
        </w:rPr>
        <w:t xml:space="preserve"> </w:t>
      </w:r>
      <w:r>
        <w:rPr>
          <w:rFonts w:ascii="Arial" w:hAnsi="Arial" w:cs="Arial"/>
          <w:sz w:val="24"/>
          <w:szCs w:val="24"/>
        </w:rPr>
        <w:t>as it</w:t>
      </w:r>
      <w:r w:rsidRPr="005D38C6">
        <w:rPr>
          <w:rFonts w:ascii="Arial" w:hAnsi="Arial" w:cs="Arial"/>
          <w:sz w:val="24"/>
          <w:szCs w:val="24"/>
        </w:rPr>
        <w:t xml:space="preserve"> encourages students to grow as people and thinkers. When students take part in peer assessment, they not only improve and develop their schoolwork but also begin to adopt fundamental life skills.</w:t>
      </w:r>
    </w:p>
    <w:p w14:paraId="328D4A80" w14:textId="77777777" w:rsidR="00F11D53" w:rsidRPr="005D38C6" w:rsidRDefault="00F11D53" w:rsidP="00F11D53">
      <w:pPr>
        <w:spacing w:line="360" w:lineRule="auto"/>
        <w:jc w:val="both"/>
        <w:rPr>
          <w:rFonts w:ascii="Arial" w:hAnsi="Arial" w:cs="Arial"/>
          <w:sz w:val="24"/>
          <w:szCs w:val="24"/>
        </w:rPr>
      </w:pPr>
      <w:r w:rsidRPr="005D38C6">
        <w:rPr>
          <w:rFonts w:ascii="Arial" w:hAnsi="Arial" w:cs="Arial"/>
          <w:sz w:val="24"/>
          <w:szCs w:val="24"/>
        </w:rPr>
        <w:t xml:space="preserve">Peer assessment is widely acknowledged for its role in enhancing self-assessment abilities </w:t>
      </w:r>
      <w:proofErr w:type="gramStart"/>
      <w:r w:rsidRPr="005D38C6">
        <w:rPr>
          <w:rFonts w:ascii="Arial" w:hAnsi="Arial" w:cs="Arial"/>
          <w:sz w:val="24"/>
          <w:szCs w:val="24"/>
        </w:rPr>
        <w:t>and</w:t>
      </w:r>
      <w:r>
        <w:rPr>
          <w:rFonts w:ascii="Arial" w:hAnsi="Arial" w:cs="Arial"/>
          <w:sz w:val="24"/>
          <w:szCs w:val="24"/>
        </w:rPr>
        <w:t>,</w:t>
      </w:r>
      <w:proofErr w:type="gramEnd"/>
      <w:r w:rsidRPr="005D38C6">
        <w:rPr>
          <w:rFonts w:ascii="Arial" w:hAnsi="Arial" w:cs="Arial"/>
          <w:sz w:val="24"/>
          <w:szCs w:val="24"/>
        </w:rPr>
        <w:t xml:space="preserve"> nurturing critical thinking skills among students (O’Donovan, 2016). It fosters active participation and collaboration, thereby deepening students' engagement with both the school community and course material (Wiliam, 2012). Additionally, peer feedback provides diverse perspectives, fostering a greater sense of community and teamwork within the classroom (Grammenos et al., n.d.). Moreover, peer assessment contributes to the development of feedback literacy skills, which are essential for students' academic growth (Ketonen, Nieminen &amp; Hähkiöniemi, 2020). These scholars collectively emphasi</w:t>
      </w:r>
      <w:r>
        <w:rPr>
          <w:rFonts w:ascii="Arial" w:hAnsi="Arial" w:cs="Arial"/>
          <w:sz w:val="24"/>
          <w:szCs w:val="24"/>
        </w:rPr>
        <w:t>s</w:t>
      </w:r>
      <w:r w:rsidRPr="005D38C6">
        <w:rPr>
          <w:rFonts w:ascii="Arial" w:hAnsi="Arial" w:cs="Arial"/>
          <w:sz w:val="24"/>
          <w:szCs w:val="24"/>
        </w:rPr>
        <w:t>e that peer assessment transcends mere evaluation of students' learning; it plays a pivotal role in fostering holistic development by nurturing critical thinking, social, and academic abilities (Topping, 2009). Furthermore, it facilitates collaborative learning environments where students engage in meaningful dialogue and peer-to-peer support, promoting the exchange of feedback and the presentation of arguments supported by evidence and reasoning (Welsh Government, 2020; Carless and Boud, 2018). Through the process of providing and receiving feedback, students not only develop essential skills but also gain a heightened awareness of their learning processes, thereby contributing to their overall academic growth and success (Ibarra-Sáiz et al., 2020).</w:t>
      </w:r>
    </w:p>
    <w:p w14:paraId="716FE491" w14:textId="77777777" w:rsidR="00F11D53" w:rsidRPr="005D38C6" w:rsidRDefault="00F11D53" w:rsidP="00F11D53">
      <w:pPr>
        <w:spacing w:line="360" w:lineRule="auto"/>
        <w:jc w:val="both"/>
        <w:rPr>
          <w:rFonts w:ascii="Arial" w:hAnsi="Arial" w:cs="Arial"/>
          <w:sz w:val="24"/>
          <w:szCs w:val="24"/>
        </w:rPr>
      </w:pPr>
      <w:r w:rsidRPr="005D38C6">
        <w:rPr>
          <w:rFonts w:ascii="Arial" w:hAnsi="Arial" w:cs="Arial"/>
          <w:sz w:val="24"/>
          <w:szCs w:val="24"/>
        </w:rPr>
        <w:t>Overall, it seems evident in research that peer assessment offers a multitude of benefits, these benefits include improvements in academic achievements, self-regulation, critical thinking, and collaboration skills (Hogan, 2018; Li et al., 2019; Black and Wiliam, 1998). Moreover, it fosters an environment conducive to independent engagement with learning materials and encourages deeper experiences through reflective practice (Panadero and Alqassab, 2019). By harnessing the transformative power of peer assessment, educators can create dynamic learning environments that empower students to take ownership of their learning and develop essential skills for success.</w:t>
      </w:r>
    </w:p>
    <w:p w14:paraId="6CA0873C" w14:textId="77777777" w:rsidR="00F11D53" w:rsidRPr="005D38C6" w:rsidRDefault="00F11D53" w:rsidP="00F11D53">
      <w:pPr>
        <w:spacing w:line="360" w:lineRule="auto"/>
        <w:jc w:val="both"/>
        <w:rPr>
          <w:rFonts w:ascii="Times New Roman" w:hAnsi="Times New Roman" w:cs="Times New Roman"/>
          <w:i/>
          <w:iCs/>
          <w:sz w:val="28"/>
          <w:szCs w:val="28"/>
        </w:rPr>
      </w:pPr>
      <w:r w:rsidRPr="005D38C6">
        <w:rPr>
          <w:rFonts w:ascii="Times New Roman" w:hAnsi="Times New Roman" w:cs="Times New Roman"/>
          <w:i/>
          <w:iCs/>
          <w:sz w:val="28"/>
          <w:szCs w:val="28"/>
        </w:rPr>
        <w:lastRenderedPageBreak/>
        <w:t>Challenges and Limitations:</w:t>
      </w:r>
    </w:p>
    <w:p w14:paraId="6570ECAD" w14:textId="77777777" w:rsidR="00F11D53" w:rsidRPr="005D38C6" w:rsidRDefault="00F11D53" w:rsidP="00F11D53">
      <w:pPr>
        <w:spacing w:line="360" w:lineRule="auto"/>
        <w:jc w:val="both"/>
        <w:rPr>
          <w:rFonts w:ascii="Arial" w:hAnsi="Arial" w:cs="Arial"/>
          <w:sz w:val="24"/>
          <w:szCs w:val="24"/>
        </w:rPr>
      </w:pPr>
      <w:r w:rsidRPr="005D38C6">
        <w:rPr>
          <w:rFonts w:ascii="Arial" w:hAnsi="Arial" w:cs="Arial"/>
          <w:sz w:val="24"/>
          <w:szCs w:val="24"/>
        </w:rPr>
        <w:t xml:space="preserve">Peer assessment, while offering significant benefits, presents a complex landscape of challenges and limitations. One prominent concern revolves around the reliability, biases, and social influences inherent in evaluation processes (OECD, 2014). This raises questions not only about the fairness and accuracy of assessments but also about their emotional impact on students (Sridharan, McKay, and Boud, 2023). These challenges are compounded by issues such as inadequate feedback quality and time constraints, both of which threaten the effectiveness of peer assessment initiatives (Hattie and Timperley, 2007). Additionally, the reliability and equity of feedback provision may be compromised as students struggle to offer constructive feedback effectively, potentially influenced by social dynamics like gender and socioeconomic disparities (Carlsson Hauff &amp; Nilsson, 2021; Crossouard, 2012). Despite efforts to address these concerns, reliability, bias, and the complexity of assessment procedures persist, posing ongoing challenges (Hogan, 2018; Li et al., 2019; Panadero and Alqassab, 2019). These challenges are exacerbated by group dynamics and subjective perceptions, which can significantly impact assessment outcomes and students' ability to provide accurate feedback (Hogan, 2018). Moreover, issues such as anonymity and accountability further complicate the process, affecting the quality and fairness of evaluations (Panadero and Alqassab, 2019). However, despite the multifaceted nature of these challenges, peer assessment remains a valuable tool for enhancing student learning outcomes, if educators </w:t>
      </w:r>
      <w:r>
        <w:rPr>
          <w:rFonts w:ascii="Arial" w:hAnsi="Arial" w:cs="Arial"/>
          <w:sz w:val="24"/>
          <w:szCs w:val="24"/>
        </w:rPr>
        <w:t xml:space="preserve">can </w:t>
      </w:r>
      <w:r w:rsidRPr="005D38C6">
        <w:rPr>
          <w:rFonts w:ascii="Arial" w:hAnsi="Arial" w:cs="Arial"/>
          <w:sz w:val="24"/>
          <w:szCs w:val="24"/>
        </w:rPr>
        <w:t>effectively address and mitigate these obstacles.</w:t>
      </w:r>
    </w:p>
    <w:p w14:paraId="383487A2" w14:textId="77777777" w:rsidR="00F11D53" w:rsidRPr="005D38C6" w:rsidRDefault="00F11D53" w:rsidP="00F11D53">
      <w:pPr>
        <w:spacing w:line="360" w:lineRule="auto"/>
        <w:jc w:val="both"/>
        <w:rPr>
          <w:rFonts w:ascii="Times New Roman" w:hAnsi="Times New Roman" w:cs="Times New Roman"/>
          <w:i/>
          <w:iCs/>
          <w:sz w:val="28"/>
          <w:szCs w:val="28"/>
        </w:rPr>
      </w:pPr>
      <w:r w:rsidRPr="005D38C6">
        <w:rPr>
          <w:rFonts w:ascii="Times New Roman" w:hAnsi="Times New Roman" w:cs="Times New Roman"/>
          <w:i/>
          <w:iCs/>
          <w:sz w:val="28"/>
          <w:szCs w:val="28"/>
        </w:rPr>
        <w:t>Implications for Teaching and Learning:</w:t>
      </w:r>
    </w:p>
    <w:p w14:paraId="52442313" w14:textId="77777777" w:rsidR="00F11D53" w:rsidRPr="005D38C6" w:rsidRDefault="00F11D53" w:rsidP="00F11D53">
      <w:pPr>
        <w:spacing w:line="360" w:lineRule="auto"/>
        <w:jc w:val="both"/>
        <w:rPr>
          <w:rFonts w:ascii="Arial" w:hAnsi="Arial" w:cs="Arial"/>
          <w:sz w:val="24"/>
          <w:szCs w:val="24"/>
        </w:rPr>
      </w:pPr>
      <w:r w:rsidRPr="005D38C6">
        <w:rPr>
          <w:rFonts w:ascii="Arial" w:hAnsi="Arial" w:cs="Arial"/>
          <w:sz w:val="24"/>
          <w:szCs w:val="24"/>
        </w:rPr>
        <w:t>Peer assessment has profound implications for teaching and learning practices, as it enhances interaction between students and teachers, fosters collaboration, and improves educational outcomes (Garcia-Souto et al., 2015</w:t>
      </w:r>
      <w:r>
        <w:rPr>
          <w:rFonts w:ascii="Arial" w:hAnsi="Arial" w:cs="Arial"/>
          <w:sz w:val="24"/>
          <w:szCs w:val="24"/>
        </w:rPr>
        <w:t>; Welsh Government 2020</w:t>
      </w:r>
      <w:r w:rsidRPr="005D38C6">
        <w:rPr>
          <w:rFonts w:ascii="Arial" w:hAnsi="Arial" w:cs="Arial"/>
          <w:sz w:val="24"/>
          <w:szCs w:val="24"/>
        </w:rPr>
        <w:t xml:space="preserve">). By implementing peer assessment effectively, educators can promote a more collaborative and supportive learning environment, leading to improved academic performance and outcomes for students. However, incorporating social equity considerations into peer assessment practices remains a challenge, highlighting the need for inclusive pedagogical approaches (Crossouard, 2012). This underscores the importance of addressing fairness and equity in peer assessment processes to ensure </w:t>
      </w:r>
      <w:r w:rsidRPr="005D38C6">
        <w:rPr>
          <w:rFonts w:ascii="Arial" w:hAnsi="Arial" w:cs="Arial"/>
          <w:sz w:val="24"/>
          <w:szCs w:val="24"/>
        </w:rPr>
        <w:lastRenderedPageBreak/>
        <w:t>that all students have equal opportunities for success. Teachers play a crucial role in this endeavour by promoting feedback literacy, continuous assessment, and formative feedback, thus creating a supportive learning environment conducive to effective peer assessment (Li et al., 2019; Black and Wiliam, 2018).</w:t>
      </w:r>
    </w:p>
    <w:p w14:paraId="1B0265D9" w14:textId="77777777" w:rsidR="00F11D53" w:rsidRPr="005D38C6" w:rsidRDefault="00F11D53" w:rsidP="00F11D53">
      <w:pPr>
        <w:spacing w:line="360" w:lineRule="auto"/>
        <w:jc w:val="both"/>
        <w:rPr>
          <w:rFonts w:ascii="Times New Roman" w:hAnsi="Times New Roman" w:cs="Times New Roman"/>
          <w:i/>
          <w:iCs/>
          <w:sz w:val="28"/>
          <w:szCs w:val="28"/>
        </w:rPr>
      </w:pPr>
      <w:r w:rsidRPr="005D38C6">
        <w:rPr>
          <w:rFonts w:ascii="Times New Roman" w:hAnsi="Times New Roman" w:cs="Times New Roman"/>
          <w:i/>
          <w:iCs/>
          <w:sz w:val="28"/>
          <w:szCs w:val="28"/>
        </w:rPr>
        <w:t>Building Confidence in Peer Assessment:</w:t>
      </w:r>
    </w:p>
    <w:p w14:paraId="4609F66C" w14:textId="77777777" w:rsidR="00F11D53" w:rsidRPr="005D38C6" w:rsidRDefault="00F11D53" w:rsidP="00F11D53">
      <w:pPr>
        <w:spacing w:line="360" w:lineRule="auto"/>
        <w:jc w:val="both"/>
        <w:rPr>
          <w:rFonts w:ascii="Arial" w:hAnsi="Arial" w:cs="Arial"/>
          <w:sz w:val="24"/>
          <w:szCs w:val="24"/>
        </w:rPr>
      </w:pPr>
      <w:r w:rsidRPr="005D38C6">
        <w:rPr>
          <w:rFonts w:ascii="Arial" w:hAnsi="Arial" w:cs="Arial"/>
          <w:sz w:val="24"/>
          <w:szCs w:val="24"/>
        </w:rPr>
        <w:t>Building confidence in peer assessment, particularly in the context of drama, is essential for its effective implementation and positive impact on student learning (Donaldson, 2015; Topping, 2009; Welsh Government, 2020). Peer assessment not only helps students understand the depth and nature of their learning but also fosters resilience by enabling them to identify strengths and weaknesses, thereby enhancing metacognitive and personal skills development (Sridharan, McKay, and Boud, 2023). However, peer assessment interactions may uncover apprehensions about potential ridicule from peers, underscoring the need for a supportive learning environment (Rohmah, Priyatni &amp; Suwignyo, 2021). To address this, strategies such as providing structured constructive feedback and encouraging reflective activities are crucial for boosting students' confidence levels in peer assessment processes (Redesigning Pedagogy International Conference, 2022). While peer assessment holds significant potential for building students' confidence and improving learning outcomes, challenges such as interpersonal tensions must be carefully addressed to create an environment conducive to effective peer assessment (Hogan, 2018; Panadero and Alqassab, 2019).</w:t>
      </w:r>
    </w:p>
    <w:p w14:paraId="073F56BE" w14:textId="77777777" w:rsidR="00F11D53" w:rsidRPr="005D38C6" w:rsidRDefault="00F11D53" w:rsidP="00F11D53">
      <w:pPr>
        <w:spacing w:line="360" w:lineRule="auto"/>
        <w:jc w:val="both"/>
        <w:rPr>
          <w:rFonts w:ascii="Times New Roman" w:hAnsi="Times New Roman" w:cs="Times New Roman"/>
          <w:i/>
          <w:iCs/>
          <w:sz w:val="28"/>
          <w:szCs w:val="28"/>
        </w:rPr>
      </w:pPr>
      <w:r w:rsidRPr="005D38C6">
        <w:rPr>
          <w:rFonts w:ascii="Times New Roman" w:hAnsi="Times New Roman" w:cs="Times New Roman"/>
          <w:i/>
          <w:iCs/>
          <w:sz w:val="28"/>
          <w:szCs w:val="28"/>
        </w:rPr>
        <w:t>Conclusion:</w:t>
      </w:r>
    </w:p>
    <w:p w14:paraId="23EF71C5" w14:textId="77777777" w:rsidR="00F11D53" w:rsidRPr="005D38C6" w:rsidRDefault="00F11D53" w:rsidP="00F11D53">
      <w:pPr>
        <w:spacing w:line="360" w:lineRule="auto"/>
        <w:jc w:val="both"/>
        <w:rPr>
          <w:rFonts w:ascii="Arial" w:hAnsi="Arial" w:cs="Arial"/>
          <w:sz w:val="24"/>
          <w:szCs w:val="24"/>
        </w:rPr>
      </w:pPr>
      <w:r w:rsidRPr="005D38C6">
        <w:rPr>
          <w:rFonts w:ascii="Arial" w:hAnsi="Arial" w:cs="Arial"/>
          <w:sz w:val="24"/>
          <w:szCs w:val="24"/>
        </w:rPr>
        <w:t>In summary,</w:t>
      </w:r>
      <w:r>
        <w:rPr>
          <w:rFonts w:ascii="Arial" w:hAnsi="Arial" w:cs="Arial"/>
          <w:sz w:val="24"/>
          <w:szCs w:val="24"/>
        </w:rPr>
        <w:t xml:space="preserve"> </w:t>
      </w:r>
      <w:r w:rsidRPr="005D38C6">
        <w:rPr>
          <w:rFonts w:ascii="Arial" w:hAnsi="Arial" w:cs="Arial"/>
          <w:sz w:val="24"/>
          <w:szCs w:val="24"/>
        </w:rPr>
        <w:t>this critical analysis emphasi</w:t>
      </w:r>
      <w:r>
        <w:rPr>
          <w:rFonts w:ascii="Arial" w:hAnsi="Arial" w:cs="Arial"/>
          <w:sz w:val="24"/>
          <w:szCs w:val="24"/>
        </w:rPr>
        <w:t>s</w:t>
      </w:r>
      <w:r w:rsidRPr="005D38C6">
        <w:rPr>
          <w:rFonts w:ascii="Arial" w:hAnsi="Arial" w:cs="Arial"/>
          <w:sz w:val="24"/>
          <w:szCs w:val="24"/>
        </w:rPr>
        <w:t xml:space="preserve">es the importance of peer assessment in educational settings, highlighting its role not only as an evaluation tool but also as a catalyst for personal development, critical thinking, and collaborative skills among students. While acknowledging its advantages, notable challenges such as reliability issues and social influences are identified. Nonetheless, by employing effective strategies for implementation, adopting inclusive teaching methods, and promoting confidence-building initiatives, these obstacles can be overcome. This literature review underscores the benefits of peer assessment and the challenges such as reliability issues and social influences, which resonate with the obstacles faced in the presented case study. By addressing these challenges through effective implementation </w:t>
      </w:r>
      <w:r w:rsidRPr="005D38C6">
        <w:rPr>
          <w:rFonts w:ascii="Arial" w:hAnsi="Arial" w:cs="Arial"/>
          <w:sz w:val="24"/>
          <w:szCs w:val="24"/>
        </w:rPr>
        <w:lastRenderedPageBreak/>
        <w:t>strategies and confidence-building initiatives, the study can leverage the transformative potential of peer assessment to enhance student confidence and learning outcomes, thus fostering a supportive learning environment. Overall, the literature review provides a robust foundation for the investigation into structured peer feedback strategies within the drama classroom, setting the stage for more research into the strategies that are working successfully in education.</w:t>
      </w:r>
    </w:p>
    <w:p w14:paraId="33EC55A1" w14:textId="77777777" w:rsidR="00F11D53" w:rsidRPr="00C5017E" w:rsidRDefault="00F11D53" w:rsidP="00F11D53">
      <w:pPr>
        <w:spacing w:line="360" w:lineRule="auto"/>
        <w:jc w:val="both"/>
        <w:rPr>
          <w:rFonts w:ascii="Times New Roman" w:hAnsi="Times New Roman" w:cs="Times New Roman"/>
          <w:b/>
          <w:bCs/>
          <w:sz w:val="28"/>
          <w:szCs w:val="28"/>
        </w:rPr>
      </w:pPr>
      <w:r w:rsidRPr="002D30C2">
        <w:rPr>
          <w:rFonts w:ascii="Times New Roman" w:hAnsi="Times New Roman" w:cs="Times New Roman"/>
          <w:b/>
          <w:bCs/>
          <w:i/>
          <w:iCs/>
          <w:sz w:val="28"/>
          <w:szCs w:val="28"/>
        </w:rPr>
        <w:t>Research Question:</w:t>
      </w:r>
      <w:r w:rsidRPr="005D38C6">
        <w:rPr>
          <w:rFonts w:ascii="Arial" w:hAnsi="Arial" w:cs="Arial"/>
          <w:sz w:val="24"/>
          <w:szCs w:val="24"/>
        </w:rPr>
        <w:t xml:space="preserve"> </w:t>
      </w:r>
      <w:r w:rsidRPr="00C5017E">
        <w:rPr>
          <w:rFonts w:ascii="Times New Roman" w:hAnsi="Times New Roman" w:cs="Times New Roman"/>
          <w:b/>
          <w:bCs/>
          <w:sz w:val="28"/>
          <w:szCs w:val="28"/>
        </w:rPr>
        <w:t>How does the implementation of a structured peer feedback strategy impact the confidence of drama students in evaluating their peers’ work?</w:t>
      </w:r>
    </w:p>
    <w:p w14:paraId="0C9DCAC6" w14:textId="77777777" w:rsidR="00F11D53" w:rsidRPr="002D30C2" w:rsidRDefault="00F11D53" w:rsidP="00F11D53">
      <w:pPr>
        <w:spacing w:line="360" w:lineRule="auto"/>
        <w:jc w:val="both"/>
        <w:rPr>
          <w:rFonts w:ascii="Times New Roman" w:hAnsi="Times New Roman" w:cs="Times New Roman"/>
          <w:i/>
          <w:iCs/>
          <w:sz w:val="28"/>
          <w:szCs w:val="28"/>
        </w:rPr>
      </w:pPr>
      <w:r w:rsidRPr="002D30C2">
        <w:rPr>
          <w:rFonts w:ascii="Times New Roman" w:hAnsi="Times New Roman" w:cs="Times New Roman"/>
          <w:i/>
          <w:iCs/>
          <w:sz w:val="28"/>
          <w:szCs w:val="28"/>
        </w:rPr>
        <w:t>Case Study Theory</w:t>
      </w:r>
    </w:p>
    <w:p w14:paraId="1C78B3C5" w14:textId="77777777" w:rsidR="00F11D53" w:rsidRPr="005D38C6" w:rsidRDefault="00F11D53" w:rsidP="00F11D53">
      <w:pPr>
        <w:spacing w:line="360" w:lineRule="auto"/>
        <w:jc w:val="both"/>
        <w:rPr>
          <w:rFonts w:ascii="Arial" w:hAnsi="Arial" w:cs="Arial"/>
          <w:sz w:val="24"/>
          <w:szCs w:val="24"/>
        </w:rPr>
      </w:pPr>
      <w:r w:rsidRPr="005D38C6">
        <w:rPr>
          <w:rFonts w:ascii="Arial" w:hAnsi="Arial" w:cs="Arial"/>
          <w:sz w:val="24"/>
          <w:szCs w:val="24"/>
        </w:rPr>
        <w:t xml:space="preserve">Case study methodology is a versatile research approach with varying perspectives and no singular, agreed-upon definition. Priya (2020), Merriam (2009), and Stake (1995) view case studies as qualitative research methods that delve deeply into specific subjects. In contrast, Yin (2014) suggests </w:t>
      </w:r>
      <w:r>
        <w:rPr>
          <w:rFonts w:ascii="Arial" w:hAnsi="Arial" w:cs="Arial"/>
          <w:sz w:val="24"/>
          <w:szCs w:val="24"/>
        </w:rPr>
        <w:t xml:space="preserve">case study needs </w:t>
      </w:r>
      <w:r w:rsidRPr="005D38C6">
        <w:rPr>
          <w:rFonts w:ascii="Arial" w:hAnsi="Arial" w:cs="Arial"/>
          <w:sz w:val="24"/>
          <w:szCs w:val="24"/>
        </w:rPr>
        <w:t>a blended approach integrating both quantitative and qualitative evidence. This diversity underscores the ongoing debate about balancing quantitative and qualitative methods in case study research. Hammond and Wellington (2012) argue that case study definitions remain elusive due to their unique nature, highlighting the need for researchers to critically evaluate different approaches.</w:t>
      </w:r>
    </w:p>
    <w:p w14:paraId="5D955BFD" w14:textId="77777777" w:rsidR="00F11D53" w:rsidRPr="005D38C6" w:rsidRDefault="00F11D53" w:rsidP="00F11D53">
      <w:pPr>
        <w:spacing w:line="360" w:lineRule="auto"/>
        <w:jc w:val="both"/>
        <w:rPr>
          <w:rFonts w:ascii="Arial" w:hAnsi="Arial" w:cs="Arial"/>
          <w:sz w:val="24"/>
          <w:szCs w:val="24"/>
        </w:rPr>
      </w:pPr>
      <w:r w:rsidRPr="005D38C6">
        <w:rPr>
          <w:rFonts w:ascii="Arial" w:hAnsi="Arial" w:cs="Arial"/>
          <w:sz w:val="24"/>
          <w:szCs w:val="24"/>
        </w:rPr>
        <w:t>Despite serving various purposes, case study research faces criticism. While Ebneyamini and Moghadam (2018) emphasi</w:t>
      </w:r>
      <w:r>
        <w:rPr>
          <w:rFonts w:ascii="Arial" w:hAnsi="Arial" w:cs="Arial"/>
          <w:sz w:val="24"/>
          <w:szCs w:val="24"/>
        </w:rPr>
        <w:t>s</w:t>
      </w:r>
      <w:r w:rsidRPr="005D38C6">
        <w:rPr>
          <w:rFonts w:ascii="Arial" w:hAnsi="Arial" w:cs="Arial"/>
          <w:sz w:val="24"/>
          <w:szCs w:val="24"/>
        </w:rPr>
        <w:t>e its role in enriching theoretical frameworks, criticisms regarding subjectivity, limited generali</w:t>
      </w:r>
      <w:r>
        <w:rPr>
          <w:rFonts w:ascii="Arial" w:hAnsi="Arial" w:cs="Arial"/>
          <w:sz w:val="24"/>
          <w:szCs w:val="24"/>
        </w:rPr>
        <w:t>s</w:t>
      </w:r>
      <w:r w:rsidRPr="005D38C6">
        <w:rPr>
          <w:rFonts w:ascii="Arial" w:hAnsi="Arial" w:cs="Arial"/>
          <w:sz w:val="24"/>
          <w:szCs w:val="24"/>
        </w:rPr>
        <w:t>ability, and study reliability persist (Harrison et al., 2017; Hammond &amp; Wellington, 2012). Acknowledging both strengths and limitations is crucial for researchers to enhance the credibility and relevance of their findings.</w:t>
      </w:r>
    </w:p>
    <w:p w14:paraId="45F6E76E" w14:textId="77777777" w:rsidR="00F11D53" w:rsidRPr="005D38C6" w:rsidRDefault="00F11D53" w:rsidP="00F11D53">
      <w:pPr>
        <w:spacing w:line="360" w:lineRule="auto"/>
        <w:jc w:val="both"/>
        <w:rPr>
          <w:rFonts w:ascii="Arial" w:hAnsi="Arial" w:cs="Arial"/>
          <w:sz w:val="24"/>
          <w:szCs w:val="24"/>
        </w:rPr>
      </w:pPr>
      <w:r w:rsidRPr="005D38C6">
        <w:rPr>
          <w:rFonts w:ascii="Arial" w:hAnsi="Arial" w:cs="Arial"/>
          <w:sz w:val="24"/>
          <w:szCs w:val="24"/>
        </w:rPr>
        <w:t xml:space="preserve">Exploratory case study research, as highlighted by Sheppard (2020), involves unbiased data exploration, aligning with this research project's methodology. This approach, incorporating qualitative and quantitative methodologies, enables comprehensive analysis without bias towards predetermined outcomes. </w:t>
      </w:r>
      <w:proofErr w:type="gramStart"/>
      <w:r>
        <w:rPr>
          <w:rFonts w:ascii="Arial" w:hAnsi="Arial" w:cs="Arial"/>
          <w:sz w:val="24"/>
          <w:szCs w:val="24"/>
        </w:rPr>
        <w:t>Furthermore</w:t>
      </w:r>
      <w:proofErr w:type="gramEnd"/>
      <w:r>
        <w:rPr>
          <w:rFonts w:ascii="Arial" w:hAnsi="Arial" w:cs="Arial"/>
          <w:sz w:val="24"/>
          <w:szCs w:val="24"/>
        </w:rPr>
        <w:t xml:space="preserve"> t</w:t>
      </w:r>
      <w:r w:rsidRPr="005D38C6">
        <w:rPr>
          <w:rFonts w:ascii="Arial" w:hAnsi="Arial" w:cs="Arial"/>
          <w:sz w:val="24"/>
          <w:szCs w:val="24"/>
        </w:rPr>
        <w:t xml:space="preserve">he </w:t>
      </w:r>
      <w:r>
        <w:rPr>
          <w:rFonts w:ascii="Arial" w:hAnsi="Arial" w:cs="Arial"/>
          <w:sz w:val="24"/>
          <w:szCs w:val="24"/>
        </w:rPr>
        <w:t>combination</w:t>
      </w:r>
      <w:r w:rsidRPr="005D38C6">
        <w:rPr>
          <w:rFonts w:ascii="Arial" w:hAnsi="Arial" w:cs="Arial"/>
          <w:sz w:val="24"/>
          <w:szCs w:val="24"/>
        </w:rPr>
        <w:t xml:space="preserve"> </w:t>
      </w:r>
      <w:r>
        <w:rPr>
          <w:rFonts w:ascii="Arial" w:hAnsi="Arial" w:cs="Arial"/>
          <w:sz w:val="24"/>
          <w:szCs w:val="24"/>
        </w:rPr>
        <w:t>of</w:t>
      </w:r>
      <w:r w:rsidRPr="005D38C6">
        <w:rPr>
          <w:rFonts w:ascii="Arial" w:hAnsi="Arial" w:cs="Arial"/>
          <w:sz w:val="24"/>
          <w:szCs w:val="24"/>
        </w:rPr>
        <w:t xml:space="preserve"> qualitative and quantitative methods allows for flexibility (Roberts, Roche, &amp; Sainani, 2023). However, challenges such as false positives and subjective </w:t>
      </w:r>
      <w:r w:rsidRPr="005D38C6">
        <w:rPr>
          <w:rFonts w:ascii="Arial" w:hAnsi="Arial" w:cs="Arial"/>
          <w:sz w:val="24"/>
          <w:szCs w:val="24"/>
        </w:rPr>
        <w:lastRenderedPageBreak/>
        <w:t>interpretations must be addressed to ensure validity (Paparini et al., 2020; McKinley &amp; Rose, 2019). Researchers can mitigate these risks through robust methodological techniques like data triangulation (Denzin, 1978), which enhances the credibility and reliability of research outcomes (Roberts, Roche, &amp; Sainani, 2023).</w:t>
      </w:r>
    </w:p>
    <w:p w14:paraId="2C193DBB" w14:textId="77777777" w:rsidR="00F11D53" w:rsidRDefault="00F11D53" w:rsidP="00F11D53">
      <w:pPr>
        <w:spacing w:line="360" w:lineRule="auto"/>
        <w:jc w:val="both"/>
        <w:rPr>
          <w:rFonts w:ascii="Arial" w:hAnsi="Arial" w:cs="Arial"/>
          <w:sz w:val="24"/>
          <w:szCs w:val="24"/>
        </w:rPr>
      </w:pPr>
      <w:r w:rsidRPr="005D38C6">
        <w:rPr>
          <w:rFonts w:ascii="Arial" w:hAnsi="Arial" w:cs="Arial"/>
          <w:sz w:val="24"/>
          <w:szCs w:val="24"/>
        </w:rPr>
        <w:t>To ensure the validity and credibility of this research project, the triangulation method involving multiple data sources was employed, including observation by more than one practitioner, questionnaires, and feedback. Triangulating data helps corroborate evidence from different sources, mitigating the risks of false positives and subjective interpretations (Denzin, 1978; Roberts, Roche, &amp; Sainani, 2023).</w:t>
      </w:r>
    </w:p>
    <w:p w14:paraId="5F61EF72" w14:textId="77777777" w:rsidR="00F11D53" w:rsidRPr="00B203AC" w:rsidRDefault="00F11D53" w:rsidP="00F11D53">
      <w:pPr>
        <w:spacing w:line="360" w:lineRule="auto"/>
        <w:jc w:val="both"/>
        <w:rPr>
          <w:rFonts w:ascii="Times New Roman" w:hAnsi="Times New Roman" w:cs="Times New Roman"/>
          <w:i/>
          <w:iCs/>
          <w:sz w:val="28"/>
          <w:szCs w:val="28"/>
        </w:rPr>
      </w:pPr>
      <w:r w:rsidRPr="00B203AC">
        <w:rPr>
          <w:rFonts w:ascii="Times New Roman" w:hAnsi="Times New Roman" w:cs="Times New Roman"/>
          <w:i/>
          <w:iCs/>
          <w:sz w:val="28"/>
          <w:szCs w:val="28"/>
        </w:rPr>
        <w:t>Sample Selection:</w:t>
      </w:r>
    </w:p>
    <w:p w14:paraId="4B2BD150" w14:textId="77777777" w:rsidR="00F11D53" w:rsidRPr="005D38C6" w:rsidRDefault="00F11D53" w:rsidP="00F11D53">
      <w:pPr>
        <w:spacing w:line="360" w:lineRule="auto"/>
        <w:jc w:val="both"/>
        <w:rPr>
          <w:rFonts w:ascii="Arial" w:hAnsi="Arial" w:cs="Arial"/>
          <w:sz w:val="24"/>
          <w:szCs w:val="24"/>
        </w:rPr>
      </w:pPr>
      <w:r w:rsidRPr="005D38C6">
        <w:rPr>
          <w:rFonts w:ascii="Arial" w:hAnsi="Arial" w:cs="Arial"/>
          <w:sz w:val="24"/>
          <w:szCs w:val="24"/>
        </w:rPr>
        <w:t>In conducting the research project, purposive sampling was utili</w:t>
      </w:r>
      <w:r>
        <w:rPr>
          <w:rFonts w:ascii="Arial" w:hAnsi="Arial" w:cs="Arial"/>
          <w:sz w:val="24"/>
          <w:szCs w:val="24"/>
        </w:rPr>
        <w:t>s</w:t>
      </w:r>
      <w:r w:rsidRPr="005D38C6">
        <w:rPr>
          <w:rFonts w:ascii="Arial" w:hAnsi="Arial" w:cs="Arial"/>
          <w:sz w:val="24"/>
          <w:szCs w:val="24"/>
        </w:rPr>
        <w:t>ed</w:t>
      </w:r>
      <w:r>
        <w:rPr>
          <w:rFonts w:ascii="Arial" w:hAnsi="Arial" w:cs="Arial"/>
          <w:sz w:val="24"/>
          <w:szCs w:val="24"/>
        </w:rPr>
        <w:t xml:space="preserve"> following structured group observation (see Appendix A) and discussion with teacher,</w:t>
      </w:r>
      <w:r w:rsidRPr="005D38C6">
        <w:rPr>
          <w:rFonts w:ascii="Arial" w:hAnsi="Arial" w:cs="Arial"/>
          <w:sz w:val="24"/>
          <w:szCs w:val="24"/>
        </w:rPr>
        <w:t xml:space="preserve"> to select participants, ensuring a diverse representation of confidence levels in drama, and maintaining a balanced mix of genders and abilities (Grafström and Schelin, 2013). This methodological choice aimed to enrich the understanding of how structured peer feedback impacts individuals across various demographic profiles (Rai and Thapa, 2015; Sharma, 2017).</w:t>
      </w:r>
    </w:p>
    <w:p w14:paraId="6B09CF4A" w14:textId="77777777" w:rsidR="00F11D53" w:rsidRPr="005D38C6" w:rsidRDefault="00F11D53" w:rsidP="00F11D53">
      <w:pPr>
        <w:spacing w:line="360" w:lineRule="auto"/>
        <w:jc w:val="both"/>
        <w:rPr>
          <w:rFonts w:ascii="Arial" w:hAnsi="Arial" w:cs="Arial"/>
          <w:sz w:val="24"/>
          <w:szCs w:val="24"/>
        </w:rPr>
      </w:pPr>
      <w:r w:rsidRPr="005D38C6">
        <w:rPr>
          <w:rFonts w:ascii="Arial" w:hAnsi="Arial" w:cs="Arial"/>
          <w:sz w:val="24"/>
          <w:szCs w:val="24"/>
        </w:rPr>
        <w:t xml:space="preserve">Purposive sampling involves the deliberate selection of participants based on specific attributes or characteristics relevant to the research inquiries. For instance, students who actively engaged in drama productions or demonstrated proficiency in providing constructive feedback during previous drama activities were included in the sample. This strategic approach facilitated the representation of students from different proficiency levels, including </w:t>
      </w:r>
      <w:r>
        <w:rPr>
          <w:rFonts w:ascii="Arial" w:hAnsi="Arial" w:cs="Arial"/>
          <w:sz w:val="24"/>
          <w:szCs w:val="24"/>
        </w:rPr>
        <w:t>More Able and Talented (MAT) pupils</w:t>
      </w:r>
      <w:r w:rsidRPr="005D38C6">
        <w:rPr>
          <w:rFonts w:ascii="Arial" w:hAnsi="Arial" w:cs="Arial"/>
          <w:sz w:val="24"/>
          <w:szCs w:val="24"/>
        </w:rPr>
        <w:t>, those with average abilities, and reluctant learners, thereby contributing to a nuanced understanding of peer feedback dynamics. While acknowledging the potential risk of biased interpretations, this sampling method enhanced the depth and relevance of the collected data. It allowed research to focus on gathering insights from participants possessing key perspectives related to the research topic, particularly their confidence in evaluating their peers' work. This approach proved valuable, especially given the constraints of time and sample size within the research project (Andrade, 2020; Etikan et al., 2016).</w:t>
      </w:r>
    </w:p>
    <w:p w14:paraId="726232EE" w14:textId="77777777" w:rsidR="00F11D53" w:rsidRPr="00B203AC" w:rsidRDefault="00F11D53" w:rsidP="00F11D53">
      <w:pPr>
        <w:spacing w:line="360" w:lineRule="auto"/>
        <w:jc w:val="both"/>
        <w:rPr>
          <w:rFonts w:ascii="Times New Roman" w:hAnsi="Times New Roman" w:cs="Times New Roman"/>
          <w:i/>
          <w:iCs/>
          <w:color w:val="0D0D0D"/>
          <w:sz w:val="28"/>
          <w:szCs w:val="28"/>
          <w:shd w:val="clear" w:color="auto" w:fill="FFFFFF"/>
        </w:rPr>
      </w:pPr>
      <w:r w:rsidRPr="00B203AC">
        <w:rPr>
          <w:rFonts w:ascii="Times New Roman" w:hAnsi="Times New Roman" w:cs="Times New Roman"/>
          <w:i/>
          <w:iCs/>
          <w:color w:val="0D0D0D"/>
          <w:sz w:val="28"/>
          <w:szCs w:val="28"/>
          <w:shd w:val="clear" w:color="auto" w:fill="FFFFFF"/>
        </w:rPr>
        <w:lastRenderedPageBreak/>
        <w:t xml:space="preserve">Ethical Considerations: </w:t>
      </w:r>
    </w:p>
    <w:p w14:paraId="3C48C7C7" w14:textId="77777777" w:rsidR="00F11D53" w:rsidRPr="005D38C6" w:rsidRDefault="00F11D53" w:rsidP="00F11D53">
      <w:pPr>
        <w:spacing w:line="360" w:lineRule="auto"/>
        <w:jc w:val="both"/>
        <w:rPr>
          <w:rFonts w:ascii="Arial" w:hAnsi="Arial" w:cs="Arial"/>
          <w:color w:val="0D0D0D"/>
          <w:sz w:val="24"/>
          <w:szCs w:val="24"/>
          <w:shd w:val="clear" w:color="auto" w:fill="FFFFFF"/>
        </w:rPr>
      </w:pPr>
      <w:r w:rsidRPr="005D38C6">
        <w:rPr>
          <w:rFonts w:ascii="Arial" w:hAnsi="Arial" w:cs="Arial"/>
          <w:color w:val="0D0D0D"/>
          <w:sz w:val="24"/>
          <w:szCs w:val="24"/>
          <w:shd w:val="clear" w:color="auto" w:fill="FFFFFF"/>
        </w:rPr>
        <w:t xml:space="preserve">Ensuring ethical conduct was paramount throughout the research project, with several key aspects observed to uphold lawful practice. </w:t>
      </w:r>
      <w:r>
        <w:rPr>
          <w:rFonts w:ascii="Arial" w:hAnsi="Arial" w:cs="Arial"/>
          <w:color w:val="0D0D0D"/>
          <w:sz w:val="24"/>
          <w:szCs w:val="24"/>
          <w:shd w:val="clear" w:color="auto" w:fill="FFFFFF"/>
        </w:rPr>
        <w:t xml:space="preserve">(See Appendix B) </w:t>
      </w:r>
      <w:r w:rsidRPr="005D38C6">
        <w:rPr>
          <w:rFonts w:ascii="Arial" w:hAnsi="Arial" w:cs="Arial"/>
          <w:color w:val="0D0D0D"/>
          <w:sz w:val="24"/>
          <w:szCs w:val="24"/>
          <w:shd w:val="clear" w:color="auto" w:fill="FFFFFF"/>
        </w:rPr>
        <w:t>Firstly, obtaining consent from parents or guardians for students under 16 years was crucial</w:t>
      </w:r>
      <w:r>
        <w:rPr>
          <w:rFonts w:ascii="Arial" w:hAnsi="Arial" w:cs="Arial"/>
          <w:color w:val="0D0D0D"/>
          <w:sz w:val="24"/>
          <w:szCs w:val="24"/>
          <w:shd w:val="clear" w:color="auto" w:fill="FFFFFF"/>
        </w:rPr>
        <w:t xml:space="preserve"> (See Appendix C)</w:t>
      </w:r>
      <w:r w:rsidRPr="005D38C6">
        <w:rPr>
          <w:rFonts w:ascii="Arial" w:hAnsi="Arial" w:cs="Arial"/>
          <w:color w:val="0D0D0D"/>
          <w:sz w:val="24"/>
          <w:szCs w:val="24"/>
          <w:shd w:val="clear" w:color="auto" w:fill="FFFFFF"/>
        </w:rPr>
        <w:t>, ensuring their participation was voluntary and informed. This involved distributing consent forms via class charts to the selected sample, providing detailed information about the study's nature, procedures, and any potential risks or benefits (Bera, 2018). Additionally, students provided verbal assent throughout the study and indicated their willingness to participate and their right to withdraw on the first page of each digital questionnaire. Anonymity and confidentiality were paramount to protect participants' privacy. To maintain anonymity, participants' identities were anonymi</w:t>
      </w:r>
      <w:r>
        <w:rPr>
          <w:rFonts w:ascii="Arial" w:hAnsi="Arial" w:cs="Arial"/>
          <w:color w:val="0D0D0D"/>
          <w:sz w:val="24"/>
          <w:szCs w:val="24"/>
          <w:shd w:val="clear" w:color="auto" w:fill="FFFFFF"/>
        </w:rPr>
        <w:t>s</w:t>
      </w:r>
      <w:r w:rsidRPr="005D38C6">
        <w:rPr>
          <w:rFonts w:ascii="Arial" w:hAnsi="Arial" w:cs="Arial"/>
          <w:color w:val="0D0D0D"/>
          <w:sz w:val="24"/>
          <w:szCs w:val="24"/>
          <w:shd w:val="clear" w:color="auto" w:fill="FFFFFF"/>
        </w:rPr>
        <w:t>ed, and data was securely stored, accessible only to authori</w:t>
      </w:r>
      <w:r>
        <w:rPr>
          <w:rFonts w:ascii="Arial" w:hAnsi="Arial" w:cs="Arial"/>
          <w:color w:val="0D0D0D"/>
          <w:sz w:val="24"/>
          <w:szCs w:val="24"/>
          <w:shd w:val="clear" w:color="auto" w:fill="FFFFFF"/>
        </w:rPr>
        <w:t>s</w:t>
      </w:r>
      <w:r w:rsidRPr="005D38C6">
        <w:rPr>
          <w:rFonts w:ascii="Arial" w:hAnsi="Arial" w:cs="Arial"/>
          <w:color w:val="0D0D0D"/>
          <w:sz w:val="24"/>
          <w:szCs w:val="24"/>
          <w:shd w:val="clear" w:color="auto" w:fill="FFFFFF"/>
        </w:rPr>
        <w:t xml:space="preserve">ed personnel via a password-protected Google account with 2-step verification, </w:t>
      </w:r>
      <w:r>
        <w:rPr>
          <w:rFonts w:ascii="Arial" w:hAnsi="Arial" w:cs="Arial"/>
          <w:color w:val="0D0D0D"/>
          <w:sz w:val="24"/>
          <w:szCs w:val="24"/>
          <w:shd w:val="clear" w:color="auto" w:fill="FFFFFF"/>
        </w:rPr>
        <w:t>there were</w:t>
      </w:r>
      <w:r w:rsidRPr="005D38C6">
        <w:rPr>
          <w:rFonts w:ascii="Arial" w:hAnsi="Arial" w:cs="Arial"/>
          <w:color w:val="0D0D0D"/>
          <w:sz w:val="24"/>
          <w:szCs w:val="24"/>
          <w:shd w:val="clear" w:color="auto" w:fill="FFFFFF"/>
        </w:rPr>
        <w:t xml:space="preserve"> no personal details recorded. Confidentiality was ensured by using unique identifiers or codes rather than participants' names on all research documents and datasets.</w:t>
      </w:r>
      <w:r>
        <w:rPr>
          <w:rFonts w:ascii="Arial" w:hAnsi="Arial" w:cs="Arial"/>
          <w:color w:val="0D0D0D"/>
          <w:sz w:val="24"/>
          <w:szCs w:val="24"/>
          <w:shd w:val="clear" w:color="auto" w:fill="FFFFFF"/>
        </w:rPr>
        <w:t xml:space="preserve"> (MAT) – More Able and Talented. (AA) – Average Ability and (RL) – Reluctant Learner.</w:t>
      </w:r>
      <w:r w:rsidRPr="005D38C6">
        <w:rPr>
          <w:rFonts w:ascii="Arial" w:hAnsi="Arial" w:cs="Arial"/>
          <w:color w:val="0D0D0D"/>
          <w:sz w:val="24"/>
          <w:szCs w:val="24"/>
          <w:shd w:val="clear" w:color="auto" w:fill="FFFFFF"/>
        </w:rPr>
        <w:t xml:space="preserve"> The pupil assent process ensured that students understood the study's purpose and procedures and voluntarily agreed to participate. Furthermore, the research project adhered to internal and external ethical guidelines, including the UWTSD Research Ethics &amp; Integrity Code of Practice</w:t>
      </w:r>
      <w:r>
        <w:rPr>
          <w:rFonts w:ascii="Arial" w:hAnsi="Arial" w:cs="Arial"/>
          <w:color w:val="0D0D0D"/>
          <w:sz w:val="24"/>
          <w:szCs w:val="24"/>
          <w:shd w:val="clear" w:color="auto" w:fill="FFFFFF"/>
        </w:rPr>
        <w:t xml:space="preserve"> </w:t>
      </w:r>
      <w:r w:rsidRPr="00A57290">
        <w:rPr>
          <w:rFonts w:ascii="Arial" w:hAnsi="Arial" w:cs="Arial"/>
          <w:color w:val="0D0D0D"/>
          <w:sz w:val="24"/>
          <w:szCs w:val="24"/>
          <w:shd w:val="clear" w:color="auto" w:fill="FFFFFF"/>
        </w:rPr>
        <w:t>(UWTSD, 2022</w:t>
      </w:r>
      <w:r>
        <w:rPr>
          <w:rFonts w:ascii="Arial" w:hAnsi="Arial" w:cs="Arial"/>
          <w:color w:val="0D0D0D"/>
          <w:sz w:val="24"/>
          <w:szCs w:val="24"/>
          <w:shd w:val="clear" w:color="auto" w:fill="FFFFFF"/>
        </w:rPr>
        <w:t>b</w:t>
      </w:r>
      <w:r w:rsidRPr="00A57290">
        <w:rPr>
          <w:rFonts w:ascii="Arial" w:hAnsi="Arial" w:cs="Arial"/>
          <w:color w:val="0D0D0D"/>
          <w:sz w:val="24"/>
          <w:szCs w:val="24"/>
          <w:shd w:val="clear" w:color="auto" w:fill="FFFFFF"/>
        </w:rPr>
        <w:t>)</w:t>
      </w:r>
      <w:r w:rsidRPr="005D38C6">
        <w:rPr>
          <w:rFonts w:ascii="Arial" w:hAnsi="Arial" w:cs="Arial"/>
          <w:color w:val="0D0D0D"/>
          <w:sz w:val="24"/>
          <w:szCs w:val="24"/>
          <w:shd w:val="clear" w:color="auto" w:fill="FFFFFF"/>
        </w:rPr>
        <w:t>, the UWTSD Research Data Management Policy</w:t>
      </w:r>
      <w:r>
        <w:rPr>
          <w:rFonts w:ascii="Arial" w:hAnsi="Arial" w:cs="Arial"/>
          <w:color w:val="0D0D0D"/>
          <w:sz w:val="24"/>
          <w:szCs w:val="24"/>
          <w:shd w:val="clear" w:color="auto" w:fill="FFFFFF"/>
        </w:rPr>
        <w:t xml:space="preserve"> </w:t>
      </w:r>
      <w:r w:rsidRPr="00A57290">
        <w:rPr>
          <w:rFonts w:ascii="Arial" w:hAnsi="Arial" w:cs="Arial"/>
          <w:color w:val="0D0D0D"/>
          <w:sz w:val="24"/>
          <w:szCs w:val="24"/>
          <w:shd w:val="clear" w:color="auto" w:fill="FFFFFF"/>
        </w:rPr>
        <w:t>(UWTSD, 2022</w:t>
      </w:r>
      <w:r>
        <w:rPr>
          <w:rFonts w:ascii="Arial" w:hAnsi="Arial" w:cs="Arial"/>
          <w:color w:val="0D0D0D"/>
          <w:sz w:val="24"/>
          <w:szCs w:val="24"/>
          <w:shd w:val="clear" w:color="auto" w:fill="FFFFFF"/>
        </w:rPr>
        <w:t>a</w:t>
      </w:r>
      <w:r w:rsidRPr="00A57290">
        <w:rPr>
          <w:rFonts w:ascii="Arial" w:hAnsi="Arial" w:cs="Arial"/>
          <w:color w:val="0D0D0D"/>
          <w:sz w:val="24"/>
          <w:szCs w:val="24"/>
          <w:shd w:val="clear" w:color="auto" w:fill="FFFFFF"/>
        </w:rPr>
        <w:t>)</w:t>
      </w:r>
      <w:r w:rsidRPr="005D38C6">
        <w:rPr>
          <w:rFonts w:ascii="Arial" w:hAnsi="Arial" w:cs="Arial"/>
          <w:color w:val="0D0D0D"/>
          <w:sz w:val="24"/>
          <w:szCs w:val="24"/>
          <w:shd w:val="clear" w:color="auto" w:fill="FFFFFF"/>
        </w:rPr>
        <w:t>, and the British Educational Research Association guidelines (Bera, 2018). In summary, these measures were essential for obtaining informed consent, maintaining anonymity and confidentiality, ensuring pupil assent, and adhering to internal and external ethical guidelines, upholding ethical standards and integrity in research conduct.</w:t>
      </w:r>
    </w:p>
    <w:p w14:paraId="4F24E5BF" w14:textId="77777777" w:rsidR="00F11D53" w:rsidRPr="00B203AC" w:rsidRDefault="00F11D53" w:rsidP="00F11D53">
      <w:pPr>
        <w:spacing w:line="360" w:lineRule="auto"/>
        <w:jc w:val="both"/>
        <w:rPr>
          <w:rFonts w:ascii="Times New Roman" w:hAnsi="Times New Roman" w:cs="Times New Roman"/>
          <w:i/>
          <w:iCs/>
          <w:sz w:val="28"/>
          <w:szCs w:val="28"/>
        </w:rPr>
      </w:pPr>
      <w:r w:rsidRPr="00B203AC">
        <w:rPr>
          <w:rFonts w:ascii="Times New Roman" w:hAnsi="Times New Roman" w:cs="Times New Roman"/>
          <w:i/>
          <w:iCs/>
          <w:sz w:val="28"/>
          <w:szCs w:val="28"/>
        </w:rPr>
        <w:t>Research methods and analysis:</w:t>
      </w:r>
    </w:p>
    <w:p w14:paraId="558EC307" w14:textId="77777777" w:rsidR="00F11D53" w:rsidRPr="005D38C6" w:rsidRDefault="00F11D53" w:rsidP="00F11D53">
      <w:pPr>
        <w:spacing w:line="360" w:lineRule="auto"/>
        <w:jc w:val="both"/>
        <w:rPr>
          <w:rFonts w:ascii="Arial" w:hAnsi="Arial" w:cs="Arial"/>
          <w:sz w:val="24"/>
          <w:szCs w:val="24"/>
        </w:rPr>
      </w:pPr>
      <w:r w:rsidRPr="005D38C6">
        <w:rPr>
          <w:rFonts w:ascii="Arial" w:hAnsi="Arial" w:cs="Arial"/>
          <w:sz w:val="24"/>
          <w:szCs w:val="24"/>
        </w:rPr>
        <w:t xml:space="preserve">In designing the exploratory research case study, a combination of methods, including observation, digital questionnaires, and structured intervention, were employed to provide a comprehensive understanding using both qualitative and quantitative measures. This holistic approach, advocated by Almalki (2016), helps build a more reliable and comprehensive perspective (Ibarra-Sáiz, Rodríguez-Gómez, and Boud, 2020; Zohrabi, 2013). However, it's essential to note that mixing observation with </w:t>
      </w:r>
      <w:r w:rsidRPr="005D38C6">
        <w:rPr>
          <w:rFonts w:ascii="Arial" w:hAnsi="Arial" w:cs="Arial"/>
          <w:sz w:val="24"/>
          <w:szCs w:val="24"/>
        </w:rPr>
        <w:lastRenderedPageBreak/>
        <w:t>questionnaires can pose certain limitations, as observation allows for data collection in natural settings without interference, while questionnaires gather more structured responses, potentially introducing response bias (Ridder, 2017). Therefore, researchers must carefully consider these limitations when combining observation and questionnaires to ensure the validity and reliability of their study results (Grammenos et al., n.d.).</w:t>
      </w:r>
    </w:p>
    <w:p w14:paraId="60DCB9EF" w14:textId="77777777" w:rsidR="00F11D53" w:rsidRPr="005D38C6" w:rsidRDefault="00F11D53" w:rsidP="00F11D53">
      <w:pPr>
        <w:spacing w:line="360" w:lineRule="auto"/>
        <w:jc w:val="both"/>
        <w:rPr>
          <w:rFonts w:ascii="Arial" w:hAnsi="Arial" w:cs="Arial"/>
          <w:sz w:val="24"/>
          <w:szCs w:val="24"/>
        </w:rPr>
      </w:pPr>
      <w:r w:rsidRPr="005D38C6">
        <w:rPr>
          <w:rFonts w:ascii="Arial" w:hAnsi="Arial" w:cs="Arial"/>
          <w:sz w:val="24"/>
          <w:szCs w:val="24"/>
        </w:rPr>
        <w:t>Furthermore, each method in the given project was selected based on its appropriateness for addressing the research question and focusing on the specific context of the study (Rohmah, Priyatni, &amp; Suwignyo, 2021). This involves implementing assessment strategies tailored to individual case studies.</w:t>
      </w:r>
    </w:p>
    <w:p w14:paraId="0ED5F03A" w14:textId="77777777" w:rsidR="00F11D53" w:rsidRPr="00B203AC" w:rsidRDefault="00F11D53" w:rsidP="00F11D53">
      <w:pPr>
        <w:spacing w:line="360" w:lineRule="auto"/>
        <w:jc w:val="both"/>
        <w:rPr>
          <w:rFonts w:ascii="Times New Roman" w:hAnsi="Times New Roman" w:cs="Times New Roman"/>
          <w:i/>
          <w:iCs/>
          <w:sz w:val="28"/>
          <w:szCs w:val="28"/>
        </w:rPr>
      </w:pPr>
      <w:r w:rsidRPr="00B203AC">
        <w:rPr>
          <w:rFonts w:ascii="Times New Roman" w:hAnsi="Times New Roman" w:cs="Times New Roman"/>
          <w:i/>
          <w:iCs/>
          <w:sz w:val="28"/>
          <w:szCs w:val="28"/>
        </w:rPr>
        <w:t>Observation:</w:t>
      </w:r>
    </w:p>
    <w:p w14:paraId="406D91D9" w14:textId="77777777" w:rsidR="00F11D53" w:rsidRPr="005D38C6" w:rsidRDefault="00F11D53" w:rsidP="00F11D53">
      <w:pPr>
        <w:spacing w:line="360" w:lineRule="auto"/>
        <w:jc w:val="both"/>
        <w:rPr>
          <w:rFonts w:ascii="Arial" w:hAnsi="Arial" w:cs="Arial"/>
          <w:sz w:val="24"/>
          <w:szCs w:val="24"/>
        </w:rPr>
      </w:pPr>
      <w:r w:rsidRPr="005D38C6">
        <w:rPr>
          <w:rFonts w:ascii="Arial" w:hAnsi="Arial" w:cs="Arial"/>
          <w:sz w:val="24"/>
          <w:szCs w:val="24"/>
        </w:rPr>
        <w:t xml:space="preserve">Observation serves as a pivotal tool in unravelling the intricate dynamics of students' behaviours and interactions within the classroom environment. Smit and Onwuegbuzie (2018) </w:t>
      </w:r>
      <w:r>
        <w:rPr>
          <w:rFonts w:ascii="Arial" w:hAnsi="Arial" w:cs="Arial"/>
          <w:sz w:val="24"/>
          <w:szCs w:val="24"/>
        </w:rPr>
        <w:t>express</w:t>
      </w:r>
      <w:r w:rsidRPr="005D38C6">
        <w:rPr>
          <w:rFonts w:ascii="Arial" w:hAnsi="Arial" w:cs="Arial"/>
          <w:sz w:val="24"/>
          <w:szCs w:val="24"/>
        </w:rPr>
        <w:t xml:space="preserve"> the </w:t>
      </w:r>
      <w:r>
        <w:rPr>
          <w:rFonts w:ascii="Arial" w:hAnsi="Arial" w:cs="Arial"/>
          <w:sz w:val="24"/>
          <w:szCs w:val="24"/>
        </w:rPr>
        <w:t>diverse</w:t>
      </w:r>
      <w:r w:rsidRPr="005D38C6">
        <w:rPr>
          <w:rFonts w:ascii="Arial" w:hAnsi="Arial" w:cs="Arial"/>
          <w:sz w:val="24"/>
          <w:szCs w:val="24"/>
        </w:rPr>
        <w:t xml:space="preserve"> nature of observation, drawing upon Werner and Schoepfle's (1987) de</w:t>
      </w:r>
      <w:r>
        <w:rPr>
          <w:rFonts w:ascii="Arial" w:hAnsi="Arial" w:cs="Arial"/>
          <w:sz w:val="24"/>
          <w:szCs w:val="24"/>
        </w:rPr>
        <w:t>piction</w:t>
      </w:r>
      <w:r w:rsidRPr="005D38C6">
        <w:rPr>
          <w:rFonts w:ascii="Arial" w:hAnsi="Arial" w:cs="Arial"/>
          <w:sz w:val="24"/>
          <w:szCs w:val="24"/>
        </w:rPr>
        <w:t xml:space="preserve"> of three distinct observational methods: descriptive, focused, and selective. Notably, descriptive observation, characteri</w:t>
      </w:r>
      <w:r>
        <w:rPr>
          <w:rFonts w:ascii="Arial" w:hAnsi="Arial" w:cs="Arial"/>
          <w:sz w:val="24"/>
          <w:szCs w:val="24"/>
        </w:rPr>
        <w:t>s</w:t>
      </w:r>
      <w:r w:rsidRPr="005D38C6">
        <w:rPr>
          <w:rFonts w:ascii="Arial" w:hAnsi="Arial" w:cs="Arial"/>
          <w:sz w:val="24"/>
          <w:szCs w:val="24"/>
        </w:rPr>
        <w:t>ed by unbiased scrutiny of all elements, fosters a beginner's mindset to challenge assumptions, a method particularly conducive to enhancing awareness within the research project.</w:t>
      </w:r>
    </w:p>
    <w:p w14:paraId="46811530" w14:textId="77777777" w:rsidR="00F11D53" w:rsidRDefault="00F11D53" w:rsidP="00F11D53">
      <w:pPr>
        <w:spacing w:line="360" w:lineRule="auto"/>
        <w:jc w:val="both"/>
        <w:rPr>
          <w:rFonts w:ascii="Arial" w:hAnsi="Arial" w:cs="Arial"/>
          <w:sz w:val="24"/>
          <w:szCs w:val="24"/>
        </w:rPr>
      </w:pPr>
      <w:r w:rsidRPr="005D38C6">
        <w:rPr>
          <w:rFonts w:ascii="Arial" w:hAnsi="Arial" w:cs="Arial"/>
          <w:sz w:val="24"/>
          <w:szCs w:val="24"/>
        </w:rPr>
        <w:t xml:space="preserve">However, observational research is not devoid of limitations. Concerns </w:t>
      </w:r>
      <w:r>
        <w:rPr>
          <w:rFonts w:ascii="Arial" w:hAnsi="Arial" w:cs="Arial"/>
          <w:sz w:val="24"/>
          <w:szCs w:val="24"/>
        </w:rPr>
        <w:t xml:space="preserve">are reported </w:t>
      </w:r>
      <w:r w:rsidRPr="005D38C6">
        <w:rPr>
          <w:rFonts w:ascii="Arial" w:hAnsi="Arial" w:cs="Arial"/>
          <w:sz w:val="24"/>
          <w:szCs w:val="24"/>
        </w:rPr>
        <w:t>such as observer bias and the Hawthorne effect (Cook, 1962), where participants may modify their behaviour due to being observed. To address these concerns, structured observation schedules focusing on specific aspects of the drama sessions were adopted, as advocated by Hancock and Algozzine (2021). These schedules aimed to capture interaction patterns and changes in confidence levels before and after the intervention, with the additional layer of objective moderation by an impartial observer utili</w:t>
      </w:r>
      <w:r>
        <w:rPr>
          <w:rFonts w:ascii="Arial" w:hAnsi="Arial" w:cs="Arial"/>
          <w:sz w:val="24"/>
          <w:szCs w:val="24"/>
        </w:rPr>
        <w:t>s</w:t>
      </w:r>
      <w:r w:rsidRPr="005D38C6">
        <w:rPr>
          <w:rFonts w:ascii="Arial" w:hAnsi="Arial" w:cs="Arial"/>
          <w:sz w:val="24"/>
          <w:szCs w:val="24"/>
        </w:rPr>
        <w:t>ing the same structured observation sheet to mitigate bias and identify potential interpretational limitations.</w:t>
      </w:r>
    </w:p>
    <w:p w14:paraId="6116A6BB" w14:textId="77777777" w:rsidR="00F11D53" w:rsidRPr="00BE3129" w:rsidRDefault="00F11D53" w:rsidP="00F11D53">
      <w:pPr>
        <w:spacing w:line="360" w:lineRule="auto"/>
        <w:jc w:val="both"/>
        <w:rPr>
          <w:rFonts w:ascii="Times New Roman" w:hAnsi="Times New Roman" w:cs="Times New Roman"/>
          <w:i/>
          <w:iCs/>
          <w:sz w:val="28"/>
          <w:szCs w:val="28"/>
        </w:rPr>
      </w:pPr>
      <w:r w:rsidRPr="00BE3129">
        <w:rPr>
          <w:rFonts w:ascii="Times New Roman" w:hAnsi="Times New Roman" w:cs="Times New Roman"/>
          <w:i/>
          <w:iCs/>
          <w:sz w:val="28"/>
          <w:szCs w:val="28"/>
        </w:rPr>
        <w:t>Pre-intervention observation analysis</w:t>
      </w:r>
    </w:p>
    <w:p w14:paraId="3D073B09" w14:textId="77777777" w:rsidR="00F11D53" w:rsidRPr="005D38C6" w:rsidRDefault="00F11D53" w:rsidP="00F11D53">
      <w:pPr>
        <w:spacing w:line="360" w:lineRule="auto"/>
        <w:jc w:val="both"/>
        <w:rPr>
          <w:rFonts w:ascii="Arial" w:hAnsi="Arial" w:cs="Arial"/>
          <w:sz w:val="24"/>
          <w:szCs w:val="24"/>
        </w:rPr>
      </w:pPr>
      <w:r w:rsidRPr="005D38C6">
        <w:rPr>
          <w:rFonts w:ascii="Arial" w:hAnsi="Arial" w:cs="Arial"/>
          <w:sz w:val="24"/>
          <w:szCs w:val="24"/>
        </w:rPr>
        <w:t>During the pre-intervention observation of peer assessment and feedback sessions in Year 7/8/9 drama lessons</w:t>
      </w:r>
      <w:r>
        <w:rPr>
          <w:rFonts w:ascii="Arial" w:hAnsi="Arial" w:cs="Arial"/>
          <w:sz w:val="24"/>
          <w:szCs w:val="24"/>
        </w:rPr>
        <w:t xml:space="preserve"> (See Appendix D)</w:t>
      </w:r>
      <w:r w:rsidRPr="005D38C6">
        <w:rPr>
          <w:rFonts w:ascii="Arial" w:hAnsi="Arial" w:cs="Arial"/>
          <w:sz w:val="24"/>
          <w:szCs w:val="24"/>
        </w:rPr>
        <w:t xml:space="preserve">, </w:t>
      </w:r>
      <w:r>
        <w:rPr>
          <w:rFonts w:ascii="Arial" w:hAnsi="Arial" w:cs="Arial"/>
          <w:sz w:val="24"/>
          <w:szCs w:val="24"/>
        </w:rPr>
        <w:t>clear</w:t>
      </w:r>
      <w:r w:rsidRPr="005D38C6">
        <w:rPr>
          <w:rFonts w:ascii="Arial" w:hAnsi="Arial" w:cs="Arial"/>
          <w:sz w:val="24"/>
          <w:szCs w:val="24"/>
        </w:rPr>
        <w:t xml:space="preserve"> dynamics emerged. Peer assessment sessions heavily relied on teacher direction, with students displaying </w:t>
      </w:r>
      <w:r w:rsidRPr="005D38C6">
        <w:rPr>
          <w:rFonts w:ascii="Arial" w:hAnsi="Arial" w:cs="Arial"/>
          <w:sz w:val="24"/>
          <w:szCs w:val="24"/>
        </w:rPr>
        <w:lastRenderedPageBreak/>
        <w:t xml:space="preserve">hesitancy in taking the lead, even among those identified as More Able and Talented (MAT). Notably, MAT students exhibited </w:t>
      </w:r>
      <w:r>
        <w:rPr>
          <w:rFonts w:ascii="Arial" w:hAnsi="Arial" w:cs="Arial"/>
          <w:sz w:val="24"/>
          <w:szCs w:val="24"/>
        </w:rPr>
        <w:t xml:space="preserve">some </w:t>
      </w:r>
      <w:r w:rsidRPr="005D38C6">
        <w:rPr>
          <w:rFonts w:ascii="Arial" w:hAnsi="Arial" w:cs="Arial"/>
          <w:sz w:val="24"/>
          <w:szCs w:val="24"/>
        </w:rPr>
        <w:t>openness to feedback, actively seeking opportunities for learning and improvement, while average learners displayed a mix of receptiveness and defensiveness. Conversely, students requiring support often appeared disengaged</w:t>
      </w:r>
      <w:r>
        <w:rPr>
          <w:rFonts w:ascii="Arial" w:hAnsi="Arial" w:cs="Arial"/>
          <w:sz w:val="24"/>
          <w:szCs w:val="24"/>
        </w:rPr>
        <w:t xml:space="preserve"> or disruptive</w:t>
      </w:r>
      <w:r w:rsidRPr="005D38C6">
        <w:rPr>
          <w:rFonts w:ascii="Arial" w:hAnsi="Arial" w:cs="Arial"/>
          <w:sz w:val="24"/>
          <w:szCs w:val="24"/>
        </w:rPr>
        <w:t xml:space="preserve"> during feedback sessions, indicating varying levels of comprehension and expression in the classroom.</w:t>
      </w:r>
    </w:p>
    <w:p w14:paraId="59709FB6" w14:textId="77777777" w:rsidR="00F11D53" w:rsidRPr="00F50589" w:rsidRDefault="00F11D53" w:rsidP="00F11D53">
      <w:pPr>
        <w:spacing w:line="360" w:lineRule="auto"/>
        <w:jc w:val="both"/>
        <w:rPr>
          <w:rFonts w:ascii="Arial" w:hAnsi="Arial" w:cs="Arial"/>
          <w:sz w:val="24"/>
          <w:szCs w:val="24"/>
        </w:rPr>
      </w:pPr>
      <w:r w:rsidRPr="005D38C6">
        <w:rPr>
          <w:rFonts w:ascii="Arial" w:hAnsi="Arial" w:cs="Arial"/>
          <w:sz w:val="24"/>
          <w:szCs w:val="24"/>
        </w:rPr>
        <w:t>Moreover, peer interactions during feedback sessions were influenced by social hierarchies and peer pressure, with students from all three learner groups experiencing marginali</w:t>
      </w:r>
      <w:r>
        <w:rPr>
          <w:rFonts w:ascii="Arial" w:hAnsi="Arial" w:cs="Arial"/>
          <w:sz w:val="24"/>
          <w:szCs w:val="24"/>
        </w:rPr>
        <w:t>s</w:t>
      </w:r>
      <w:r w:rsidRPr="005D38C6">
        <w:rPr>
          <w:rFonts w:ascii="Arial" w:hAnsi="Arial" w:cs="Arial"/>
          <w:sz w:val="24"/>
          <w:szCs w:val="24"/>
        </w:rPr>
        <w:t xml:space="preserve">ation. </w:t>
      </w:r>
    </w:p>
    <w:p w14:paraId="50ABE1FB" w14:textId="77777777" w:rsidR="00F11D53" w:rsidRPr="00FC5D5D" w:rsidRDefault="00F11D53" w:rsidP="00F11D53">
      <w:pPr>
        <w:spacing w:line="360" w:lineRule="auto"/>
        <w:jc w:val="both"/>
        <w:rPr>
          <w:rFonts w:ascii="Times New Roman" w:hAnsi="Times New Roman" w:cs="Times New Roman"/>
          <w:i/>
          <w:iCs/>
          <w:color w:val="0D0D0D"/>
          <w:sz w:val="28"/>
          <w:szCs w:val="28"/>
          <w:shd w:val="clear" w:color="auto" w:fill="FFFFFF"/>
        </w:rPr>
      </w:pPr>
      <w:r w:rsidRPr="00FC5D5D">
        <w:rPr>
          <w:rFonts w:ascii="Times New Roman" w:hAnsi="Times New Roman" w:cs="Times New Roman"/>
          <w:i/>
          <w:iCs/>
          <w:color w:val="0D0D0D"/>
          <w:sz w:val="28"/>
          <w:szCs w:val="28"/>
          <w:shd w:val="clear" w:color="auto" w:fill="FFFFFF"/>
        </w:rPr>
        <w:t xml:space="preserve">Digital Questionnaires: </w:t>
      </w:r>
    </w:p>
    <w:p w14:paraId="6D09445B" w14:textId="77777777" w:rsidR="00F11D53" w:rsidRPr="005D38C6" w:rsidRDefault="00F11D53" w:rsidP="00F11D53">
      <w:pPr>
        <w:spacing w:line="360" w:lineRule="auto"/>
        <w:jc w:val="both"/>
        <w:rPr>
          <w:rFonts w:ascii="Arial" w:hAnsi="Arial" w:cs="Arial"/>
          <w:color w:val="0D0D0D"/>
          <w:sz w:val="24"/>
          <w:szCs w:val="24"/>
          <w:shd w:val="clear" w:color="auto" w:fill="FFFFFF"/>
        </w:rPr>
      </w:pPr>
      <w:r w:rsidRPr="005D38C6">
        <w:rPr>
          <w:rFonts w:ascii="Arial" w:hAnsi="Arial" w:cs="Arial"/>
          <w:color w:val="0D0D0D"/>
          <w:sz w:val="24"/>
          <w:szCs w:val="24"/>
          <w:shd w:val="clear" w:color="auto" w:fill="FFFFFF"/>
        </w:rPr>
        <w:t xml:space="preserve">Digital questionnaires were employed as a tool to self-assess participants' confidence levels and perceptions of peer feedback both before and after the intervention. The use of digital questionnaires offers efficiency and anonymity (Patten, 2016; Cadieux Boulden, Hurt, &amp; Richardson, 2017; Crick, 2022), aligning with the need for streamlined data collection processes. However, concerns regarding response accuracy, especially in cases of careless or inaccurate responses, have been raised (Seema &amp; Varik-Maasik, 2023). To mitigate this issue, the questionnaire was designed with a combination of </w:t>
      </w:r>
      <w:r>
        <w:rPr>
          <w:rFonts w:ascii="Arial" w:hAnsi="Arial" w:cs="Arial"/>
          <w:color w:val="0D0D0D"/>
          <w:sz w:val="24"/>
          <w:szCs w:val="24"/>
          <w:shd w:val="clear" w:color="auto" w:fill="FFFFFF"/>
        </w:rPr>
        <w:t xml:space="preserve">simple </w:t>
      </w:r>
      <w:r w:rsidRPr="005D38C6">
        <w:rPr>
          <w:rFonts w:ascii="Arial" w:hAnsi="Arial" w:cs="Arial"/>
          <w:color w:val="0D0D0D"/>
          <w:sz w:val="24"/>
          <w:szCs w:val="24"/>
          <w:shd w:val="clear" w:color="auto" w:fill="FFFFFF"/>
        </w:rPr>
        <w:t>closed and open-ended questions. This approach allows for quantitative analysis through frameworks like the Leuven Scale</w:t>
      </w:r>
      <w:r>
        <w:rPr>
          <w:rFonts w:ascii="Arial" w:hAnsi="Arial" w:cs="Arial"/>
          <w:color w:val="0D0D0D"/>
          <w:sz w:val="24"/>
          <w:szCs w:val="24"/>
          <w:shd w:val="clear" w:color="auto" w:fill="FFFFFF"/>
        </w:rPr>
        <w:t xml:space="preserve"> (See Appendix E)</w:t>
      </w:r>
      <w:r w:rsidRPr="005D38C6">
        <w:rPr>
          <w:rFonts w:ascii="Arial" w:hAnsi="Arial" w:cs="Arial"/>
          <w:color w:val="0D0D0D"/>
          <w:sz w:val="24"/>
          <w:szCs w:val="24"/>
          <w:shd w:val="clear" w:color="auto" w:fill="FFFFFF"/>
        </w:rPr>
        <w:t xml:space="preserve">, enabling the calculation of descriptive statistics such as frequencies and percentages (Learning Journals, 2021; MacRae and Jones, 2020). Additionally, </w:t>
      </w:r>
      <w:r>
        <w:rPr>
          <w:rFonts w:ascii="Arial" w:hAnsi="Arial" w:cs="Arial"/>
          <w:color w:val="0D0D0D"/>
          <w:sz w:val="24"/>
          <w:szCs w:val="24"/>
          <w:shd w:val="clear" w:color="auto" w:fill="FFFFFF"/>
        </w:rPr>
        <w:t>the questionnaire</w:t>
      </w:r>
      <w:r w:rsidRPr="005D38C6">
        <w:rPr>
          <w:rFonts w:ascii="Arial" w:hAnsi="Arial" w:cs="Arial"/>
          <w:color w:val="0D0D0D"/>
          <w:sz w:val="24"/>
          <w:szCs w:val="24"/>
          <w:shd w:val="clear" w:color="auto" w:fill="FFFFFF"/>
        </w:rPr>
        <w:t xml:space="preserve"> facilitates qualitative insights into students' perceptions of peer assessment activities through open-ended questioning, enabling a deeper exploration of individual insights and emotions (Braun &amp; Clarke, 2022). Thematic analysis </w:t>
      </w:r>
      <w:r>
        <w:rPr>
          <w:rFonts w:ascii="Arial" w:hAnsi="Arial" w:cs="Arial"/>
          <w:color w:val="0D0D0D"/>
          <w:sz w:val="24"/>
          <w:szCs w:val="24"/>
          <w:shd w:val="clear" w:color="auto" w:fill="FFFFFF"/>
        </w:rPr>
        <w:t xml:space="preserve">(See Appendix F) </w:t>
      </w:r>
      <w:r w:rsidRPr="005D38C6">
        <w:rPr>
          <w:rFonts w:ascii="Arial" w:hAnsi="Arial" w:cs="Arial"/>
          <w:color w:val="0D0D0D"/>
          <w:sz w:val="24"/>
          <w:szCs w:val="24"/>
          <w:shd w:val="clear" w:color="auto" w:fill="FFFFFF"/>
        </w:rPr>
        <w:t>was employed to identify and explain patterns in the qualitative data, a crucial method in qualitative research (Maguire and Delahunt, 2017; Castleberry and Nolen, 2018). This structured approach ensures accurate interpretation of themes, contributing to a comprehensive understanding of students' experiences with peer feedback. Overall, the integration of digital questionnaires and thematic analysis provides a robust framework for evaluating the effectiveness of the intervention and gaining insights into students' perspectives.</w:t>
      </w:r>
    </w:p>
    <w:p w14:paraId="17903FA9" w14:textId="77777777" w:rsidR="00F11D53" w:rsidRPr="00FC5D5D" w:rsidRDefault="00F11D53" w:rsidP="00F11D53">
      <w:pPr>
        <w:spacing w:line="360" w:lineRule="auto"/>
        <w:jc w:val="both"/>
        <w:rPr>
          <w:rFonts w:ascii="Times New Roman" w:hAnsi="Times New Roman" w:cs="Times New Roman"/>
          <w:i/>
          <w:iCs/>
          <w:sz w:val="28"/>
          <w:szCs w:val="28"/>
        </w:rPr>
      </w:pPr>
      <w:r w:rsidRPr="00FC5D5D">
        <w:rPr>
          <w:rFonts w:ascii="Times New Roman" w:hAnsi="Times New Roman" w:cs="Times New Roman"/>
          <w:i/>
          <w:iCs/>
          <w:sz w:val="28"/>
          <w:szCs w:val="28"/>
        </w:rPr>
        <w:t>Structured Intervention:</w:t>
      </w:r>
    </w:p>
    <w:p w14:paraId="13E6FFC1" w14:textId="77777777" w:rsidR="00F11D53" w:rsidRPr="005D38C6" w:rsidRDefault="00F11D53" w:rsidP="00F11D53">
      <w:pPr>
        <w:spacing w:line="360" w:lineRule="auto"/>
        <w:jc w:val="both"/>
        <w:rPr>
          <w:rFonts w:ascii="Arial" w:hAnsi="Arial" w:cs="Arial"/>
          <w:sz w:val="24"/>
          <w:szCs w:val="24"/>
        </w:rPr>
      </w:pPr>
      <w:r w:rsidRPr="005D38C6">
        <w:rPr>
          <w:rFonts w:ascii="Arial" w:hAnsi="Arial" w:cs="Arial"/>
          <w:sz w:val="24"/>
          <w:szCs w:val="24"/>
        </w:rPr>
        <w:lastRenderedPageBreak/>
        <w:t xml:space="preserve">The structured intervention aimed to introduce a novel peer feedback strategy and cultivate a classroom environment conducive to growth and development. Building upon the insights of researchers such as </w:t>
      </w:r>
      <w:r w:rsidRPr="00656475">
        <w:rPr>
          <w:rFonts w:ascii="Arial" w:hAnsi="Arial" w:cs="Arial"/>
          <w:sz w:val="24"/>
          <w:szCs w:val="24"/>
        </w:rPr>
        <w:t xml:space="preserve">Black and Wiliam, </w:t>
      </w:r>
      <w:r>
        <w:rPr>
          <w:rFonts w:ascii="Arial" w:hAnsi="Arial" w:cs="Arial"/>
          <w:sz w:val="24"/>
          <w:szCs w:val="24"/>
        </w:rPr>
        <w:t>(</w:t>
      </w:r>
      <w:r w:rsidRPr="00656475">
        <w:rPr>
          <w:rFonts w:ascii="Arial" w:hAnsi="Arial" w:cs="Arial"/>
          <w:sz w:val="24"/>
          <w:szCs w:val="24"/>
        </w:rPr>
        <w:t>1998</w:t>
      </w:r>
      <w:r>
        <w:rPr>
          <w:rFonts w:ascii="Arial" w:hAnsi="Arial" w:cs="Arial"/>
          <w:sz w:val="24"/>
          <w:szCs w:val="24"/>
        </w:rPr>
        <w:t>;2018</w:t>
      </w:r>
      <w:r w:rsidRPr="00656475">
        <w:rPr>
          <w:rFonts w:ascii="Arial" w:hAnsi="Arial" w:cs="Arial"/>
          <w:sz w:val="24"/>
          <w:szCs w:val="24"/>
        </w:rPr>
        <w:t xml:space="preserve">) </w:t>
      </w:r>
      <w:r w:rsidRPr="005D38C6">
        <w:rPr>
          <w:rFonts w:ascii="Arial" w:hAnsi="Arial" w:cs="Arial"/>
          <w:sz w:val="24"/>
          <w:szCs w:val="24"/>
        </w:rPr>
        <w:t>Hattie and Timperley (2007) and Yeager and Dweck (2020), who underscore the transformative nature of feedback and the importance of fostering resilient mindsets</w:t>
      </w:r>
      <w:r>
        <w:rPr>
          <w:rFonts w:ascii="Arial" w:hAnsi="Arial" w:cs="Arial"/>
          <w:sz w:val="24"/>
          <w:szCs w:val="24"/>
        </w:rPr>
        <w:t>.</w:t>
      </w:r>
      <w:r w:rsidRPr="005D38C6">
        <w:rPr>
          <w:rFonts w:ascii="Arial" w:hAnsi="Arial" w:cs="Arial"/>
          <w:sz w:val="24"/>
          <w:szCs w:val="24"/>
        </w:rPr>
        <w:t xml:space="preserve"> </w:t>
      </w:r>
      <w:r>
        <w:rPr>
          <w:rFonts w:ascii="Arial" w:hAnsi="Arial" w:cs="Arial"/>
          <w:sz w:val="24"/>
          <w:szCs w:val="24"/>
        </w:rPr>
        <w:t>T</w:t>
      </w:r>
      <w:r w:rsidRPr="005D38C6">
        <w:rPr>
          <w:rFonts w:ascii="Arial" w:hAnsi="Arial" w:cs="Arial"/>
          <w:sz w:val="24"/>
          <w:szCs w:val="24"/>
        </w:rPr>
        <w:t>he intervention targeted improvements in both learning outcomes and confidence levels</w:t>
      </w:r>
      <w:r>
        <w:rPr>
          <w:rFonts w:ascii="Arial" w:hAnsi="Arial" w:cs="Arial"/>
          <w:sz w:val="24"/>
          <w:szCs w:val="24"/>
        </w:rPr>
        <w:t xml:space="preserve"> through informative material and training sessions</w:t>
      </w:r>
      <w:r w:rsidRPr="005D38C6">
        <w:rPr>
          <w:rFonts w:ascii="Arial" w:hAnsi="Arial" w:cs="Arial"/>
          <w:sz w:val="24"/>
          <w:szCs w:val="24"/>
        </w:rPr>
        <w:t>.</w:t>
      </w:r>
      <w:r>
        <w:rPr>
          <w:rFonts w:ascii="Arial" w:hAnsi="Arial" w:cs="Arial"/>
          <w:sz w:val="24"/>
          <w:szCs w:val="24"/>
        </w:rPr>
        <w:t xml:space="preserve"> (See Appendix </w:t>
      </w:r>
      <w:proofErr w:type="gramStart"/>
      <w:r>
        <w:rPr>
          <w:rFonts w:ascii="Arial" w:hAnsi="Arial" w:cs="Arial"/>
          <w:sz w:val="24"/>
          <w:szCs w:val="24"/>
        </w:rPr>
        <w:t>G,H</w:t>
      </w:r>
      <w:proofErr w:type="gramEnd"/>
      <w:r>
        <w:rPr>
          <w:rFonts w:ascii="Arial" w:hAnsi="Arial" w:cs="Arial"/>
          <w:sz w:val="24"/>
          <w:szCs w:val="24"/>
        </w:rPr>
        <w:t>,I)</w:t>
      </w:r>
      <w:r w:rsidRPr="005D38C6">
        <w:rPr>
          <w:rFonts w:ascii="Arial" w:hAnsi="Arial" w:cs="Arial"/>
          <w:sz w:val="24"/>
          <w:szCs w:val="24"/>
        </w:rPr>
        <w:t xml:space="preserve"> However, despite the literature supporting structured approaches, encountering resistance from participants posed significant challenges during implementation (Tait, 2018). To address these hurdles effectively, the intervention underwent adaptations to accommodate the diverse dynamics of the classroom and cater to individual student needs, in line with principles of differentiated and individuali</w:t>
      </w:r>
      <w:r>
        <w:rPr>
          <w:rFonts w:ascii="Arial" w:hAnsi="Arial" w:cs="Arial"/>
          <w:sz w:val="24"/>
          <w:szCs w:val="24"/>
        </w:rPr>
        <w:t>s</w:t>
      </w:r>
      <w:r w:rsidRPr="005D38C6">
        <w:rPr>
          <w:rFonts w:ascii="Arial" w:hAnsi="Arial" w:cs="Arial"/>
          <w:sz w:val="24"/>
          <w:szCs w:val="24"/>
        </w:rPr>
        <w:t>ed instruction (Tomlinson &amp; Allan, 2000).</w:t>
      </w:r>
    </w:p>
    <w:p w14:paraId="1FEE3BEC" w14:textId="77777777" w:rsidR="00F11D53" w:rsidRPr="005D38C6" w:rsidRDefault="00F11D53" w:rsidP="00F11D53">
      <w:pPr>
        <w:spacing w:line="360" w:lineRule="auto"/>
        <w:jc w:val="both"/>
        <w:rPr>
          <w:rFonts w:ascii="Arial" w:hAnsi="Arial" w:cs="Arial"/>
          <w:sz w:val="24"/>
          <w:szCs w:val="24"/>
        </w:rPr>
      </w:pPr>
      <w:r w:rsidRPr="005D38C6">
        <w:rPr>
          <w:rFonts w:ascii="Arial" w:hAnsi="Arial" w:cs="Arial"/>
          <w:sz w:val="24"/>
          <w:szCs w:val="24"/>
        </w:rPr>
        <w:t>Moreover, it became increasingly apparent that the influence of attendance on student achievement could not be underestimated (Gottfried, 2010). With many students being absent during critical instructional periods, vital information was missed, thereby limiting the intervention's potential to bo</w:t>
      </w:r>
      <w:r>
        <w:rPr>
          <w:rFonts w:ascii="Arial" w:hAnsi="Arial" w:cs="Arial"/>
          <w:sz w:val="24"/>
          <w:szCs w:val="24"/>
        </w:rPr>
        <w:t>ost</w:t>
      </w:r>
      <w:r w:rsidRPr="005D38C6">
        <w:rPr>
          <w:rFonts w:ascii="Arial" w:hAnsi="Arial" w:cs="Arial"/>
          <w:sz w:val="24"/>
          <w:szCs w:val="24"/>
        </w:rPr>
        <w:t xml:space="preserve"> student abilities. Consequently, addressing challenges related to attendance emerged as a pivotal aspect in ultimately enhancing overall student outcomes. These observations </w:t>
      </w:r>
      <w:r>
        <w:rPr>
          <w:rFonts w:ascii="Arial" w:hAnsi="Arial" w:cs="Arial"/>
          <w:sz w:val="24"/>
          <w:szCs w:val="24"/>
        </w:rPr>
        <w:t xml:space="preserve">also </w:t>
      </w:r>
      <w:r w:rsidRPr="005D38C6">
        <w:rPr>
          <w:rFonts w:ascii="Arial" w:hAnsi="Arial" w:cs="Arial"/>
          <w:sz w:val="24"/>
          <w:szCs w:val="24"/>
        </w:rPr>
        <w:t>underscore the interconnectedness between attendance</w:t>
      </w:r>
      <w:r>
        <w:rPr>
          <w:rFonts w:ascii="Arial" w:hAnsi="Arial" w:cs="Arial"/>
          <w:sz w:val="24"/>
          <w:szCs w:val="24"/>
        </w:rPr>
        <w:t xml:space="preserve"> and reporting results</w:t>
      </w:r>
      <w:r w:rsidRPr="005D38C6">
        <w:rPr>
          <w:rFonts w:ascii="Arial" w:hAnsi="Arial" w:cs="Arial"/>
          <w:sz w:val="24"/>
          <w:szCs w:val="24"/>
        </w:rPr>
        <w:t>, emphasi</w:t>
      </w:r>
      <w:r>
        <w:rPr>
          <w:rFonts w:ascii="Arial" w:hAnsi="Arial" w:cs="Arial"/>
          <w:sz w:val="24"/>
          <w:szCs w:val="24"/>
        </w:rPr>
        <w:t>s</w:t>
      </w:r>
      <w:r w:rsidRPr="005D38C6">
        <w:rPr>
          <w:rFonts w:ascii="Arial" w:hAnsi="Arial" w:cs="Arial"/>
          <w:sz w:val="24"/>
          <w:szCs w:val="24"/>
        </w:rPr>
        <w:t>ing the need for a comprehensive approach to address attendance-related issues and maximi</w:t>
      </w:r>
      <w:r>
        <w:rPr>
          <w:rFonts w:ascii="Arial" w:hAnsi="Arial" w:cs="Arial"/>
          <w:sz w:val="24"/>
          <w:szCs w:val="24"/>
        </w:rPr>
        <w:t>s</w:t>
      </w:r>
      <w:r w:rsidRPr="005D38C6">
        <w:rPr>
          <w:rFonts w:ascii="Arial" w:hAnsi="Arial" w:cs="Arial"/>
          <w:sz w:val="24"/>
          <w:szCs w:val="24"/>
        </w:rPr>
        <w:t>e the impact of interventions on student learning and development.</w:t>
      </w:r>
    </w:p>
    <w:p w14:paraId="117D980A" w14:textId="77777777" w:rsidR="00F11D53" w:rsidRPr="00FC5D5D" w:rsidRDefault="00F11D53" w:rsidP="00F11D53">
      <w:pPr>
        <w:spacing w:line="360" w:lineRule="auto"/>
        <w:jc w:val="both"/>
        <w:rPr>
          <w:rFonts w:ascii="Times New Roman" w:hAnsi="Times New Roman" w:cs="Times New Roman"/>
          <w:i/>
          <w:iCs/>
          <w:sz w:val="28"/>
          <w:szCs w:val="28"/>
        </w:rPr>
      </w:pPr>
      <w:r w:rsidRPr="00FC5D5D">
        <w:rPr>
          <w:rFonts w:ascii="Times New Roman" w:hAnsi="Times New Roman" w:cs="Times New Roman"/>
          <w:i/>
          <w:iCs/>
          <w:sz w:val="28"/>
          <w:szCs w:val="28"/>
        </w:rPr>
        <w:t>Research Analysis - Post-Intervention Observation Data Analysis</w:t>
      </w:r>
    </w:p>
    <w:p w14:paraId="1A3E802B" w14:textId="77777777" w:rsidR="00F11D53" w:rsidRPr="005D38C6" w:rsidRDefault="00F11D53" w:rsidP="00F11D53">
      <w:pPr>
        <w:spacing w:line="360" w:lineRule="auto"/>
        <w:jc w:val="both"/>
        <w:rPr>
          <w:rFonts w:ascii="Arial" w:hAnsi="Arial" w:cs="Arial"/>
          <w:sz w:val="24"/>
          <w:szCs w:val="24"/>
        </w:rPr>
      </w:pPr>
      <w:r w:rsidRPr="005D38C6">
        <w:rPr>
          <w:rFonts w:ascii="Arial" w:hAnsi="Arial" w:cs="Arial"/>
          <w:sz w:val="24"/>
          <w:szCs w:val="24"/>
        </w:rPr>
        <w:t>During the post-intervention observation, notable progressions were evident in various facets of peer assessment and feedback within the previously observed classes. Firstly, there was a distinct uptick in students' proactive engagement during peer assessment sessions, as a greater number of individuals took the lead in initiating feedback discussions. Particularly noteworthy was the increased independent confidence exhibited by MAT students in leading assessment sessions, indicating a marked improvement in their assertiveness and leadership skills. Moreover, enhancements were observed in the utili</w:t>
      </w:r>
      <w:r>
        <w:rPr>
          <w:rFonts w:ascii="Arial" w:hAnsi="Arial" w:cs="Arial"/>
          <w:sz w:val="24"/>
          <w:szCs w:val="24"/>
        </w:rPr>
        <w:t>s</w:t>
      </w:r>
      <w:r w:rsidRPr="005D38C6">
        <w:rPr>
          <w:rFonts w:ascii="Arial" w:hAnsi="Arial" w:cs="Arial"/>
          <w:sz w:val="24"/>
          <w:szCs w:val="24"/>
        </w:rPr>
        <w:t xml:space="preserve">ation of drama-specific terminology, especially among average learners, who displayed more refined articulation of feedback. Even students initially requiring support showcased progress by </w:t>
      </w:r>
      <w:r w:rsidRPr="005D38C6">
        <w:rPr>
          <w:rFonts w:ascii="Arial" w:hAnsi="Arial" w:cs="Arial"/>
          <w:sz w:val="24"/>
          <w:szCs w:val="24"/>
        </w:rPr>
        <w:lastRenderedPageBreak/>
        <w:t>incorporating basic drama terminology into their feedback, underscoring advancements in their comprehension. Furthermore, there was a notable positive shift in attitude and receptiveness among students, evidenced by their heightened openness to both giving and receiving constructive criticism. Average learners displayed more consistent responses to feedback, with a reduction in instances of defensiveness noted. Additionally, peer relationships exhibited improvement, with students demonstrating heightened support and respect towards each other during feedback exchanges. MAT students also received a more equitable distribution of attention, fostering a more inclusive classroom environment. Moreover, there was a surge in engagement levels across the board, with all students demonstrating increased participation and involvement in peer assessment discussions. Even students requiring support actively contributed to discussions, indicating progress in their willingness to engage with feedback processes. Overall, the observation underscores the significant advancements facilitated by the intervention, fostering inclusivity and supportiveness among students. It emphasi</w:t>
      </w:r>
      <w:r>
        <w:rPr>
          <w:rFonts w:ascii="Arial" w:hAnsi="Arial" w:cs="Arial"/>
          <w:sz w:val="24"/>
          <w:szCs w:val="24"/>
        </w:rPr>
        <w:t>s</w:t>
      </w:r>
      <w:r w:rsidRPr="005D38C6">
        <w:rPr>
          <w:rFonts w:ascii="Arial" w:hAnsi="Arial" w:cs="Arial"/>
          <w:sz w:val="24"/>
          <w:szCs w:val="24"/>
        </w:rPr>
        <w:t>es the importance of continued reinforcement to sustain and further enhance the overall development of the class (Hattie &amp; Timperley, 2007; Yeager &amp; Dweck, 2020).</w:t>
      </w:r>
    </w:p>
    <w:p w14:paraId="6AC79E80" w14:textId="77777777" w:rsidR="00F11D53" w:rsidRPr="003D2297" w:rsidRDefault="00F11D53" w:rsidP="00F11D53">
      <w:pPr>
        <w:spacing w:line="360" w:lineRule="auto"/>
        <w:jc w:val="both"/>
        <w:rPr>
          <w:rFonts w:ascii="Times New Roman" w:hAnsi="Times New Roman" w:cs="Times New Roman"/>
          <w:i/>
          <w:iCs/>
          <w:sz w:val="28"/>
          <w:szCs w:val="28"/>
        </w:rPr>
      </w:pPr>
      <w:r w:rsidRPr="003D2297">
        <w:rPr>
          <w:rFonts w:ascii="Times New Roman" w:hAnsi="Times New Roman" w:cs="Times New Roman"/>
          <w:i/>
          <w:iCs/>
          <w:sz w:val="28"/>
          <w:szCs w:val="28"/>
        </w:rPr>
        <w:t>Pre- and Post-Intervention Questionnaire Analysis</w:t>
      </w:r>
      <w:r>
        <w:rPr>
          <w:rFonts w:ascii="Times New Roman" w:hAnsi="Times New Roman" w:cs="Times New Roman"/>
          <w:i/>
          <w:iCs/>
          <w:sz w:val="28"/>
          <w:szCs w:val="28"/>
        </w:rPr>
        <w:t xml:space="preserve"> (See Appendix J/K/L/M)</w:t>
      </w:r>
    </w:p>
    <w:p w14:paraId="07188D23" w14:textId="77777777" w:rsidR="00F11D53" w:rsidRPr="005D38C6" w:rsidRDefault="00F11D53" w:rsidP="00F11D53">
      <w:pPr>
        <w:spacing w:line="360" w:lineRule="auto"/>
        <w:jc w:val="both"/>
        <w:rPr>
          <w:rFonts w:ascii="Arial" w:hAnsi="Arial" w:cs="Arial"/>
          <w:sz w:val="24"/>
          <w:szCs w:val="24"/>
        </w:rPr>
      </w:pPr>
      <w:r w:rsidRPr="005D38C6">
        <w:rPr>
          <w:rFonts w:ascii="Arial" w:hAnsi="Arial" w:cs="Arial"/>
          <w:sz w:val="24"/>
          <w:szCs w:val="24"/>
        </w:rPr>
        <w:t>Pre-intervention data revealed distinct variations in students' confidence levels across the MAT, average, and support-need categories. MAT students exhibited higher initial confidence levels in peer assessment and feedback, consistent with their proactive engagement observed during classroom sessions. In contrast, average learners displayed lower confidence levels, often citing apprehensions regarding their ability to provide meaningful feedback. Students requiring support expressed the lowest confidence levels, reflecting their limited engagement and understanding of assessment processes. These disparities underscore the need for targeted interventions to address confidence differentials and ensure equitable participation in peer assessment activities.</w:t>
      </w:r>
    </w:p>
    <w:p w14:paraId="53EB3C46" w14:textId="77777777" w:rsidR="00F11D53" w:rsidRPr="005D38C6" w:rsidRDefault="00F11D53" w:rsidP="00F11D53">
      <w:pPr>
        <w:spacing w:line="360" w:lineRule="auto"/>
        <w:jc w:val="both"/>
        <w:rPr>
          <w:rFonts w:ascii="Arial" w:hAnsi="Arial" w:cs="Arial"/>
          <w:sz w:val="24"/>
          <w:szCs w:val="24"/>
        </w:rPr>
      </w:pPr>
      <w:r w:rsidRPr="005D38C6">
        <w:rPr>
          <w:rFonts w:ascii="Arial" w:hAnsi="Arial" w:cs="Arial"/>
          <w:sz w:val="24"/>
          <w:szCs w:val="24"/>
        </w:rPr>
        <w:t xml:space="preserve">Post-intervention analysis of questionnaire responses highlighted significant improvements in students' confidence levels across all learner categories. MAT students demonstrated enhanced confidence in their ability to lead peer assessment sessions and provide constructive feedback, aligning with observations of increased </w:t>
      </w:r>
      <w:r w:rsidRPr="005D38C6">
        <w:rPr>
          <w:rFonts w:ascii="Arial" w:hAnsi="Arial" w:cs="Arial"/>
          <w:sz w:val="24"/>
          <w:szCs w:val="24"/>
        </w:rPr>
        <w:lastRenderedPageBreak/>
        <w:t>assertiveness and leadership during classroom interactions. Average learners exhibited notable progress in their confidence levels, displaying greater assurance in articulating feedback and engaging in peer assessment discussions. Similarly, students requiring support showcased advancements in their confidence levels, indicating a heightened willingness to participate in feedback exchanges and a more positive attitude towards peer assessment activities. These findings underscore the transformative impact of the intervention on students' confidence levels, highlighting its effectiveness in fostering a supportive learning environment conducive to growth and development.</w:t>
      </w:r>
    </w:p>
    <w:p w14:paraId="02742AFE" w14:textId="77777777" w:rsidR="00F11D53" w:rsidRPr="005D38C6" w:rsidRDefault="00F11D53" w:rsidP="00F11D53">
      <w:pPr>
        <w:spacing w:line="360" w:lineRule="auto"/>
        <w:jc w:val="both"/>
        <w:rPr>
          <w:rFonts w:ascii="Arial" w:hAnsi="Arial" w:cs="Arial"/>
          <w:sz w:val="24"/>
          <w:szCs w:val="24"/>
        </w:rPr>
      </w:pPr>
      <w:r w:rsidRPr="005D38C6">
        <w:rPr>
          <w:rFonts w:ascii="Arial" w:hAnsi="Arial" w:cs="Arial"/>
          <w:sz w:val="24"/>
          <w:szCs w:val="24"/>
        </w:rPr>
        <w:t xml:space="preserve">Overall, the triangulation of observation and questionnaire data provides robust evidence of the intervention's </w:t>
      </w:r>
      <w:r>
        <w:rPr>
          <w:rFonts w:ascii="Arial" w:hAnsi="Arial" w:cs="Arial"/>
          <w:sz w:val="24"/>
          <w:szCs w:val="24"/>
        </w:rPr>
        <w:t>success</w:t>
      </w:r>
      <w:r w:rsidRPr="005D38C6">
        <w:rPr>
          <w:rFonts w:ascii="Arial" w:hAnsi="Arial" w:cs="Arial"/>
          <w:sz w:val="24"/>
          <w:szCs w:val="24"/>
        </w:rPr>
        <w:t xml:space="preserve"> in enhancing students' confidence levels and fostering positive peer assessment experiences. By addressing variations in confidence across different learner categories, the intervention promotes inclusivity and equity within the classroom, ensuring that all students have equal opportunities to succeed </w:t>
      </w:r>
      <w:r w:rsidRPr="00263FC1">
        <w:rPr>
          <w:rFonts w:ascii="Arial" w:hAnsi="Arial" w:cs="Arial"/>
          <w:sz w:val="24"/>
          <w:szCs w:val="24"/>
        </w:rPr>
        <w:t xml:space="preserve">(Black and Wiliam, </w:t>
      </w:r>
      <w:r>
        <w:rPr>
          <w:rFonts w:ascii="Arial" w:hAnsi="Arial" w:cs="Arial"/>
          <w:sz w:val="24"/>
          <w:szCs w:val="24"/>
        </w:rPr>
        <w:t>2018</w:t>
      </w:r>
      <w:r w:rsidRPr="005D38C6">
        <w:rPr>
          <w:rFonts w:ascii="Arial" w:hAnsi="Arial" w:cs="Arial"/>
          <w:sz w:val="24"/>
          <w:szCs w:val="24"/>
        </w:rPr>
        <w:t>). Moreover, the findings underscore the importance of continued reinforcement and support to sustain achieve</w:t>
      </w:r>
      <w:r>
        <w:rPr>
          <w:rFonts w:ascii="Arial" w:hAnsi="Arial" w:cs="Arial"/>
          <w:sz w:val="24"/>
          <w:szCs w:val="24"/>
        </w:rPr>
        <w:t>ment</w:t>
      </w:r>
      <w:r w:rsidRPr="005D38C6">
        <w:rPr>
          <w:rFonts w:ascii="Arial" w:hAnsi="Arial" w:cs="Arial"/>
          <w:sz w:val="24"/>
          <w:szCs w:val="24"/>
        </w:rPr>
        <w:t xml:space="preserve"> and further enhance students' confidence and proficiency in peer assessment activities.</w:t>
      </w:r>
    </w:p>
    <w:p w14:paraId="3DA1F26B" w14:textId="77777777" w:rsidR="00F11D53" w:rsidRPr="00FF050E" w:rsidRDefault="00F11D53" w:rsidP="00F11D53">
      <w:pPr>
        <w:spacing w:line="360" w:lineRule="auto"/>
        <w:jc w:val="both"/>
        <w:rPr>
          <w:rFonts w:ascii="Times New Roman" w:hAnsi="Times New Roman" w:cs="Times New Roman"/>
          <w:i/>
          <w:iCs/>
          <w:sz w:val="28"/>
          <w:szCs w:val="28"/>
        </w:rPr>
      </w:pPr>
      <w:r w:rsidRPr="00FF050E">
        <w:rPr>
          <w:rFonts w:ascii="Times New Roman" w:hAnsi="Times New Roman" w:cs="Times New Roman"/>
          <w:i/>
          <w:iCs/>
          <w:sz w:val="28"/>
          <w:szCs w:val="28"/>
        </w:rPr>
        <w:t>Strengths and Limitations:</w:t>
      </w:r>
    </w:p>
    <w:p w14:paraId="08DDC9CB" w14:textId="77777777" w:rsidR="00F11D53" w:rsidRPr="005D38C6" w:rsidRDefault="00F11D53" w:rsidP="00F11D53">
      <w:pPr>
        <w:spacing w:line="360" w:lineRule="auto"/>
        <w:jc w:val="both"/>
        <w:rPr>
          <w:rFonts w:ascii="Arial" w:hAnsi="Arial" w:cs="Arial"/>
          <w:sz w:val="24"/>
          <w:szCs w:val="24"/>
        </w:rPr>
      </w:pPr>
      <w:r w:rsidRPr="005D38C6">
        <w:rPr>
          <w:rFonts w:ascii="Arial" w:hAnsi="Arial" w:cs="Arial"/>
          <w:sz w:val="24"/>
          <w:szCs w:val="24"/>
        </w:rPr>
        <w:t xml:space="preserve">The research project demonstrates several notable strengths, including the adoption of a mixed-methods approach combining observation and digital questionnaires to gather comprehensive insights into the impact of the intervention. By triangulating data from multiple sources, the study enhances the credibility and validity of its findings, contributing to a </w:t>
      </w:r>
      <w:r>
        <w:rPr>
          <w:rFonts w:ascii="Arial" w:hAnsi="Arial" w:cs="Arial"/>
          <w:sz w:val="24"/>
          <w:szCs w:val="24"/>
        </w:rPr>
        <w:t>well-rounded</w:t>
      </w:r>
      <w:r w:rsidRPr="005D38C6">
        <w:rPr>
          <w:rFonts w:ascii="Arial" w:hAnsi="Arial" w:cs="Arial"/>
          <w:sz w:val="24"/>
          <w:szCs w:val="24"/>
        </w:rPr>
        <w:t xml:space="preserve"> understanding of students' experiences with peer assessment (Denzin, 1978; Roberts, Roche, &amp; Sainani, 2023). Moreover, the structured intervention targeting variations in confidence levels across different learner categories underscores the project's commitment to inclusivity and equity within the classroom, addressing individual student needs and promoting positive peer relationships. </w:t>
      </w:r>
    </w:p>
    <w:p w14:paraId="3F932FD6" w14:textId="77777777" w:rsidR="00F11D53" w:rsidRPr="005D38C6" w:rsidRDefault="00F11D53" w:rsidP="00F11D53">
      <w:pPr>
        <w:spacing w:line="360" w:lineRule="auto"/>
        <w:jc w:val="both"/>
        <w:rPr>
          <w:rFonts w:ascii="Arial" w:hAnsi="Arial" w:cs="Arial"/>
          <w:sz w:val="24"/>
          <w:szCs w:val="24"/>
        </w:rPr>
      </w:pPr>
      <w:r w:rsidRPr="005D38C6">
        <w:rPr>
          <w:rFonts w:ascii="Arial" w:hAnsi="Arial" w:cs="Arial"/>
          <w:sz w:val="24"/>
          <w:szCs w:val="24"/>
        </w:rPr>
        <w:t>However, the research project is not without limitations. One notable limitation is the small sample size, which may limit the generali</w:t>
      </w:r>
      <w:r>
        <w:rPr>
          <w:rFonts w:ascii="Arial" w:hAnsi="Arial" w:cs="Arial"/>
          <w:sz w:val="24"/>
          <w:szCs w:val="24"/>
        </w:rPr>
        <w:t>s</w:t>
      </w:r>
      <w:r w:rsidRPr="005D38C6">
        <w:rPr>
          <w:rFonts w:ascii="Arial" w:hAnsi="Arial" w:cs="Arial"/>
          <w:sz w:val="24"/>
          <w:szCs w:val="24"/>
        </w:rPr>
        <w:t xml:space="preserve">ability of findings beyond the specific context of the study. Moreover, the use of purposive sampling, while appropriate for capturing diverse perspectives, may introduce selection bias, potentially influencing </w:t>
      </w:r>
      <w:r w:rsidRPr="005D38C6">
        <w:rPr>
          <w:rFonts w:ascii="Arial" w:hAnsi="Arial" w:cs="Arial"/>
          <w:sz w:val="24"/>
          <w:szCs w:val="24"/>
        </w:rPr>
        <w:lastRenderedPageBreak/>
        <w:t xml:space="preserve">the representativeness of the sample (Andrade, 2020; Etikan et al., 2016). Furthermore, challenges related to attendance and participant engagement during the intervention phase may have affected the consistency and reliability of data collection, potentially impacting the validity of study outcomes. Despite these limitations, the research project provides valuable insights into the </w:t>
      </w:r>
      <w:r>
        <w:rPr>
          <w:rFonts w:ascii="Arial" w:hAnsi="Arial" w:cs="Arial"/>
          <w:sz w:val="24"/>
          <w:szCs w:val="24"/>
        </w:rPr>
        <w:t>power</w:t>
      </w:r>
      <w:r w:rsidRPr="005D38C6">
        <w:rPr>
          <w:rFonts w:ascii="Arial" w:hAnsi="Arial" w:cs="Arial"/>
          <w:sz w:val="24"/>
          <w:szCs w:val="24"/>
        </w:rPr>
        <w:t xml:space="preserve"> of structured interventions in enhancing students' confidence levels and fostering positive peer assessment experiences, laying the groundwork for future research in this area.</w:t>
      </w:r>
    </w:p>
    <w:p w14:paraId="0C9EFC56" w14:textId="77777777" w:rsidR="00F11D53" w:rsidRPr="00FF050E" w:rsidRDefault="00F11D53" w:rsidP="00F11D53">
      <w:pPr>
        <w:spacing w:line="360" w:lineRule="auto"/>
        <w:jc w:val="both"/>
        <w:rPr>
          <w:rFonts w:ascii="Times New Roman" w:hAnsi="Times New Roman" w:cs="Times New Roman"/>
          <w:i/>
          <w:iCs/>
          <w:sz w:val="28"/>
          <w:szCs w:val="28"/>
        </w:rPr>
      </w:pPr>
      <w:r w:rsidRPr="00FF050E">
        <w:rPr>
          <w:rFonts w:ascii="Times New Roman" w:hAnsi="Times New Roman" w:cs="Times New Roman"/>
          <w:i/>
          <w:iCs/>
          <w:sz w:val="28"/>
          <w:szCs w:val="28"/>
        </w:rPr>
        <w:t>Conclusion:</w:t>
      </w:r>
    </w:p>
    <w:p w14:paraId="4A432FAE" w14:textId="77777777" w:rsidR="00F11D53" w:rsidRPr="005D38C6" w:rsidRDefault="00F11D53" w:rsidP="00F11D53">
      <w:pPr>
        <w:spacing w:line="360" w:lineRule="auto"/>
        <w:jc w:val="both"/>
        <w:rPr>
          <w:rFonts w:ascii="Arial" w:hAnsi="Arial" w:cs="Arial"/>
          <w:sz w:val="24"/>
          <w:szCs w:val="24"/>
        </w:rPr>
      </w:pPr>
      <w:r w:rsidRPr="005D38C6">
        <w:rPr>
          <w:rFonts w:ascii="Arial" w:hAnsi="Arial" w:cs="Arial"/>
          <w:sz w:val="24"/>
          <w:szCs w:val="24"/>
        </w:rPr>
        <w:t xml:space="preserve">In conclusion, the research project demonstrates the transformative impact of structured peer feedback interventions on students' confidence levels in drama classrooms. Through a combination of observation, digital questionnaires, and structured intervention, the study provides compelling evidence of the intervention's </w:t>
      </w:r>
      <w:r>
        <w:rPr>
          <w:rFonts w:ascii="Arial" w:hAnsi="Arial" w:cs="Arial"/>
          <w:sz w:val="24"/>
          <w:szCs w:val="24"/>
        </w:rPr>
        <w:t>value</w:t>
      </w:r>
      <w:r w:rsidRPr="005D38C6">
        <w:rPr>
          <w:rFonts w:ascii="Arial" w:hAnsi="Arial" w:cs="Arial"/>
          <w:sz w:val="24"/>
          <w:szCs w:val="24"/>
        </w:rPr>
        <w:t xml:space="preserve"> in promoting inclusivity, equity, and positive peer relationships. By addressing variations in confidence across different learner categories and fostering a supportive learning environment, the intervention equips students with the skills and attitudes necessary for success in peer assessment activities. Moreover, the attention to ethical considerations ensures the integrity and ethicality of the research conduct, enhancing the credibility and validity of study findings. Despite limitations related to sample size and data collection challenges, the research project offers valuable insights into the potential of structured interventions to enhance students' confidence and proficiency in peer assessment, laying the groundwork for future research in this area. Overall, the findings underscore the importance of continued reinforcement and support in further enhancing students' confidence and learning outcomes in drama classrooms.</w:t>
      </w:r>
    </w:p>
    <w:p w14:paraId="0E890825" w14:textId="77777777" w:rsidR="00F11D53" w:rsidRPr="00FF050E" w:rsidRDefault="00F11D53" w:rsidP="00F11D53">
      <w:pPr>
        <w:spacing w:line="360" w:lineRule="auto"/>
        <w:jc w:val="both"/>
        <w:rPr>
          <w:rFonts w:ascii="Times New Roman" w:hAnsi="Times New Roman" w:cs="Times New Roman"/>
          <w:i/>
          <w:iCs/>
          <w:sz w:val="28"/>
          <w:szCs w:val="28"/>
        </w:rPr>
      </w:pPr>
      <w:r w:rsidRPr="00FF050E">
        <w:rPr>
          <w:rFonts w:ascii="Times New Roman" w:hAnsi="Times New Roman" w:cs="Times New Roman"/>
          <w:i/>
          <w:iCs/>
          <w:sz w:val="28"/>
          <w:szCs w:val="28"/>
        </w:rPr>
        <w:t>Recommendations:</w:t>
      </w:r>
    </w:p>
    <w:p w14:paraId="3A0A366E" w14:textId="77777777" w:rsidR="00F11D53" w:rsidRPr="005D38C6" w:rsidRDefault="00F11D53" w:rsidP="00F11D53">
      <w:pPr>
        <w:spacing w:line="360" w:lineRule="auto"/>
        <w:jc w:val="both"/>
        <w:rPr>
          <w:rFonts w:ascii="Arial" w:hAnsi="Arial" w:cs="Arial"/>
          <w:sz w:val="24"/>
          <w:szCs w:val="24"/>
        </w:rPr>
      </w:pPr>
      <w:r w:rsidRPr="005D38C6">
        <w:rPr>
          <w:rFonts w:ascii="Arial" w:hAnsi="Arial" w:cs="Arial"/>
          <w:sz w:val="24"/>
          <w:szCs w:val="24"/>
        </w:rPr>
        <w:t xml:space="preserve">Based on the findings and limitations identified in this research project, several recommendations can be made for future studies and classroom practice. Firstly, future research should aim to address the limitations related to sample size and selection bias by employing larger and more diverse samples, potentially incorporating random sampling methods to enhance the representativeness of the sample. Additionally, interventions targeting attendance and participant engagement should be developed and implemented to mitigate challenges related to data collection reliability and validity. Furthermore, ongoing professional development opportunities for </w:t>
      </w:r>
      <w:r w:rsidRPr="005D38C6">
        <w:rPr>
          <w:rFonts w:ascii="Arial" w:hAnsi="Arial" w:cs="Arial"/>
          <w:sz w:val="24"/>
          <w:szCs w:val="24"/>
        </w:rPr>
        <w:lastRenderedPageBreak/>
        <w:t>teachers should be provided to enhance their knowledge and skills in implementing structured peer feedback interventions effectively. Lastly, educators should continue to prioriti</w:t>
      </w:r>
      <w:r>
        <w:rPr>
          <w:rFonts w:ascii="Arial" w:hAnsi="Arial" w:cs="Arial"/>
          <w:sz w:val="24"/>
          <w:szCs w:val="24"/>
        </w:rPr>
        <w:t>s</w:t>
      </w:r>
      <w:r w:rsidRPr="005D38C6">
        <w:rPr>
          <w:rFonts w:ascii="Arial" w:hAnsi="Arial" w:cs="Arial"/>
          <w:sz w:val="24"/>
          <w:szCs w:val="24"/>
        </w:rPr>
        <w:t>e ethical considerations in research and practice, ensuring the protection of participants' rights and well-being while maintaining the integrity and validity of research findings. By addressing these recommendations, future research and classroom practice can build upon the findings of this study and further enhance students' confidence and learning outcomes in drama education.</w:t>
      </w:r>
    </w:p>
    <w:p w14:paraId="34D6DC46" w14:textId="77777777" w:rsidR="00F11D53" w:rsidRDefault="00F11D53" w:rsidP="00F11D53">
      <w:pPr>
        <w:spacing w:line="360" w:lineRule="auto"/>
        <w:jc w:val="center"/>
        <w:rPr>
          <w:rFonts w:ascii="Arial" w:hAnsi="Arial" w:cs="Arial"/>
          <w:sz w:val="24"/>
          <w:szCs w:val="24"/>
        </w:rPr>
      </w:pPr>
      <w:r>
        <w:rPr>
          <w:rFonts w:ascii="Arial" w:hAnsi="Arial" w:cs="Arial"/>
          <w:sz w:val="24"/>
          <w:szCs w:val="24"/>
        </w:rPr>
        <w:t>________________________________</w:t>
      </w:r>
    </w:p>
    <w:p w14:paraId="7B420C7F" w14:textId="77777777" w:rsidR="00E74949" w:rsidRDefault="00E74949"/>
    <w:sectPr w:rsidR="00E749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D53"/>
    <w:rsid w:val="00DF0314"/>
    <w:rsid w:val="00E26D4E"/>
    <w:rsid w:val="00E74949"/>
    <w:rsid w:val="00F11D53"/>
    <w:rsid w:val="00FC55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27273"/>
  <w15:chartTrackingRefBased/>
  <w15:docId w15:val="{BECE7879-82E2-49BC-A976-FAA805763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D53"/>
  </w:style>
  <w:style w:type="paragraph" w:styleId="Heading1">
    <w:name w:val="heading 1"/>
    <w:basedOn w:val="Normal"/>
    <w:next w:val="Normal"/>
    <w:link w:val="Heading1Char"/>
    <w:uiPriority w:val="9"/>
    <w:qFormat/>
    <w:rsid w:val="00F11D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1D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1D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1D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1D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1D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1D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1D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1D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1D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1D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1D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1D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1D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1D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1D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1D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1D53"/>
    <w:rPr>
      <w:rFonts w:eastAsiaTheme="majorEastAsia" w:cstheme="majorBidi"/>
      <w:color w:val="272727" w:themeColor="text1" w:themeTint="D8"/>
    </w:rPr>
  </w:style>
  <w:style w:type="paragraph" w:styleId="Title">
    <w:name w:val="Title"/>
    <w:basedOn w:val="Normal"/>
    <w:next w:val="Normal"/>
    <w:link w:val="TitleChar"/>
    <w:uiPriority w:val="10"/>
    <w:qFormat/>
    <w:rsid w:val="00F11D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1D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1D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1D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1D53"/>
    <w:pPr>
      <w:spacing w:before="160"/>
      <w:jc w:val="center"/>
    </w:pPr>
    <w:rPr>
      <w:i/>
      <w:iCs/>
      <w:color w:val="404040" w:themeColor="text1" w:themeTint="BF"/>
    </w:rPr>
  </w:style>
  <w:style w:type="character" w:customStyle="1" w:styleId="QuoteChar">
    <w:name w:val="Quote Char"/>
    <w:basedOn w:val="DefaultParagraphFont"/>
    <w:link w:val="Quote"/>
    <w:uiPriority w:val="29"/>
    <w:rsid w:val="00F11D53"/>
    <w:rPr>
      <w:i/>
      <w:iCs/>
      <w:color w:val="404040" w:themeColor="text1" w:themeTint="BF"/>
    </w:rPr>
  </w:style>
  <w:style w:type="paragraph" w:styleId="ListParagraph">
    <w:name w:val="List Paragraph"/>
    <w:basedOn w:val="Normal"/>
    <w:uiPriority w:val="34"/>
    <w:qFormat/>
    <w:rsid w:val="00F11D53"/>
    <w:pPr>
      <w:ind w:left="720"/>
      <w:contextualSpacing/>
    </w:pPr>
  </w:style>
  <w:style w:type="character" w:styleId="IntenseEmphasis">
    <w:name w:val="Intense Emphasis"/>
    <w:basedOn w:val="DefaultParagraphFont"/>
    <w:uiPriority w:val="21"/>
    <w:qFormat/>
    <w:rsid w:val="00F11D53"/>
    <w:rPr>
      <w:i/>
      <w:iCs/>
      <w:color w:val="0F4761" w:themeColor="accent1" w:themeShade="BF"/>
    </w:rPr>
  </w:style>
  <w:style w:type="paragraph" w:styleId="IntenseQuote">
    <w:name w:val="Intense Quote"/>
    <w:basedOn w:val="Normal"/>
    <w:next w:val="Normal"/>
    <w:link w:val="IntenseQuoteChar"/>
    <w:uiPriority w:val="30"/>
    <w:qFormat/>
    <w:rsid w:val="00F11D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1D53"/>
    <w:rPr>
      <w:i/>
      <w:iCs/>
      <w:color w:val="0F4761" w:themeColor="accent1" w:themeShade="BF"/>
    </w:rPr>
  </w:style>
  <w:style w:type="character" w:styleId="IntenseReference">
    <w:name w:val="Intense Reference"/>
    <w:basedOn w:val="DefaultParagraphFont"/>
    <w:uiPriority w:val="32"/>
    <w:qFormat/>
    <w:rsid w:val="00F11D53"/>
    <w:rPr>
      <w:b/>
      <w:bCs/>
      <w:smallCaps/>
      <w:color w:val="0F4761" w:themeColor="accent1" w:themeShade="BF"/>
      <w:spacing w:val="5"/>
    </w:rPr>
  </w:style>
  <w:style w:type="paragraph" w:styleId="NormalWeb">
    <w:name w:val="Normal (Web)"/>
    <w:basedOn w:val="Normal"/>
    <w:uiPriority w:val="99"/>
    <w:semiHidden/>
    <w:unhideWhenUsed/>
    <w:rsid w:val="00F11D5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AssignBody">
    <w:name w:val="AssignBody"/>
    <w:basedOn w:val="Normal"/>
    <w:link w:val="AssignBodyChar"/>
    <w:qFormat/>
    <w:rsid w:val="00F11D53"/>
    <w:pPr>
      <w:spacing w:after="0" w:line="360" w:lineRule="auto"/>
    </w:pPr>
    <w:rPr>
      <w:rFonts w:ascii="Arial" w:hAnsi="Arial"/>
      <w:kern w:val="0"/>
      <w14:ligatures w14:val="none"/>
    </w:rPr>
  </w:style>
  <w:style w:type="character" w:customStyle="1" w:styleId="AssignBodyChar">
    <w:name w:val="AssignBody Char"/>
    <w:basedOn w:val="DefaultParagraphFont"/>
    <w:link w:val="AssignBody"/>
    <w:rsid w:val="00F11D53"/>
    <w:rPr>
      <w:rFonts w:ascii="Arial" w:hAnsi="Arial"/>
      <w:kern w:val="0"/>
      <w14:ligatures w14:val="none"/>
    </w:rPr>
  </w:style>
  <w:style w:type="table" w:styleId="TableGrid">
    <w:name w:val="Table Grid"/>
    <w:basedOn w:val="TableNormal"/>
    <w:uiPriority w:val="39"/>
    <w:rsid w:val="00F11D5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5104</Words>
  <Characters>29096</Characters>
  <Application>Microsoft Office Word</Application>
  <DocSecurity>0</DocSecurity>
  <Lines>242</Lines>
  <Paragraphs>68</Paragraphs>
  <ScaleCrop>false</ScaleCrop>
  <Company/>
  <LinksUpToDate>false</LinksUpToDate>
  <CharactersWithSpaces>34132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Phippen</dc:creator>
  <cp:keywords/>
  <dc:description/>
  <cp:lastModifiedBy>Hayley Phippen</cp:lastModifiedBy>
  <cp:revision>1</cp:revision>
  <dcterms:created xsi:type="dcterms:W3CDTF">2024-05-06T03:41:00Z</dcterms:created>
  <dcterms:modified xsi:type="dcterms:W3CDTF">2024-05-06T03:41:00Z</dcterms:modified>
</cp:coreProperties>
</file>