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A93E48" w14:textId="77777777" w:rsidR="007F55D7" w:rsidRPr="000A0554" w:rsidRDefault="007F55D7" w:rsidP="007F55D7">
      <w:pPr>
        <w:shd w:val="clear" w:color="auto" w:fill="C5E0B3" w:themeFill="accent6" w:themeFillTint="66"/>
        <w:rPr>
          <w:b/>
          <w:bCs/>
          <w:i/>
          <w:iCs/>
          <w:sz w:val="28"/>
          <w:szCs w:val="28"/>
        </w:rPr>
      </w:pPr>
      <w:r w:rsidRPr="000A0554">
        <w:rPr>
          <w:b/>
          <w:bCs/>
          <w:i/>
          <w:iCs/>
          <w:sz w:val="28"/>
          <w:szCs w:val="28"/>
        </w:rPr>
        <w:t xml:space="preserve">Establishing the British Circular Economy – The pioneering role of Wales and Implications for Carmarthenshire </w:t>
      </w:r>
    </w:p>
    <w:p w14:paraId="4A99C516" w14:textId="7E3EAC93" w:rsidR="004E2DCF" w:rsidRPr="007F55D7" w:rsidRDefault="007F55D7">
      <w:pPr>
        <w:rPr>
          <w:b/>
          <w:bCs/>
          <w:sz w:val="24"/>
          <w:szCs w:val="24"/>
        </w:rPr>
      </w:pPr>
      <w:r w:rsidRPr="007F55D7">
        <w:rPr>
          <w:b/>
          <w:bCs/>
          <w:sz w:val="24"/>
          <w:szCs w:val="24"/>
        </w:rPr>
        <w:t xml:space="preserve">Literature Review </w:t>
      </w:r>
    </w:p>
    <w:p w14:paraId="09922DD9" w14:textId="77777777" w:rsidR="00244E8D" w:rsidRPr="00306600" w:rsidRDefault="00244E8D" w:rsidP="00244E8D">
      <w:pPr>
        <w:spacing w:line="276" w:lineRule="auto"/>
        <w:rPr>
          <w:i/>
          <w:iCs/>
        </w:rPr>
      </w:pPr>
      <w:r>
        <w:rPr>
          <w:i/>
          <w:iCs/>
        </w:rPr>
        <w:t xml:space="preserve">1.1) </w:t>
      </w:r>
      <w:r w:rsidRPr="00306600">
        <w:rPr>
          <w:i/>
          <w:iCs/>
        </w:rPr>
        <w:t>Introduction</w:t>
      </w:r>
    </w:p>
    <w:p w14:paraId="47F5A431" w14:textId="77777777" w:rsidR="00244E8D" w:rsidRDefault="00244E8D" w:rsidP="00244E8D">
      <w:pPr>
        <w:spacing w:line="360" w:lineRule="auto"/>
      </w:pPr>
      <w:r>
        <w:t>The generation and processing of waste (both commercial and domestic) comes at a significant environmental cost (</w:t>
      </w:r>
      <w:r w:rsidRPr="002D2076">
        <w:t>Salemdeeb</w:t>
      </w:r>
      <w:r>
        <w:t xml:space="preserve"> </w:t>
      </w:r>
      <w:r>
        <w:rPr>
          <w:i/>
          <w:iCs/>
        </w:rPr>
        <w:t xml:space="preserve">et al., </w:t>
      </w:r>
      <w:r>
        <w:t xml:space="preserve">2022). This has been a driving force behind more recent developments in waste policy to move beyond disposal to landfill and even beyond recycling, to instead promote the reduction of waste generation in the first instance, through methods like reducing (consumption), re-using, repairing and remanufacturing, which extend the lifecycle of products/resources circumvent the need for disposal. Moving away from the practice of high extraction, consumption, and disposal of resources to a system which closes material loops through the exchange of biproducts and wastes to keep materials in circulation as long as possible is described as moving from a “Linear Economy” to a “Circular Economy” (CE) (Gregson </w:t>
      </w:r>
      <w:r>
        <w:rPr>
          <w:i/>
          <w:iCs/>
        </w:rPr>
        <w:t xml:space="preserve">et al., </w:t>
      </w:r>
      <w:r w:rsidRPr="00AB79EA">
        <w:t>2015)</w:t>
      </w:r>
      <w:r>
        <w:t>. The definition of “circular economy” varies quite considerably across academic literature and government policy alike (</w:t>
      </w:r>
      <w:r w:rsidRPr="00E40874">
        <w:t>Mazur</w:t>
      </w:r>
      <w:r w:rsidRPr="00E40874">
        <w:rPr>
          <w:rFonts w:ascii="Cambria Math" w:hAnsi="Cambria Math" w:cs="Cambria Math"/>
        </w:rPr>
        <w:t>‑</w:t>
      </w:r>
      <w:r w:rsidRPr="00E40874">
        <w:t>Wierzbicka</w:t>
      </w:r>
      <w:r>
        <w:t xml:space="preserve">, 2021) which has resulted in divergent CE policy across Europe, notably the four home nations comprising the United Kingdom (Hill, 2016). </w:t>
      </w:r>
    </w:p>
    <w:p w14:paraId="35A8B4C8" w14:textId="77777777" w:rsidR="00244E8D" w:rsidRPr="00AC6DE9" w:rsidRDefault="00244E8D" w:rsidP="00244E8D">
      <w:pPr>
        <w:spacing w:line="360" w:lineRule="auto"/>
        <w:rPr>
          <w:i/>
          <w:iCs/>
        </w:rPr>
      </w:pPr>
      <w:r>
        <w:rPr>
          <w:i/>
          <w:iCs/>
        </w:rPr>
        <w:t xml:space="preserve">1.2) </w:t>
      </w:r>
      <w:r w:rsidRPr="00AC6DE9">
        <w:rPr>
          <w:i/>
          <w:iCs/>
        </w:rPr>
        <w:t>UK Waste - Policy Origin</w:t>
      </w:r>
      <w:r>
        <w:rPr>
          <w:i/>
          <w:iCs/>
        </w:rPr>
        <w:t xml:space="preserve">s </w:t>
      </w:r>
    </w:p>
    <w:p w14:paraId="242C335A" w14:textId="7A6AF31F" w:rsidR="00244E8D" w:rsidRDefault="00244E8D" w:rsidP="00244E8D">
      <w:pPr>
        <w:spacing w:line="360" w:lineRule="auto"/>
      </w:pPr>
      <w:r>
        <w:t xml:space="preserve">Waste management legislation in the United Kingdom is shaped largely by the </w:t>
      </w:r>
      <w:r w:rsidRPr="00702824">
        <w:t>European Commission</w:t>
      </w:r>
      <w:r>
        <w:t xml:space="preserve"> (Hill, 2016) notably the European Union Waste Framework directive 2008/98/EC (2008) (retained domestically post EU exit) which requires member states to apply the “waste hierarchy” to their waste policy, dictating the order of preference as prevention before re-use, reuse before recycling, recycling before energy recovery and lastly disposal (Farmer </w:t>
      </w:r>
      <w:r w:rsidRPr="00D70260">
        <w:rPr>
          <w:i/>
          <w:iCs/>
        </w:rPr>
        <w:t>et al.,</w:t>
      </w:r>
      <w:r>
        <w:t xml:space="preserve"> 2015). This formed the groundwork for policy specifically dedicated to the circular economy, named the “Circular Economy Action Plan </w:t>
      </w:r>
      <w:r w:rsidR="007F12DB">
        <w:t>Spani, 202</w:t>
      </w:r>
      <w:r w:rsidR="00ED29A1">
        <w:t>0 (Spani, 2020).</w:t>
      </w:r>
      <w:r>
        <w:t xml:space="preserve"> The four home nations of the UK (Wales, Scotland, Northern Ireland and England) are able to dictate their own approaches to waste and resource management via the devolution of power, resulting in transposal to national policy at varying levels of adherence to original legislation, from those which go beyond the minimum stated requirements, those which use the exact same wording and those which only include the minimum requirements (Fletcher, 2019). The Circular Economy Policies published by each of the four UK home nations is outlined in the </w:t>
      </w:r>
      <w:r w:rsidR="00F919DA">
        <w:t>T</w:t>
      </w:r>
      <w:r>
        <w:t>able</w:t>
      </w:r>
      <w:r w:rsidR="00F919DA">
        <w:t xml:space="preserve"> 1</w:t>
      </w:r>
      <w:r>
        <w:t xml:space="preserve">. </w:t>
      </w:r>
    </w:p>
    <w:p w14:paraId="7084D60B" w14:textId="77777777" w:rsidR="00ED29A1" w:rsidRDefault="00ED29A1" w:rsidP="00244E8D">
      <w:pPr>
        <w:spacing w:line="360" w:lineRule="auto"/>
      </w:pPr>
    </w:p>
    <w:p w14:paraId="4EBABD3D" w14:textId="77777777" w:rsidR="00244E8D" w:rsidRDefault="00244E8D" w:rsidP="00244E8D">
      <w:pPr>
        <w:pStyle w:val="Caption"/>
        <w:keepNext/>
        <w:spacing w:line="360" w:lineRule="auto"/>
      </w:pPr>
      <w:r>
        <w:lastRenderedPageBreak/>
        <w:t xml:space="preserve">Table </w:t>
      </w:r>
      <w:r>
        <w:fldChar w:fldCharType="begin"/>
      </w:r>
      <w:r>
        <w:instrText xml:space="preserve"> SEQ Table \* ARABIC </w:instrText>
      </w:r>
      <w:r>
        <w:fldChar w:fldCharType="separate"/>
      </w:r>
      <w:r>
        <w:rPr>
          <w:noProof/>
        </w:rPr>
        <w:t>1</w:t>
      </w:r>
      <w:r>
        <w:fldChar w:fldCharType="end"/>
      </w:r>
      <w:r>
        <w:t>: Summary of WM/CE policy across the four UK nations</w:t>
      </w:r>
    </w:p>
    <w:tbl>
      <w:tblPr>
        <w:tblStyle w:val="TableGrid"/>
        <w:tblW w:w="7382" w:type="dxa"/>
        <w:jc w:val="center"/>
        <w:tblLook w:val="04A0" w:firstRow="1" w:lastRow="0" w:firstColumn="1" w:lastColumn="0" w:noHBand="0" w:noVBand="1"/>
      </w:tblPr>
      <w:tblGrid>
        <w:gridCol w:w="1266"/>
        <w:gridCol w:w="4449"/>
        <w:gridCol w:w="1667"/>
      </w:tblGrid>
      <w:tr w:rsidR="00244E8D" w14:paraId="3AE07240" w14:textId="77777777" w:rsidTr="00D44F4F">
        <w:trPr>
          <w:trHeight w:val="341"/>
          <w:jc w:val="center"/>
        </w:trPr>
        <w:tc>
          <w:tcPr>
            <w:tcW w:w="1266" w:type="dxa"/>
          </w:tcPr>
          <w:p w14:paraId="6CFABA2E" w14:textId="77777777" w:rsidR="00244E8D" w:rsidRDefault="00244E8D" w:rsidP="00244E8D">
            <w:pPr>
              <w:spacing w:line="360" w:lineRule="auto"/>
            </w:pPr>
            <w:r>
              <w:t xml:space="preserve">Nation </w:t>
            </w:r>
          </w:p>
        </w:tc>
        <w:tc>
          <w:tcPr>
            <w:tcW w:w="4449" w:type="dxa"/>
          </w:tcPr>
          <w:p w14:paraId="69C55B90" w14:textId="77777777" w:rsidR="00244E8D" w:rsidRDefault="00244E8D" w:rsidP="00244E8D">
            <w:pPr>
              <w:spacing w:line="360" w:lineRule="auto"/>
            </w:pPr>
            <w:r>
              <w:t xml:space="preserve">Policy </w:t>
            </w:r>
          </w:p>
        </w:tc>
        <w:tc>
          <w:tcPr>
            <w:tcW w:w="1667" w:type="dxa"/>
          </w:tcPr>
          <w:p w14:paraId="53569008" w14:textId="77777777" w:rsidR="00244E8D" w:rsidRDefault="00244E8D" w:rsidP="00244E8D">
            <w:pPr>
              <w:spacing w:line="360" w:lineRule="auto"/>
            </w:pPr>
            <w:r>
              <w:t>Year</w:t>
            </w:r>
          </w:p>
        </w:tc>
      </w:tr>
      <w:tr w:rsidR="00244E8D" w14:paraId="44825289" w14:textId="77777777" w:rsidTr="00D44F4F">
        <w:trPr>
          <w:trHeight w:val="339"/>
          <w:jc w:val="center"/>
        </w:trPr>
        <w:tc>
          <w:tcPr>
            <w:tcW w:w="1266" w:type="dxa"/>
            <w:vMerge w:val="restart"/>
          </w:tcPr>
          <w:p w14:paraId="4F8BD7F1" w14:textId="77777777" w:rsidR="00244E8D" w:rsidRDefault="00244E8D" w:rsidP="00244E8D">
            <w:pPr>
              <w:spacing w:before="20" w:after="20" w:line="360" w:lineRule="auto"/>
            </w:pPr>
            <w:r>
              <w:t>Wales</w:t>
            </w:r>
          </w:p>
        </w:tc>
        <w:tc>
          <w:tcPr>
            <w:tcW w:w="4449" w:type="dxa"/>
          </w:tcPr>
          <w:p w14:paraId="42E81876" w14:textId="77777777" w:rsidR="00244E8D" w:rsidRDefault="00244E8D" w:rsidP="00244E8D">
            <w:pPr>
              <w:spacing w:before="20" w:after="20" w:line="360" w:lineRule="auto"/>
            </w:pPr>
            <w:r>
              <w:t xml:space="preserve">Towards Zero Waste – One Wales  </w:t>
            </w:r>
          </w:p>
        </w:tc>
        <w:tc>
          <w:tcPr>
            <w:tcW w:w="1667" w:type="dxa"/>
          </w:tcPr>
          <w:p w14:paraId="5CFF2D86" w14:textId="77777777" w:rsidR="00244E8D" w:rsidRPr="001672E5" w:rsidRDefault="00244E8D" w:rsidP="00244E8D">
            <w:pPr>
              <w:spacing w:before="20" w:after="20" w:line="360" w:lineRule="auto"/>
            </w:pPr>
            <w:r>
              <w:t>2010</w:t>
            </w:r>
          </w:p>
        </w:tc>
      </w:tr>
      <w:tr w:rsidR="00244E8D" w14:paraId="72F2E085" w14:textId="77777777" w:rsidTr="00D44F4F">
        <w:trPr>
          <w:trHeight w:val="157"/>
          <w:jc w:val="center"/>
        </w:trPr>
        <w:tc>
          <w:tcPr>
            <w:tcW w:w="1266" w:type="dxa"/>
            <w:vMerge/>
          </w:tcPr>
          <w:p w14:paraId="56A517FA" w14:textId="77777777" w:rsidR="00244E8D" w:rsidRDefault="00244E8D" w:rsidP="00244E8D">
            <w:pPr>
              <w:spacing w:before="20" w:after="20" w:line="360" w:lineRule="auto"/>
            </w:pPr>
          </w:p>
        </w:tc>
        <w:tc>
          <w:tcPr>
            <w:tcW w:w="4449" w:type="dxa"/>
          </w:tcPr>
          <w:p w14:paraId="1695B33B" w14:textId="77777777" w:rsidR="00244E8D" w:rsidRDefault="00244E8D" w:rsidP="00244E8D">
            <w:pPr>
              <w:spacing w:before="20" w:after="20" w:line="360" w:lineRule="auto"/>
            </w:pPr>
            <w:r>
              <w:t>Beyond Recycling Strategy</w:t>
            </w:r>
          </w:p>
        </w:tc>
        <w:tc>
          <w:tcPr>
            <w:tcW w:w="1667" w:type="dxa"/>
          </w:tcPr>
          <w:p w14:paraId="08099702" w14:textId="77777777" w:rsidR="00244E8D" w:rsidRDefault="00244E8D" w:rsidP="00244E8D">
            <w:pPr>
              <w:spacing w:before="20" w:after="20" w:line="360" w:lineRule="auto"/>
            </w:pPr>
            <w:r>
              <w:t>2021</w:t>
            </w:r>
          </w:p>
        </w:tc>
      </w:tr>
      <w:tr w:rsidR="00244E8D" w14:paraId="542D553D" w14:textId="77777777" w:rsidTr="00D44F4F">
        <w:trPr>
          <w:trHeight w:val="193"/>
          <w:jc w:val="center"/>
        </w:trPr>
        <w:tc>
          <w:tcPr>
            <w:tcW w:w="1266" w:type="dxa"/>
            <w:vMerge w:val="restart"/>
          </w:tcPr>
          <w:p w14:paraId="6A9C4261" w14:textId="77777777" w:rsidR="00244E8D" w:rsidRDefault="00244E8D" w:rsidP="00244E8D">
            <w:pPr>
              <w:spacing w:before="20" w:after="20" w:line="360" w:lineRule="auto"/>
            </w:pPr>
            <w:r>
              <w:t xml:space="preserve">Scotland </w:t>
            </w:r>
          </w:p>
        </w:tc>
        <w:tc>
          <w:tcPr>
            <w:tcW w:w="4449" w:type="dxa"/>
          </w:tcPr>
          <w:p w14:paraId="07AB6B05" w14:textId="77777777" w:rsidR="00244E8D" w:rsidRDefault="00244E8D" w:rsidP="00244E8D">
            <w:pPr>
              <w:spacing w:before="20" w:after="20" w:line="360" w:lineRule="auto"/>
            </w:pPr>
            <w:r>
              <w:t>Scotland’s Zero Waste Plan</w:t>
            </w:r>
          </w:p>
        </w:tc>
        <w:tc>
          <w:tcPr>
            <w:tcW w:w="1667" w:type="dxa"/>
          </w:tcPr>
          <w:p w14:paraId="563541E2" w14:textId="77777777" w:rsidR="00244E8D" w:rsidRDefault="00244E8D" w:rsidP="00244E8D">
            <w:pPr>
              <w:spacing w:before="20" w:after="20" w:line="360" w:lineRule="auto"/>
            </w:pPr>
            <w:r>
              <w:t>2013</w:t>
            </w:r>
          </w:p>
        </w:tc>
      </w:tr>
      <w:tr w:rsidR="00244E8D" w14:paraId="5FA6FBED" w14:textId="77777777" w:rsidTr="00D44F4F">
        <w:trPr>
          <w:trHeight w:val="157"/>
          <w:jc w:val="center"/>
        </w:trPr>
        <w:tc>
          <w:tcPr>
            <w:tcW w:w="1266" w:type="dxa"/>
            <w:vMerge/>
          </w:tcPr>
          <w:p w14:paraId="6A2BF2B4" w14:textId="77777777" w:rsidR="00244E8D" w:rsidRDefault="00244E8D" w:rsidP="00244E8D">
            <w:pPr>
              <w:spacing w:before="20" w:after="20" w:line="360" w:lineRule="auto"/>
            </w:pPr>
          </w:p>
        </w:tc>
        <w:tc>
          <w:tcPr>
            <w:tcW w:w="4449" w:type="dxa"/>
          </w:tcPr>
          <w:p w14:paraId="330AD2A9" w14:textId="77777777" w:rsidR="00244E8D" w:rsidRDefault="00244E8D" w:rsidP="00244E8D">
            <w:pPr>
              <w:spacing w:before="20" w:after="20" w:line="360" w:lineRule="auto"/>
            </w:pPr>
            <w:r w:rsidRPr="009071E2">
              <w:t>Circular Economy (Scotland) Bill</w:t>
            </w:r>
          </w:p>
        </w:tc>
        <w:tc>
          <w:tcPr>
            <w:tcW w:w="1667" w:type="dxa"/>
          </w:tcPr>
          <w:p w14:paraId="41406D1E" w14:textId="77777777" w:rsidR="00244E8D" w:rsidRDefault="00244E8D" w:rsidP="00244E8D">
            <w:pPr>
              <w:spacing w:before="20" w:after="20" w:line="360" w:lineRule="auto"/>
            </w:pPr>
            <w:r>
              <w:t>2024 (published in the past week)</w:t>
            </w:r>
          </w:p>
        </w:tc>
      </w:tr>
      <w:tr w:rsidR="00244E8D" w14:paraId="36751F2F" w14:textId="77777777" w:rsidTr="00D44F4F">
        <w:trPr>
          <w:trHeight w:val="708"/>
          <w:jc w:val="center"/>
        </w:trPr>
        <w:tc>
          <w:tcPr>
            <w:tcW w:w="1266" w:type="dxa"/>
          </w:tcPr>
          <w:p w14:paraId="241B9FBF" w14:textId="77777777" w:rsidR="00244E8D" w:rsidRDefault="00244E8D" w:rsidP="00244E8D">
            <w:pPr>
              <w:spacing w:before="20" w:after="20" w:line="360" w:lineRule="auto"/>
            </w:pPr>
            <w:r>
              <w:t xml:space="preserve">England </w:t>
            </w:r>
          </w:p>
        </w:tc>
        <w:tc>
          <w:tcPr>
            <w:tcW w:w="4449" w:type="dxa"/>
          </w:tcPr>
          <w:p w14:paraId="52CC2466" w14:textId="77777777" w:rsidR="00244E8D" w:rsidRPr="001672E5" w:rsidRDefault="00244E8D" w:rsidP="00244E8D">
            <w:pPr>
              <w:spacing w:before="20" w:after="20" w:line="360" w:lineRule="auto"/>
            </w:pPr>
            <w:r>
              <w:t>Waste Management Plan For England</w:t>
            </w:r>
          </w:p>
        </w:tc>
        <w:tc>
          <w:tcPr>
            <w:tcW w:w="1667" w:type="dxa"/>
          </w:tcPr>
          <w:p w14:paraId="7C9D37DD" w14:textId="77777777" w:rsidR="00244E8D" w:rsidRDefault="00244E8D" w:rsidP="00244E8D">
            <w:pPr>
              <w:spacing w:before="20" w:after="20" w:line="360" w:lineRule="auto"/>
            </w:pPr>
            <w:r>
              <w:t>2013 (updated 2021)</w:t>
            </w:r>
          </w:p>
        </w:tc>
      </w:tr>
      <w:tr w:rsidR="00244E8D" w14:paraId="545BA8FE" w14:textId="77777777" w:rsidTr="00D44F4F">
        <w:trPr>
          <w:trHeight w:val="549"/>
          <w:jc w:val="center"/>
        </w:trPr>
        <w:tc>
          <w:tcPr>
            <w:tcW w:w="1266" w:type="dxa"/>
          </w:tcPr>
          <w:p w14:paraId="463A1854" w14:textId="77777777" w:rsidR="00244E8D" w:rsidRDefault="00244E8D" w:rsidP="00244E8D">
            <w:pPr>
              <w:spacing w:line="360" w:lineRule="auto"/>
            </w:pPr>
            <w:r>
              <w:t xml:space="preserve">Northern Ireland </w:t>
            </w:r>
          </w:p>
        </w:tc>
        <w:tc>
          <w:tcPr>
            <w:tcW w:w="4449" w:type="dxa"/>
          </w:tcPr>
          <w:p w14:paraId="3DC42894" w14:textId="77777777" w:rsidR="00244E8D" w:rsidRDefault="00244E8D" w:rsidP="00244E8D">
            <w:pPr>
              <w:spacing w:line="360" w:lineRule="auto"/>
            </w:pPr>
            <w:r>
              <w:t>Delivering Resource Efficiency</w:t>
            </w:r>
          </w:p>
        </w:tc>
        <w:tc>
          <w:tcPr>
            <w:tcW w:w="1667" w:type="dxa"/>
          </w:tcPr>
          <w:p w14:paraId="29559C58" w14:textId="77777777" w:rsidR="00244E8D" w:rsidRDefault="00244E8D" w:rsidP="00244E8D">
            <w:pPr>
              <w:spacing w:line="360" w:lineRule="auto"/>
            </w:pPr>
            <w:r>
              <w:t>2013</w:t>
            </w:r>
          </w:p>
        </w:tc>
      </w:tr>
    </w:tbl>
    <w:p w14:paraId="5B6F0DFC" w14:textId="77777777" w:rsidR="00244E8D" w:rsidRDefault="00244E8D" w:rsidP="00244E8D">
      <w:pPr>
        <w:spacing w:line="360" w:lineRule="auto"/>
      </w:pPr>
    </w:p>
    <w:p w14:paraId="4E786419" w14:textId="6A7667F5" w:rsidR="00244E8D" w:rsidRPr="001F3690" w:rsidRDefault="00244E8D" w:rsidP="00244E8D">
      <w:pPr>
        <w:spacing w:line="360" w:lineRule="auto"/>
        <w:rPr>
          <w:i/>
          <w:iCs/>
        </w:rPr>
      </w:pPr>
      <w:r>
        <w:rPr>
          <w:i/>
          <w:iCs/>
        </w:rPr>
        <w:t xml:space="preserve">1.3 National </w:t>
      </w:r>
      <w:r w:rsidR="00A17412">
        <w:rPr>
          <w:i/>
          <w:iCs/>
        </w:rPr>
        <w:t>D</w:t>
      </w:r>
      <w:r>
        <w:rPr>
          <w:i/>
          <w:iCs/>
        </w:rPr>
        <w:t xml:space="preserve">eviation </w:t>
      </w:r>
    </w:p>
    <w:p w14:paraId="7BA4EDF7" w14:textId="77777777" w:rsidR="00244E8D" w:rsidRDefault="00244E8D" w:rsidP="00244E8D">
      <w:pPr>
        <w:spacing w:line="360" w:lineRule="auto"/>
      </w:pPr>
      <w:r>
        <w:t xml:space="preserve">The overall scope the different UK nations’ CE policies varies quite significantly, representing diverging values and varying levels of consideration, ambition and research effort. Fletcher’s 2019 review of CE/Resource management policy commitmet across the UK at the time and Table 2 represents a mixture of Fletcher and my own analysis of the strengths and weaknesses of some UK CE policy. Despite basal ties in waste policy via being jointly bound by the Waste Strategy 2000, England and Wales differ significantly with respect to policy direction, strength and local authority implementation (Bees and Williams, 2017), in fact, comparative analysis on UK environmental legislation has attributed the most innovative developments to Wales and Scotland (Scotford and Robinson, 2013; Fletcher and Dunk, 2018). Regarding waste policy specifically, England has been criticised for its lack of clarity and direction (Farmer </w:t>
      </w:r>
      <w:r w:rsidRPr="00D70260">
        <w:rPr>
          <w:i/>
          <w:iCs/>
        </w:rPr>
        <w:t>et al.</w:t>
      </w:r>
      <w:r>
        <w:t xml:space="preserve">, 2015; Bees and Williams, 2017) and both England and NI CE policy has been criticised for its limited scope for example only placing responsibility on disposers and not producers, and focussing only on macro-level, primarily city/regional stakeholders (Fletcher, 2019).  </w:t>
      </w:r>
    </w:p>
    <w:p w14:paraId="014A299A" w14:textId="77777777" w:rsidR="00244E8D" w:rsidRDefault="00244E8D" w:rsidP="00244E8D">
      <w:pPr>
        <w:spacing w:line="360" w:lineRule="auto"/>
      </w:pPr>
      <w:r>
        <w:t>Contrastingly, Scotland and Wales have been praised for their inclusion of all levels of stakeholders, including micro-level (e.g. consumers, producers and designers) as well as meso-level stakeholders (e.g. sectors and community groups) as outlined in Table 2 (Fletcher, 2019).</w:t>
      </w:r>
    </w:p>
    <w:p w14:paraId="2D0D700A" w14:textId="77777777" w:rsidR="00ED29A1" w:rsidRDefault="00ED29A1" w:rsidP="00244E8D">
      <w:pPr>
        <w:spacing w:line="360" w:lineRule="auto"/>
      </w:pPr>
    </w:p>
    <w:p w14:paraId="152A98A5" w14:textId="77777777" w:rsidR="00244E8D" w:rsidRPr="0008685C" w:rsidRDefault="00244E8D" w:rsidP="00244E8D">
      <w:pPr>
        <w:spacing w:line="360" w:lineRule="auto"/>
        <w:rPr>
          <w:i/>
          <w:iCs/>
        </w:rPr>
      </w:pPr>
      <w:r>
        <w:rPr>
          <w:i/>
          <w:iCs/>
        </w:rPr>
        <w:lastRenderedPageBreak/>
        <w:t xml:space="preserve">1.4 </w:t>
      </w:r>
      <w:r w:rsidRPr="0008685C">
        <w:rPr>
          <w:i/>
          <w:iCs/>
        </w:rPr>
        <w:t xml:space="preserve">Targets – Setting and Supporting </w:t>
      </w:r>
    </w:p>
    <w:p w14:paraId="1E2E9F0D" w14:textId="77777777" w:rsidR="00244E8D" w:rsidRDefault="00244E8D" w:rsidP="00244E8D">
      <w:pPr>
        <w:spacing w:line="360" w:lineRule="auto"/>
      </w:pPr>
      <w:r>
        <w:t xml:space="preserve">The efficacy of a policy document is influenced by the nature and strengths of the targets set by Governments and, critically, the support they subsequently offer to enable communities and businesses to meet these targets. By the early 2010’s, even prior to Scotland and Wales’ recent publication of more CE-centred policies (Table 1) their commitment to the CE was made clear by ambitious waste reduction targets, compared to England’s targets which were very limited in scope and NI setting no targets at all. This is outlined by in Table 3 (Hill, 2013) where Wales’s targets represent a significantly more ambitious approach than its UK counterparts. </w:t>
      </w:r>
    </w:p>
    <w:p w14:paraId="7D988209" w14:textId="77777777" w:rsidR="00244E8D" w:rsidRDefault="00244E8D" w:rsidP="00244E8D">
      <w:pPr>
        <w:pStyle w:val="Caption"/>
        <w:keepNext/>
        <w:spacing w:line="360" w:lineRule="auto"/>
      </w:pPr>
      <w:r>
        <w:t xml:space="preserve">Table </w:t>
      </w:r>
      <w:r>
        <w:fldChar w:fldCharType="begin"/>
      </w:r>
      <w:r>
        <w:instrText xml:space="preserve"> SEQ Table \* ARABIC </w:instrText>
      </w:r>
      <w:r>
        <w:fldChar w:fldCharType="separate"/>
      </w:r>
      <w:r>
        <w:rPr>
          <w:noProof/>
        </w:rPr>
        <w:t>2</w:t>
      </w:r>
      <w:r>
        <w:fldChar w:fldCharType="end"/>
      </w:r>
      <w:r>
        <w:t>: National CE Policy - Strength Comparison adapted from Fletcher (2019)</w:t>
      </w:r>
    </w:p>
    <w:tbl>
      <w:tblPr>
        <w:tblStyle w:val="TableGrid"/>
        <w:tblW w:w="0" w:type="auto"/>
        <w:tblLook w:val="04A0" w:firstRow="1" w:lastRow="0" w:firstColumn="1" w:lastColumn="0" w:noHBand="0" w:noVBand="1"/>
      </w:tblPr>
      <w:tblGrid>
        <w:gridCol w:w="846"/>
        <w:gridCol w:w="1701"/>
        <w:gridCol w:w="1276"/>
        <w:gridCol w:w="3321"/>
        <w:gridCol w:w="1872"/>
      </w:tblGrid>
      <w:tr w:rsidR="00244E8D" w14:paraId="755FDCFB" w14:textId="77777777" w:rsidTr="007B3FBA">
        <w:tc>
          <w:tcPr>
            <w:tcW w:w="846" w:type="dxa"/>
          </w:tcPr>
          <w:p w14:paraId="5EC18053" w14:textId="77777777" w:rsidR="00244E8D" w:rsidRPr="007B3FBA" w:rsidRDefault="00244E8D" w:rsidP="007B3FBA">
            <w:pPr>
              <w:spacing w:line="276" w:lineRule="auto"/>
              <w:rPr>
                <w:rFonts w:ascii="Arial" w:hAnsi="Arial" w:cs="Arial"/>
                <w:sz w:val="20"/>
                <w:szCs w:val="20"/>
              </w:rPr>
            </w:pPr>
          </w:p>
        </w:tc>
        <w:tc>
          <w:tcPr>
            <w:tcW w:w="1701" w:type="dxa"/>
          </w:tcPr>
          <w:p w14:paraId="4064EBB6" w14:textId="77777777" w:rsidR="00244E8D" w:rsidRPr="007B3FBA" w:rsidRDefault="00244E8D" w:rsidP="007B3FBA">
            <w:pPr>
              <w:spacing w:line="276" w:lineRule="auto"/>
              <w:rPr>
                <w:rFonts w:ascii="Arial" w:hAnsi="Arial" w:cs="Arial"/>
                <w:sz w:val="20"/>
                <w:szCs w:val="20"/>
              </w:rPr>
            </w:pPr>
            <w:r w:rsidRPr="007B3FBA">
              <w:rPr>
                <w:rFonts w:ascii="Arial" w:hAnsi="Arial" w:cs="Arial"/>
                <w:sz w:val="20"/>
                <w:szCs w:val="20"/>
              </w:rPr>
              <w:t>Policy/Strategy</w:t>
            </w:r>
          </w:p>
        </w:tc>
        <w:tc>
          <w:tcPr>
            <w:tcW w:w="1276" w:type="dxa"/>
          </w:tcPr>
          <w:p w14:paraId="7AB36CBF" w14:textId="77777777" w:rsidR="00244E8D" w:rsidRPr="007B3FBA" w:rsidRDefault="00244E8D" w:rsidP="007B3FBA">
            <w:pPr>
              <w:spacing w:line="276" w:lineRule="auto"/>
              <w:rPr>
                <w:rFonts w:ascii="Arial" w:hAnsi="Arial" w:cs="Arial"/>
                <w:sz w:val="20"/>
                <w:szCs w:val="20"/>
              </w:rPr>
            </w:pPr>
            <w:r w:rsidRPr="007B3FBA">
              <w:rPr>
                <w:rFonts w:ascii="Arial" w:hAnsi="Arial" w:cs="Arial"/>
                <w:sz w:val="20"/>
                <w:szCs w:val="20"/>
              </w:rPr>
              <w:t>Author</w:t>
            </w:r>
          </w:p>
        </w:tc>
        <w:tc>
          <w:tcPr>
            <w:tcW w:w="3321" w:type="dxa"/>
          </w:tcPr>
          <w:p w14:paraId="505FCE1A" w14:textId="77777777" w:rsidR="00244E8D" w:rsidRPr="007B3FBA" w:rsidRDefault="00244E8D" w:rsidP="007B3FBA">
            <w:pPr>
              <w:spacing w:line="276" w:lineRule="auto"/>
              <w:rPr>
                <w:rFonts w:ascii="Arial" w:hAnsi="Arial" w:cs="Arial"/>
                <w:sz w:val="20"/>
                <w:szCs w:val="20"/>
              </w:rPr>
            </w:pPr>
            <w:r w:rsidRPr="007B3FBA">
              <w:rPr>
                <w:rFonts w:ascii="Arial" w:hAnsi="Arial" w:cs="Arial"/>
                <w:sz w:val="20"/>
                <w:szCs w:val="20"/>
              </w:rPr>
              <w:t xml:space="preserve">Strengths </w:t>
            </w:r>
          </w:p>
        </w:tc>
        <w:tc>
          <w:tcPr>
            <w:tcW w:w="1872" w:type="dxa"/>
          </w:tcPr>
          <w:p w14:paraId="067298E2" w14:textId="77777777" w:rsidR="00244E8D" w:rsidRPr="007B3FBA" w:rsidRDefault="00244E8D" w:rsidP="007B3FBA">
            <w:pPr>
              <w:spacing w:line="276" w:lineRule="auto"/>
              <w:rPr>
                <w:rFonts w:ascii="Arial" w:hAnsi="Arial" w:cs="Arial"/>
                <w:sz w:val="20"/>
                <w:szCs w:val="20"/>
              </w:rPr>
            </w:pPr>
            <w:r w:rsidRPr="007B3FBA">
              <w:rPr>
                <w:rFonts w:ascii="Arial" w:hAnsi="Arial" w:cs="Arial"/>
                <w:sz w:val="20"/>
                <w:szCs w:val="20"/>
              </w:rPr>
              <w:t xml:space="preserve">Weaknesses </w:t>
            </w:r>
          </w:p>
        </w:tc>
      </w:tr>
      <w:tr w:rsidR="00244E8D" w14:paraId="468EB9C2" w14:textId="77777777" w:rsidTr="007B3FBA">
        <w:tc>
          <w:tcPr>
            <w:tcW w:w="846" w:type="dxa"/>
          </w:tcPr>
          <w:p w14:paraId="79AD82F0"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Wales</w:t>
            </w:r>
          </w:p>
        </w:tc>
        <w:tc>
          <w:tcPr>
            <w:tcW w:w="1701" w:type="dxa"/>
          </w:tcPr>
          <w:p w14:paraId="108537D6"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Towards Zero Waste – One Wales (Strategy) 2010</w:t>
            </w:r>
          </w:p>
          <w:p w14:paraId="61BBCFF3" w14:textId="77777777" w:rsidR="00244E8D" w:rsidRPr="007B3FBA" w:rsidRDefault="00244E8D" w:rsidP="007B3FBA">
            <w:pPr>
              <w:spacing w:line="276" w:lineRule="auto"/>
              <w:rPr>
                <w:rFonts w:ascii="Arial" w:hAnsi="Arial" w:cs="Arial"/>
                <w:sz w:val="16"/>
                <w:szCs w:val="16"/>
              </w:rPr>
            </w:pPr>
          </w:p>
          <w:p w14:paraId="7D259ADB"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Towards Zero Waste. One Wales: One Planet. The Waste Prevention Programme for Wales (Policy) 2013</w:t>
            </w:r>
          </w:p>
          <w:p w14:paraId="26B2ADE2" w14:textId="77777777" w:rsidR="00244E8D" w:rsidRPr="007B3FBA" w:rsidRDefault="00244E8D" w:rsidP="007B3FBA">
            <w:pPr>
              <w:spacing w:line="276" w:lineRule="auto"/>
              <w:rPr>
                <w:rFonts w:ascii="Arial" w:hAnsi="Arial" w:cs="Arial"/>
                <w:sz w:val="16"/>
                <w:szCs w:val="16"/>
              </w:rPr>
            </w:pPr>
          </w:p>
        </w:tc>
        <w:tc>
          <w:tcPr>
            <w:tcW w:w="1276" w:type="dxa"/>
          </w:tcPr>
          <w:p w14:paraId="2FC5875A"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Welsh Assembly Government (WAG)</w:t>
            </w:r>
          </w:p>
        </w:tc>
        <w:tc>
          <w:tcPr>
            <w:tcW w:w="3321" w:type="dxa"/>
          </w:tcPr>
          <w:p w14:paraId="47E64FC7"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Frames waste management in broader context of culture, social justice, climate change and resource limitations. </w:t>
            </w:r>
          </w:p>
          <w:p w14:paraId="698F5517"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Advocates sustainable consumption, production and material use and reduced dependence on primary resources </w:t>
            </w:r>
          </w:p>
          <w:p w14:paraId="3AC03E5B"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Requires Welsh government engage with consumers and householders, enable measures to aid waste prevention/reduction and exemplify best practice across supply chains </w:t>
            </w:r>
          </w:p>
          <w:p w14:paraId="7C24EB38"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Promotes use of alternative resources, employ integrated product policy and reduced emissions</w:t>
            </w:r>
          </w:p>
          <w:p w14:paraId="2F60AC18"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Acknowledges need to manage legacy waste </w:t>
            </w:r>
          </w:p>
        </w:tc>
        <w:tc>
          <w:tcPr>
            <w:tcW w:w="1872" w:type="dxa"/>
          </w:tcPr>
          <w:p w14:paraId="2AB6EC29"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Targets arguably overambitious in light of financial, infrastructure and resource constrains in Wales, therefore placing undue burden on local authorities </w:t>
            </w:r>
          </w:p>
        </w:tc>
      </w:tr>
      <w:tr w:rsidR="00244E8D" w14:paraId="56DD1DC1" w14:textId="77777777" w:rsidTr="007B3FBA">
        <w:tc>
          <w:tcPr>
            <w:tcW w:w="846" w:type="dxa"/>
          </w:tcPr>
          <w:p w14:paraId="6C7931A6"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Northern Ireland</w:t>
            </w:r>
          </w:p>
        </w:tc>
        <w:tc>
          <w:tcPr>
            <w:tcW w:w="1701" w:type="dxa"/>
          </w:tcPr>
          <w:p w14:paraId="007295E9"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The Delivering Resource Efficiency Strategy</w:t>
            </w:r>
          </w:p>
        </w:tc>
        <w:tc>
          <w:tcPr>
            <w:tcW w:w="1276" w:type="dxa"/>
          </w:tcPr>
          <w:p w14:paraId="46EDAEA3"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Department for the Environment, NI</w:t>
            </w:r>
          </w:p>
        </w:tc>
        <w:tc>
          <w:tcPr>
            <w:tcW w:w="3321" w:type="dxa"/>
          </w:tcPr>
          <w:p w14:paraId="27517663"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Framed in the context of economic growth where sustainable waste management serves as vehicle for green jobs and carbon reduction.</w:t>
            </w:r>
          </w:p>
          <w:p w14:paraId="7B378ABB"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Supports implementation of waste hierarchy</w:t>
            </w:r>
          </w:p>
          <w:p w14:paraId="1CD20ED0"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Advocates for environmentally friendly behaviour and technology.</w:t>
            </w:r>
          </w:p>
          <w:p w14:paraId="418F042D"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Calls for greater emphasis on prevention and increased recycling</w:t>
            </w:r>
          </w:p>
          <w:p w14:paraId="269FF82F"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Aims to increase stakeholder support </w:t>
            </w:r>
          </w:p>
        </w:tc>
        <w:tc>
          <w:tcPr>
            <w:tcW w:w="1872" w:type="dxa"/>
          </w:tcPr>
          <w:p w14:paraId="6200E1A3"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No definition of circular economy </w:t>
            </w:r>
          </w:p>
        </w:tc>
      </w:tr>
      <w:tr w:rsidR="00244E8D" w14:paraId="330A9694" w14:textId="77777777" w:rsidTr="007B3FBA">
        <w:tc>
          <w:tcPr>
            <w:tcW w:w="846" w:type="dxa"/>
          </w:tcPr>
          <w:p w14:paraId="7BCB5265"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Scotland</w:t>
            </w:r>
          </w:p>
        </w:tc>
        <w:tc>
          <w:tcPr>
            <w:tcW w:w="1701" w:type="dxa"/>
          </w:tcPr>
          <w:p w14:paraId="4224F25D"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Scotland’s Zero Waste Plan (Strategy &amp; Policy) 2013 </w:t>
            </w:r>
          </w:p>
        </w:tc>
        <w:tc>
          <w:tcPr>
            <w:tcW w:w="1276" w:type="dxa"/>
          </w:tcPr>
          <w:p w14:paraId="1E72B56D"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Natural Scotland</w:t>
            </w:r>
          </w:p>
        </w:tc>
        <w:tc>
          <w:tcPr>
            <w:tcW w:w="3321" w:type="dxa"/>
          </w:tcPr>
          <w:p w14:paraId="31A6CFB2"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Defines zero-waste by efficiency of resource use and reducing dependency on primary resource use.  Promoting materials being treated as resources to reuse recycle and recover rather than being seen as waste. </w:t>
            </w:r>
          </w:p>
          <w:p w14:paraId="677AA2DF"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Placed in context of climate change and economic growth.</w:t>
            </w:r>
          </w:p>
          <w:p w14:paraId="66C74297"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Recognition of waste as valuable</w:t>
            </w:r>
          </w:p>
          <w:p w14:paraId="0552852F"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Aim to reduce GHG via moving to circular model and have long term policy stability.</w:t>
            </w:r>
          </w:p>
        </w:tc>
        <w:tc>
          <w:tcPr>
            <w:tcW w:w="1872" w:type="dxa"/>
          </w:tcPr>
          <w:p w14:paraId="49CC05E2"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Lowest reference rate (1) to life-cycle thinking </w:t>
            </w:r>
          </w:p>
        </w:tc>
      </w:tr>
      <w:tr w:rsidR="00244E8D" w14:paraId="5202A6CA" w14:textId="77777777" w:rsidTr="007B3FBA">
        <w:tc>
          <w:tcPr>
            <w:tcW w:w="846" w:type="dxa"/>
          </w:tcPr>
          <w:p w14:paraId="383F7FB0"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England</w:t>
            </w:r>
          </w:p>
        </w:tc>
        <w:tc>
          <w:tcPr>
            <w:tcW w:w="1701" w:type="dxa"/>
          </w:tcPr>
          <w:p w14:paraId="77124732"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Waste Management Plan for England (Strategy) 2013</w:t>
            </w:r>
          </w:p>
          <w:p w14:paraId="13423537" w14:textId="77777777" w:rsidR="00244E8D" w:rsidRPr="007B3FBA" w:rsidRDefault="00244E8D" w:rsidP="007B3FBA">
            <w:pPr>
              <w:spacing w:line="276" w:lineRule="auto"/>
              <w:rPr>
                <w:rFonts w:ascii="Arial" w:hAnsi="Arial" w:cs="Arial"/>
                <w:sz w:val="16"/>
                <w:szCs w:val="16"/>
              </w:rPr>
            </w:pPr>
          </w:p>
          <w:p w14:paraId="6E002FC2"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 xml:space="preserve">Prevention is better than cure. The role of waste prevention </w:t>
            </w:r>
            <w:r w:rsidRPr="007B3FBA">
              <w:rPr>
                <w:rFonts w:ascii="Arial" w:hAnsi="Arial" w:cs="Arial"/>
                <w:sz w:val="16"/>
                <w:szCs w:val="16"/>
              </w:rPr>
              <w:lastRenderedPageBreak/>
              <w:t>in moving to a more resource efficient economy” (policy) 2013</w:t>
            </w:r>
          </w:p>
        </w:tc>
        <w:tc>
          <w:tcPr>
            <w:tcW w:w="1276" w:type="dxa"/>
          </w:tcPr>
          <w:p w14:paraId="183508D6"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lastRenderedPageBreak/>
              <w:t xml:space="preserve">DEFRA, England </w:t>
            </w:r>
          </w:p>
        </w:tc>
        <w:tc>
          <w:tcPr>
            <w:tcW w:w="3321" w:type="dxa"/>
          </w:tcPr>
          <w:p w14:paraId="45A0A7D3"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Defines a zero waste economy as one where material resources are reused recycled and recovered wherever possible and only disposed of as a last resort</w:t>
            </w:r>
          </w:p>
          <w:p w14:paraId="3F531854"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Recognises need to reduce generation of waste and improve the value of materials during and at the end of their life cycles</w:t>
            </w:r>
          </w:p>
          <w:p w14:paraId="71D91DB6"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lastRenderedPageBreak/>
              <w:t xml:space="preserve">Promotes efficient resource use (but only via government drivers) </w:t>
            </w:r>
          </w:p>
          <w:p w14:paraId="3155CF19"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Highest reference rate to life-cycle thinking, though only mentioned as a justification for their deviation from waste hierarchy and not discussed as a vehicle for increased resource efficiency.</w:t>
            </w:r>
          </w:p>
        </w:tc>
        <w:tc>
          <w:tcPr>
            <w:tcW w:w="1872" w:type="dxa"/>
          </w:tcPr>
          <w:p w14:paraId="43F6AED9"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lastRenderedPageBreak/>
              <w:t xml:space="preserve">More focus on minimising harm from waste generation through supporting local authorities to increase recycling and </w:t>
            </w:r>
            <w:r w:rsidRPr="007B3FBA">
              <w:rPr>
                <w:rFonts w:ascii="Arial" w:hAnsi="Arial" w:cs="Arial"/>
                <w:sz w:val="16"/>
                <w:szCs w:val="16"/>
              </w:rPr>
              <w:lastRenderedPageBreak/>
              <w:t>recovery rather than look beyond recycling</w:t>
            </w:r>
          </w:p>
          <w:p w14:paraId="699EA095"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No substantive inclusion of zero waste or closed loop initiatives.</w:t>
            </w:r>
          </w:p>
          <w:p w14:paraId="05836799" w14:textId="77777777" w:rsidR="00244E8D" w:rsidRPr="007B3FBA" w:rsidRDefault="00244E8D" w:rsidP="007B3FBA">
            <w:pPr>
              <w:spacing w:line="276" w:lineRule="auto"/>
              <w:rPr>
                <w:rFonts w:ascii="Arial" w:hAnsi="Arial" w:cs="Arial"/>
                <w:color w:val="FF0000"/>
                <w:sz w:val="16"/>
                <w:szCs w:val="16"/>
              </w:rPr>
            </w:pPr>
            <w:r w:rsidRPr="007B3FBA">
              <w:rPr>
                <w:rFonts w:ascii="Arial" w:hAnsi="Arial" w:cs="Arial"/>
                <w:sz w:val="16"/>
                <w:szCs w:val="16"/>
              </w:rPr>
              <w:t>Describes role of Government to “get out of people’s hair” and leave it to local authorities and businesses to make changes required to transition to aa sustainable economy</w:t>
            </w:r>
          </w:p>
          <w:p w14:paraId="1D2A088A" w14:textId="77777777" w:rsidR="00244E8D" w:rsidRPr="007B3FBA" w:rsidRDefault="00244E8D" w:rsidP="007B3FBA">
            <w:pPr>
              <w:spacing w:line="276" w:lineRule="auto"/>
              <w:rPr>
                <w:rFonts w:ascii="Arial" w:hAnsi="Arial" w:cs="Arial"/>
                <w:sz w:val="16"/>
                <w:szCs w:val="16"/>
              </w:rPr>
            </w:pPr>
            <w:r w:rsidRPr="007B3FBA">
              <w:rPr>
                <w:rFonts w:ascii="Arial" w:hAnsi="Arial" w:cs="Arial"/>
                <w:sz w:val="16"/>
                <w:szCs w:val="16"/>
              </w:rPr>
              <w:t>No reference to the scale or nature of change required to make the change to sustainable zero waste economy</w:t>
            </w:r>
          </w:p>
          <w:p w14:paraId="70965332" w14:textId="77777777" w:rsidR="00244E8D" w:rsidRPr="007B3FBA" w:rsidRDefault="00244E8D" w:rsidP="007B3FBA">
            <w:pPr>
              <w:spacing w:line="276" w:lineRule="auto"/>
              <w:rPr>
                <w:rFonts w:ascii="Arial" w:hAnsi="Arial" w:cs="Arial"/>
                <w:sz w:val="16"/>
                <w:szCs w:val="16"/>
              </w:rPr>
            </w:pPr>
          </w:p>
        </w:tc>
      </w:tr>
    </w:tbl>
    <w:p w14:paraId="4AC57683" w14:textId="77777777" w:rsidR="00244E8D" w:rsidRPr="00017FCF" w:rsidRDefault="00244E8D" w:rsidP="00244E8D">
      <w:pPr>
        <w:spacing w:line="360" w:lineRule="auto"/>
        <w:rPr>
          <w:b/>
          <w:bCs/>
        </w:rPr>
      </w:pPr>
    </w:p>
    <w:p w14:paraId="14606558" w14:textId="77777777" w:rsidR="00244E8D" w:rsidRDefault="00244E8D" w:rsidP="00244E8D">
      <w:pPr>
        <w:pStyle w:val="Caption"/>
        <w:keepNext/>
        <w:spacing w:line="360" w:lineRule="auto"/>
      </w:pPr>
      <w:r>
        <w:t xml:space="preserve">Table </w:t>
      </w:r>
      <w:r>
        <w:fldChar w:fldCharType="begin"/>
      </w:r>
      <w:r>
        <w:instrText xml:space="preserve"> SEQ Table \* ARABIC </w:instrText>
      </w:r>
      <w:r>
        <w:fldChar w:fldCharType="separate"/>
      </w:r>
      <w:r>
        <w:rPr>
          <w:noProof/>
        </w:rPr>
        <w:t>3</w:t>
      </w:r>
      <w:r>
        <w:fldChar w:fldCharType="end"/>
      </w:r>
      <w:r>
        <w:t>: Table by Hill (2016) outlining waste prevention targets set by the four UK nations</w:t>
      </w:r>
    </w:p>
    <w:p w14:paraId="511CAE12" w14:textId="77777777" w:rsidR="00244E8D" w:rsidRDefault="00244E8D" w:rsidP="00244E8D">
      <w:pPr>
        <w:spacing w:line="360" w:lineRule="auto"/>
      </w:pPr>
      <w:r w:rsidRPr="00BB5039">
        <w:drawing>
          <wp:inline distT="0" distB="0" distL="0" distR="0" wp14:anchorId="6BFCBAFC" wp14:editId="599E572C">
            <wp:extent cx="5731510" cy="4618990"/>
            <wp:effectExtent l="0" t="0" r="2540" b="0"/>
            <wp:docPr id="168063091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30919" name="Picture 1" descr="A white paper with black text&#10;&#10;Description automatically generated"/>
                    <pic:cNvPicPr/>
                  </pic:nvPicPr>
                  <pic:blipFill>
                    <a:blip r:embed="rId4"/>
                    <a:stretch>
                      <a:fillRect/>
                    </a:stretch>
                  </pic:blipFill>
                  <pic:spPr>
                    <a:xfrm>
                      <a:off x="0" y="0"/>
                      <a:ext cx="5731510" cy="4618990"/>
                    </a:xfrm>
                    <a:prstGeom prst="rect">
                      <a:avLst/>
                    </a:prstGeom>
                  </pic:spPr>
                </pic:pic>
              </a:graphicData>
            </a:graphic>
          </wp:inline>
        </w:drawing>
      </w:r>
    </w:p>
    <w:p w14:paraId="544EBEDB" w14:textId="451BCF1F" w:rsidR="00244E8D" w:rsidRDefault="00244E8D" w:rsidP="00244E8D">
      <w:pPr>
        <w:spacing w:line="360" w:lineRule="auto"/>
      </w:pPr>
      <w:r>
        <w:lastRenderedPageBreak/>
        <w:t xml:space="preserve">Having overachieved the target recycling rate of 65%, WG continued their accelerate action by publishing their 2021 Beyond Recycling Strategy (Table 1) which aims to achieve 33% and 60% reduction in waste and unavoidable food waste respectively, and zero waste and net zero carbon by 2050. While Scotland’s commitments at this time were not nearly as ambitious, they have recently made a significant step towards the level of commitment championed by Welsh Government. On 26 June 2024 Scottish Parliament passed a bill that requires Scottish Ministers to introduce measures to advance the CE, including 1) producing a CE strategy, 2) creating CE targets, 3) minimizing waste, 4) increasing penalties for littering from vehicles, 5) ensuring compliant disposal of domestic and trade waste and 6) improving waste monitoring (Scottish Parliament, 2024). This is a great step for Scotland </w:t>
      </w:r>
      <w:r w:rsidR="00486EE5">
        <w:t>however</w:t>
      </w:r>
      <w:r>
        <w:t xml:space="preserve"> it remains to be seen how well this bill leads to material change for Scottish communities and businesses. </w:t>
      </w:r>
      <w:r>
        <w:t xml:space="preserve">For now, Wales </w:t>
      </w:r>
      <w:r w:rsidR="00F802A2">
        <w:t xml:space="preserve">remains the pioneer of British Circular Economy innovation. </w:t>
      </w:r>
    </w:p>
    <w:p w14:paraId="5EF6A710" w14:textId="77777777" w:rsidR="007F55D7" w:rsidRPr="007F55D7" w:rsidRDefault="007F55D7">
      <w:pPr>
        <w:rPr>
          <w:b/>
          <w:bCs/>
        </w:rPr>
      </w:pPr>
    </w:p>
    <w:sectPr w:rsidR="007F55D7" w:rsidRPr="007F55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B43"/>
    <w:rsid w:val="00244E8D"/>
    <w:rsid w:val="002A6B43"/>
    <w:rsid w:val="00383535"/>
    <w:rsid w:val="00486EE5"/>
    <w:rsid w:val="004E2DCF"/>
    <w:rsid w:val="007B3FBA"/>
    <w:rsid w:val="007F12DB"/>
    <w:rsid w:val="007F55D7"/>
    <w:rsid w:val="00A17412"/>
    <w:rsid w:val="00C012B3"/>
    <w:rsid w:val="00D25430"/>
    <w:rsid w:val="00ED29A1"/>
    <w:rsid w:val="00F60A97"/>
    <w:rsid w:val="00F802A2"/>
    <w:rsid w:val="00F91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835E2"/>
  <w15:chartTrackingRefBased/>
  <w15:docId w15:val="{988454AE-8A74-439C-A707-6F7B5E105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5D7"/>
  </w:style>
  <w:style w:type="paragraph" w:styleId="Heading1">
    <w:name w:val="heading 1"/>
    <w:basedOn w:val="Normal"/>
    <w:next w:val="Normal"/>
    <w:link w:val="Heading1Char"/>
    <w:uiPriority w:val="9"/>
    <w:qFormat/>
    <w:rsid w:val="002A6B4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A6B4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6B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6B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A6B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A6B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B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B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B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B4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A6B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6B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6B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6B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6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B43"/>
    <w:rPr>
      <w:rFonts w:eastAsiaTheme="majorEastAsia" w:cstheme="majorBidi"/>
      <w:color w:val="272727" w:themeColor="text1" w:themeTint="D8"/>
    </w:rPr>
  </w:style>
  <w:style w:type="paragraph" w:styleId="Title">
    <w:name w:val="Title"/>
    <w:basedOn w:val="Normal"/>
    <w:next w:val="Normal"/>
    <w:link w:val="TitleChar"/>
    <w:uiPriority w:val="10"/>
    <w:qFormat/>
    <w:rsid w:val="002A6B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B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B43"/>
    <w:pPr>
      <w:spacing w:before="160"/>
      <w:jc w:val="center"/>
    </w:pPr>
    <w:rPr>
      <w:i/>
      <w:iCs/>
      <w:color w:val="404040" w:themeColor="text1" w:themeTint="BF"/>
    </w:rPr>
  </w:style>
  <w:style w:type="character" w:customStyle="1" w:styleId="QuoteChar">
    <w:name w:val="Quote Char"/>
    <w:basedOn w:val="DefaultParagraphFont"/>
    <w:link w:val="Quote"/>
    <w:uiPriority w:val="29"/>
    <w:rsid w:val="002A6B43"/>
    <w:rPr>
      <w:i/>
      <w:iCs/>
      <w:color w:val="404040" w:themeColor="text1" w:themeTint="BF"/>
    </w:rPr>
  </w:style>
  <w:style w:type="paragraph" w:styleId="ListParagraph">
    <w:name w:val="List Paragraph"/>
    <w:basedOn w:val="Normal"/>
    <w:uiPriority w:val="34"/>
    <w:qFormat/>
    <w:rsid w:val="002A6B43"/>
    <w:pPr>
      <w:ind w:left="720"/>
      <w:contextualSpacing/>
    </w:pPr>
  </w:style>
  <w:style w:type="character" w:styleId="IntenseEmphasis">
    <w:name w:val="Intense Emphasis"/>
    <w:basedOn w:val="DefaultParagraphFont"/>
    <w:uiPriority w:val="21"/>
    <w:qFormat/>
    <w:rsid w:val="002A6B43"/>
    <w:rPr>
      <w:i/>
      <w:iCs/>
      <w:color w:val="2F5496" w:themeColor="accent1" w:themeShade="BF"/>
    </w:rPr>
  </w:style>
  <w:style w:type="paragraph" w:styleId="IntenseQuote">
    <w:name w:val="Intense Quote"/>
    <w:basedOn w:val="Normal"/>
    <w:next w:val="Normal"/>
    <w:link w:val="IntenseQuoteChar"/>
    <w:uiPriority w:val="30"/>
    <w:qFormat/>
    <w:rsid w:val="002A6B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6B43"/>
    <w:rPr>
      <w:i/>
      <w:iCs/>
      <w:color w:val="2F5496" w:themeColor="accent1" w:themeShade="BF"/>
    </w:rPr>
  </w:style>
  <w:style w:type="character" w:styleId="IntenseReference">
    <w:name w:val="Intense Reference"/>
    <w:basedOn w:val="DefaultParagraphFont"/>
    <w:uiPriority w:val="32"/>
    <w:qFormat/>
    <w:rsid w:val="002A6B43"/>
    <w:rPr>
      <w:b/>
      <w:bCs/>
      <w:smallCaps/>
      <w:color w:val="2F5496" w:themeColor="accent1" w:themeShade="BF"/>
      <w:spacing w:val="5"/>
    </w:rPr>
  </w:style>
  <w:style w:type="table" w:styleId="TableGrid">
    <w:name w:val="Table Grid"/>
    <w:basedOn w:val="TableNormal"/>
    <w:uiPriority w:val="39"/>
    <w:rsid w:val="0024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4E8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1423</Words>
  <Characters>8115</Characters>
  <Application>Microsoft Office Word</Application>
  <DocSecurity>0</DocSecurity>
  <Lines>67</Lines>
  <Paragraphs>19</Paragraphs>
  <ScaleCrop>false</ScaleCrop>
  <Company/>
  <LinksUpToDate>false</LinksUpToDate>
  <CharactersWithSpaces>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 Jouault</dc:creator>
  <cp:keywords/>
  <dc:description/>
  <cp:lastModifiedBy>Lucy M Jouault</cp:lastModifiedBy>
  <cp:revision>14</cp:revision>
  <dcterms:created xsi:type="dcterms:W3CDTF">2024-06-30T17:59:00Z</dcterms:created>
  <dcterms:modified xsi:type="dcterms:W3CDTF">2024-06-30T18:08:00Z</dcterms:modified>
</cp:coreProperties>
</file>