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183017687"/>
        <w:docPartObj>
          <w:docPartGallery w:val="Cover Pages"/>
          <w:docPartUnique/>
        </w:docPartObj>
      </w:sdtPr>
      <w:sdtEndPr>
        <w:rPr>
          <w:rFonts w:ascii="Arial Black" w:eastAsiaTheme="minorHAnsi" w:hAnsi="Arial Black" w:cs="Arial"/>
          <w:kern w:val="2"/>
          <w:sz w:val="24"/>
          <w:szCs w:val="24"/>
          <w:lang w:val="en-GB"/>
          <w14:ligatures w14:val="standardContextual"/>
        </w:rPr>
      </w:sdtEndPr>
      <w:sdtContent>
        <w:p w14:paraId="04E0BB68" w14:textId="13D3110E" w:rsidR="000A76C8" w:rsidRDefault="000A76C8">
          <w:pPr>
            <w:pStyle w:val="NoSpacing"/>
            <w:rPr>
              <w:sz w:val="2"/>
            </w:rPr>
          </w:pPr>
        </w:p>
        <w:p w14:paraId="3C8241D9" w14:textId="1AE7028C" w:rsidR="000A76C8" w:rsidRDefault="000A76C8">
          <w:r>
            <w:rPr>
              <w:noProof/>
              <w:color w:val="156082" w:themeColor="accent1"/>
              <w:sz w:val="36"/>
              <w:szCs w:val="36"/>
            </w:rPr>
            <mc:AlternateContent>
              <mc:Choice Requires="wpg">
                <w:drawing>
                  <wp:anchor distT="0" distB="0" distL="114300" distR="114300" simplePos="0" relativeHeight="251660288" behindDoc="1" locked="0" layoutInCell="1" allowOverlap="1" wp14:anchorId="5D39FEEB" wp14:editId="106D9BD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E7505F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37E6006" wp14:editId="42368AAA">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93E29F" w14:textId="4DDBCDA5" w:rsidR="000A76C8" w:rsidRPr="000A76C8" w:rsidRDefault="000A76C8">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0A76C8">
                                      <w:rPr>
                                        <w:rFonts w:ascii="Arial Black" w:hAnsi="Arial Black"/>
                                        <w:color w:val="156082" w:themeColor="accent1"/>
                                        <w:sz w:val="36"/>
                                        <w:szCs w:val="36"/>
                                      </w:rPr>
                                      <w:t>Distinctiveness and Regeneration</w:t>
                                    </w:r>
                                  </w:sdtContent>
                                </w:sdt>
                              </w:p>
                              <w:sdt>
                                <w:sdtPr>
                                  <w:rPr>
                                    <w:rFonts w:ascii="Arial Black" w:hAnsi="Arial Black"/>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869D384" w14:textId="292E866F" w:rsidR="000A76C8" w:rsidRDefault="000A76C8">
                                    <w:pPr>
                                      <w:pStyle w:val="NoSpacing"/>
                                      <w:jc w:val="right"/>
                                      <w:rPr>
                                        <w:color w:val="156082" w:themeColor="accent1"/>
                                        <w:sz w:val="36"/>
                                        <w:szCs w:val="36"/>
                                      </w:rPr>
                                    </w:pPr>
                                    <w:r w:rsidRPr="000A76C8">
                                      <w:rPr>
                                        <w:rFonts w:ascii="Arial Black" w:hAnsi="Arial Black"/>
                                        <w:color w:val="156082" w:themeColor="accent1"/>
                                        <w:sz w:val="36"/>
                                        <w:szCs w:val="36"/>
                                      </w:rPr>
                                      <w:t>Madalina Denisa Dumitru</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237E6006" id="_x0000_t202" coordsize="21600,21600" o:spt="202" path="m,l,21600r21600,l21600,xe">
                    <v:stroke joinstyle="miter"/>
                    <v:path gradientshapeok="t" o:connecttype="rect"/>
                  </v:shapetype>
                  <v:shape id="Text Box 73"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6493E29F" w14:textId="4DDBCDA5" w:rsidR="000A76C8" w:rsidRPr="000A76C8" w:rsidRDefault="000A76C8">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0A76C8">
                                <w:rPr>
                                  <w:rFonts w:ascii="Arial Black" w:hAnsi="Arial Black"/>
                                  <w:color w:val="156082" w:themeColor="accent1"/>
                                  <w:sz w:val="36"/>
                                  <w:szCs w:val="36"/>
                                </w:rPr>
                                <w:t>Distinctiveness and Regeneration</w:t>
                              </w:r>
                            </w:sdtContent>
                          </w:sdt>
                        </w:p>
                        <w:sdt>
                          <w:sdtPr>
                            <w:rPr>
                              <w:rFonts w:ascii="Arial Black" w:hAnsi="Arial Black"/>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869D384" w14:textId="292E866F" w:rsidR="000A76C8" w:rsidRDefault="000A76C8">
                              <w:pPr>
                                <w:pStyle w:val="NoSpacing"/>
                                <w:jc w:val="right"/>
                                <w:rPr>
                                  <w:color w:val="156082" w:themeColor="accent1"/>
                                  <w:sz w:val="36"/>
                                  <w:szCs w:val="36"/>
                                </w:rPr>
                              </w:pPr>
                              <w:r w:rsidRPr="000A76C8">
                                <w:rPr>
                                  <w:rFonts w:ascii="Arial Black" w:hAnsi="Arial Black"/>
                                  <w:color w:val="156082" w:themeColor="accent1"/>
                                  <w:sz w:val="36"/>
                                  <w:szCs w:val="36"/>
                                </w:rPr>
                                <w:t>Madalina Denisa Dumitru</w:t>
                              </w:r>
                            </w:p>
                          </w:sdtContent>
                        </w:sdt>
                      </w:txbxContent>
                    </v:textbox>
                    <w10:wrap anchorx="page" anchory="margin"/>
                  </v:shape>
                </w:pict>
              </mc:Fallback>
            </mc:AlternateContent>
          </w:r>
        </w:p>
        <w:p w14:paraId="1B3B8374" w14:textId="2B596A49" w:rsidR="000A76C8" w:rsidRDefault="000A76C8">
          <w:pPr>
            <w:rPr>
              <w:rFonts w:ascii="Arial Black" w:hAnsi="Arial Black" w:cs="Arial"/>
            </w:rPr>
          </w:pPr>
          <w:r>
            <w:rPr>
              <w:noProof/>
            </w:rPr>
            <mc:AlternateContent>
              <mc:Choice Requires="wps">
                <w:drawing>
                  <wp:anchor distT="0" distB="0" distL="114300" distR="114300" simplePos="0" relativeHeight="251661312" behindDoc="0" locked="0" layoutInCell="1" allowOverlap="1" wp14:anchorId="6C24FD18" wp14:editId="12D92AF5">
                    <wp:simplePos x="0" y="0"/>
                    <wp:positionH relativeFrom="page">
                      <wp:posOffset>805815</wp:posOffset>
                    </wp:positionH>
                    <wp:positionV relativeFrom="margin">
                      <wp:posOffset>1282700</wp:posOffset>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2C7FCE" w:themeColor="text2" w:themeTint="99"/>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61F25E3" w14:textId="51060E3E" w:rsidR="000A76C8" w:rsidRPr="000A76C8" w:rsidRDefault="000A76C8" w:rsidP="000A76C8">
                                    <w:pPr>
                                      <w:pStyle w:val="NoSpacing"/>
                                      <w:rPr>
                                        <w:rFonts w:asciiTheme="majorHAnsi" w:eastAsiaTheme="majorEastAsia" w:hAnsiTheme="majorHAnsi" w:cstheme="majorBidi"/>
                                        <w:caps/>
                                        <w:color w:val="2C7FCE" w:themeColor="text2" w:themeTint="99"/>
                                        <w:sz w:val="68"/>
                                        <w:szCs w:val="68"/>
                                      </w:rPr>
                                    </w:pPr>
                                    <w:r w:rsidRPr="000A76C8">
                                      <w:rPr>
                                        <w:rFonts w:ascii="Arial Black" w:eastAsiaTheme="majorEastAsia" w:hAnsi="Arial Black" w:cstheme="majorBidi"/>
                                        <w:caps/>
                                        <w:color w:val="2C7FCE" w:themeColor="text2" w:themeTint="99"/>
                                        <w:sz w:val="96"/>
                                        <w:szCs w:val="96"/>
                                      </w:rPr>
                                      <w:t xml:space="preserve">Port Talbot Appraisal </w:t>
                                    </w:r>
                                  </w:p>
                                </w:sdtContent>
                              </w:sdt>
                              <w:p w14:paraId="73FD1E4C" w14:textId="77777777" w:rsidR="000A76C8" w:rsidRDefault="000A76C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6C24FD18" id="Text Box 66" o:spid="_x0000_s1027" type="#_x0000_t202" style="position:absolute;margin-left:63.45pt;margin-top:101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" filled="f" stroked="f" strokeweight=".5pt">
                    <v:textbox style="mso-fit-shape-to-text:t">
                      <w:txbxContent>
                        <w:sdt>
                          <w:sdtPr>
                            <w:rPr>
                              <w:rFonts w:ascii="Arial Black" w:eastAsiaTheme="majorEastAsia" w:hAnsi="Arial Black" w:cstheme="majorBidi"/>
                              <w:caps/>
                              <w:color w:val="2C7FCE" w:themeColor="text2" w:themeTint="99"/>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61F25E3" w14:textId="51060E3E" w:rsidR="000A76C8" w:rsidRPr="000A76C8" w:rsidRDefault="000A76C8" w:rsidP="000A76C8">
                              <w:pPr>
                                <w:pStyle w:val="NoSpacing"/>
                                <w:rPr>
                                  <w:rFonts w:asciiTheme="majorHAnsi" w:eastAsiaTheme="majorEastAsia" w:hAnsiTheme="majorHAnsi" w:cstheme="majorBidi"/>
                                  <w:caps/>
                                  <w:color w:val="2C7FCE" w:themeColor="text2" w:themeTint="99"/>
                                  <w:sz w:val="68"/>
                                  <w:szCs w:val="68"/>
                                </w:rPr>
                              </w:pPr>
                              <w:r w:rsidRPr="000A76C8">
                                <w:rPr>
                                  <w:rFonts w:ascii="Arial Black" w:eastAsiaTheme="majorEastAsia" w:hAnsi="Arial Black" w:cstheme="majorBidi"/>
                                  <w:caps/>
                                  <w:color w:val="2C7FCE" w:themeColor="text2" w:themeTint="99"/>
                                  <w:sz w:val="96"/>
                                  <w:szCs w:val="96"/>
                                </w:rPr>
                                <w:t xml:space="preserve">Port Talbot Appraisal </w:t>
                              </w:r>
                            </w:p>
                          </w:sdtContent>
                        </w:sdt>
                        <w:p w14:paraId="73FD1E4C" w14:textId="77777777" w:rsidR="000A76C8" w:rsidRDefault="000A76C8"/>
                      </w:txbxContent>
                    </v:textbox>
                    <w10:wrap anchorx="page" anchory="margin"/>
                  </v:shape>
                </w:pict>
              </mc:Fallback>
            </mc:AlternateContent>
          </w:r>
          <w:r>
            <w:rPr>
              <w:rFonts w:ascii="Arial Black" w:hAnsi="Arial Black" w:cs="Arial"/>
            </w:rPr>
            <w:br w:type="page"/>
          </w:r>
        </w:p>
      </w:sdtContent>
    </w:sdt>
    <w:p w14:paraId="229E8075" w14:textId="2B8B54A8" w:rsidR="00A65BF1" w:rsidRPr="00A65BF1" w:rsidRDefault="006C2F9B" w:rsidP="00A65BF1">
      <w:pPr>
        <w:pStyle w:val="ListParagraph"/>
        <w:numPr>
          <w:ilvl w:val="0"/>
          <w:numId w:val="1"/>
        </w:numPr>
        <w:spacing w:line="480" w:lineRule="auto"/>
        <w:rPr>
          <w:rFonts w:ascii="Arial Black" w:hAnsi="Arial Black" w:cs="Arial"/>
        </w:rPr>
      </w:pPr>
      <w:r w:rsidRPr="00A65BF1">
        <w:rPr>
          <w:rFonts w:ascii="Arial Black" w:hAnsi="Arial Black" w:cs="Arial"/>
        </w:rPr>
        <w:lastRenderedPageBreak/>
        <w:t xml:space="preserve">Changing </w:t>
      </w:r>
      <w:r w:rsidR="00A65BF1" w:rsidRPr="00A65BF1">
        <w:rPr>
          <w:rFonts w:ascii="Arial Black" w:hAnsi="Arial Black" w:cs="Arial"/>
        </w:rPr>
        <w:t>Fortune</w:t>
      </w:r>
    </w:p>
    <w:p w14:paraId="3BEAD53F" w14:textId="77777777" w:rsidR="00A65BF1" w:rsidRDefault="006C2F9B" w:rsidP="000A76C8">
      <w:pPr>
        <w:spacing w:line="480" w:lineRule="auto"/>
        <w:rPr>
          <w:rFonts w:ascii="Arial" w:hAnsi="Arial" w:cs="Arial"/>
        </w:rPr>
      </w:pPr>
      <w:r w:rsidRPr="00A65BF1">
        <w:rPr>
          <w:rFonts w:ascii="Arial" w:hAnsi="Arial" w:cs="Arial"/>
        </w:rPr>
        <w:t>Over the past few years, the fortunes of Port Talbot have changed drastically. Originally introduced as a powerhouse of heavy industry, the town's character was shaped by the strong steel output sector and related industrial businesses. But changes in trade rules, global market pressures, and ever stricter environmental laws have all helped to drive traditional manufacturing out of business (Harvey, 2008; Peck &amp; Tickell, 2001). Port Talbot saw demographic changes and significant job losses as businesses contracted. The legacy of industrial decline affects the social fabric of the society as well as the economy; problems such skill mismatches and out-migration result from this. Simultaneously, local awareness of the necessity of regeneration</w:t>
      </w:r>
      <w:r w:rsidR="00A65BF1">
        <w:rPr>
          <w:rFonts w:ascii="Arial" w:hAnsi="Arial" w:cs="Arial"/>
        </w:rPr>
        <w:t xml:space="preserve">, </w:t>
      </w:r>
      <w:r w:rsidRPr="00A65BF1">
        <w:rPr>
          <w:rFonts w:ascii="Arial" w:hAnsi="Arial" w:cs="Arial"/>
        </w:rPr>
        <w:t>a fresh will to turn industrial waste into assets for a sustainable future</w:t>
      </w:r>
      <w:r w:rsidR="00A65BF1">
        <w:rPr>
          <w:rFonts w:ascii="Arial" w:hAnsi="Arial" w:cs="Arial"/>
        </w:rPr>
        <w:t>.</w:t>
      </w:r>
      <w:r w:rsidRPr="00A65BF1">
        <w:rPr>
          <w:rFonts w:ascii="Arial" w:hAnsi="Arial" w:cs="Arial"/>
        </w:rPr>
        <w:br/>
        <w:t>Historically, the heavy industries gave not just financial stability but also a feeling of communal identification. But the slump has left behind a workforce with specialised knowledge that today finds difficulty entering other industries. Though they are struggling with the financial effects of deindustrialisation, community people are starting to welcome the concept of a "just transition" in which retraining programs and sustainable development can open the path for a more resilient future (Newell &amp; Mulvaney, 2013).</w:t>
      </w:r>
      <w:r w:rsidRPr="00A65BF1">
        <w:rPr>
          <w:rFonts w:ascii="Arial" w:hAnsi="Arial" w:cs="Arial"/>
        </w:rPr>
        <w:br/>
        <w:t>Furthermore, the industrial downturn has had significant consequences on the regional environmental quality. Decades of intense industrialisation have left legacy pollution that has ruined landscapes and toxic locations. Although difficult, this environmental load also motivates a green repair procedure, which might be a pillar for next projects on sustainable development (UN-Habitat, 2009).</w:t>
      </w:r>
    </w:p>
    <w:p w14:paraId="3919F3AE" w14:textId="77777777" w:rsidR="000A76C8" w:rsidRDefault="000A76C8" w:rsidP="000A76C8">
      <w:pPr>
        <w:spacing w:line="480" w:lineRule="auto"/>
        <w:rPr>
          <w:rFonts w:ascii="Arial" w:hAnsi="Arial" w:cs="Arial"/>
        </w:rPr>
      </w:pPr>
    </w:p>
    <w:p w14:paraId="49677B2C" w14:textId="359FE5E7" w:rsidR="00A65BF1" w:rsidRPr="00A65BF1" w:rsidRDefault="00A65BF1" w:rsidP="00A65BF1">
      <w:pPr>
        <w:pStyle w:val="ListParagraph"/>
        <w:numPr>
          <w:ilvl w:val="0"/>
          <w:numId w:val="1"/>
        </w:numPr>
        <w:spacing w:line="480" w:lineRule="auto"/>
        <w:rPr>
          <w:rFonts w:ascii="Arial Black" w:hAnsi="Arial Black" w:cs="Arial"/>
        </w:rPr>
      </w:pPr>
      <w:r w:rsidRPr="00A65BF1">
        <w:rPr>
          <w:rFonts w:ascii="Arial Black" w:hAnsi="Arial Black" w:cs="Arial"/>
        </w:rPr>
        <w:lastRenderedPageBreak/>
        <w:t>Existing assets, structures and economic character</w:t>
      </w:r>
    </w:p>
    <w:p w14:paraId="0C4C24F1" w14:textId="77777777" w:rsidR="00A65BF1" w:rsidRDefault="006C2F9B" w:rsidP="00A65BF1">
      <w:pPr>
        <w:spacing w:line="480" w:lineRule="auto"/>
        <w:rPr>
          <w:rFonts w:ascii="Arial" w:hAnsi="Arial" w:cs="Arial"/>
        </w:rPr>
      </w:pPr>
      <w:r w:rsidRPr="00A65BF1">
        <w:rPr>
          <w:rFonts w:ascii="Arial" w:hAnsi="Arial" w:cs="Arial"/>
        </w:rPr>
        <w:t>Port Talbot has several long-standing assets that give a basis for redevelopment even with the difficulties resulting from industrial downturn. The town's physical architecture is distinguished by its industrial past</w:t>
      </w:r>
      <w:r w:rsidR="00A65BF1">
        <w:rPr>
          <w:rFonts w:ascii="Arial" w:hAnsi="Arial" w:cs="Arial"/>
        </w:rPr>
        <w:t xml:space="preserve">, </w:t>
      </w:r>
      <w:r w:rsidRPr="00A65BF1">
        <w:rPr>
          <w:rFonts w:ascii="Arial" w:hAnsi="Arial" w:cs="Arial"/>
        </w:rPr>
        <w:t>massive steelworks, docks, and warehouses formerly representing economic growth. Though many of them are now unused or in need of renovation, these buildings provide a physical link to the past of the town and can be reinterpreted as part of a new cultural and economic story (Jacobs, 1961; Florida, 2002).</w:t>
      </w:r>
      <w:r w:rsidRPr="00A65BF1">
        <w:rPr>
          <w:rFonts w:ascii="Arial" w:hAnsi="Arial" w:cs="Arial"/>
        </w:rPr>
        <w:br/>
        <w:t>Another great advantage of Port Talbot is its geographical location. Situated along the coast with access to extensive transit systems, the town has strategic benefits that modern businesses could be able to use. This link helps not just with logistics but also with the growth of renewable energy projects like offshore wind farms, in which the area might be a leader (European Commission, 2013). Furthermore, after industrial sites are restored, the coastal environment's natural beauty could draw tourism and recreational activities like magic.</w:t>
      </w:r>
      <w:r w:rsidRPr="00A65BF1">
        <w:rPr>
          <w:rFonts w:ascii="Arial" w:hAnsi="Arial" w:cs="Arial"/>
        </w:rPr>
        <w:br/>
        <w:t>Still a great advantage is the local workforce. While many workers were taught conventional manufacturing methods, there is a great pool of technical knowledge and work ethic that can be focused towards new sectors. Comprehensive retraining and upskilling initiatives help Port Talbot's citizens be ready for employment in digital innovation, green manufacturing, and renewable energy. By combining historical knowledge with contemporary technologies, the economic identity of the region can be redefined and an environment where history meets innovation created.</w:t>
      </w:r>
      <w:r w:rsidRPr="00A65BF1">
        <w:rPr>
          <w:rFonts w:ascii="Arial" w:hAnsi="Arial" w:cs="Arial"/>
        </w:rPr>
        <w:br/>
      </w:r>
    </w:p>
    <w:p w14:paraId="00A95649" w14:textId="77777777" w:rsidR="00A65BF1" w:rsidRDefault="00A65BF1" w:rsidP="00A65BF1">
      <w:pPr>
        <w:spacing w:line="480" w:lineRule="auto"/>
        <w:rPr>
          <w:rFonts w:ascii="Arial" w:hAnsi="Arial" w:cs="Arial"/>
        </w:rPr>
      </w:pPr>
    </w:p>
    <w:p w14:paraId="091CA49D" w14:textId="77777777" w:rsidR="00A65BF1" w:rsidRPr="00A65BF1" w:rsidRDefault="00A65BF1" w:rsidP="00A65BF1">
      <w:pPr>
        <w:pStyle w:val="ListParagraph"/>
        <w:numPr>
          <w:ilvl w:val="0"/>
          <w:numId w:val="1"/>
        </w:numPr>
        <w:spacing w:line="480" w:lineRule="auto"/>
        <w:rPr>
          <w:rFonts w:ascii="Arial Black" w:hAnsi="Arial Black" w:cs="Arial"/>
        </w:rPr>
      </w:pPr>
      <w:r w:rsidRPr="00A65BF1">
        <w:rPr>
          <w:rFonts w:ascii="Arial Black" w:hAnsi="Arial Black" w:cs="Arial"/>
        </w:rPr>
        <w:lastRenderedPageBreak/>
        <w:t>Key stakeholders and interest groups</w:t>
      </w:r>
    </w:p>
    <w:p w14:paraId="5841A815" w14:textId="632E4F18" w:rsidR="00A65BF1" w:rsidRDefault="006C2F9B" w:rsidP="00A65BF1">
      <w:pPr>
        <w:spacing w:line="480" w:lineRule="auto"/>
        <w:rPr>
          <w:rFonts w:ascii="Arial" w:hAnsi="Arial" w:cs="Arial"/>
        </w:rPr>
      </w:pPr>
      <w:r w:rsidRPr="00A65BF1">
        <w:rPr>
          <w:rFonts w:ascii="Arial" w:hAnsi="Arial" w:cs="Arial"/>
        </w:rPr>
        <w:t xml:space="preserve">Effective regeneration in Port Talbot calls for a cooperative and inclusive strategy including </w:t>
      </w:r>
      <w:r w:rsidR="00A65BF1" w:rsidRPr="00A65BF1">
        <w:rPr>
          <w:rFonts w:ascii="Arial" w:hAnsi="Arial" w:cs="Arial"/>
        </w:rPr>
        <w:t>many kinds of</w:t>
      </w:r>
      <w:r w:rsidRPr="00A65BF1">
        <w:rPr>
          <w:rFonts w:ascii="Arial" w:hAnsi="Arial" w:cs="Arial"/>
        </w:rPr>
        <w:t xml:space="preserve"> stakeholders. First in importance among these are the local people and businesses. Local voices </w:t>
      </w:r>
      <w:r w:rsidR="00A65BF1" w:rsidRPr="00A65BF1">
        <w:rPr>
          <w:rFonts w:ascii="Arial" w:hAnsi="Arial" w:cs="Arial"/>
        </w:rPr>
        <w:t>must</w:t>
      </w:r>
      <w:r w:rsidRPr="00A65BF1">
        <w:rPr>
          <w:rFonts w:ascii="Arial" w:hAnsi="Arial" w:cs="Arial"/>
        </w:rPr>
        <w:t xml:space="preserve"> be important to the planning and execution of any redevelopment project since they are the main beneficiaries of any effort </w:t>
      </w:r>
      <w:r w:rsidR="00A65BF1">
        <w:rPr>
          <w:rFonts w:ascii="Arial" w:hAnsi="Arial" w:cs="Arial"/>
        </w:rPr>
        <w:t>made</w:t>
      </w:r>
      <w:r w:rsidRPr="00A65BF1">
        <w:rPr>
          <w:rFonts w:ascii="Arial" w:hAnsi="Arial" w:cs="Arial"/>
        </w:rPr>
        <w:t>. Their strong ties to the industrial past of the town and their goals for the future are essential to guarantee that upcoming projects are not only relevant but also sustainable (Healey, 2006).</w:t>
      </w:r>
    </w:p>
    <w:p w14:paraId="6BAB0F5A" w14:textId="77777777" w:rsidR="00A65BF1" w:rsidRDefault="006C2F9B" w:rsidP="00A65BF1">
      <w:pPr>
        <w:spacing w:line="480" w:lineRule="auto"/>
        <w:rPr>
          <w:rFonts w:ascii="Arial" w:hAnsi="Arial" w:cs="Arial"/>
        </w:rPr>
      </w:pPr>
      <w:r w:rsidRPr="00A65BF1">
        <w:rPr>
          <w:rFonts w:ascii="Arial" w:hAnsi="Arial" w:cs="Arial"/>
        </w:rPr>
        <w:t>Not less important are the local and regional government entities such as local councils and the Welsh Government. Setting policy directions, securing money, and coordinating group responses to economic problems all depend on these institutions in great part. They guarantee that local redevelopment complements national and international sustainability goals, therefore linking grassroots projects with more general regional strategies. It is impossible to overestimate their part in enabling alliances between several interest groups.</w:t>
      </w:r>
    </w:p>
    <w:p w14:paraId="276A444F" w14:textId="77777777" w:rsidR="00A65BF1" w:rsidRDefault="006C2F9B" w:rsidP="00A65BF1">
      <w:pPr>
        <w:spacing w:line="480" w:lineRule="auto"/>
        <w:rPr>
          <w:rFonts w:ascii="Arial" w:hAnsi="Arial" w:cs="Arial"/>
        </w:rPr>
      </w:pPr>
      <w:r w:rsidRPr="00A65BF1">
        <w:rPr>
          <w:rFonts w:ascii="Arial" w:hAnsi="Arial" w:cs="Arial"/>
        </w:rPr>
        <w:t>Apart from community and governmental engagement, industry players</w:t>
      </w:r>
      <w:r w:rsidR="00A65BF1">
        <w:rPr>
          <w:rFonts w:ascii="Arial" w:hAnsi="Arial" w:cs="Arial"/>
        </w:rPr>
        <w:t xml:space="preserve"> </w:t>
      </w:r>
      <w:r w:rsidRPr="00A65BF1">
        <w:rPr>
          <w:rFonts w:ascii="Arial" w:hAnsi="Arial" w:cs="Arial"/>
        </w:rPr>
        <w:t>from established heavy industry enterprises to new green-tech startups</w:t>
      </w:r>
      <w:r w:rsidR="00A65BF1">
        <w:rPr>
          <w:rFonts w:ascii="Arial" w:hAnsi="Arial" w:cs="Arial"/>
        </w:rPr>
        <w:t xml:space="preserve">, </w:t>
      </w:r>
      <w:r w:rsidRPr="00A65BF1">
        <w:rPr>
          <w:rFonts w:ascii="Arial" w:hAnsi="Arial" w:cs="Arial"/>
        </w:rPr>
        <w:t>are crucial players in the process of regeneration. Their involvement is essential for maximising current industry knowledge and for directing funds into new, environmentally friendly businesses. Another important stakeholder group are trade unions, which guarantee that workers' rights are supported and the change from conventional manufacturing to modern sectors is fair. Environmental and community groups expand the range of voices calling for a regeneration attentive to social as well as environmental demands (UN-Habitat, 2009).</w:t>
      </w:r>
    </w:p>
    <w:p w14:paraId="5D1618F8" w14:textId="77777777" w:rsidR="00A65BF1" w:rsidRPr="00A65BF1" w:rsidRDefault="006C2F9B" w:rsidP="00A65BF1">
      <w:pPr>
        <w:pStyle w:val="ListParagraph"/>
        <w:numPr>
          <w:ilvl w:val="0"/>
          <w:numId w:val="1"/>
        </w:numPr>
        <w:spacing w:line="480" w:lineRule="auto"/>
        <w:rPr>
          <w:rFonts w:ascii="Arial Black" w:hAnsi="Arial Black" w:cs="Arial"/>
        </w:rPr>
      </w:pPr>
      <w:r w:rsidRPr="00A65BF1">
        <w:rPr>
          <w:rFonts w:ascii="Arial Black" w:hAnsi="Arial Black" w:cs="Arial"/>
        </w:rPr>
        <w:lastRenderedPageBreak/>
        <w:t>Local and Regional Strategies for Development</w:t>
      </w:r>
    </w:p>
    <w:p w14:paraId="7C0AE7CB" w14:textId="77777777" w:rsidR="00A65BF1" w:rsidRDefault="006C2F9B" w:rsidP="00A65BF1">
      <w:pPr>
        <w:spacing w:line="480" w:lineRule="auto"/>
        <w:rPr>
          <w:rFonts w:ascii="Arial" w:hAnsi="Arial" w:cs="Arial"/>
        </w:rPr>
      </w:pPr>
      <w:r w:rsidRPr="00A65BF1">
        <w:rPr>
          <w:rFonts w:ascii="Arial" w:hAnsi="Arial" w:cs="Arial"/>
        </w:rPr>
        <w:t>The local and regional development plans already in use offer a disciplined framework that helps Port Talbot move towards sustainable restoration. The Welsh Government has clearly developed an industrial policy during recent years stressing the importance of economic diversification and the shift to a green economy. Focussing on renewable energy, encouraging innovation, and retraining the workforce to meet the demands of a post-industrial society, this approach aims to solve problems (Welsh Government, 2018).</w:t>
      </w:r>
    </w:p>
    <w:p w14:paraId="25C77920" w14:textId="77777777" w:rsidR="00A65BF1" w:rsidRDefault="006C2F9B" w:rsidP="00A65BF1">
      <w:pPr>
        <w:spacing w:line="480" w:lineRule="auto"/>
        <w:rPr>
          <w:rFonts w:ascii="Arial" w:hAnsi="Arial" w:cs="Arial"/>
        </w:rPr>
      </w:pPr>
      <w:r w:rsidRPr="00A65BF1">
        <w:rPr>
          <w:rFonts w:ascii="Arial" w:hAnsi="Arial" w:cs="Arial"/>
        </w:rPr>
        <w:t>In this sense, local development plans also have great significance. These ideas in Port Talbot are progressively centred on reusing abandoned industrial sites, supporting community-led projects, and advancing environmentally friendly economic models. These designs clearly show attempts to combine the historical character of the town with modern necessities, reflecting a larger trend in urban regeneration whereby cultural legacy is considered as a stimulus for economic development. Furthermore historically, regional funding schemes and alliances with organisations like the European Commission have given much-needed financial support and technical know-how for rebuilding initiatives (European Commission, 2013). Although the UK's connection with certain EU money has changed, national grants and local investments remain very important in helping these ideas to be supported.</w:t>
      </w:r>
    </w:p>
    <w:p w14:paraId="6DE0BB97" w14:textId="77777777" w:rsidR="00A65BF1" w:rsidRDefault="006C2F9B" w:rsidP="00A65BF1">
      <w:pPr>
        <w:spacing w:line="480" w:lineRule="auto"/>
        <w:rPr>
          <w:rFonts w:ascii="Arial" w:hAnsi="Arial" w:cs="Arial"/>
        </w:rPr>
      </w:pPr>
      <w:r w:rsidRPr="00A65BF1">
        <w:rPr>
          <w:rFonts w:ascii="Arial" w:hAnsi="Arial" w:cs="Arial"/>
        </w:rPr>
        <w:t>The local planning records clearly the guiding ideas of sustainable urban regeneration. Long-term resilience depends on a "triple bottom line," which these ideas demand</w:t>
      </w:r>
      <w:r w:rsidR="00A65BF1">
        <w:rPr>
          <w:rFonts w:ascii="Arial" w:hAnsi="Arial" w:cs="Arial"/>
        </w:rPr>
        <w:t xml:space="preserve"> </w:t>
      </w:r>
      <w:r w:rsidRPr="00A65BF1">
        <w:rPr>
          <w:rFonts w:ascii="Arial" w:hAnsi="Arial" w:cs="Arial"/>
        </w:rPr>
        <w:t xml:space="preserve">an integrated approach balancing environmental stewardship, social inclusion, and economic prosperity. Local authorities hope that by including </w:t>
      </w:r>
      <w:r w:rsidRPr="00A65BF1">
        <w:rPr>
          <w:rFonts w:ascii="Arial" w:hAnsi="Arial" w:cs="Arial"/>
        </w:rPr>
        <w:lastRenderedPageBreak/>
        <w:t>sustainability into the very fabric of the redevelopment plans, any change will be not only financially feasible but also socially just and ecologically responsible (World Commission on Environment and Development, 1987).</w:t>
      </w:r>
    </w:p>
    <w:p w14:paraId="79DC6FBB" w14:textId="5D1F6116" w:rsidR="00A65BF1" w:rsidRPr="00A65BF1" w:rsidRDefault="006C2F9B" w:rsidP="00A65BF1">
      <w:pPr>
        <w:pStyle w:val="ListParagraph"/>
        <w:numPr>
          <w:ilvl w:val="0"/>
          <w:numId w:val="1"/>
        </w:numPr>
        <w:spacing w:line="480" w:lineRule="auto"/>
        <w:rPr>
          <w:rFonts w:ascii="Arial" w:hAnsi="Arial" w:cs="Arial"/>
        </w:rPr>
      </w:pPr>
      <w:r w:rsidRPr="00A65BF1">
        <w:rPr>
          <w:rFonts w:ascii="Arial Black" w:hAnsi="Arial Black" w:cs="Arial"/>
        </w:rPr>
        <w:t xml:space="preserve">Proposals for Regeneration towards a Sustainable </w:t>
      </w:r>
      <w:r w:rsidR="00A65BF1" w:rsidRPr="00A65BF1">
        <w:rPr>
          <w:rFonts w:ascii="Arial Black" w:hAnsi="Arial Black" w:cs="Arial"/>
        </w:rPr>
        <w:t>Future</w:t>
      </w:r>
    </w:p>
    <w:p w14:paraId="7E80847C" w14:textId="2CFC74EA" w:rsidR="00A65BF1" w:rsidRPr="00A65BF1" w:rsidRDefault="006C2F9B" w:rsidP="00A65BF1">
      <w:pPr>
        <w:spacing w:line="480" w:lineRule="auto"/>
        <w:rPr>
          <w:rFonts w:ascii="Arial" w:hAnsi="Arial" w:cs="Arial"/>
        </w:rPr>
      </w:pPr>
      <w:r w:rsidRPr="00A65BF1">
        <w:rPr>
          <w:rFonts w:ascii="Arial" w:hAnsi="Arial" w:cs="Arial"/>
        </w:rPr>
        <w:t>Building on the thorough assessment of Port Talbot, the following redevelopment plans present a multifarious road map for the town's rejuvenation. Every plan is meant to maximise the historical resources and strategic advantages of the area by means of inclusive and sustainable solutions, therefore addressing its present problems.</w:t>
      </w:r>
      <w:r w:rsidRPr="00A65BF1">
        <w:rPr>
          <w:rFonts w:ascii="Arial" w:hAnsi="Arial" w:cs="Arial"/>
        </w:rPr>
        <w:br/>
      </w:r>
      <w:r w:rsidR="000270E4">
        <w:rPr>
          <w:rFonts w:ascii="Arial Black" w:hAnsi="Arial Black" w:cs="Arial"/>
        </w:rPr>
        <w:t xml:space="preserve">              </w:t>
      </w:r>
      <w:r w:rsidR="00A65BF1" w:rsidRPr="00A65BF1">
        <w:rPr>
          <w:rFonts w:ascii="Arial Black" w:hAnsi="Arial Black" w:cs="Arial"/>
        </w:rPr>
        <w:t xml:space="preserve">a. </w:t>
      </w:r>
      <w:r w:rsidRPr="00A65BF1">
        <w:rPr>
          <w:rFonts w:ascii="Arial Black" w:hAnsi="Arial Black" w:cs="Arial"/>
        </w:rPr>
        <w:t>Hub on Green Energy and Industrial Transition</w:t>
      </w:r>
    </w:p>
    <w:p w14:paraId="78DF7F56" w14:textId="7B950727" w:rsidR="000270E4" w:rsidRDefault="006C2F9B" w:rsidP="000270E4">
      <w:pPr>
        <w:spacing w:line="480" w:lineRule="auto"/>
        <w:rPr>
          <w:rFonts w:ascii="Arial" w:hAnsi="Arial" w:cs="Arial"/>
        </w:rPr>
      </w:pPr>
      <w:r w:rsidRPr="00A65BF1">
        <w:rPr>
          <w:rFonts w:ascii="Arial" w:hAnsi="Arial" w:cs="Arial"/>
        </w:rPr>
        <w:t>The first suggests building a Green Energy and Industrial Transition Hub. This project sees former industrial areas turned into hubs of green technology innovation and renewable energy generation. The idea uses the town's past industrial capabilities in line with world patterns towards low-carbon economies and renewable energy. Given Port Talbot's coastline position, offshore wind energy projects show especially great potential. Apart from being a production centre, the hub would be a research and training centre where the local workforce could be developed to fulfil future industry needs (European Commission, 2013).</w:t>
      </w:r>
      <w:r w:rsidRPr="00A65BF1">
        <w:rPr>
          <w:rFonts w:ascii="Arial" w:hAnsi="Arial" w:cs="Arial"/>
        </w:rPr>
        <w:br/>
        <w:t xml:space="preserve">Underlying this suggestion is the concept of a "just transition" for those impacted by the fall of conventional sectors. Working with local colleges and business leaders, comprehensive retraining programs would guarantee that the workforce has the tools required for digital innovation, green manufacturing, and renewable energy technology. This proactive approach to workforce development is essential to minimise the social and economic impact of industrial decline and it shows how </w:t>
      </w:r>
      <w:r w:rsidRPr="00A65BF1">
        <w:rPr>
          <w:rFonts w:ascii="Arial" w:hAnsi="Arial" w:cs="Arial"/>
        </w:rPr>
        <w:lastRenderedPageBreak/>
        <w:t>legacy businesses may be reinterpreted in the framework of sustainable development (Newell &amp; Mulvaney, 2013).</w:t>
      </w:r>
      <w:r w:rsidRPr="00A65BF1">
        <w:rPr>
          <w:rFonts w:ascii="Arial" w:hAnsi="Arial" w:cs="Arial"/>
        </w:rPr>
        <w:br/>
        <w:t>Moreover, the creation of an innovation cluster would draw private money, encourage cooperative research between universities and businesses, and help start-ups focused in clean technology develop themselves. Modern economic theories that underline the advantages of geographic closeness and information spillovers for innovation also fit this cluster-based strategy (Healey, 2006).</w:t>
      </w:r>
      <w:r w:rsidRPr="00A65BF1">
        <w:rPr>
          <w:rFonts w:ascii="Arial" w:hAnsi="Arial" w:cs="Arial"/>
        </w:rPr>
        <w:br/>
      </w:r>
      <w:r w:rsidR="000270E4">
        <w:rPr>
          <w:rFonts w:ascii="Arial Black" w:hAnsi="Arial Black" w:cs="Arial"/>
        </w:rPr>
        <w:t xml:space="preserve">           </w:t>
      </w:r>
      <w:r w:rsidR="000270E4" w:rsidRPr="000270E4">
        <w:rPr>
          <w:rFonts w:ascii="Arial Black" w:hAnsi="Arial Black" w:cs="Arial"/>
        </w:rPr>
        <w:t xml:space="preserve">b. </w:t>
      </w:r>
      <w:r w:rsidRPr="000270E4">
        <w:rPr>
          <w:rFonts w:ascii="Arial Black" w:hAnsi="Arial Black" w:cs="Arial"/>
        </w:rPr>
        <w:t>Hub for Cultural and Creative Industries</w:t>
      </w:r>
      <w:r w:rsidRPr="00A65BF1">
        <w:rPr>
          <w:rFonts w:ascii="Arial" w:hAnsi="Arial" w:cs="Arial"/>
        </w:rPr>
        <w:t xml:space="preserve"> </w:t>
      </w:r>
      <w:r w:rsidRPr="00A65BF1">
        <w:rPr>
          <w:rFonts w:ascii="Arial" w:hAnsi="Arial" w:cs="Arial"/>
        </w:rPr>
        <w:br/>
        <w:t>The second plan calls for the creation of a Cultural and Creative Industries Hub. This strategy transforms abandoned or underused industrial sites into dynamic hubs for arts, culture, and creative business, therefore leveraging Port Talbot's rich industrial legacy. Celebrating its past will help the community to change its story from one of decline to one of reinvention and cultural vitality. Inspired by ideas developed by Richard Florida (2002) and Jane Jacobs (1961), this model makes the case that economic diversification and urban renewal depend on a vibrant creative industry.</w:t>
      </w:r>
      <w:r w:rsidRPr="00A65BF1">
        <w:rPr>
          <w:rFonts w:ascii="Arial" w:hAnsi="Arial" w:cs="Arial"/>
        </w:rPr>
        <w:br/>
        <w:t>Along with preserving the industrial past, the proposed hub would have amenities including museums, galleries, and performance venues that give modern cultural expression a stage. Concurrent with local start-ups in sectors including digital media, design, and technology-driven art, the development of co-working spaces and business incubators committed to the creative sectors can help local businesses in parallel. These kinds of venues would promote teamwork, creativity, and draw a fresh set of creative workers to the community.</w:t>
      </w:r>
      <w:r w:rsidRPr="00A65BF1">
        <w:rPr>
          <w:rFonts w:ascii="Arial" w:hAnsi="Arial" w:cs="Arial"/>
        </w:rPr>
        <w:br/>
        <w:t xml:space="preserve">Apart from the financial advantages, the cultural centre is supposed to strengthen social connections and community identity. Engaging local artists, historians, and community groups in the creation and production of cultural events and exhibits </w:t>
      </w:r>
      <w:r w:rsidRPr="00A65BF1">
        <w:rPr>
          <w:rFonts w:ascii="Arial" w:hAnsi="Arial" w:cs="Arial"/>
        </w:rPr>
        <w:lastRenderedPageBreak/>
        <w:t xml:space="preserve">would help the project guarantee that regeneration captures the </w:t>
      </w:r>
      <w:r w:rsidR="000270E4" w:rsidRPr="00A65BF1">
        <w:rPr>
          <w:rFonts w:ascii="Arial" w:hAnsi="Arial" w:cs="Arial"/>
        </w:rPr>
        <w:t>character</w:t>
      </w:r>
      <w:r w:rsidRPr="00A65BF1">
        <w:rPr>
          <w:rFonts w:ascii="Arial" w:hAnsi="Arial" w:cs="Arial"/>
        </w:rPr>
        <w:t xml:space="preserve"> and legacy of the town. Along with fostering local pride, this bottom-up strategy stimulates creative enterprise and sustainable tourism (Florida, 2002).</w:t>
      </w:r>
    </w:p>
    <w:p w14:paraId="66C2F9C5" w14:textId="77777777" w:rsidR="000270E4" w:rsidRDefault="000270E4" w:rsidP="000270E4">
      <w:pPr>
        <w:spacing w:line="480" w:lineRule="auto"/>
        <w:rPr>
          <w:rFonts w:ascii="Arial" w:hAnsi="Arial" w:cs="Arial"/>
        </w:rPr>
      </w:pPr>
      <w:r>
        <w:rPr>
          <w:rFonts w:ascii="Arial Black" w:hAnsi="Arial Black" w:cs="Arial"/>
        </w:rPr>
        <w:t xml:space="preserve">              </w:t>
      </w:r>
      <w:r w:rsidRPr="000270E4">
        <w:rPr>
          <w:rFonts w:ascii="Arial Black" w:hAnsi="Arial Black" w:cs="Arial"/>
        </w:rPr>
        <w:t xml:space="preserve">c. </w:t>
      </w:r>
      <w:r w:rsidR="006C2F9B" w:rsidRPr="000270E4">
        <w:rPr>
          <w:rFonts w:ascii="Arial Black" w:hAnsi="Arial Black" w:cs="Arial"/>
        </w:rPr>
        <w:t>Green Infrastructure and Community-Led Mixed-Use Redevelopment</w:t>
      </w:r>
      <w:r w:rsidR="006C2F9B" w:rsidRPr="00A65BF1">
        <w:rPr>
          <w:rFonts w:ascii="Arial" w:hAnsi="Arial" w:cs="Arial"/>
        </w:rPr>
        <w:br/>
        <w:t>The third suggestion centres on a Community-Led Mixed-Use Redevelopment project including urban fabric integration of green infrastructure. This strategy seeks to transform abandoned sites into mixed-use complexes combining residential, business, and recreational areas, therefore generating energetic, living communities. Green infrastructure</w:t>
      </w:r>
      <w:r>
        <w:rPr>
          <w:rFonts w:ascii="Arial" w:hAnsi="Arial" w:cs="Arial"/>
        </w:rPr>
        <w:t xml:space="preserve"> </w:t>
      </w:r>
      <w:r w:rsidR="006C2F9B" w:rsidRPr="00A65BF1">
        <w:rPr>
          <w:rFonts w:ascii="Arial" w:hAnsi="Arial" w:cs="Arial"/>
        </w:rPr>
        <w:t>including parks, community gardens, sustainable transportation systems, and green corridors</w:t>
      </w:r>
      <w:r>
        <w:rPr>
          <w:rFonts w:ascii="Arial" w:hAnsi="Arial" w:cs="Arial"/>
        </w:rPr>
        <w:t xml:space="preserve"> </w:t>
      </w:r>
      <w:r w:rsidR="006C2F9B" w:rsidRPr="00A65BF1">
        <w:rPr>
          <w:rFonts w:ascii="Arial" w:hAnsi="Arial" w:cs="Arial"/>
        </w:rPr>
        <w:t>will help to enhance resident quality of life as well as to support environmental sustainability (UN-Habitat, 2009).</w:t>
      </w:r>
      <w:r w:rsidR="006C2F9B" w:rsidRPr="00A65BF1">
        <w:rPr>
          <w:rFonts w:ascii="Arial" w:hAnsi="Arial" w:cs="Arial"/>
        </w:rPr>
        <w:br/>
        <w:t xml:space="preserve">The idea of inclusive, community-led development runs central in this plan. Rebuilding initiatives should be directly planned and executed under direct control by local stakeholders including residents, community organisations, and small enterprises. This participatory approach will guarantee that the advantages of regeneration are </w:t>
      </w:r>
      <w:r w:rsidRPr="00A65BF1">
        <w:rPr>
          <w:rFonts w:ascii="Arial" w:hAnsi="Arial" w:cs="Arial"/>
        </w:rPr>
        <w:t>shared</w:t>
      </w:r>
      <w:r w:rsidR="006C2F9B" w:rsidRPr="00A65BF1">
        <w:rPr>
          <w:rFonts w:ascii="Arial" w:hAnsi="Arial" w:cs="Arial"/>
        </w:rPr>
        <w:t xml:space="preserve"> and that fresh innovations are sensitive to the requirements of the society. The emphasis on local businesses and reasonably priced accommodation is meant to stop relocation and promote economic resilience in the post-industrial environment.</w:t>
      </w:r>
      <w:r w:rsidR="006C2F9B" w:rsidRPr="00A65BF1">
        <w:rPr>
          <w:rFonts w:ascii="Arial" w:hAnsi="Arial" w:cs="Arial"/>
        </w:rPr>
        <w:br/>
        <w:t xml:space="preserve">The mixed-use approach also fosters local enterprises and start-ups, therefore supporting economic life. Along with shared facilities and mentoring programs, small-scale business sites would help foster a locally varied and self-sustaining economy. Combining these components with green infrastructure projects guarantees that economic development is matched with increased environmental quality and better </w:t>
      </w:r>
      <w:r w:rsidR="006C2F9B" w:rsidRPr="00A65BF1">
        <w:rPr>
          <w:rFonts w:ascii="Arial" w:hAnsi="Arial" w:cs="Arial"/>
        </w:rPr>
        <w:lastRenderedPageBreak/>
        <w:t>public health results</w:t>
      </w:r>
      <w:r>
        <w:rPr>
          <w:rFonts w:ascii="Arial" w:hAnsi="Arial" w:cs="Arial"/>
        </w:rPr>
        <w:t xml:space="preserve">, </w:t>
      </w:r>
      <w:r w:rsidR="006C2F9B" w:rsidRPr="00A65BF1">
        <w:rPr>
          <w:rFonts w:ascii="Arial" w:hAnsi="Arial" w:cs="Arial"/>
        </w:rPr>
        <w:t>a synergy essential for sustainable urban development (World Commission on Environment and Development, 1987).</w:t>
      </w:r>
      <w:r w:rsidR="006C2F9B" w:rsidRPr="00A65BF1">
        <w:rPr>
          <w:rFonts w:ascii="Arial" w:hAnsi="Arial" w:cs="Arial"/>
        </w:rPr>
        <w:br/>
      </w:r>
      <w:r w:rsidR="006C2F9B" w:rsidRPr="00A65BF1">
        <w:rPr>
          <w:rFonts w:ascii="Arial" w:hAnsi="Arial" w:cs="Arial"/>
        </w:rPr>
        <w:br/>
      </w:r>
      <w:r>
        <w:rPr>
          <w:rFonts w:ascii="Arial Black" w:hAnsi="Arial Black" w:cs="Arial"/>
        </w:rPr>
        <w:t xml:space="preserve">        </w:t>
      </w:r>
      <w:r w:rsidRPr="000270E4">
        <w:rPr>
          <w:rFonts w:ascii="Arial Black" w:hAnsi="Arial Black" w:cs="Arial"/>
        </w:rPr>
        <w:t>6</w:t>
      </w:r>
      <w:r>
        <w:rPr>
          <w:rFonts w:ascii="Arial" w:hAnsi="Arial" w:cs="Arial"/>
        </w:rPr>
        <w:t xml:space="preserve">. </w:t>
      </w:r>
      <w:r w:rsidRPr="000270E4">
        <w:rPr>
          <w:rFonts w:ascii="Arial Black" w:hAnsi="Arial Black" w:cs="Arial"/>
        </w:rPr>
        <w:t xml:space="preserve">Conclusion </w:t>
      </w:r>
      <w:r w:rsidR="006C2F9B" w:rsidRPr="000270E4">
        <w:rPr>
          <w:rFonts w:ascii="Arial Black" w:hAnsi="Arial Black" w:cs="Arial"/>
        </w:rPr>
        <w:br/>
      </w:r>
      <w:r w:rsidR="006C2F9B" w:rsidRPr="00A65BF1">
        <w:rPr>
          <w:rFonts w:ascii="Arial" w:hAnsi="Arial" w:cs="Arial"/>
        </w:rPr>
        <w:t xml:space="preserve">The path Port Talbot's from a vibrant industrial centre to a community confronting major economic difficulties is typical of the larger changes in post-industrial areas. Still, these difficulties present some </w:t>
      </w:r>
      <w:r w:rsidR="006C2F9B" w:rsidRPr="00A65BF1">
        <w:rPr>
          <w:rFonts w:ascii="Arial" w:hAnsi="Arial" w:cs="Arial"/>
        </w:rPr>
        <w:t>large</w:t>
      </w:r>
      <w:r w:rsidR="006C2F9B" w:rsidRPr="00A65BF1">
        <w:rPr>
          <w:rFonts w:ascii="Arial" w:hAnsi="Arial" w:cs="Arial"/>
        </w:rPr>
        <w:t xml:space="preserve"> possibilities. Strong basis upon which to develop a sustainable and varied future is provided by the town's industrial past, strategic seaside position, and strong workforce. Designed to simultaneously address the financial, social, and environmental aspects of regeneration, the ideas presented in this r</w:t>
      </w:r>
      <w:r w:rsidR="006C2F9B" w:rsidRPr="00A65BF1">
        <w:rPr>
          <w:rFonts w:ascii="Arial" w:hAnsi="Arial" w:cs="Arial"/>
        </w:rPr>
        <w:t xml:space="preserve">eport </w:t>
      </w:r>
      <w:r w:rsidR="006C2F9B" w:rsidRPr="00A65BF1">
        <w:rPr>
          <w:rFonts w:ascii="Arial" w:hAnsi="Arial" w:cs="Arial"/>
        </w:rPr>
        <w:t>the Green Energy and Industrial Transition Hub, the Cultural and Creative Industries Hub, and the Community-Led Mixed-Use Redevelopment with integrated green infrastructure</w:t>
      </w:r>
      <w:r w:rsidR="006C2F9B" w:rsidRPr="00A65BF1">
        <w:rPr>
          <w:rFonts w:ascii="Arial" w:hAnsi="Arial" w:cs="Arial"/>
        </w:rPr>
        <w:t xml:space="preserve"> </w:t>
      </w:r>
      <w:r w:rsidR="006C2F9B" w:rsidRPr="00A65BF1">
        <w:rPr>
          <w:rFonts w:ascii="Arial" w:hAnsi="Arial" w:cs="Arial"/>
        </w:rPr>
        <w:t>are.</w:t>
      </w:r>
    </w:p>
    <w:p w14:paraId="78230139" w14:textId="2AAA6A76" w:rsidR="006C2F9B" w:rsidRDefault="006C2F9B" w:rsidP="000270E4">
      <w:pPr>
        <w:spacing w:line="480" w:lineRule="auto"/>
        <w:rPr>
          <w:rFonts w:ascii="Arial" w:hAnsi="Arial" w:cs="Arial"/>
        </w:rPr>
      </w:pPr>
      <w:r w:rsidRPr="00A65BF1">
        <w:rPr>
          <w:rFonts w:ascii="Arial" w:hAnsi="Arial" w:cs="Arial"/>
        </w:rPr>
        <w:t>Port Talbot can create a dynamic future from its historical past by using a variety of strategies stressing sustainable development, just transition, and community involvement. The success of these projects depends on the way local expertise is combined with national strategies under the direction of cooperative governance and focused investments. Constant interaction with important stakeholders, continuous observation of development results, and a dedication to inclusiveness will guarantee that regeneration not only boosts the local economy but also enhances the social fabric of the town as it moves forward.</w:t>
      </w:r>
    </w:p>
    <w:p w14:paraId="2FC11AB3" w14:textId="77777777" w:rsidR="000270E4" w:rsidRDefault="000270E4" w:rsidP="000270E4">
      <w:pPr>
        <w:spacing w:line="480" w:lineRule="auto"/>
        <w:rPr>
          <w:rFonts w:ascii="Arial" w:hAnsi="Arial" w:cs="Arial"/>
        </w:rPr>
      </w:pPr>
    </w:p>
    <w:p w14:paraId="4E00BE13" w14:textId="77777777" w:rsidR="000270E4" w:rsidRDefault="000270E4" w:rsidP="000270E4">
      <w:pPr>
        <w:spacing w:line="480" w:lineRule="auto"/>
        <w:rPr>
          <w:rFonts w:ascii="Arial" w:hAnsi="Arial" w:cs="Arial"/>
        </w:rPr>
      </w:pPr>
    </w:p>
    <w:p w14:paraId="51498103" w14:textId="77777777" w:rsidR="000270E4" w:rsidRDefault="000270E4" w:rsidP="000270E4">
      <w:pPr>
        <w:spacing w:line="480" w:lineRule="auto"/>
        <w:rPr>
          <w:rFonts w:ascii="Arial" w:hAnsi="Arial" w:cs="Arial"/>
        </w:rPr>
      </w:pPr>
    </w:p>
    <w:p w14:paraId="1ACDFC39" w14:textId="77777777" w:rsidR="000270E4" w:rsidRPr="000A76C8" w:rsidRDefault="000270E4" w:rsidP="000270E4">
      <w:pPr>
        <w:spacing w:line="480" w:lineRule="auto"/>
        <w:rPr>
          <w:rFonts w:ascii="Arial Black" w:hAnsi="Arial Black" w:cs="Arial"/>
        </w:rPr>
      </w:pPr>
      <w:r w:rsidRPr="000A76C8">
        <w:rPr>
          <w:rFonts w:ascii="Arial Black" w:hAnsi="Arial Black" w:cs="Arial"/>
        </w:rPr>
        <w:lastRenderedPageBreak/>
        <w:t>References</w:t>
      </w:r>
    </w:p>
    <w:p w14:paraId="6562392E" w14:textId="5DDD50FB" w:rsidR="000270E4" w:rsidRDefault="000270E4" w:rsidP="000270E4">
      <w:pPr>
        <w:spacing w:line="480" w:lineRule="auto"/>
        <w:rPr>
          <w:rFonts w:ascii="Arial" w:hAnsi="Arial" w:cs="Arial"/>
        </w:rPr>
      </w:pPr>
      <w:r w:rsidRPr="000270E4">
        <w:rPr>
          <w:rFonts w:ascii="Arial" w:hAnsi="Arial" w:cs="Arial"/>
        </w:rPr>
        <w:t xml:space="preserve">Baumgartner RJ, Ebner D (2010) Corporate sustainability strategies: sustainability profiles and maturity levels. </w:t>
      </w:r>
      <w:r w:rsidRPr="000270E4">
        <w:rPr>
          <w:rFonts w:ascii="Arial" w:hAnsi="Arial" w:cs="Arial"/>
          <w:i/>
          <w:iCs/>
        </w:rPr>
        <w:t>Sustain Dev 18</w:t>
      </w:r>
      <w:r w:rsidRPr="000270E4">
        <w:rPr>
          <w:rFonts w:ascii="Arial" w:hAnsi="Arial" w:cs="Arial"/>
        </w:rPr>
        <w:t xml:space="preserve">(2):76–89. </w:t>
      </w:r>
      <w:hyperlink r:id="rId7" w:history="1">
        <w:r w:rsidRPr="00931347">
          <w:rPr>
            <w:rStyle w:val="Hyperlink"/>
            <w:rFonts w:ascii="Arial" w:hAnsi="Arial" w:cs="Arial"/>
          </w:rPr>
          <w:t>https://doi.org/10.1002/sd.447</w:t>
        </w:r>
      </w:hyperlink>
    </w:p>
    <w:p w14:paraId="32A034F2" w14:textId="5F69494D" w:rsidR="000A76C8" w:rsidRDefault="000A76C8" w:rsidP="000270E4">
      <w:pPr>
        <w:spacing w:line="480" w:lineRule="auto"/>
        <w:rPr>
          <w:rFonts w:ascii="Arial" w:hAnsi="Arial" w:cs="Arial"/>
        </w:rPr>
      </w:pPr>
      <w:r w:rsidRPr="000A76C8">
        <w:rPr>
          <w:rFonts w:ascii="Arial" w:hAnsi="Arial" w:cs="Arial"/>
        </w:rPr>
        <w:t>DFID (1999</w:t>
      </w:r>
      <w:r w:rsidRPr="000A76C8">
        <w:rPr>
          <w:rFonts w:ascii="Arial" w:hAnsi="Arial" w:cs="Arial"/>
        </w:rPr>
        <w:t xml:space="preserve">) </w:t>
      </w:r>
      <w:r w:rsidRPr="000A76C8">
        <w:rPr>
          <w:rFonts w:ascii="Arial" w:hAnsi="Arial" w:cs="Arial"/>
          <w:i/>
          <w:iCs/>
        </w:rPr>
        <w:t>Sustainable</w:t>
      </w:r>
      <w:r w:rsidRPr="000A76C8">
        <w:rPr>
          <w:rFonts w:ascii="Arial" w:hAnsi="Arial" w:cs="Arial"/>
          <w:i/>
          <w:iCs/>
        </w:rPr>
        <w:t xml:space="preserve"> Livelihoods Guidance Sheets</w:t>
      </w:r>
      <w:r w:rsidRPr="000A76C8">
        <w:rPr>
          <w:rFonts w:ascii="Arial" w:hAnsi="Arial" w:cs="Arial"/>
        </w:rPr>
        <w:t>. Department for International Development, London</w:t>
      </w:r>
    </w:p>
    <w:p w14:paraId="78197F47" w14:textId="206BDF4C" w:rsidR="000270E4" w:rsidRPr="000270E4" w:rsidRDefault="000270E4" w:rsidP="000270E4">
      <w:pPr>
        <w:spacing w:line="480" w:lineRule="auto"/>
        <w:rPr>
          <w:rFonts w:ascii="Arial" w:hAnsi="Arial" w:cs="Arial"/>
        </w:rPr>
      </w:pPr>
      <w:r w:rsidRPr="000270E4">
        <w:rPr>
          <w:rFonts w:ascii="Arial" w:hAnsi="Arial" w:cs="Arial"/>
        </w:rPr>
        <w:t xml:space="preserve">European Commission. (2013). </w:t>
      </w:r>
      <w:r w:rsidRPr="000270E4">
        <w:rPr>
          <w:rFonts w:ascii="Arial" w:hAnsi="Arial" w:cs="Arial"/>
          <w:i/>
          <w:iCs/>
        </w:rPr>
        <w:t>Urban regeneration in Europe: Overview of best practices</w:t>
      </w:r>
      <w:r w:rsidRPr="000270E4">
        <w:rPr>
          <w:rFonts w:ascii="Arial" w:hAnsi="Arial" w:cs="Arial"/>
        </w:rPr>
        <w:t>. Brussels: European Commission.</w:t>
      </w:r>
    </w:p>
    <w:p w14:paraId="0534B16B" w14:textId="77777777" w:rsidR="000270E4" w:rsidRPr="000270E4" w:rsidRDefault="000270E4" w:rsidP="000270E4">
      <w:pPr>
        <w:spacing w:line="480" w:lineRule="auto"/>
        <w:rPr>
          <w:rFonts w:ascii="Arial" w:hAnsi="Arial" w:cs="Arial"/>
        </w:rPr>
      </w:pPr>
      <w:r w:rsidRPr="000270E4">
        <w:rPr>
          <w:rFonts w:ascii="Arial" w:hAnsi="Arial" w:cs="Arial"/>
        </w:rPr>
        <w:t xml:space="preserve">Florida, R. (2002). </w:t>
      </w:r>
      <w:r w:rsidRPr="000270E4">
        <w:rPr>
          <w:rFonts w:ascii="Arial" w:hAnsi="Arial" w:cs="Arial"/>
          <w:i/>
          <w:iCs/>
        </w:rPr>
        <w:t>The Rise of the Creative Class</w:t>
      </w:r>
      <w:r w:rsidRPr="000270E4">
        <w:rPr>
          <w:rFonts w:ascii="Arial" w:hAnsi="Arial" w:cs="Arial"/>
        </w:rPr>
        <w:t>. New York: Basic Books.</w:t>
      </w:r>
    </w:p>
    <w:p w14:paraId="51871BA1" w14:textId="77777777" w:rsidR="000270E4" w:rsidRPr="000270E4" w:rsidRDefault="000270E4" w:rsidP="000270E4">
      <w:pPr>
        <w:spacing w:line="480" w:lineRule="auto"/>
        <w:rPr>
          <w:rFonts w:ascii="Arial" w:hAnsi="Arial" w:cs="Arial"/>
        </w:rPr>
      </w:pPr>
      <w:r w:rsidRPr="000270E4">
        <w:rPr>
          <w:rFonts w:ascii="Arial" w:hAnsi="Arial" w:cs="Arial"/>
        </w:rPr>
        <w:t xml:space="preserve">Harvey, D. (2008). </w:t>
      </w:r>
      <w:r w:rsidRPr="000270E4">
        <w:rPr>
          <w:rFonts w:ascii="Arial" w:hAnsi="Arial" w:cs="Arial"/>
          <w:i/>
          <w:iCs/>
        </w:rPr>
        <w:t>The Enigma of Capital and the Crises of Capitalism</w:t>
      </w:r>
      <w:r w:rsidRPr="000270E4">
        <w:rPr>
          <w:rFonts w:ascii="Arial" w:hAnsi="Arial" w:cs="Arial"/>
        </w:rPr>
        <w:t>. Oxford: Oxford University Press.</w:t>
      </w:r>
    </w:p>
    <w:p w14:paraId="473BCD73" w14:textId="77777777" w:rsidR="000270E4" w:rsidRPr="000270E4" w:rsidRDefault="000270E4" w:rsidP="000270E4">
      <w:pPr>
        <w:spacing w:line="480" w:lineRule="auto"/>
        <w:rPr>
          <w:rFonts w:ascii="Arial" w:hAnsi="Arial" w:cs="Arial"/>
        </w:rPr>
      </w:pPr>
      <w:r w:rsidRPr="000270E4">
        <w:rPr>
          <w:rFonts w:ascii="Arial" w:hAnsi="Arial" w:cs="Arial"/>
        </w:rPr>
        <w:t xml:space="preserve">Healey, P. (2006). </w:t>
      </w:r>
      <w:r w:rsidRPr="000270E4">
        <w:rPr>
          <w:rFonts w:ascii="Arial" w:hAnsi="Arial" w:cs="Arial"/>
          <w:i/>
          <w:iCs/>
        </w:rPr>
        <w:t>Collaborative Planning: Shaping Places in Fragmented Societies.</w:t>
      </w:r>
      <w:r w:rsidRPr="000270E4">
        <w:rPr>
          <w:rFonts w:ascii="Arial" w:hAnsi="Arial" w:cs="Arial"/>
        </w:rPr>
        <w:t xml:space="preserve"> Vancouver: UBC Press.</w:t>
      </w:r>
    </w:p>
    <w:p w14:paraId="5C458613" w14:textId="77777777" w:rsidR="000270E4" w:rsidRPr="000270E4" w:rsidRDefault="000270E4" w:rsidP="000270E4">
      <w:pPr>
        <w:spacing w:line="480" w:lineRule="auto"/>
        <w:rPr>
          <w:rFonts w:ascii="Arial" w:hAnsi="Arial" w:cs="Arial"/>
        </w:rPr>
      </w:pPr>
      <w:r w:rsidRPr="000270E4">
        <w:rPr>
          <w:rFonts w:ascii="Arial" w:hAnsi="Arial" w:cs="Arial"/>
        </w:rPr>
        <w:t xml:space="preserve">Jacobs, J. (1961). </w:t>
      </w:r>
      <w:r w:rsidRPr="000270E4">
        <w:rPr>
          <w:rFonts w:ascii="Arial" w:hAnsi="Arial" w:cs="Arial"/>
          <w:i/>
          <w:iCs/>
        </w:rPr>
        <w:t>The Death and Life of Great American Cities</w:t>
      </w:r>
      <w:r w:rsidRPr="000270E4">
        <w:rPr>
          <w:rFonts w:ascii="Arial" w:hAnsi="Arial" w:cs="Arial"/>
        </w:rPr>
        <w:t>. New York: Random House.</w:t>
      </w:r>
    </w:p>
    <w:p w14:paraId="723563D0" w14:textId="77777777" w:rsidR="000270E4" w:rsidRPr="000270E4" w:rsidRDefault="000270E4" w:rsidP="000270E4">
      <w:pPr>
        <w:spacing w:line="480" w:lineRule="auto"/>
        <w:rPr>
          <w:rFonts w:ascii="Arial" w:hAnsi="Arial" w:cs="Arial"/>
        </w:rPr>
      </w:pPr>
      <w:r w:rsidRPr="000270E4">
        <w:rPr>
          <w:rFonts w:ascii="Arial" w:hAnsi="Arial" w:cs="Arial"/>
        </w:rPr>
        <w:t xml:space="preserve">Newell, P., &amp; Mulvaney, D. (2013). </w:t>
      </w:r>
      <w:r w:rsidRPr="000270E4">
        <w:rPr>
          <w:rFonts w:ascii="Arial" w:hAnsi="Arial" w:cs="Arial"/>
          <w:i/>
          <w:iCs/>
        </w:rPr>
        <w:t>The political economy of the ‘just transition’</w:t>
      </w:r>
      <w:r w:rsidRPr="000270E4">
        <w:rPr>
          <w:rFonts w:ascii="Arial" w:hAnsi="Arial" w:cs="Arial"/>
        </w:rPr>
        <w:t xml:space="preserve">. </w:t>
      </w:r>
      <w:proofErr w:type="spellStart"/>
      <w:r w:rsidRPr="000270E4">
        <w:rPr>
          <w:rFonts w:ascii="Arial" w:hAnsi="Arial" w:cs="Arial"/>
        </w:rPr>
        <w:t>Geoforum</w:t>
      </w:r>
      <w:proofErr w:type="spellEnd"/>
      <w:r w:rsidRPr="000270E4">
        <w:rPr>
          <w:rFonts w:ascii="Arial" w:hAnsi="Arial" w:cs="Arial"/>
        </w:rPr>
        <w:t>, 44, 1-5.</w:t>
      </w:r>
    </w:p>
    <w:p w14:paraId="05430566" w14:textId="40F3BE0B" w:rsidR="000270E4" w:rsidRPr="000270E4" w:rsidRDefault="000270E4" w:rsidP="000270E4">
      <w:pPr>
        <w:spacing w:line="480" w:lineRule="auto"/>
        <w:rPr>
          <w:rFonts w:ascii="Arial" w:hAnsi="Arial" w:cs="Arial"/>
        </w:rPr>
      </w:pPr>
      <w:r w:rsidRPr="000270E4">
        <w:rPr>
          <w:rFonts w:ascii="Arial" w:hAnsi="Arial" w:cs="Arial"/>
        </w:rPr>
        <w:t xml:space="preserve">Peck, J., &amp; Tickell, A. (2002). </w:t>
      </w:r>
      <w:r w:rsidRPr="000270E4">
        <w:rPr>
          <w:rFonts w:ascii="Arial" w:hAnsi="Arial" w:cs="Arial"/>
        </w:rPr>
        <w:t>Neo liberalizing</w:t>
      </w:r>
      <w:r w:rsidRPr="000270E4">
        <w:rPr>
          <w:rFonts w:ascii="Arial" w:hAnsi="Arial" w:cs="Arial"/>
        </w:rPr>
        <w:t xml:space="preserve"> space. </w:t>
      </w:r>
      <w:r w:rsidRPr="000270E4">
        <w:rPr>
          <w:rFonts w:ascii="Arial" w:hAnsi="Arial" w:cs="Arial"/>
          <w:i/>
          <w:iCs/>
        </w:rPr>
        <w:t>Urban Studies, 39</w:t>
      </w:r>
      <w:r w:rsidRPr="000270E4">
        <w:rPr>
          <w:rFonts w:ascii="Arial" w:hAnsi="Arial" w:cs="Arial"/>
        </w:rPr>
        <w:t>(1), 29-39.</w:t>
      </w:r>
    </w:p>
    <w:p w14:paraId="7732BDA5" w14:textId="77777777" w:rsidR="000270E4" w:rsidRPr="000270E4" w:rsidRDefault="000270E4" w:rsidP="000270E4">
      <w:pPr>
        <w:spacing w:line="480" w:lineRule="auto"/>
        <w:rPr>
          <w:rFonts w:ascii="Arial" w:hAnsi="Arial" w:cs="Arial"/>
        </w:rPr>
      </w:pPr>
      <w:r w:rsidRPr="000270E4">
        <w:rPr>
          <w:rFonts w:ascii="Arial" w:hAnsi="Arial" w:cs="Arial"/>
        </w:rPr>
        <w:t xml:space="preserve">UN-Habitat. (2009). </w:t>
      </w:r>
      <w:r w:rsidRPr="000270E4">
        <w:rPr>
          <w:rFonts w:ascii="Arial" w:hAnsi="Arial" w:cs="Arial"/>
          <w:i/>
          <w:iCs/>
        </w:rPr>
        <w:t>Planning Sustainable Cities: Global Report on Human Settlements 2009.</w:t>
      </w:r>
      <w:r w:rsidRPr="000270E4">
        <w:rPr>
          <w:rFonts w:ascii="Arial" w:hAnsi="Arial" w:cs="Arial"/>
        </w:rPr>
        <w:t xml:space="preserve"> Nairobi: United Nations Human Settlements Programme.</w:t>
      </w:r>
    </w:p>
    <w:p w14:paraId="70A2477E" w14:textId="77777777" w:rsidR="000270E4" w:rsidRPr="000270E4" w:rsidRDefault="000270E4" w:rsidP="000270E4">
      <w:pPr>
        <w:spacing w:line="480" w:lineRule="auto"/>
        <w:rPr>
          <w:rFonts w:ascii="Arial" w:hAnsi="Arial" w:cs="Arial"/>
        </w:rPr>
      </w:pPr>
      <w:r w:rsidRPr="000270E4">
        <w:rPr>
          <w:rFonts w:ascii="Arial" w:hAnsi="Arial" w:cs="Arial"/>
        </w:rPr>
        <w:t xml:space="preserve">Welsh Government. (2018). </w:t>
      </w:r>
      <w:r w:rsidRPr="000270E4">
        <w:rPr>
          <w:rFonts w:ascii="Arial" w:hAnsi="Arial" w:cs="Arial"/>
          <w:i/>
          <w:iCs/>
        </w:rPr>
        <w:t>Welsh Industrial Strategy</w:t>
      </w:r>
      <w:r w:rsidRPr="000270E4">
        <w:rPr>
          <w:rFonts w:ascii="Arial" w:hAnsi="Arial" w:cs="Arial"/>
        </w:rPr>
        <w:t>. Cardiff: Welsh Government.</w:t>
      </w:r>
    </w:p>
    <w:p w14:paraId="1B7D5EE4" w14:textId="1C9DA3FD" w:rsidR="000270E4" w:rsidRDefault="000270E4" w:rsidP="000270E4">
      <w:pPr>
        <w:spacing w:line="480" w:lineRule="auto"/>
        <w:rPr>
          <w:rFonts w:ascii="Arial" w:hAnsi="Arial" w:cs="Arial"/>
        </w:rPr>
      </w:pPr>
      <w:r w:rsidRPr="000270E4">
        <w:rPr>
          <w:rFonts w:ascii="Arial" w:hAnsi="Arial" w:cs="Arial"/>
        </w:rPr>
        <w:t xml:space="preserve">World Commission on Environment and Development. (1987). </w:t>
      </w:r>
      <w:r w:rsidRPr="000270E4">
        <w:rPr>
          <w:rFonts w:ascii="Arial" w:hAnsi="Arial" w:cs="Arial"/>
          <w:i/>
          <w:iCs/>
        </w:rPr>
        <w:t>Our Common Future.</w:t>
      </w:r>
      <w:r w:rsidRPr="000270E4">
        <w:rPr>
          <w:rFonts w:ascii="Arial" w:hAnsi="Arial" w:cs="Arial"/>
        </w:rPr>
        <w:t xml:space="preserve"> Oxford: Oxford University Press.</w:t>
      </w:r>
    </w:p>
    <w:p w14:paraId="532D7FD6" w14:textId="74D561DC" w:rsidR="000270E4" w:rsidRDefault="000270E4" w:rsidP="000270E4">
      <w:pPr>
        <w:spacing w:line="480" w:lineRule="auto"/>
        <w:rPr>
          <w:rFonts w:ascii="Arial" w:hAnsi="Arial" w:cs="Arial"/>
        </w:rPr>
      </w:pPr>
      <w:hyperlink r:id="rId8" w:history="1">
        <w:r w:rsidRPr="00931347">
          <w:rPr>
            <w:rStyle w:val="Hyperlink"/>
            <w:rFonts w:ascii="Arial" w:hAnsi="Arial" w:cs="Arial"/>
          </w:rPr>
          <w:t>https://www.futuregenerations.wales/wp-content/uploads/2017/08/Neath-Port-Talbot-2017.pdf</w:t>
        </w:r>
      </w:hyperlink>
    </w:p>
    <w:p w14:paraId="413EDD12" w14:textId="0E6E1782" w:rsidR="000270E4" w:rsidRDefault="000270E4" w:rsidP="000270E4">
      <w:pPr>
        <w:spacing w:line="480" w:lineRule="auto"/>
        <w:rPr>
          <w:rFonts w:ascii="Arial" w:hAnsi="Arial" w:cs="Arial"/>
        </w:rPr>
      </w:pPr>
      <w:hyperlink r:id="rId9" w:history="1">
        <w:r w:rsidRPr="00931347">
          <w:rPr>
            <w:rStyle w:val="Hyperlink"/>
            <w:rFonts w:ascii="Arial" w:hAnsi="Arial" w:cs="Arial"/>
          </w:rPr>
          <w:t>https://www.npt.gov.uk/planning-and-building-control/planning-policy/replacement-local-development-plan-rldp-2023-2038/integrated-sustainability-appraisal-and-habitats-regulations-assessment/</w:t>
        </w:r>
      </w:hyperlink>
    </w:p>
    <w:p w14:paraId="5DB13A6D" w14:textId="3339F844" w:rsidR="000270E4" w:rsidRDefault="000270E4" w:rsidP="000270E4">
      <w:pPr>
        <w:spacing w:line="480" w:lineRule="auto"/>
        <w:rPr>
          <w:rFonts w:ascii="Arial" w:hAnsi="Arial" w:cs="Arial"/>
        </w:rPr>
      </w:pPr>
      <w:hyperlink r:id="rId10" w:history="1">
        <w:r w:rsidRPr="00931347">
          <w:rPr>
            <w:rStyle w:val="Hyperlink"/>
            <w:rFonts w:ascii="Arial" w:hAnsi="Arial" w:cs="Arial"/>
          </w:rPr>
          <w:t>https://williamtemplefoundation.org.uk/port-talbot-values-beyond-value/</w:t>
        </w:r>
      </w:hyperlink>
    </w:p>
    <w:p w14:paraId="3A91BB93" w14:textId="51EC6708" w:rsidR="000270E4" w:rsidRDefault="000270E4" w:rsidP="000270E4">
      <w:pPr>
        <w:spacing w:line="480" w:lineRule="auto"/>
        <w:rPr>
          <w:rFonts w:ascii="Arial" w:hAnsi="Arial" w:cs="Arial"/>
        </w:rPr>
      </w:pPr>
      <w:hyperlink r:id="rId11" w:history="1">
        <w:r w:rsidRPr="00931347">
          <w:rPr>
            <w:rStyle w:val="Hyperlink"/>
            <w:rFonts w:ascii="Arial" w:hAnsi="Arial" w:cs="Arial"/>
          </w:rPr>
          <w:t>https://mainlymacro.blogspot.com/2016/04/the-big-story-behind-port-talbot.html</w:t>
        </w:r>
      </w:hyperlink>
    </w:p>
    <w:p w14:paraId="7B38931A" w14:textId="7C558AA1" w:rsidR="000270E4" w:rsidRDefault="000270E4" w:rsidP="000270E4">
      <w:pPr>
        <w:spacing w:line="480" w:lineRule="auto"/>
        <w:rPr>
          <w:rFonts w:ascii="Arial" w:hAnsi="Arial" w:cs="Arial"/>
        </w:rPr>
      </w:pPr>
      <w:hyperlink r:id="rId12" w:history="1">
        <w:r w:rsidRPr="00931347">
          <w:rPr>
            <w:rStyle w:val="Hyperlink"/>
            <w:rFonts w:ascii="Arial" w:hAnsi="Arial" w:cs="Arial"/>
          </w:rPr>
          <w:t>https://citizensadvicesnpt.org.uk/wp-content/uploads/is-this-the-new-normal-may-2024-report.pdf</w:t>
        </w:r>
      </w:hyperlink>
    </w:p>
    <w:p w14:paraId="5C92909A" w14:textId="0C857979" w:rsidR="000270E4" w:rsidRDefault="000270E4" w:rsidP="000270E4">
      <w:pPr>
        <w:spacing w:line="480" w:lineRule="auto"/>
        <w:rPr>
          <w:rFonts w:ascii="Arial" w:hAnsi="Arial" w:cs="Arial"/>
        </w:rPr>
      </w:pPr>
      <w:hyperlink r:id="rId13" w:history="1">
        <w:r w:rsidRPr="00931347">
          <w:rPr>
            <w:rStyle w:val="Hyperlink"/>
            <w:rFonts w:ascii="Arial" w:hAnsi="Arial" w:cs="Arial"/>
          </w:rPr>
          <w:t>https://senedd.wales/media/0opn41dl/neath_port_talbot-2-english.pdf</w:t>
        </w:r>
      </w:hyperlink>
    </w:p>
    <w:p w14:paraId="141B4F57" w14:textId="7464C701" w:rsidR="000270E4" w:rsidRDefault="000270E4" w:rsidP="000270E4">
      <w:pPr>
        <w:spacing w:line="480" w:lineRule="auto"/>
        <w:rPr>
          <w:rFonts w:ascii="Arial" w:hAnsi="Arial" w:cs="Arial"/>
        </w:rPr>
      </w:pPr>
      <w:hyperlink r:id="rId14" w:history="1">
        <w:r w:rsidRPr="00931347">
          <w:rPr>
            <w:rStyle w:val="Hyperlink"/>
            <w:rFonts w:ascii="Arial" w:hAnsi="Arial" w:cs="Arial"/>
          </w:rPr>
          <w:t>https://www.studocu.com/en-gb/messages/question/4041098/following-the-news-about-the-potential-3000-job-losses-at-the-tata-steel-plant-in-port-talbot-write</w:t>
        </w:r>
      </w:hyperlink>
    </w:p>
    <w:p w14:paraId="43FB9851" w14:textId="77777777" w:rsidR="000270E4" w:rsidRPr="00A65BF1" w:rsidRDefault="000270E4" w:rsidP="000270E4">
      <w:pPr>
        <w:spacing w:line="480" w:lineRule="auto"/>
        <w:rPr>
          <w:rFonts w:ascii="Arial" w:hAnsi="Arial" w:cs="Arial"/>
        </w:rPr>
      </w:pPr>
    </w:p>
    <w:p w14:paraId="616F6DAF" w14:textId="77777777" w:rsidR="00DB2C5F" w:rsidRPr="00DB2C5F" w:rsidRDefault="00DB2C5F" w:rsidP="00DB2C5F">
      <w:pPr>
        <w:spacing w:line="480" w:lineRule="auto"/>
        <w:rPr>
          <w:rFonts w:ascii="Arial" w:hAnsi="Arial" w:cs="Arial"/>
        </w:rPr>
      </w:pPr>
    </w:p>
    <w:sectPr w:rsidR="00DB2C5F" w:rsidRPr="00DB2C5F" w:rsidSect="000A76C8">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9FC591" w14:textId="77777777" w:rsidR="00F11BE2" w:rsidRDefault="00F11BE2" w:rsidP="00A65BF1">
      <w:pPr>
        <w:spacing w:after="0" w:line="240" w:lineRule="auto"/>
      </w:pPr>
      <w:r>
        <w:separator/>
      </w:r>
    </w:p>
  </w:endnote>
  <w:endnote w:type="continuationSeparator" w:id="0">
    <w:p w14:paraId="220C9051" w14:textId="77777777" w:rsidR="00F11BE2" w:rsidRDefault="00F11BE2" w:rsidP="00A65B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Black">
    <w:panose1 w:val="020B0A04020102020204"/>
    <w:charset w:val="00"/>
    <w:family w:val="swiss"/>
    <w:pitch w:val="variable"/>
    <w:sig w:usb0="A00002AF" w:usb1="400078F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DDF8D8" w14:textId="77777777" w:rsidR="00F11BE2" w:rsidRDefault="00F11BE2" w:rsidP="00A65BF1">
      <w:pPr>
        <w:spacing w:after="0" w:line="240" w:lineRule="auto"/>
      </w:pPr>
      <w:r>
        <w:separator/>
      </w:r>
    </w:p>
  </w:footnote>
  <w:footnote w:type="continuationSeparator" w:id="0">
    <w:p w14:paraId="60295F56" w14:textId="77777777" w:rsidR="00F11BE2" w:rsidRDefault="00F11BE2" w:rsidP="00A65B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2467316"/>
      <w:docPartObj>
        <w:docPartGallery w:val="Page Numbers (Top of Page)"/>
        <w:docPartUnique/>
      </w:docPartObj>
    </w:sdtPr>
    <w:sdtEndPr>
      <w:rPr>
        <w:noProof/>
      </w:rPr>
    </w:sdtEndPr>
    <w:sdtContent>
      <w:p w14:paraId="7DC6D433" w14:textId="39468DBE" w:rsidR="00A65BF1" w:rsidRDefault="00A65BF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4804FB7" w14:textId="77777777" w:rsidR="00A65BF1" w:rsidRDefault="00A65B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281DBC"/>
    <w:multiLevelType w:val="hybridMultilevel"/>
    <w:tmpl w:val="54C6A044"/>
    <w:lvl w:ilvl="0" w:tplc="E90AA44A">
      <w:start w:val="1"/>
      <w:numFmt w:val="decimal"/>
      <w:lvlText w:val="%1."/>
      <w:lvlJc w:val="left"/>
      <w:pPr>
        <w:ind w:left="720" w:hanging="360"/>
      </w:pPr>
      <w:rPr>
        <w:rFonts w:ascii="Arial Black" w:hAnsi="Arial Black"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608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C5F"/>
    <w:rsid w:val="000270E4"/>
    <w:rsid w:val="000A76C8"/>
    <w:rsid w:val="0031542D"/>
    <w:rsid w:val="006C2F9B"/>
    <w:rsid w:val="00A65BF1"/>
    <w:rsid w:val="00DB2C5F"/>
    <w:rsid w:val="00F11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FD59C"/>
  <w15:chartTrackingRefBased/>
  <w15:docId w15:val="{809CE45D-FF60-42FF-88C9-441FE6DCE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C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C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C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C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C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C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C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C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C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C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C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C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C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C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C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C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C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C5F"/>
    <w:rPr>
      <w:rFonts w:eastAsiaTheme="majorEastAsia" w:cstheme="majorBidi"/>
      <w:color w:val="272727" w:themeColor="text1" w:themeTint="D8"/>
    </w:rPr>
  </w:style>
  <w:style w:type="paragraph" w:styleId="Title">
    <w:name w:val="Title"/>
    <w:basedOn w:val="Normal"/>
    <w:next w:val="Normal"/>
    <w:link w:val="TitleChar"/>
    <w:uiPriority w:val="10"/>
    <w:qFormat/>
    <w:rsid w:val="00DB2C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C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C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C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C5F"/>
    <w:pPr>
      <w:spacing w:before="160"/>
      <w:jc w:val="center"/>
    </w:pPr>
    <w:rPr>
      <w:i/>
      <w:iCs/>
      <w:color w:val="404040" w:themeColor="text1" w:themeTint="BF"/>
    </w:rPr>
  </w:style>
  <w:style w:type="character" w:customStyle="1" w:styleId="QuoteChar">
    <w:name w:val="Quote Char"/>
    <w:basedOn w:val="DefaultParagraphFont"/>
    <w:link w:val="Quote"/>
    <w:uiPriority w:val="29"/>
    <w:rsid w:val="00DB2C5F"/>
    <w:rPr>
      <w:i/>
      <w:iCs/>
      <w:color w:val="404040" w:themeColor="text1" w:themeTint="BF"/>
    </w:rPr>
  </w:style>
  <w:style w:type="paragraph" w:styleId="ListParagraph">
    <w:name w:val="List Paragraph"/>
    <w:basedOn w:val="Normal"/>
    <w:uiPriority w:val="34"/>
    <w:qFormat/>
    <w:rsid w:val="00DB2C5F"/>
    <w:pPr>
      <w:ind w:left="720"/>
      <w:contextualSpacing/>
    </w:pPr>
  </w:style>
  <w:style w:type="character" w:styleId="IntenseEmphasis">
    <w:name w:val="Intense Emphasis"/>
    <w:basedOn w:val="DefaultParagraphFont"/>
    <w:uiPriority w:val="21"/>
    <w:qFormat/>
    <w:rsid w:val="00DB2C5F"/>
    <w:rPr>
      <w:i/>
      <w:iCs/>
      <w:color w:val="0F4761" w:themeColor="accent1" w:themeShade="BF"/>
    </w:rPr>
  </w:style>
  <w:style w:type="paragraph" w:styleId="IntenseQuote">
    <w:name w:val="Intense Quote"/>
    <w:basedOn w:val="Normal"/>
    <w:next w:val="Normal"/>
    <w:link w:val="IntenseQuoteChar"/>
    <w:uiPriority w:val="30"/>
    <w:qFormat/>
    <w:rsid w:val="00DB2C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C5F"/>
    <w:rPr>
      <w:i/>
      <w:iCs/>
      <w:color w:val="0F4761" w:themeColor="accent1" w:themeShade="BF"/>
    </w:rPr>
  </w:style>
  <w:style w:type="character" w:styleId="IntenseReference">
    <w:name w:val="Intense Reference"/>
    <w:basedOn w:val="DefaultParagraphFont"/>
    <w:uiPriority w:val="32"/>
    <w:qFormat/>
    <w:rsid w:val="00DB2C5F"/>
    <w:rPr>
      <w:b/>
      <w:bCs/>
      <w:smallCaps/>
      <w:color w:val="0F4761" w:themeColor="accent1" w:themeShade="BF"/>
      <w:spacing w:val="5"/>
    </w:rPr>
  </w:style>
  <w:style w:type="paragraph" w:styleId="Header">
    <w:name w:val="header"/>
    <w:basedOn w:val="Normal"/>
    <w:link w:val="HeaderChar"/>
    <w:uiPriority w:val="99"/>
    <w:unhideWhenUsed/>
    <w:rsid w:val="00A65B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BF1"/>
  </w:style>
  <w:style w:type="paragraph" w:styleId="Footer">
    <w:name w:val="footer"/>
    <w:basedOn w:val="Normal"/>
    <w:link w:val="FooterChar"/>
    <w:uiPriority w:val="99"/>
    <w:unhideWhenUsed/>
    <w:rsid w:val="00A65B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BF1"/>
  </w:style>
  <w:style w:type="character" w:styleId="Hyperlink">
    <w:name w:val="Hyperlink"/>
    <w:basedOn w:val="DefaultParagraphFont"/>
    <w:uiPriority w:val="99"/>
    <w:unhideWhenUsed/>
    <w:rsid w:val="000270E4"/>
    <w:rPr>
      <w:color w:val="467886" w:themeColor="hyperlink"/>
      <w:u w:val="single"/>
    </w:rPr>
  </w:style>
  <w:style w:type="character" w:styleId="UnresolvedMention">
    <w:name w:val="Unresolved Mention"/>
    <w:basedOn w:val="DefaultParagraphFont"/>
    <w:uiPriority w:val="99"/>
    <w:semiHidden/>
    <w:unhideWhenUsed/>
    <w:rsid w:val="000270E4"/>
    <w:rPr>
      <w:color w:val="605E5C"/>
      <w:shd w:val="clear" w:color="auto" w:fill="E1DFDD"/>
    </w:rPr>
  </w:style>
  <w:style w:type="paragraph" w:styleId="NoSpacing">
    <w:name w:val="No Spacing"/>
    <w:link w:val="NoSpacingChar"/>
    <w:uiPriority w:val="1"/>
    <w:qFormat/>
    <w:rsid w:val="000A76C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A76C8"/>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1967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uturegenerations.wales/wp-content/uploads/2017/08/Neath-Port-Talbot-2017.pdf" TargetMode="External"/><Relationship Id="rId13" Type="http://schemas.openxmlformats.org/officeDocument/2006/relationships/hyperlink" Target="https://senedd.wales/media/0opn41dl/neath_port_talbot-2-english.pdf" TargetMode="External"/><Relationship Id="rId3" Type="http://schemas.openxmlformats.org/officeDocument/2006/relationships/settings" Target="settings.xml"/><Relationship Id="rId7" Type="http://schemas.openxmlformats.org/officeDocument/2006/relationships/hyperlink" Target="https://doi.org/10.1002/sd.447" TargetMode="External"/><Relationship Id="rId12" Type="http://schemas.openxmlformats.org/officeDocument/2006/relationships/hyperlink" Target="https://citizensadvicesnpt.org.uk/wp-content/uploads/is-this-the-new-normal-may-2024-report.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ainlymacro.blogspot.com/2016/04/the-big-story-behind-port-talbot.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illiamtemplefoundation.org.uk/port-talbot-values-beyond-value/" TargetMode="External"/><Relationship Id="rId4" Type="http://schemas.openxmlformats.org/officeDocument/2006/relationships/webSettings" Target="webSettings.xml"/><Relationship Id="rId9" Type="http://schemas.openxmlformats.org/officeDocument/2006/relationships/hyperlink" Target="https://www.npt.gov.uk/planning-and-building-control/planning-policy/replacement-local-development-plan-rldp-2023-2038/integrated-sustainability-appraisal-and-habitats-regulations-assessment/" TargetMode="External"/><Relationship Id="rId14" Type="http://schemas.openxmlformats.org/officeDocument/2006/relationships/hyperlink" Target="https://www.studocu.com/en-gb/messages/question/4041098/following-the-news-about-the-potential-3000-job-losses-at-the-tata-steel-plant-in-port-talbot-wri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TotalTime>
  <Pages>11</Pages>
  <Words>2534</Words>
  <Characters>14446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Distinctiveness and Regeneration</Company>
  <LinksUpToDate>false</LinksUpToDate>
  <CharactersWithSpaces>16947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 Talbot Appraisal</dc:title>
  <dc:subject/>
  <dc:creator>Mirabela Voican (1907947)</dc:creator>
  <cp:keywords/>
  <dc:description/>
  <cp:lastModifiedBy>Mirabela Voican (1907947)</cp:lastModifiedBy>
  <cp:revision>1</cp:revision>
  <dcterms:created xsi:type="dcterms:W3CDTF">2025-02-08T21:43:00Z</dcterms:created>
  <dcterms:modified xsi:type="dcterms:W3CDTF">2025-02-08T22:29:00Z</dcterms:modified>
  <cp:category>Madalina Denisa Dumitru</cp:category>
</cp:coreProperties>
</file>