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138122A">
      <w:pPr>
        <w:pageBreakBefore w:val="0"/>
        <w:kinsoku/>
        <w:wordWrap/>
        <w:overflowPunct/>
        <w:topLinePunct w:val="0"/>
        <w:autoSpaceDE/>
        <w:autoSpaceDN/>
        <w:bidi w:val="0"/>
        <w:adjustRightInd w:val="0"/>
        <w:snapToGrid w:val="0"/>
        <w:spacing w:line="480" w:lineRule="auto"/>
        <w:jc w:val="center"/>
        <w:textAlignment w:val="auto"/>
        <w:outlineLvl w:val="0"/>
        <w:rPr>
          <w:rFonts w:hint="default" w:ascii="Arial Regular" w:hAnsi="Arial Regular" w:cs="Arial Regular"/>
          <w:sz w:val="24"/>
          <w:szCs w:val="24"/>
        </w:rPr>
      </w:pPr>
      <w:bookmarkStart w:id="0" w:name="_Toc1084560475"/>
      <w:r>
        <w:rPr>
          <w:rFonts w:hint="default" w:ascii="Arial Regular" w:hAnsi="Arial Regular" w:cs="Arial Regular"/>
          <w:sz w:val="24"/>
          <w:szCs w:val="24"/>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18705D8C">
      <w:pPr>
        <w:pStyle w:val="2"/>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INTERNATIONAL BUSINESS COMMUNICATION</w:t>
      </w:r>
    </w:p>
    <w:p w14:paraId="630DB979">
      <w:pPr>
        <w:pageBreakBefore w:val="0"/>
        <w:kinsoku/>
        <w:wordWrap/>
        <w:overflowPunct/>
        <w:topLinePunct w:val="0"/>
        <w:autoSpaceDE/>
        <w:autoSpaceDN/>
        <w:bidi w:val="0"/>
        <w:adjustRightInd w:val="0"/>
        <w:snapToGrid w:val="0"/>
        <w:spacing w:line="480" w:lineRule="auto"/>
        <w:jc w:val="both"/>
        <w:textAlignment w:val="auto"/>
        <w:rPr>
          <w:rFonts w:hint="default" w:ascii="Arial Regular" w:hAnsi="Arial Regular" w:cs="Arial Regular"/>
          <w:b/>
          <w:bCs/>
          <w:sz w:val="24"/>
          <w:szCs w:val="24"/>
          <w:lang w:val="en-US" w:eastAsia="zh-CN"/>
        </w:rPr>
      </w:pPr>
    </w:p>
    <w:p w14:paraId="1E48EF97">
      <w:pPr>
        <w:pageBreakBefore w:val="0"/>
        <w:kinsoku/>
        <w:wordWrap/>
        <w:overflowPunct/>
        <w:topLinePunct w:val="0"/>
        <w:autoSpaceDE/>
        <w:autoSpaceDN/>
        <w:bidi w:val="0"/>
        <w:adjustRightInd w:val="0"/>
        <w:snapToGrid w:val="0"/>
        <w:spacing w:line="480" w:lineRule="auto"/>
        <w:jc w:val="both"/>
        <w:textAlignment w:val="auto"/>
        <w:rPr>
          <w:rFonts w:hint="default" w:ascii="Arial Regular" w:hAnsi="Arial Regular" w:cs="Arial Regular"/>
          <w:b/>
          <w:bCs/>
          <w:sz w:val="24"/>
          <w:szCs w:val="24"/>
          <w:lang w:val="en-US" w:eastAsia="zh-CN"/>
        </w:rPr>
      </w:pPr>
    </w:p>
    <w:p w14:paraId="3F3CCA0D">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p>
    <w:p w14:paraId="18DDB421">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Student name: Kaiyi Yan</w:t>
      </w:r>
    </w:p>
    <w:p w14:paraId="662F5902">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p>
    <w:p w14:paraId="292BCB31">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Student ID number:2405907</w:t>
      </w:r>
    </w:p>
    <w:p w14:paraId="0C276167">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p>
    <w:p w14:paraId="5376A912">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Lecturer：Arpu Kumar</w:t>
      </w:r>
    </w:p>
    <w:p w14:paraId="6C9BB9DD">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p>
    <w:p w14:paraId="36615DAA">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Module code：BMBM6021</w:t>
      </w:r>
    </w:p>
    <w:p w14:paraId="049BD4A8">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b/>
          <w:bCs/>
          <w:sz w:val="24"/>
          <w:szCs w:val="24"/>
          <w:lang w:val="en-US" w:eastAsia="zh-CN"/>
        </w:rPr>
      </w:pPr>
    </w:p>
    <w:p w14:paraId="105AA372">
      <w:pPr>
        <w:pageBreakBefore w:val="0"/>
        <w:kinsoku/>
        <w:wordWrap/>
        <w:overflowPunct/>
        <w:topLinePunct w:val="0"/>
        <w:autoSpaceDE/>
        <w:autoSpaceDN/>
        <w:bidi w:val="0"/>
        <w:adjustRightInd w:val="0"/>
        <w:snapToGrid w:val="0"/>
        <w:spacing w:line="480" w:lineRule="auto"/>
        <w:jc w:val="center"/>
        <w:textAlignment w:val="auto"/>
        <w:rPr>
          <w:rFonts w:hint="default" w:ascii="Arial Regular" w:hAnsi="Arial Regular" w:cs="Arial Regular"/>
          <w:sz w:val="24"/>
          <w:szCs w:val="24"/>
          <w:lang w:val="en-US" w:eastAsia="zh-CN"/>
        </w:rPr>
      </w:pPr>
      <w:r>
        <w:rPr>
          <w:rFonts w:hint="default" w:ascii="Arial Regular" w:hAnsi="Arial Regular" w:cs="Arial Regular"/>
          <w:b/>
          <w:bCs/>
          <w:sz w:val="24"/>
          <w:szCs w:val="24"/>
          <w:lang w:val="en-US" w:eastAsia="zh-CN"/>
        </w:rPr>
        <w:t>Word count：2</w:t>
      </w:r>
      <w:r>
        <w:rPr>
          <w:rFonts w:hint="default" w:ascii="Arial Regular" w:hAnsi="Arial Regular" w:cs="Arial Regular"/>
          <w:b/>
          <w:bCs/>
          <w:sz w:val="24"/>
          <w:szCs w:val="24"/>
          <w:lang w:val="en-US" w:eastAsia="zh-CN"/>
        </w:rPr>
        <w:t>842</w:t>
      </w:r>
      <w:r>
        <w:rPr>
          <w:rFonts w:hint="default" w:ascii="Arial Regular" w:hAnsi="Arial Regular" w:cs="Arial Regular"/>
          <w:b/>
          <w:bCs/>
          <w:sz w:val="24"/>
          <w:szCs w:val="24"/>
          <w:lang w:val="en-US" w:eastAsia="zh-CN"/>
        </w:rPr>
        <w:t>words</w:t>
      </w:r>
      <w:bookmarkEnd w:id="0"/>
    </w:p>
    <w:p w14:paraId="16A04DE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FDC61E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A4E0E0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14E4570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BE9C70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DE39B3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p w14:paraId="777219B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p>
    <w:sdt>
      <w:sdtPr>
        <w:rPr>
          <w:rFonts w:hint="default" w:ascii="Arial Regular" w:hAnsi="Arial Regular" w:eastAsia="宋体" w:cs="Arial Regular"/>
          <w:b/>
          <w:bCs/>
          <w:kern w:val="2"/>
          <w:sz w:val="24"/>
          <w:szCs w:val="24"/>
          <w:lang w:val="en-US" w:eastAsia="zh-CN" w:bidi="ar-SA"/>
        </w:rPr>
        <w:id w:val="893515957"/>
        <w15:color w:val="DBDBDB"/>
        <w:docPartObj>
          <w:docPartGallery w:val="Table of Contents"/>
          <w:docPartUnique/>
        </w:docPartObj>
      </w:sdtPr>
      <w:sdtEndPr>
        <w:rPr>
          <w:rFonts w:hint="default" w:ascii="Arial Regular" w:hAnsi="Arial Regular" w:cs="Arial Regular" w:eastAsiaTheme="minorEastAsia"/>
          <w:b w:val="0"/>
          <w:bCs w:val="0"/>
          <w:kern w:val="2"/>
          <w:sz w:val="24"/>
          <w:szCs w:val="24"/>
          <w:lang w:val="en-US" w:eastAsia="zh-CN" w:bidi="ar-SA"/>
        </w:rPr>
      </w:sdtEndPr>
      <w:sdtContent>
        <w:p w14:paraId="6348BA7C">
          <w:pPr>
            <w:pageBreakBefore w:val="0"/>
            <w:kinsoku/>
            <w:wordWrap/>
            <w:overflowPunct/>
            <w:topLinePunct w:val="0"/>
            <w:autoSpaceDE/>
            <w:autoSpaceDN/>
            <w:bidi w:val="0"/>
            <w:adjustRightInd w:val="0"/>
            <w:snapToGrid w:val="0"/>
            <w:spacing w:before="0" w:beforeLines="0" w:after="0" w:afterLines="0" w:line="480" w:lineRule="auto"/>
            <w:ind w:left="0" w:leftChars="0" w:right="0" w:rightChars="0" w:firstLine="0" w:firstLineChars="0"/>
            <w:jc w:val="center"/>
            <w:textAlignment w:val="auto"/>
            <w:rPr>
              <w:rFonts w:hint="default" w:ascii="Arial Regular" w:hAnsi="Arial Regular" w:cs="Arial Regular"/>
              <w:b w:val="0"/>
              <w:bCs w:val="0"/>
              <w:sz w:val="24"/>
              <w:szCs w:val="24"/>
            </w:rPr>
          </w:pPr>
          <w:r>
            <w:rPr>
              <w:rFonts w:hint="default" w:ascii="Arial Regular" w:hAnsi="Arial Regular" w:eastAsia="宋体" w:cs="Arial Regular"/>
              <w:b/>
              <w:bCs/>
              <w:kern w:val="2"/>
              <w:sz w:val="24"/>
              <w:szCs w:val="24"/>
              <w:lang w:val="en-US" w:eastAsia="zh-CN" w:bidi="ar-SA"/>
            </w:rPr>
            <w:t>contents</w:t>
          </w: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TOC \o "1-2" \h \u </w:instrText>
          </w:r>
          <w:r>
            <w:rPr>
              <w:rFonts w:hint="default" w:ascii="Arial Regular" w:hAnsi="Arial Regular" w:cs="Arial Regular"/>
              <w:b w:val="0"/>
              <w:bCs w:val="0"/>
              <w:sz w:val="24"/>
              <w:szCs w:val="24"/>
              <w:lang w:val="en-US" w:eastAsia="zh-CN"/>
            </w:rPr>
            <w:fldChar w:fldCharType="separate"/>
          </w:r>
        </w:p>
        <w:p w14:paraId="791BAD52">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_Toc366707589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1.0 Introduction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_Toc366707589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1</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2E93164B">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_Toc2123865080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rPr>
            <w:t>2.0 Application of cross-cultural communication theory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_Toc2123865080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2</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1F0B6E5">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_Toc327219126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2.1 </w:t>
          </w:r>
          <w:r>
            <w:rPr>
              <w:rFonts w:hint="default" w:ascii="Arial Regular" w:hAnsi="Arial Regular" w:cs="Arial Regular"/>
              <w:b w:val="0"/>
              <w:bCs w:val="0"/>
              <w:sz w:val="24"/>
              <w:szCs w:val="24"/>
            </w:rPr>
            <w:t>Cultural dimension theory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_Toc327219126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2</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6B3BC4BE">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_Toc2013714362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2.2 </w:t>
          </w:r>
          <w:r>
            <w:rPr>
              <w:rFonts w:hint="default" w:ascii="Arial Regular" w:hAnsi="Arial Regular" w:cs="Arial Regular"/>
              <w:b w:val="0"/>
              <w:bCs w:val="0"/>
              <w:sz w:val="24"/>
              <w:szCs w:val="24"/>
            </w:rPr>
            <w:t>Communicative adaptability theory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_Toc2013714362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3</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1155ED6B">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_Toc155005414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3.0 </w:t>
          </w:r>
          <w:r>
            <w:rPr>
              <w:rFonts w:hint="default" w:ascii="Arial Regular" w:hAnsi="Arial Regular" w:cs="Arial Regular"/>
              <w:b w:val="0"/>
              <w:bCs w:val="0"/>
              <w:sz w:val="24"/>
              <w:szCs w:val="24"/>
            </w:rPr>
            <w:t>The challenges of business cooperation between the UK and South Korea</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_Toc155005414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4</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3A56DAF9">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_Toc278329287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3.1 </w:t>
          </w:r>
          <w:r>
            <w:rPr>
              <w:rFonts w:hint="default" w:ascii="Arial Regular" w:hAnsi="Arial Regular" w:cs="Arial Regular"/>
              <w:b w:val="0"/>
              <w:bCs w:val="0"/>
              <w:sz w:val="24"/>
              <w:szCs w:val="24"/>
            </w:rPr>
            <w:t>Cultural difference</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_Toc278329287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4</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365D13F3">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_Toc660943443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3.2 </w:t>
          </w:r>
          <w:r>
            <w:rPr>
              <w:rFonts w:hint="default" w:ascii="Arial Regular" w:hAnsi="Arial Regular" w:cs="Arial Regular"/>
              <w:b w:val="0"/>
              <w:bCs w:val="0"/>
              <w:sz w:val="24"/>
              <w:szCs w:val="24"/>
            </w:rPr>
            <w:t>Language barrier</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_Toc660943443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5</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6C24BED4">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_Toc1691024217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4.0 C</w:t>
          </w:r>
          <w:r>
            <w:rPr>
              <w:rFonts w:hint="default" w:ascii="Arial Regular" w:hAnsi="Arial Regular" w:cs="Arial Regular"/>
              <w:b w:val="0"/>
              <w:bCs w:val="0"/>
              <w:sz w:val="24"/>
              <w:szCs w:val="24"/>
            </w:rPr>
            <w:t>ritical evaluation and strategy selection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_Toc1691024217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5</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08939A3C">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_Toc1245430721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4.1 </w:t>
          </w:r>
          <w:r>
            <w:rPr>
              <w:rFonts w:hint="default" w:ascii="Arial Regular" w:hAnsi="Arial Regular" w:cs="Arial Regular"/>
              <w:b w:val="0"/>
              <w:bCs w:val="0"/>
              <w:sz w:val="24"/>
              <w:szCs w:val="24"/>
            </w:rPr>
            <w:t>Enhance cultural sensitivity</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_Toc1245430721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6</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47A67EA3">
          <w:pPr>
            <w:pStyle w:val="8"/>
            <w:pageBreakBefore w:val="0"/>
            <w:tabs>
              <w:tab w:val="right" w:leader="dot" w:pos="8306"/>
            </w:tabs>
            <w:kinsoku/>
            <w:wordWrap/>
            <w:overflowPunct/>
            <w:topLinePunct w:val="0"/>
            <w:autoSpaceDE/>
            <w:autoSpaceDN/>
            <w:bidi w:val="0"/>
            <w:adjustRightInd w:val="0"/>
            <w:snapToGrid w:val="0"/>
            <w:spacing w:line="480" w:lineRule="auto"/>
            <w:ind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_Toc431020538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4.2 </w:t>
          </w:r>
          <w:r>
            <w:rPr>
              <w:rFonts w:hint="default" w:ascii="Arial Regular" w:hAnsi="Arial Regular" w:cs="Arial Regular"/>
              <w:b w:val="0"/>
              <w:bCs w:val="0"/>
              <w:sz w:val="24"/>
              <w:szCs w:val="24"/>
            </w:rPr>
            <w:t>Build trust and cooperation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_Toc431020538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7</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7B3FE91B">
          <w:pPr>
            <w:pStyle w:val="9"/>
            <w:pageBreakBefore w:val="0"/>
            <w:tabs>
              <w:tab w:val="right" w:leader="dot" w:pos="8306"/>
            </w:tabs>
            <w:kinsoku/>
            <w:wordWrap/>
            <w:overflowPunct/>
            <w:topLinePunct w:val="0"/>
            <w:autoSpaceDE/>
            <w:autoSpaceDN/>
            <w:bidi w:val="0"/>
            <w:adjustRightInd w:val="0"/>
            <w:snapToGrid w:val="0"/>
            <w:spacing w:line="480" w:lineRule="auto"/>
            <w:ind w:left="0" w:leftChars="0" w:firstLine="240" w:firstLineChars="100"/>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_Toc699840835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 xml:space="preserve">4.3 </w:t>
          </w:r>
          <w:r>
            <w:rPr>
              <w:rFonts w:hint="default" w:ascii="Arial Regular" w:hAnsi="Arial Regular" w:cs="Arial Regular"/>
              <w:b w:val="0"/>
              <w:bCs w:val="0"/>
              <w:sz w:val="24"/>
              <w:szCs w:val="24"/>
            </w:rPr>
            <w:t>Make use of intercultural communication strategies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_Toc699840835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8</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4281C8E8">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_Toc456979226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5.0</w:t>
          </w:r>
          <w:r>
            <w:rPr>
              <w:rFonts w:hint="default" w:ascii="Arial Regular" w:hAnsi="Arial Regular" w:cs="Arial Regular"/>
              <w:b w:val="0"/>
              <w:bCs w:val="0"/>
              <w:sz w:val="24"/>
              <w:szCs w:val="24"/>
              <w:lang w:val="en-US" w:eastAsia="zh-CN"/>
            </w:rPr>
            <w:t xml:space="preserve"> </w:t>
          </w:r>
          <w:r>
            <w:rPr>
              <w:rFonts w:hint="default" w:ascii="Arial Regular" w:hAnsi="Arial Regular" w:cs="Arial Regular"/>
              <w:b w:val="0"/>
              <w:bCs w:val="0"/>
              <w:sz w:val="24"/>
              <w:szCs w:val="24"/>
              <w:lang w:val="en-US"/>
            </w:rPr>
            <w:t>Conclusion</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_Toc456979226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8</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51B46CA8">
          <w:pPr>
            <w:pStyle w:val="8"/>
            <w:pageBreakBefore w:val="0"/>
            <w:tabs>
              <w:tab w:val="right" w:leader="dot" w:pos="8306"/>
            </w:tabs>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lang w:val="en-US" w:eastAsia="zh-CN"/>
            </w:rPr>
            <w:fldChar w:fldCharType="begin"/>
          </w:r>
          <w:r>
            <w:rPr>
              <w:rFonts w:hint="default" w:ascii="Arial Regular" w:hAnsi="Arial Regular" w:cs="Arial Regular"/>
              <w:b w:val="0"/>
              <w:bCs w:val="0"/>
              <w:sz w:val="24"/>
              <w:szCs w:val="24"/>
              <w:lang w:val="en-US" w:eastAsia="zh-CN"/>
            </w:rPr>
            <w:instrText xml:space="preserve"> HYPERLINK \l _Toc1048329710 </w:instrText>
          </w:r>
          <w:r>
            <w:rPr>
              <w:rFonts w:hint="default" w:ascii="Arial Regular" w:hAnsi="Arial Regular" w:cs="Arial Regular"/>
              <w:b w:val="0"/>
              <w:bCs w:val="0"/>
              <w:sz w:val="24"/>
              <w:szCs w:val="24"/>
              <w:lang w:val="en-US" w:eastAsia="zh-CN"/>
            </w:rPr>
            <w:fldChar w:fldCharType="separate"/>
          </w:r>
          <w:r>
            <w:rPr>
              <w:rFonts w:hint="default" w:ascii="Arial Regular" w:hAnsi="Arial Regular" w:cs="Arial Regular"/>
              <w:b w:val="0"/>
              <w:bCs w:val="0"/>
              <w:sz w:val="24"/>
              <w:szCs w:val="24"/>
              <w:lang w:val="en-US" w:eastAsia="zh-CN"/>
            </w:rPr>
            <w:t>6</w:t>
          </w:r>
          <w:r>
            <w:rPr>
              <w:rFonts w:hint="default" w:ascii="Arial Regular" w:hAnsi="Arial Regular" w:cs="Arial Regular"/>
              <w:b w:val="0"/>
              <w:bCs w:val="0"/>
              <w:sz w:val="24"/>
              <w:szCs w:val="24"/>
              <w:lang w:val="en-US"/>
            </w:rPr>
            <w:t>.0 References</w:t>
          </w:r>
          <w:r>
            <w:rPr>
              <w:rFonts w:hint="default" w:ascii="Arial Regular" w:hAnsi="Arial Regular" w:cs="Arial Regular"/>
              <w:b w:val="0"/>
              <w:bCs w:val="0"/>
              <w:sz w:val="24"/>
              <w:szCs w:val="24"/>
            </w:rPr>
            <w:tab/>
          </w:r>
          <w:r>
            <w:rPr>
              <w:rFonts w:hint="default" w:ascii="Arial Regular" w:hAnsi="Arial Regular" w:cs="Arial Regular"/>
              <w:b w:val="0"/>
              <w:bCs w:val="0"/>
              <w:sz w:val="24"/>
              <w:szCs w:val="24"/>
            </w:rPr>
            <w:fldChar w:fldCharType="begin"/>
          </w:r>
          <w:r>
            <w:rPr>
              <w:rFonts w:hint="default" w:ascii="Arial Regular" w:hAnsi="Arial Regular" w:cs="Arial Regular"/>
              <w:b w:val="0"/>
              <w:bCs w:val="0"/>
              <w:sz w:val="24"/>
              <w:szCs w:val="24"/>
            </w:rPr>
            <w:instrText xml:space="preserve"> PAGEREF _Toc1048329710 \h </w:instrText>
          </w:r>
          <w:r>
            <w:rPr>
              <w:rFonts w:hint="default" w:ascii="Arial Regular" w:hAnsi="Arial Regular" w:cs="Arial Regular"/>
              <w:b w:val="0"/>
              <w:bCs w:val="0"/>
              <w:sz w:val="24"/>
              <w:szCs w:val="24"/>
            </w:rPr>
            <w:fldChar w:fldCharType="separate"/>
          </w:r>
          <w:r>
            <w:rPr>
              <w:rFonts w:hint="default" w:ascii="Arial Regular" w:hAnsi="Arial Regular" w:cs="Arial Regular"/>
              <w:b w:val="0"/>
              <w:bCs w:val="0"/>
              <w:sz w:val="24"/>
              <w:szCs w:val="24"/>
            </w:rPr>
            <w:t>9</w:t>
          </w:r>
          <w:r>
            <w:rPr>
              <w:rFonts w:hint="default" w:ascii="Arial Regular" w:hAnsi="Arial Regular" w:cs="Arial Regular"/>
              <w:b w:val="0"/>
              <w:bCs w:val="0"/>
              <w:sz w:val="24"/>
              <w:szCs w:val="24"/>
            </w:rPr>
            <w:fldChar w:fldCharType="end"/>
          </w:r>
          <w:r>
            <w:rPr>
              <w:rFonts w:hint="default" w:ascii="Arial Regular" w:hAnsi="Arial Regular" w:cs="Arial Regular"/>
              <w:b w:val="0"/>
              <w:bCs w:val="0"/>
              <w:sz w:val="24"/>
              <w:szCs w:val="24"/>
              <w:lang w:val="en-US" w:eastAsia="zh-CN"/>
            </w:rPr>
            <w:fldChar w:fldCharType="end"/>
          </w:r>
        </w:p>
        <w:p w14:paraId="759574C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eastAsiaTheme="minorEastAsia"/>
              <w:b w:val="0"/>
              <w:bCs w:val="0"/>
              <w:kern w:val="2"/>
              <w:sz w:val="24"/>
              <w:szCs w:val="24"/>
              <w:lang w:val="en-US" w:eastAsia="zh-CN" w:bidi="ar-SA"/>
            </w:rPr>
          </w:pPr>
          <w:r>
            <w:rPr>
              <w:rFonts w:hint="default" w:ascii="Arial Regular" w:hAnsi="Arial Regular" w:cs="Arial Regular"/>
              <w:b w:val="0"/>
              <w:bCs w:val="0"/>
              <w:sz w:val="24"/>
              <w:szCs w:val="24"/>
              <w:lang w:val="en-US" w:eastAsia="zh-CN"/>
            </w:rPr>
            <w:fldChar w:fldCharType="end"/>
          </w:r>
        </w:p>
      </w:sdtContent>
    </w:sdt>
    <w:p w14:paraId="63C3F17E">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bookmarkStart w:id="1" w:name="_Toc366707589"/>
    </w:p>
    <w:p w14:paraId="046BF08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0F57BED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404BF99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0343FB9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61FBA5B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5C1694E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2428D6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467C699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2D475070">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1.0 Introduction</w:t>
      </w:r>
      <w:bookmarkEnd w:id="1"/>
    </w:p>
    <w:p w14:paraId="5240F73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the realm of international trade, the collaboration between the United Kingdom (UK) and South Korea stands as a testament to the potential benefits of cross-cultural partnerships. However, this cooperation is not devoid of challenges, particularly those stemming from cultural differences. The application of cross-cultural communication theory becomes paramount in navigating these differences and fostering mutual understanding. This theory explores how individuals exchange and interpret information across diverse cultural contexts, emphasizing the impact of cultural diversity on communication methods, information interpretation, and overall communication effectiveness.</w:t>
      </w:r>
    </w:p>
    <w:p w14:paraId="40BF49A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Cultural dimension theory plays a crucial role in highlighting the distinct values and behaviors that characterize UK and South Korean businesses. British enterprises are known for their emphasis on equality, personal interests, and freedom, whereas Korean companies prioritize respect for authority, collective interests, and long-term planning. These disparities can lead to misunderstandings and conflicts during trade negotiations and cooperation.</w:t>
      </w:r>
    </w:p>
    <w:p w14:paraId="72D1C15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To mitigate these challenges and enhance trade relations, it is essential to conduct a critical evaluation of the existing practices and select appropriate strategies. This involves enhancing cultural sensitivity, building trust and cooperation, and making use of intercultural communication strategies. By deeply understanding and respecting each other's cultural nuances, the UK and South Korea can overcome cultural barriers, promote smooth trade exchanges, and achieve mutual benefit and common development.</w:t>
      </w:r>
    </w:p>
    <w:p w14:paraId="405DF4F7">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rPr>
      </w:pPr>
      <w:bookmarkStart w:id="2" w:name="_Toc2123865080"/>
      <w:r>
        <w:rPr>
          <w:rFonts w:hint="default" w:ascii="Arial Regular" w:hAnsi="Arial Regular" w:cs="Arial Regular"/>
          <w:b/>
          <w:bCs/>
          <w:sz w:val="24"/>
          <w:szCs w:val="24"/>
          <w:lang w:val="en-US"/>
        </w:rPr>
        <w:t>2.0 Application of cross-cultural communication theory</w:t>
      </w:r>
      <w:bookmarkEnd w:id="2"/>
    </w:p>
    <w:p w14:paraId="1EF2EE3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Cross-cultural communication theory is a discipline that studies how people communicate and understand information under different cultural backgrounds. It emphasizes the impact of cultural diversity on communication methods, information interpretation and communication effectiveness. In international trade, the application of cross-cultural communication theory can help both sides overcome the obstacles caused by cultural differences and promote the smooth development of trade relations.</w:t>
      </w:r>
    </w:p>
    <w:p w14:paraId="5BDE24F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4FB1545A">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rPr>
      </w:pPr>
      <w:bookmarkStart w:id="3" w:name="_Toc327219126"/>
      <w:r>
        <w:rPr>
          <w:rFonts w:hint="default" w:ascii="Arial Regular" w:hAnsi="Arial Regular" w:cs="Arial Regular"/>
          <w:sz w:val="24"/>
          <w:szCs w:val="24"/>
          <w:lang w:val="en-US" w:eastAsia="zh-CN"/>
        </w:rPr>
        <w:t xml:space="preserve">2.1 </w:t>
      </w:r>
      <w:r>
        <w:rPr>
          <w:rFonts w:hint="default" w:ascii="Arial Regular" w:hAnsi="Arial Regular" w:cs="Arial Regular"/>
          <w:sz w:val="24"/>
          <w:szCs w:val="24"/>
        </w:rPr>
        <w:t>Cultural dimension theory</w:t>
      </w:r>
      <w:bookmarkEnd w:id="3"/>
    </w:p>
    <w:p w14:paraId="3EA456B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Cultural Dimension Theory, proposed by Dutch psychologist Geert Hofstede, aims to explore the differences between cultures of different countries through quantitative analysis. Dhital, R. (2023)</w:t>
      </w:r>
      <w:r>
        <w:rPr>
          <w:rFonts w:hint="default" w:ascii="Arial Regular" w:hAnsi="Arial Regular" w:cs="Arial Regular"/>
          <w:sz w:val="24"/>
          <w:szCs w:val="24"/>
          <w:lang w:val="en-US" w:eastAsia="zh-CN"/>
        </w:rPr>
        <w:t xml:space="preserve"> pointed out t</w:t>
      </w:r>
      <w:r>
        <w:rPr>
          <w:rFonts w:hint="default" w:ascii="Arial Regular" w:hAnsi="Arial Regular" w:cs="Arial Regular"/>
          <w:sz w:val="24"/>
          <w:szCs w:val="24"/>
        </w:rPr>
        <w:t>his theory provides important theoretical support for cross-cultural management, international marketing and other fields. Lee, H.-K. (2019)</w:t>
      </w:r>
      <w:r>
        <w:rPr>
          <w:rFonts w:hint="default" w:ascii="Arial Regular" w:hAnsi="Arial Regular" w:cs="Arial Regular"/>
          <w:sz w:val="24"/>
          <w:szCs w:val="24"/>
          <w:lang w:val="en-US" w:eastAsia="zh-CN"/>
        </w:rPr>
        <w:t xml:space="preserve"> pointed out that i</w:t>
      </w:r>
      <w:r>
        <w:rPr>
          <w:rFonts w:hint="default" w:ascii="Arial Regular" w:hAnsi="Arial Regular" w:cs="Arial Regular"/>
          <w:sz w:val="24"/>
          <w:szCs w:val="24"/>
        </w:rPr>
        <w:t>n the context of trade between the UK and South Korea, the application of cultural dimension theory is particularly important, because it can help both sides better understand each other's cultural background and value differences, so as to avoid misunderstandings and conflicts and promote the steady development of trade relations.</w:t>
      </w:r>
    </w:p>
    <w:p w14:paraId="6300BF3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In the trade cooperation between the UK and South Korea, both sides face multiple challenges due to cultural differences. Pang, R. and Pang, R. (2023)</w:t>
      </w:r>
      <w:r>
        <w:rPr>
          <w:rFonts w:hint="default" w:ascii="Arial Regular" w:hAnsi="Arial Regular" w:cs="Arial Regular"/>
          <w:sz w:val="24"/>
          <w:szCs w:val="24"/>
          <w:lang w:val="en-US"/>
        </w:rPr>
        <w:t xml:space="preserve"> showed that </w:t>
      </w:r>
      <w:r>
        <w:rPr>
          <w:rFonts w:hint="default" w:ascii="Arial Regular" w:hAnsi="Arial Regular" w:cs="Arial Regular"/>
          <w:sz w:val="24"/>
          <w:szCs w:val="24"/>
        </w:rPr>
        <w:t>British enterprises tend to negotiate on an equal footing, pay attention to personal interests and freedom, have high risk tolerance and pursue short-term interests and changes.Zhou, J. and Zhou, Z. (2022)</w:t>
      </w:r>
      <w:r>
        <w:rPr>
          <w:rFonts w:hint="default" w:ascii="Arial Regular" w:hAnsi="Arial Regular" w:cs="Arial Regular"/>
          <w:sz w:val="24"/>
          <w:szCs w:val="24"/>
          <w:lang w:val="en-US" w:eastAsia="zh-CN"/>
        </w:rPr>
        <w:t xml:space="preserve"> showed that</w:t>
      </w:r>
      <w:r>
        <w:rPr>
          <w:rFonts w:hint="default" w:ascii="Arial Regular" w:hAnsi="Arial Regular" w:cs="Arial Regular"/>
          <w:sz w:val="24"/>
          <w:szCs w:val="24"/>
        </w:rPr>
        <w:t xml:space="preserve"> </w:t>
      </w:r>
      <w:r>
        <w:rPr>
          <w:rFonts w:hint="default" w:ascii="Arial Regular" w:hAnsi="Arial Regular" w:cs="Arial Regular"/>
          <w:sz w:val="24"/>
          <w:szCs w:val="24"/>
          <w:lang w:val="en-US"/>
        </w:rPr>
        <w:t>o</w:t>
      </w:r>
      <w:r>
        <w:rPr>
          <w:rFonts w:hint="default" w:ascii="Arial Regular" w:hAnsi="Arial Regular" w:cs="Arial Regular"/>
          <w:sz w:val="24"/>
          <w:szCs w:val="24"/>
        </w:rPr>
        <w:t>n the other hand, Korean companies pay more attention to respect for authority, the collective interests of the team, control uncertainty through formal channels, emphasize long-term planning and frugality, and attach importance to social norms and ethical standards. To overcome these differences, the two sides need to establish common goals, promote teamwork, balance competition and cooperation, strengthen communication on risk management compliance, balance short - and long-term development, and strengthen cooperation on ethics and social responsibility to promote sustainable development of trade relations.</w:t>
      </w:r>
    </w:p>
    <w:p w14:paraId="3953B78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713272E6">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rPr>
      </w:pPr>
      <w:bookmarkStart w:id="4" w:name="_Toc2013714362"/>
      <w:r>
        <w:rPr>
          <w:rFonts w:hint="default" w:ascii="Arial Regular" w:hAnsi="Arial Regular" w:cs="Arial Regular"/>
          <w:sz w:val="24"/>
          <w:szCs w:val="24"/>
          <w:lang w:val="en-US" w:eastAsia="zh-CN"/>
        </w:rPr>
        <w:t xml:space="preserve">2.2 </w:t>
      </w:r>
      <w:r>
        <w:rPr>
          <w:rFonts w:hint="default" w:ascii="Arial Regular" w:hAnsi="Arial Regular" w:cs="Arial Regular"/>
          <w:sz w:val="24"/>
          <w:szCs w:val="24"/>
        </w:rPr>
        <w:t>Communicative adaptability theory</w:t>
      </w:r>
      <w:bookmarkEnd w:id="4"/>
    </w:p>
    <w:p w14:paraId="1596048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The communicative adaptation theory of Gudykunst, an American communicative scholar, emphasizes the application of communicative adaptation and rhetorical strategies in intercultural communication. When doing business with South Korea, the UK needs to adapt to Korean business culture and communication habits, while employing effective rhetorical strategies to promote understanding and cooperation between the two sides.</w:t>
      </w:r>
    </w:p>
    <w:p w14:paraId="2351A70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Yi, C. (2022)</w:t>
      </w:r>
      <w:r>
        <w:rPr>
          <w:rFonts w:hint="default" w:ascii="Arial Regular" w:hAnsi="Arial Regular" w:cs="Arial Regular"/>
          <w:sz w:val="24"/>
          <w:szCs w:val="24"/>
          <w:lang w:val="en-US"/>
        </w:rPr>
        <w:t xml:space="preserve"> pointed out that t</w:t>
      </w:r>
      <w:r>
        <w:rPr>
          <w:rFonts w:hint="default" w:ascii="Arial Regular" w:hAnsi="Arial Regular" w:cs="Arial Regular"/>
          <w:sz w:val="24"/>
          <w:szCs w:val="24"/>
        </w:rPr>
        <w:t>rade relations between the UK and South Korea have been strengthening in recent years. For example, South Korean President Yoon Seok-yoon's visit to the United Kingdom not only deepened cooperation between the two countries in supply chain, digital, nuclear energy and other fields, but also signed a new bilateral framework agreement, elevating the bilateral relationship to a "global strategic partnership." Yi, C.-D. (2021)</w:t>
      </w:r>
      <w:r>
        <w:rPr>
          <w:rFonts w:hint="default" w:ascii="Arial Regular" w:hAnsi="Arial Regular" w:cs="Arial Regular"/>
          <w:sz w:val="24"/>
          <w:szCs w:val="24"/>
          <w:lang w:val="en-US"/>
        </w:rPr>
        <w:t xml:space="preserve"> showed that </w:t>
      </w:r>
      <w:r>
        <w:rPr>
          <w:rFonts w:hint="default" w:ascii="Arial Regular" w:hAnsi="Arial Regular" w:cs="Arial Regular"/>
          <w:sz w:val="24"/>
          <w:szCs w:val="24"/>
        </w:rPr>
        <w:t>Economically, South Korea has invested in green energy and infrastructure projects across the UK, creating a large number of skilled jobs in the UK. These collaborations show that the UK and South Korea have extensive interaction and dependence on trade and economy.</w:t>
      </w:r>
    </w:p>
    <w:p w14:paraId="4FE9E01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Kim, J.-K. (2023)</w:t>
      </w:r>
      <w:r>
        <w:rPr>
          <w:rFonts w:hint="default" w:ascii="Arial Regular" w:hAnsi="Arial Regular" w:cs="Arial Regular"/>
          <w:sz w:val="24"/>
          <w:szCs w:val="24"/>
          <w:lang w:val="en-US"/>
        </w:rPr>
        <w:t xml:space="preserve"> showed that i</w:t>
      </w:r>
      <w:r>
        <w:rPr>
          <w:rFonts w:hint="default" w:ascii="Arial Regular" w:hAnsi="Arial Regular" w:cs="Arial Regular"/>
          <w:sz w:val="24"/>
          <w:szCs w:val="24"/>
        </w:rPr>
        <w:t>n trade negotiations between the UK and South Korea, the two sides may use different language styles and terminology to suit different communication situations and negotiating partners. For example, in formal diplomatic situations, both sides may use more formal and precise language; In business negotiations, however, more direct and pragmatic expressions may be used.</w:t>
      </w:r>
    </w:p>
    <w:p w14:paraId="215F489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lang w:val="en-US"/>
        </w:rPr>
        <w:t>Yoon, H. and Vlachos, P. (2023) showed b</w:t>
      </w:r>
      <w:r>
        <w:rPr>
          <w:rFonts w:hint="default" w:ascii="Arial Regular" w:hAnsi="Arial Regular" w:cs="Arial Regular"/>
          <w:sz w:val="24"/>
          <w:szCs w:val="24"/>
        </w:rPr>
        <w:t>oth the UK and South Korea need to adjust their language strategies according to the needs and expectations of the other side in their trade exchanges. For example, if the British side shows strong interest in Korean products or services, the Korean side may use more positive and enthusiastic language to promote their products; On the other hand, if the British side is unhappy with a certain trade terms, the Korean side may need to adjust its language strategy to seek mutual interests.</w:t>
      </w:r>
    </w:p>
    <w:p w14:paraId="7ADF5CF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p>
    <w:p w14:paraId="266FD654">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rPr>
      </w:pPr>
      <w:bookmarkStart w:id="5" w:name="_Toc155005414"/>
      <w:r>
        <w:rPr>
          <w:rFonts w:hint="default" w:ascii="Arial Regular" w:hAnsi="Arial Regular" w:cs="Arial Regular"/>
          <w:b/>
          <w:bCs/>
          <w:sz w:val="24"/>
          <w:szCs w:val="24"/>
          <w:lang w:val="en-US" w:eastAsia="zh-CN"/>
        </w:rPr>
        <w:t xml:space="preserve">3.0 </w:t>
      </w:r>
      <w:r>
        <w:rPr>
          <w:rFonts w:hint="default" w:ascii="Arial Regular" w:hAnsi="Arial Regular" w:cs="Arial Regular"/>
          <w:b/>
          <w:bCs/>
          <w:sz w:val="24"/>
          <w:szCs w:val="24"/>
        </w:rPr>
        <w:t>The challenges of business cooperation between the UK and South Korea</w:t>
      </w:r>
      <w:bookmarkEnd w:id="5"/>
    </w:p>
    <w:p w14:paraId="6621200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r>
        <w:rPr>
          <w:rFonts w:hint="default" w:ascii="Arial Regular" w:hAnsi="Arial Regular" w:cs="Arial Regular"/>
          <w:sz w:val="24"/>
          <w:szCs w:val="24"/>
        </w:rPr>
        <w:t>Business cooperation between the UK and South Korea, while full of opportunities, also faces a number of challenges. First, the cultural differences between the two countries may lead to misunderstandings in business exchanges and negotiations. The UK and South Korea use English and Korean as their official languages respectively, so the Language Barrier is also an important factor that cannot be ignored.</w:t>
      </w:r>
    </w:p>
    <w:p w14:paraId="7C7D958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251110C3">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rPr>
      </w:pPr>
      <w:bookmarkStart w:id="6" w:name="_Toc278329287"/>
      <w:r>
        <w:rPr>
          <w:rFonts w:hint="default" w:ascii="Arial Regular" w:hAnsi="Arial Regular" w:cs="Arial Regular"/>
          <w:sz w:val="24"/>
          <w:szCs w:val="24"/>
          <w:lang w:val="en-US" w:eastAsia="zh-CN"/>
        </w:rPr>
        <w:t xml:space="preserve">3.1 </w:t>
      </w:r>
      <w:r>
        <w:rPr>
          <w:rFonts w:hint="default" w:ascii="Arial Regular" w:hAnsi="Arial Regular" w:cs="Arial Regular"/>
          <w:sz w:val="24"/>
          <w:szCs w:val="24"/>
        </w:rPr>
        <w:t>Cultural difference</w:t>
      </w:r>
      <w:bookmarkEnd w:id="6"/>
    </w:p>
    <w:p w14:paraId="5DC57D6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rPr>
        <w:t>There are significant differences between British and Korean people in cultural dimension, which leads to their different behavior patterns and thinking modes in business communication. These differences can lead to misunderstandings and conflicts, which can affect the smooth progress of cooperation.</w:t>
      </w:r>
    </w:p>
    <w:p w14:paraId="5AA5B5F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rPr>
        <w:t>Szklarska, A. (2022)</w:t>
      </w:r>
      <w:r>
        <w:rPr>
          <w:rFonts w:hint="default" w:ascii="Arial Regular" w:hAnsi="Arial Regular" w:cs="Arial Regular"/>
          <w:b w:val="0"/>
          <w:bCs w:val="0"/>
          <w:sz w:val="24"/>
          <w:szCs w:val="24"/>
          <w:lang w:val="en-US" w:eastAsia="zh-CN"/>
        </w:rPr>
        <w:t xml:space="preserve"> showed that </w:t>
      </w:r>
      <w:r>
        <w:rPr>
          <w:rFonts w:hint="default" w:ascii="Arial Regular" w:hAnsi="Arial Regular" w:cs="Arial Regular"/>
          <w:b w:val="0"/>
          <w:bCs w:val="0"/>
          <w:sz w:val="24"/>
          <w:szCs w:val="24"/>
        </w:rPr>
        <w:t>British business culture is generally conservative and formal, emphasizing the use of polite and formal language. In communication, British people tend to avoid overly intimate or direct expressions in order to maintain personal space and respect each other. Humor plays an important role in communication, and proper humor can help ease tension, but it needs to be used carefully so as not to offend the other person. Viberg, O., Kizilcec, René F, Jivet, I., Monés, A.M., Oh, A., Mutimukwe, C., Hrastinski, S. and Scheffel, M. (2023)</w:t>
      </w:r>
      <w:r>
        <w:rPr>
          <w:rFonts w:hint="default" w:ascii="Arial Regular" w:hAnsi="Arial Regular" w:cs="Arial Regular"/>
          <w:b w:val="0"/>
          <w:bCs w:val="0"/>
          <w:sz w:val="24"/>
          <w:szCs w:val="24"/>
          <w:lang w:val="en-US"/>
        </w:rPr>
        <w:t xml:space="preserve"> pointed out that </w:t>
      </w:r>
      <w:r>
        <w:rPr>
          <w:rFonts w:hint="default" w:ascii="Arial Regular" w:hAnsi="Arial Regular" w:cs="Arial Regular"/>
          <w:b w:val="0"/>
          <w:bCs w:val="0"/>
          <w:sz w:val="24"/>
          <w:szCs w:val="24"/>
        </w:rPr>
        <w:t>Korean culture places more emphasis on respect and etiquette, especially when dealing with elders and authority. In business situations, building good interpersonal relationships is crucial, so Koreans prefer informal social events to enhance trust and cooperation.</w:t>
      </w:r>
    </w:p>
    <w:p w14:paraId="518A103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rPr>
        <w:t>Harb, Z. (2022)</w:t>
      </w:r>
      <w:r>
        <w:rPr>
          <w:rFonts w:hint="default" w:ascii="Arial Regular" w:hAnsi="Arial Regular" w:cs="Arial Regular"/>
          <w:b w:val="0"/>
          <w:bCs w:val="0"/>
          <w:sz w:val="24"/>
          <w:szCs w:val="24"/>
          <w:lang w:val="en-US"/>
        </w:rPr>
        <w:t xml:space="preserve"> pointed out that t</w:t>
      </w:r>
      <w:r>
        <w:rPr>
          <w:rFonts w:hint="default" w:ascii="Arial Regular" w:hAnsi="Arial Regular" w:cs="Arial Regular"/>
          <w:b w:val="0"/>
          <w:bCs w:val="0"/>
          <w:sz w:val="24"/>
          <w:szCs w:val="24"/>
        </w:rPr>
        <w:t>he UK's decision-making process is generally more rational and deliberate, with a tendency to seek consensus. This approach may result in a relatively slow decision-making process, but ensures that all views are fully taken into account. van, Chun, S., Lee, O. and Kim, D. (2024)</w:t>
      </w:r>
      <w:r>
        <w:rPr>
          <w:rFonts w:hint="default" w:ascii="Arial Regular" w:hAnsi="Arial Regular" w:cs="Arial Regular"/>
          <w:b w:val="0"/>
          <w:bCs w:val="0"/>
          <w:sz w:val="24"/>
          <w:szCs w:val="24"/>
          <w:lang w:val="en-US"/>
        </w:rPr>
        <w:t xml:space="preserve"> showed that i</w:t>
      </w:r>
      <w:r>
        <w:rPr>
          <w:rFonts w:hint="default" w:ascii="Arial Regular" w:hAnsi="Arial Regular" w:cs="Arial Regular"/>
          <w:b w:val="0"/>
          <w:bCs w:val="0"/>
          <w:sz w:val="24"/>
          <w:szCs w:val="24"/>
        </w:rPr>
        <w:t>n South Korea, by contrast, decision-making tends to be more collectivised, with an emphasis on teamwork and tacit understanding. In a business environment, individual opinions often need to be aligned with team goals, which can lead to a preference for group interests over individual opinions when making decisions.</w:t>
      </w:r>
    </w:p>
    <w:p w14:paraId="51F6D4E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r>
        <w:rPr>
          <w:rFonts w:hint="default" w:ascii="Arial Regular" w:hAnsi="Arial Regular" w:cs="Arial Regular"/>
          <w:b w:val="0"/>
          <w:bCs w:val="0"/>
          <w:sz w:val="24"/>
          <w:szCs w:val="24"/>
        </w:rPr>
        <w:t>Stöber, K. (2021)</w:t>
      </w:r>
      <w:r>
        <w:rPr>
          <w:rFonts w:hint="default" w:ascii="Arial Regular" w:hAnsi="Arial Regular" w:cs="Arial Regular"/>
          <w:b w:val="0"/>
          <w:bCs w:val="0"/>
          <w:sz w:val="24"/>
          <w:szCs w:val="24"/>
          <w:lang w:val="en-US"/>
        </w:rPr>
        <w:t xml:space="preserve"> showed that i</w:t>
      </w:r>
      <w:r>
        <w:rPr>
          <w:rFonts w:hint="default" w:ascii="Arial Regular" w:hAnsi="Arial Regular" w:cs="Arial Regular"/>
          <w:b w:val="0"/>
          <w:bCs w:val="0"/>
          <w:sz w:val="24"/>
          <w:szCs w:val="24"/>
        </w:rPr>
        <w:t>n business situations, British people are usually expected to dress conservatively and professionally, and to follow formal etiquette rules. In addition, when it comes to gift exchange, the British are generally more cautious and do not do it too often.Kim, J. and Kang, S.-Y. (2021)</w:t>
      </w:r>
      <w:r>
        <w:rPr>
          <w:rFonts w:hint="default" w:ascii="Arial Regular" w:hAnsi="Arial Regular" w:cs="Arial Regular"/>
          <w:b w:val="0"/>
          <w:bCs w:val="0"/>
          <w:sz w:val="24"/>
          <w:szCs w:val="24"/>
          <w:lang w:val="en-US"/>
        </w:rPr>
        <w:t xml:space="preserve"> showed that</w:t>
      </w:r>
      <w:r>
        <w:rPr>
          <w:rFonts w:hint="default" w:ascii="Arial Regular" w:hAnsi="Arial Regular" w:cs="Arial Regular"/>
          <w:b w:val="0"/>
          <w:bCs w:val="0"/>
          <w:sz w:val="24"/>
          <w:szCs w:val="24"/>
        </w:rPr>
        <w:t xml:space="preserve"> Koreans are also formal when it comes to business etiquette, for example, using both hands when presenting business cards or gifts and showing proper respect. This meticulous etiquette reflects respect for business partners.</w:t>
      </w:r>
    </w:p>
    <w:p w14:paraId="0476CB1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val="0"/>
          <w:sz w:val="24"/>
          <w:szCs w:val="24"/>
        </w:rPr>
      </w:pPr>
    </w:p>
    <w:p w14:paraId="46CEBE52">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rPr>
      </w:pPr>
      <w:bookmarkStart w:id="7" w:name="_Toc660943443"/>
      <w:r>
        <w:rPr>
          <w:rFonts w:hint="default" w:ascii="Arial Regular" w:hAnsi="Arial Regular" w:cs="Arial Regular"/>
          <w:sz w:val="24"/>
          <w:szCs w:val="24"/>
          <w:lang w:val="en-US" w:eastAsia="zh-CN"/>
        </w:rPr>
        <w:t xml:space="preserve">3.2 </w:t>
      </w:r>
      <w:r>
        <w:rPr>
          <w:rFonts w:hint="default" w:ascii="Arial Regular" w:hAnsi="Arial Regular" w:cs="Arial Regular"/>
          <w:sz w:val="24"/>
          <w:szCs w:val="24"/>
        </w:rPr>
        <w:t>Language barrier</w:t>
      </w:r>
      <w:bookmarkEnd w:id="7"/>
    </w:p>
    <w:p w14:paraId="7A0F208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Britain and South Korea use English and Korean as their official languages, respectively. Lee, S., Paavola, J. and Suraje Dessai (2023) pointed out that the language barrier makes it difficult for the two countries to communicate in trade negotiations, contract signing, product descriptions, after-sales services, etc.Freiermuth, M.R. and Huang, H. (2021) showed that in trade negotiations, if both sides do not accurately understand each other's intentions and needs, misunderstandings and conflicts can result. Chowdhry, S. and Felbermayr, G.J. (2021) pointed out in addition, in terms of product description and after-sales service, if the language is not good, it may lead to inaccurate information transmission, affecting product sales and customer satisfaction. Amano, T., Berdejo‐Espinola, V., Munemitsu Akasaka, Milton, Blaise, N., Checco, J., F. Gözde Çilingir, Geoffroy Citegetse, Marina Corella Tor, Drobniak, S.M., Sylvaine Giakoumi, Golivets, M., Ion, M.C., Jara-Díaz, J.P., Ryosuke Katayose, Lasmana, F., Lin, H., López, E., Mikula, P. and Lucía Morales‐Barquero (2023) pointed out to overcome the language barrier, the two countries often rely on translation services in their trade. However, translation services need to invest a lot of manpower and material resources, which increases the cost of trade. At the same time, due to the uneven quality of translation, sometimes there will be translation errors or omissions, which will bring unnecessary troubles and losses to trade.</w:t>
      </w:r>
    </w:p>
    <w:p w14:paraId="749891E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eastAsia="zh-CN"/>
        </w:rPr>
      </w:pPr>
    </w:p>
    <w:p w14:paraId="05687694">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rPr>
      </w:pPr>
      <w:bookmarkStart w:id="8" w:name="_Toc1691024217"/>
      <w:r>
        <w:rPr>
          <w:rFonts w:hint="default" w:ascii="Arial Regular" w:hAnsi="Arial Regular" w:cs="Arial Regular"/>
          <w:b/>
          <w:bCs/>
          <w:sz w:val="24"/>
          <w:szCs w:val="24"/>
          <w:lang w:val="en-US" w:eastAsia="zh-CN"/>
        </w:rPr>
        <w:t>4.0 C</w:t>
      </w:r>
      <w:r>
        <w:rPr>
          <w:rFonts w:hint="default" w:ascii="Arial Regular" w:hAnsi="Arial Regular" w:cs="Arial Regular"/>
          <w:b/>
          <w:bCs/>
          <w:sz w:val="24"/>
          <w:szCs w:val="24"/>
        </w:rPr>
        <w:t>ritical evaluation and strategy selection</w:t>
      </w:r>
      <w:bookmarkEnd w:id="8"/>
    </w:p>
    <w:p w14:paraId="3986D73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The trade cooperation between the UK and South Korea has broad prospects and potential, but it also faces some challenges and risks. By enhancing cultural sensitivity, building trust and cooperation and making use of intercultural communication strategies, The two countries can jointly push trade cooperation to a higher level.</w:t>
      </w:r>
    </w:p>
    <w:p w14:paraId="2C8BE3F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2D2DF589">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rPr>
      </w:pPr>
      <w:bookmarkStart w:id="9" w:name="_Toc1245430721"/>
      <w:r>
        <w:rPr>
          <w:rFonts w:hint="default" w:ascii="Arial Regular" w:hAnsi="Arial Regular" w:cs="Arial Regular"/>
          <w:sz w:val="24"/>
          <w:szCs w:val="24"/>
          <w:lang w:val="en-US" w:eastAsia="zh-CN"/>
        </w:rPr>
        <w:t xml:space="preserve">4.1 </w:t>
      </w:r>
      <w:r>
        <w:rPr>
          <w:rFonts w:hint="default" w:ascii="Arial Regular" w:hAnsi="Arial Regular" w:cs="Arial Regular"/>
          <w:sz w:val="24"/>
          <w:szCs w:val="24"/>
        </w:rPr>
        <w:t>Enhance cultural sensitivity</w:t>
      </w:r>
      <w:bookmarkEnd w:id="9"/>
    </w:p>
    <w:p w14:paraId="7A10411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Rank, S.J., Nageotte, N.L., Pletcher, N. and Mary Ann Jackson (2023)</w:t>
      </w:r>
      <w:r>
        <w:rPr>
          <w:rFonts w:hint="default" w:ascii="Arial Regular" w:hAnsi="Arial Regular" w:cs="Arial Regular"/>
          <w:b w:val="0"/>
          <w:bCs/>
          <w:sz w:val="24"/>
          <w:szCs w:val="24"/>
          <w:lang w:val="en-US" w:eastAsia="zh-CN"/>
        </w:rPr>
        <w:t xml:space="preserve"> showed that c</w:t>
      </w:r>
      <w:r>
        <w:rPr>
          <w:rFonts w:hint="default" w:ascii="Arial Regular" w:hAnsi="Arial Regular" w:cs="Arial Regular"/>
          <w:b w:val="0"/>
          <w:bCs/>
          <w:sz w:val="24"/>
          <w:szCs w:val="24"/>
          <w:lang w:val="en-US"/>
        </w:rPr>
        <w:t>ultural sensitivity mainly refers to the ability to maintain a high degree of sensitivity and pay attention to and respect the cultural differences of individuals when interacting with people from different cultural backgrounds. In international trade, especially in trans-regional trade such as that between the UK and South Korea, cultural differences can lead to misunderstandings, conflicts and even failed cooperation. Therefore, enhancing cultural sensitivity is one of the key factors to ensure the smooth flow of trade.</w:t>
      </w:r>
    </w:p>
    <w:p w14:paraId="085683D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Becker, T. and Fuhg, F. (2021) showed that Britain has a long history and a deep culture that values tradition, etiquette and gentlemanliness. South Korea went from postwar ruin to economic boom, with a culture deeply influenced by Confucianism and modern industrialization, emphasizing collectivism, respect for the young and the elderly, and hard work. English is the official language of the United Kingdom and communication is direct and clear. Korean is the official language of South Korea, and communication is relatively reserved and focuses on polite expressions. Chen, Q. (2024) showed that British businessmen usually focus on efficiency, logic and data analysis, and their negotiating style is more direct and pragmatic. Darynaufal Mulyaman and Ismail, A. (2021) showed that Korean businessmen are more focused on relationships, trust and face, and have a more flexible and strategic negotiating style.</w:t>
      </w:r>
    </w:p>
    <w:p w14:paraId="52E1E4A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Zauresh Seilova (2024) pointed out that in order to enhance cultural sensitivity, you can gain an in-depth understanding of each other's culture by reading relevant books, watching films, and participating in cultural exchange activities to gain an in-depth understanding of the history, culture, customs and business practices of the UK and South Korea. Pay attention to festivals, anniversaries and major events in the other country in order to show respect and attention in business communication. Respect and tolerate cultural differences. In business communication, respect each other's cultural habits and avoid words and deeds that may cause misunderstanding or offense. Be tolerant and understand the uniqueness of each other's culture, and be open to different perspectives and practices. Establish a trust and communication mechanism, actively establish a relationship of trust in trade cooperation, and enhance mutual understanding through regular communication, mutual visits and cooperation projects. Use translation and cross-cultural communication skills to ensure the accuracy and effectiveness of information delivery. Adapt and adjust strategies, adjust their own business strategies, product design and marketing methods according to the characteristics of the other party's culture. In the process of negotiation, flexibly respond to the other party's cultural habits and negotiation style, and seek win-win solutions.</w:t>
      </w:r>
    </w:p>
    <w:p w14:paraId="1C94B9F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1A103BA">
      <w:pPr>
        <w:pStyle w:val="3"/>
        <w:pageBreakBefore w:val="0"/>
        <w:kinsoku/>
        <w:wordWrap/>
        <w:overflowPunct/>
        <w:topLinePunct w:val="0"/>
        <w:autoSpaceDE/>
        <w:autoSpaceDN/>
        <w:bidi w:val="0"/>
        <w:adjustRightInd w:val="0"/>
        <w:snapToGrid w:val="0"/>
        <w:spacing w:line="480" w:lineRule="auto"/>
        <w:textAlignment w:val="auto"/>
        <w:outlineLvl w:val="0"/>
        <w:rPr>
          <w:rFonts w:hint="default" w:ascii="Arial Regular" w:hAnsi="Arial Regular" w:cs="Arial Regular"/>
          <w:sz w:val="24"/>
          <w:szCs w:val="24"/>
        </w:rPr>
      </w:pPr>
      <w:bookmarkStart w:id="10" w:name="_Toc431020538"/>
      <w:r>
        <w:rPr>
          <w:rFonts w:hint="default" w:ascii="Arial Regular" w:hAnsi="Arial Regular" w:cs="Arial Regular"/>
          <w:sz w:val="24"/>
          <w:szCs w:val="24"/>
          <w:lang w:val="en-US" w:eastAsia="zh-CN"/>
        </w:rPr>
        <w:t xml:space="preserve">4.2 </w:t>
      </w:r>
      <w:r>
        <w:rPr>
          <w:rFonts w:hint="default" w:ascii="Arial Regular" w:hAnsi="Arial Regular" w:cs="Arial Regular"/>
          <w:sz w:val="24"/>
          <w:szCs w:val="24"/>
        </w:rPr>
        <w:t>Build trust and cooperation</w:t>
      </w:r>
      <w:bookmarkEnd w:id="10"/>
    </w:p>
    <w:p w14:paraId="5BE94D5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Chaer, M.I., Sumarlan, S. and Widodo, P. (2021)</w:t>
      </w:r>
      <w:r>
        <w:rPr>
          <w:rFonts w:hint="default" w:ascii="Arial Regular" w:hAnsi="Arial Regular" w:cs="Arial Regular"/>
          <w:b w:val="0"/>
          <w:bCs/>
          <w:sz w:val="24"/>
          <w:szCs w:val="24"/>
          <w:lang w:val="en-US" w:eastAsia="zh-CN"/>
        </w:rPr>
        <w:t xml:space="preserve"> showed that i</w:t>
      </w:r>
      <w:r>
        <w:rPr>
          <w:rFonts w:hint="default" w:ascii="Arial Regular" w:hAnsi="Arial Regular" w:cs="Arial Regular"/>
          <w:b w:val="0"/>
          <w:bCs/>
          <w:sz w:val="24"/>
          <w:szCs w:val="24"/>
          <w:lang w:val="en-US"/>
        </w:rPr>
        <w:t>n business cooperation, trust is the basis for building long-term relationships. British companies should build trust with Korean companies through active communication and cooperation. This includes candid communication about each other's needs and expectations, joint development of cooperation goals and plans, and timely communication and resolution of problems arising from cooperation.</w:t>
      </w:r>
    </w:p>
    <w:p w14:paraId="7FB5840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Ritu Raj Lamsal, Ashbin Kumar Devkota and Madhu Sudhan Bhusal (2023) showed that trust is the cornerstone of a trading relationship. When a relationship of trust is established between enterprises or individuals in the two countries, they are more willing to conduct long-term and stable trade exchanges, thus promoting the growth of trade volume. Sylwia Nycz-Wojtan (2023)</w:t>
      </w:r>
      <w:r>
        <w:rPr>
          <w:rFonts w:hint="default" w:ascii="Arial Regular" w:hAnsi="Arial Regular" w:cs="Arial Regular"/>
          <w:b w:val="0"/>
          <w:bCs/>
          <w:sz w:val="24"/>
          <w:szCs w:val="24"/>
          <w:lang w:val="en-US" w:eastAsia="zh-CN"/>
        </w:rPr>
        <w:t xml:space="preserve"> showed that c</w:t>
      </w:r>
      <w:r>
        <w:rPr>
          <w:rFonts w:hint="default" w:ascii="Arial Regular" w:hAnsi="Arial Regular" w:cs="Arial Regular"/>
          <w:b w:val="0"/>
          <w:bCs/>
          <w:sz w:val="24"/>
          <w:szCs w:val="24"/>
          <w:lang w:val="en-US"/>
        </w:rPr>
        <w:t>ooperation can lead to more business opportunities and benefit sharing. By jointly developing new products, expanding new markets or optimizing the supply chain, the two sides can achieve mutual benefit and win-win results, and further promote the in-depth development of trade relations. Trust and cooperation can reduce the doubts and worries of both parties in the transaction process, thus reducing transaction costs. For example, when signing a contract, both parties can discuss terms and conditions more candidly, reducing misunderstandings and conflicts arising from asymmetric information. Trust can also promote information sharing and communication between the two parties, reducing the risks and costs caused by information asymmetry. In the context of globalization, the competition between enterprises is becoming increasingly fierce. By establishing a relationship of trust and cooperation, the two sides can jointly cope with market challenges, improve product quality and service level, and thus enhance competitiveness. At the same time, cooperation can also promote technological innovation and industrial upgrading, bringing more business opportunities and growth potential for both sides.</w:t>
      </w:r>
    </w:p>
    <w:p w14:paraId="340B0A3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Taking South Korean President Yoon Seok-yoon's visit to the UK as an example, the two sides signed the Downing Street Agreement, which upgraded the relationship from a "broad, creative partnership" to a "global strategic partnership" and highlighted the two countries' joint efforts to address geopolitical risks on the 140th anniversary of diplomatic relations. The signing of this agreement not only reflects the trust and cooperation between the two sides, but also lays a solid foundation for future trade cooperation. In trade between the UK and South Korea, building trust and cooperation is one of the key factors driving the in-depth development of trade relations. By strengthening communication and exchanges, promoting the free trade agreement, carrying out joint research and development and technological innovation, and strengthening cultural exchanges and personnel exchanges, the two sides can establish closer and stronger trade relations and achieve mutual benefit and common development.</w:t>
      </w:r>
    </w:p>
    <w:p w14:paraId="6036B1A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8300A51">
      <w:pPr>
        <w:pStyle w:val="3"/>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sz w:val="24"/>
          <w:szCs w:val="24"/>
        </w:rPr>
      </w:pPr>
      <w:bookmarkStart w:id="11" w:name="_Toc699840835"/>
      <w:r>
        <w:rPr>
          <w:rFonts w:hint="default" w:ascii="Arial Regular" w:hAnsi="Arial Regular" w:cs="Arial Regular"/>
          <w:sz w:val="24"/>
          <w:szCs w:val="24"/>
          <w:lang w:val="en-US" w:eastAsia="zh-CN"/>
        </w:rPr>
        <w:t xml:space="preserve">4.3 </w:t>
      </w:r>
      <w:r>
        <w:rPr>
          <w:rFonts w:hint="default" w:ascii="Arial Regular" w:hAnsi="Arial Regular" w:cs="Arial Regular"/>
          <w:sz w:val="24"/>
          <w:szCs w:val="24"/>
        </w:rPr>
        <w:t>Make use of intercultural communication strategies</w:t>
      </w:r>
      <w:bookmarkEnd w:id="11"/>
    </w:p>
    <w:p w14:paraId="26A2AFF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Taking SK Telecom's investment in the UK as an example, Selvaraj, D. (2021) pointed out that SK Telecom, as the largest mobile communication operator in South Korea, has carried out a comprehensive strategic layout in the UK, and gradually expanded to communications, music, games, film and television and other fields. In this process, SK Telecom has made full use of cross-cultural communication strategies.</w:t>
      </w:r>
    </w:p>
    <w:p w14:paraId="6582940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First, SK Telecom has an in-depth understanding of the UK market environment and cultural background to ensure that its investment strategy is in line with local market needs and laws and regulations. Secondly, SK Telecom respects the cultural differences of the UK and actively ADAPTS to local business habits and negotiation styles. At the same time, SK Telecom is also actively seeking cooperation opportunities with British companies to jointly promote technological innovation and business development. Through these efforts, SK Telecom has achieved remarkable results in the UK and gradually established its own brand influence.</w:t>
      </w:r>
    </w:p>
    <w:p w14:paraId="1C761D8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In the trade cooperation between the UK and South Korea, it is very important to make full use of the strategy of cross-cultural communication. Through in-depth understanding of each other's culture, respecting cultural differences, seeking cultural common ground and flexibly responding to cultural differences, the two sides can establish a closer and stable cooperative relationship and jointly promote the in-depth development of trade cooperation. At the same time, it also provides useful reference and inspiration for the cooperation of other countries in cross-cultural exchanges.</w:t>
      </w:r>
    </w:p>
    <w:p w14:paraId="59CF800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6E9BF422">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rPr>
      </w:pPr>
      <w:bookmarkStart w:id="12" w:name="_Toc456979226"/>
      <w:r>
        <w:rPr>
          <w:rFonts w:hint="default" w:ascii="Arial Regular" w:hAnsi="Arial Regular" w:cs="Arial Regular"/>
          <w:b/>
          <w:bCs/>
          <w:sz w:val="24"/>
          <w:szCs w:val="24"/>
          <w:lang w:val="en-US" w:eastAsia="zh-CN"/>
        </w:rPr>
        <w:t xml:space="preserve">5.0 </w:t>
      </w:r>
      <w:r>
        <w:rPr>
          <w:rFonts w:hint="default" w:ascii="Arial Regular" w:hAnsi="Arial Regular" w:cs="Arial Regular"/>
          <w:b/>
          <w:bCs/>
          <w:sz w:val="24"/>
          <w:szCs w:val="24"/>
          <w:lang w:val="en-US"/>
        </w:rPr>
        <w:t>Conclusion</w:t>
      </w:r>
      <w:bookmarkEnd w:id="12"/>
    </w:p>
    <w:p w14:paraId="0C78D3D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In summary, the trade relationship between the United Kingdom and South Korea exemplifies the potential benefits and challenges of cross-cultural partnerships. Despite significant progress, such as the elevation of their partnership to a "global strategic alliance," cultural differences pose notable hurdles. The UK's rational, consensus-driven decision-making contrasts with South Korea's collectivist, team-oriented approach, leading to potential misunderstandings and conflicts in business negotiations.</w:t>
      </w:r>
    </w:p>
    <w:p w14:paraId="4D868EF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To overcome these obstacles, enhancing cultural sensitivity becomes paramount. Both parties must respect and tolerate each other's cultural norms, establish trust through regular communication and cooperation projects, and leverage translation services to bridge the language gap. Moreover, making use of intercultural communication strategies will further strengthen their trade ties.</w:t>
      </w:r>
    </w:p>
    <w:p w14:paraId="31E0F37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Ultimately, by addressing cultural differences and fostering a culture of mutual understanding and trust, the UK and South Korea can harness the full potential of their trade relationship, ensuring long-term stability and growth. As globalization intensifies competition, such cross-cultural competencies will be crucial for navigating the complexities of international trade.</w:t>
      </w:r>
    </w:p>
    <w:p w14:paraId="46426FF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CEFA9B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E8DD47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E1D18B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2953B90C">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3F4C87C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6C3D57F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9988E0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6FE1FAE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7C5AF7C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4F7F940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7C1A720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14E3EAF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7C3BFC6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74F66C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8E07E8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4657EBA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7003B2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74D0D6A4">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bCs/>
          <w:sz w:val="24"/>
          <w:szCs w:val="24"/>
          <w:lang w:val="en-US"/>
        </w:rPr>
      </w:pPr>
      <w:bookmarkStart w:id="13" w:name="_Toc1048329710"/>
      <w:r>
        <w:rPr>
          <w:rFonts w:hint="default" w:ascii="Arial Regular" w:hAnsi="Arial Regular" w:cs="Arial Regular"/>
          <w:b/>
          <w:bCs/>
          <w:sz w:val="24"/>
          <w:szCs w:val="24"/>
          <w:lang w:val="en-US" w:eastAsia="zh-CN"/>
        </w:rPr>
        <w:t>6</w:t>
      </w:r>
      <w:r>
        <w:rPr>
          <w:rFonts w:hint="default" w:ascii="Arial Regular" w:hAnsi="Arial Regular" w:cs="Arial Regular"/>
          <w:b/>
          <w:bCs/>
          <w:sz w:val="24"/>
          <w:szCs w:val="24"/>
          <w:lang w:val="en-US"/>
        </w:rPr>
        <w:t>.0 References</w:t>
      </w:r>
      <w:bookmarkEnd w:id="13"/>
    </w:p>
    <w:p w14:paraId="63B6AAEA">
      <w:pPr>
        <w:pStyle w:val="2"/>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Amano, T., Berdejo‐Espinola, V., Munemitsu Akasaka, Milton, Blaise, N., Checco, J., F. Gözde Çilingir, Geoffroy Citegetse, Marina Corella Tor, Drobniak, S.M., Sylvaine Giakoumi, Golivets, M., Ion, M.C., Jara-Díaz, J.P., Ryosuke Katayose, Lasmana, F., Lin, H., López, E., Mikula, P. and Lucía Morales‐Barquero (2023). The role of non-English-language science in informing national biodiversity assessments. Nature Sustainability, 6(7), pp.845–854.</w:t>
      </w:r>
    </w:p>
    <w:p w14:paraId="089614D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Becker, T. and Fuhg, F. (2021). Writing Europe into British cultural history an introduction. Contemporary British History, pp.1–15.</w:t>
      </w:r>
    </w:p>
    <w:p w14:paraId="56D19C9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2AD3A68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Chaer, M.I., Sumarlan, S. and Widodo, P. (2021). STRATEGI DIPLOMASI PERTAHANAN INDONESIA DALAM KERJA SAMA TRILATERAL COOPERATIVE ARRANGEMENT (PORT VISIT INDOMALPHI 2017-2019). Jurnal Diplomasi Pertahanan, 7(3). </w:t>
      </w:r>
    </w:p>
    <w:p w14:paraId="5364AEC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7901D72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Chen, Q. (2024). Enhancing cross‐cultural educational awareness: Experimental study on immersive experiences using virtual reality. British Educational Rese</w:t>
      </w:r>
      <w:bookmarkStart w:id="14" w:name="_GoBack"/>
      <w:bookmarkEnd w:id="14"/>
      <w:r>
        <w:rPr>
          <w:rFonts w:hint="default" w:ascii="Arial Regular" w:hAnsi="Arial Regular" w:cs="Arial Regular"/>
          <w:b w:val="0"/>
          <w:bCs/>
          <w:sz w:val="24"/>
          <w:szCs w:val="24"/>
          <w:lang w:val="en-US"/>
        </w:rPr>
        <w:t xml:space="preserve">arch Journal. </w:t>
      </w:r>
    </w:p>
    <w:p w14:paraId="3A58706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4F72A54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Chowdhry, S. and Felbermayr, G.J. (2021). Trade Liberalization Along the Firm Size Distribution: The Case of the EU-South Korea FTA. SSRN Electronic Journal.</w:t>
      </w:r>
    </w:p>
    <w:p w14:paraId="44D095D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A72D83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Darynaufal Mulyaman and Ismail, A. (2021). Tendentious Actions, Racism, or Bad Prejudice?: Examining the Relations of Ethnocentrism and Xenophobia in the Contemporary South Korea. Andalas Journal of International Studies (AJIS), 10(2), pp.192–192. </w:t>
      </w:r>
    </w:p>
    <w:p w14:paraId="22E0D71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BD2AF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Dhital, R. (2023). Applying Hofstede’s Cultural Dimension Theory to Analyze Intercultural Communication Differences. Journal of Linguistics and Communication Studies, 2(3), pp.17–23. </w:t>
      </w:r>
    </w:p>
    <w:p w14:paraId="7447D43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1FD99C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Freiermuth, M.R. and Huang, H. (2021). Zooming across cultures: Can a telecollaborative video exchange between language learning partners further the development of intercultural competences? Foreign Language Annals, 54(1), pp.185–206.</w:t>
      </w:r>
    </w:p>
    <w:p w14:paraId="3F36638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F6F464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Harb, Z. (2022). Ethics in British Journalism: A reflective overview. Recherches en Communication, 54, pp.29–44. </w:t>
      </w:r>
    </w:p>
    <w:p w14:paraId="5B15A02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418C035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Kim, J. and Kang, S.-Y. (2021). The Impact of State Dementia Training Requirements for Nursing Homes on Resident Outcomes. Innovation in Aging, [online] 5(Supplement_1), pp.547–548. </w:t>
      </w:r>
    </w:p>
    <w:p w14:paraId="7475DA7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4A62A34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Kim, J.-K. (2023). An Analysis of Korea-UK FTA Improvement Negotiations and the New Trade Environment. Korea International Trade Research Institute, 19(1), pp.265–281. </w:t>
      </w:r>
    </w:p>
    <w:p w14:paraId="013234B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1482AF2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Lee, H.-K. (2019). Making creative industries policy in the real world: differing configurations of the culture-market-state nexus in the UK and South Korea. International Journal of Cultural Policy, 26(4), pp.1–17.</w:t>
      </w:r>
    </w:p>
    <w:p w14:paraId="5EC198E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 </w:t>
      </w:r>
    </w:p>
    <w:p w14:paraId="2D8FF5CE">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Lee, S., Paavola, J. and Suraje Dessai (2023). Causal mechanisms of common barriers to national adaptation policy processes and practical solutions in South Korea and the UK. Global sustainability, 6. </w:t>
      </w:r>
    </w:p>
    <w:p w14:paraId="53D684D8">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DFDFB7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Pang, R. and Pang, R. (2023). The Success and Failure of International Business English Negotiation: Based on Hofstede’s Cultural Dimension Perspective. BCP Education &amp; Psychology, [online] 10, pp.332–339. </w:t>
      </w:r>
    </w:p>
    <w:p w14:paraId="6F090FE4">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735FB1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Rank, S.J., Nageotte, N.L., Pletcher, N. and Mary Ann Jackson (2023). Educating the Public about Illegal Wildlife Trade: Commonalities in Investigating Messages for Visitors. Journal of Museum Education, 48(3), pp.315–328.</w:t>
      </w:r>
    </w:p>
    <w:p w14:paraId="7B57B5E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4CD12F2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Ritu Raj Lamsal, Ashbin Kumar Devkota and Madhu Sudhan Bhusal (2023). Navigating Global Challenges: The Crucial Role of Semiconductors in Advancing Globalization. Journal of The Institution of Engineers (India): Series B, 104.</w:t>
      </w:r>
    </w:p>
    <w:p w14:paraId="18824A9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36333C39">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Selvaraj, D. (2021). Financial Performance and Pricing Policy: A Study on The State-Owned Telecommunication Services in India Prior To Its Conversion as a Telecom Company - An Overview. The Management Accountant Journal, 56(12), p.74. </w:t>
      </w:r>
    </w:p>
    <w:p w14:paraId="06100EBB">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1CFC62F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Stöber, K. (2021). Monasticism in the British Isles: A Comparative Overview. Religions, 12(9), p.767. </w:t>
      </w:r>
    </w:p>
    <w:p w14:paraId="15E36BF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60D7EA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Sylwia Nycz-Wojtan (2023). TENDENCIES AND DIRECTIONS OF ACTIVITY OF INTERNATIONAL BUSINESS UNDER THE TERMS OF FRANCHISING. Vìsnik Nacìonalʹnogo unìversitetu ‘Lʹvìvsʹka polìtehnìka’, 7(2), pp.140–150. </w:t>
      </w:r>
    </w:p>
    <w:p w14:paraId="27905FA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5291A8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Szklarska, A. (2022). In the Trap of Tradition. Analysis of Ethical Arguments in the Discussion on Sport Game Hunting in Polish and British Culture. Zoophilologica, (1 (9)), pp.1–15. </w:t>
      </w:r>
    </w:p>
    <w:p w14:paraId="2D9415A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3BC5DA2F">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van, Chun, S., Lee, O. and Kim, D. (2024). Quality of teaching at secondary schools in Nicaragua, South Korea, and the Netherlands. School Effectiveness and School Improvement, 35(1), pp.73–93. </w:t>
      </w:r>
    </w:p>
    <w:p w14:paraId="6808AEF1">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62C51BF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Viberg, O., Kizilcec, René F, Jivet, I., Monés, A.M., Oh, A., Mutimukwe, C., Hrastinski, S. and Scheffel, M. (2023). Cultural Differences in Students’ Privacy Concerns in Learning Analytics across Germany, South Korea, Spain, Sweden, and the United States.</w:t>
      </w:r>
    </w:p>
    <w:p w14:paraId="610C65F3">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0D413BD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Yi, C. (2022). The economic and trade effects of the UK–Korea free trade agreement on the United Kingdom, Korea, Japan, China, and the European Union. Bulletin of Economic Research, 75(2). </w:t>
      </w:r>
    </w:p>
    <w:p w14:paraId="75FC6A6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75886ECA">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Yi, C.-D. (2021). The Economic Effects of UK-Korea-Japan-EU Free Trade Agreement on Export, Import, and Welfare. Journal of Korea Research Association of International Commerce, 21(5), pp.1–29. </w:t>
      </w:r>
    </w:p>
    <w:p w14:paraId="1D1ECAF6">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47E2E707">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 xml:space="preserve">Yoon, H. and Vlachos, P. (2023). Study with us. University of Greenwich. [online] </w:t>
      </w:r>
    </w:p>
    <w:p w14:paraId="0E7C59AD">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35885590">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Zauresh Seilova (2024). EFFECTIVE STRATEGIES FOR TEACHING ENGLISH AS A SECOND LANGUAGE: A METHODOLOGICAL OVERVIEW. 2(3), pp.158–170.</w:t>
      </w:r>
    </w:p>
    <w:p w14:paraId="53466F62">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p>
    <w:p w14:paraId="5B3344D5">
      <w:pPr>
        <w:pageBreakBefore w:val="0"/>
        <w:kinsoku/>
        <w:wordWrap/>
        <w:overflowPunct/>
        <w:topLinePunct w:val="0"/>
        <w:autoSpaceDE/>
        <w:autoSpaceDN/>
        <w:bidi w:val="0"/>
        <w:adjustRightInd w:val="0"/>
        <w:snapToGrid w:val="0"/>
        <w:spacing w:line="480" w:lineRule="auto"/>
        <w:textAlignment w:val="auto"/>
        <w:rPr>
          <w:rFonts w:hint="default" w:ascii="Arial Regular" w:hAnsi="Arial Regular" w:cs="Arial Regular"/>
          <w:b w:val="0"/>
          <w:bCs/>
          <w:sz w:val="24"/>
          <w:szCs w:val="24"/>
          <w:lang w:val="en-US"/>
        </w:rPr>
      </w:pPr>
      <w:r>
        <w:rPr>
          <w:rFonts w:hint="default" w:ascii="Arial Regular" w:hAnsi="Arial Regular" w:cs="Arial Regular"/>
          <w:b w:val="0"/>
          <w:bCs/>
          <w:sz w:val="24"/>
          <w:szCs w:val="24"/>
          <w:lang w:val="en-US"/>
        </w:rPr>
        <w:t>Zhou, J. and Zhou, Z. (2022). The influences of cultural values on the cultural product trade: evidence from China, Japan and Korea. Nankai Business Review International, 13(2).</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zOWU3MGUzY2I0MWQzMDg1NGRkNGI4ZDEyM2IwMTcifQ=="/>
  </w:docVars>
  <w:rsids>
    <w:rsidRoot w:val="7EF48761"/>
    <w:rsid w:val="7DF9AC14"/>
    <w:rsid w:val="7EF48761"/>
    <w:rsid w:val="7FFF858A"/>
    <w:rsid w:val="B7FF6BF1"/>
    <w:rsid w:val="BA9AE6AA"/>
    <w:rsid w:val="BAB7D042"/>
    <w:rsid w:val="BFFC7F60"/>
    <w:rsid w:val="E3D36AF0"/>
    <w:rsid w:val="EFD9F837"/>
    <w:rsid w:val="F5CFED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paragraph" w:customStyle="1" w:styleId="8">
    <w:name w:val="WPSOffice手动目录 1"/>
    <w:uiPriority w:val="0"/>
    <w:pPr>
      <w:ind w:leftChars="0"/>
    </w:pPr>
    <w:rPr>
      <w:rFonts w:ascii="Times New Roman" w:hAnsi="Times New Roman" w:eastAsia="宋体" w:cs="Times New Roman"/>
      <w:sz w:val="20"/>
      <w:szCs w:val="20"/>
    </w:rPr>
  </w:style>
  <w:style w:type="paragraph" w:customStyle="1" w:styleId="9">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0</Words>
  <Characters>0</Characters>
  <Lines>0</Lines>
  <Paragraphs>0</Paragraphs>
  <TotalTime>3</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2024-12-28T17:46:00Z</dcterms:created>
  <dc:creator>我要0卡的快乐</dc:creator>
  <cp:lastModifiedBy>我要0卡的快乐</cp:lastModifiedBy>
  <dcterms:modified xsi:type="dcterms:W3CDTF">2025-01-05T15:21:27Z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6DADF6466757FEFD0EE56F67400F8879_41</vt:lpwstr>
  </property>
</Properties>
</file>