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37D48" w14:textId="2C8B00B2" w:rsidR="007F6AFA" w:rsidRPr="007F6AFA" w:rsidRDefault="00AF7391" w:rsidP="007F6AFA">
      <w:pPr>
        <w:jc w:val="center"/>
        <w:rPr>
          <w:rFonts w:cs="Arial"/>
          <w:b/>
          <w:bCs/>
        </w:rPr>
      </w:pPr>
      <w:r w:rsidRPr="00AF7391">
        <w:rPr>
          <w:rFonts w:cs="Arial"/>
          <w:b/>
          <w:bCs/>
        </w:rPr>
        <w:t>Essentials of people practice</w:t>
      </w:r>
      <w:r w:rsidR="007F6AFA">
        <w:rPr>
          <w:rFonts w:cs="Arial"/>
          <w:b/>
          <w:bCs/>
        </w:rPr>
        <w:t xml:space="preserve"> – Task </w:t>
      </w:r>
      <w:r w:rsidR="00813AD2">
        <w:rPr>
          <w:rFonts w:cs="Arial"/>
          <w:b/>
          <w:bCs/>
        </w:rPr>
        <w:t>3</w:t>
      </w:r>
    </w:p>
    <w:p w14:paraId="54B0BBDF" w14:textId="3F362A9A" w:rsidR="00912F19" w:rsidRDefault="00912F19" w:rsidP="00912F19">
      <w:pPr>
        <w:pStyle w:val="NormalWeb"/>
        <w:spacing w:before="0" w:beforeAutospacing="0" w:after="0" w:afterAutospacing="0" w:line="360" w:lineRule="atLeast"/>
        <w:rPr>
          <w:rFonts w:asciiTheme="minorHAnsi" w:hAnsiTheme="minorHAnsi" w:cstheme="minorHAnsi"/>
          <w:b/>
          <w:bCs/>
          <w:sz w:val="22"/>
          <w:szCs w:val="22"/>
        </w:rPr>
      </w:pPr>
      <w:r w:rsidRPr="007F6AFA">
        <w:rPr>
          <w:rFonts w:asciiTheme="minorHAnsi" w:hAnsiTheme="minorHAnsi" w:cstheme="minorHAnsi"/>
          <w:b/>
          <w:bCs/>
          <w:sz w:val="22"/>
          <w:szCs w:val="22"/>
        </w:rPr>
        <w:t>AC</w:t>
      </w:r>
      <w:r w:rsidR="00813AD2">
        <w:rPr>
          <w:rFonts w:asciiTheme="minorHAnsi" w:hAnsiTheme="minorHAnsi" w:cstheme="minorHAnsi"/>
          <w:b/>
          <w:bCs/>
          <w:sz w:val="22"/>
          <w:szCs w:val="22"/>
        </w:rPr>
        <w:t>3</w:t>
      </w:r>
      <w:r w:rsidRPr="007F6AFA">
        <w:rPr>
          <w:rFonts w:asciiTheme="minorHAnsi" w:hAnsiTheme="minorHAnsi" w:cstheme="minorHAnsi"/>
          <w:b/>
          <w:bCs/>
          <w:sz w:val="22"/>
          <w:szCs w:val="22"/>
        </w:rPr>
        <w:t>.1-</w:t>
      </w:r>
      <w:r w:rsidR="00E431BB">
        <w:rPr>
          <w:rFonts w:asciiTheme="minorHAnsi" w:hAnsiTheme="minorHAnsi" w:cstheme="minorHAnsi"/>
          <w:b/>
          <w:bCs/>
          <w:sz w:val="22"/>
          <w:szCs w:val="22"/>
        </w:rPr>
        <w:t xml:space="preserve"> </w:t>
      </w:r>
      <w:r w:rsidR="00E431BB" w:rsidRPr="00E431BB">
        <w:rPr>
          <w:rFonts w:asciiTheme="minorHAnsi" w:hAnsiTheme="minorHAnsi" w:cstheme="minorHAnsi"/>
          <w:b/>
          <w:bCs/>
          <w:sz w:val="22"/>
          <w:szCs w:val="22"/>
        </w:rPr>
        <w:t>An explanation of the importance of achieving work-life balance within the employment relationship with an overview of the legislation relevant to work-life balance.</w:t>
      </w:r>
    </w:p>
    <w:p w14:paraId="73270A62" w14:textId="6AA7C715" w:rsidR="00785670" w:rsidRDefault="00785670" w:rsidP="00785670">
      <w:r>
        <w:t xml:space="preserve">Work-life balance is the equilibrium between the time and effort an individual dedicates to their job and the time they spend on personal activities and interests. </w:t>
      </w:r>
      <w:r w:rsidR="00E431BB">
        <w:t>Achieving work-life balance is vital for both employees and employers. It improves well-being, productivity, job satisfaction, and organisational culture while reducing stress and burnout. Complying with relevant legislation ensures employers provide the necessary protections and opportunities for a healthy balance. Supporting work-life balance fosters a motivated, loyal, and effective workforce.</w:t>
      </w:r>
    </w:p>
    <w:p w14:paraId="3BC63A9B" w14:textId="77777777" w:rsidR="00785670" w:rsidRDefault="00785670" w:rsidP="00785670">
      <w:r>
        <w:t>There are several pieces of legislation that support and promote work-life balance. These laws provide employees with rights and protections that enable them to better manage their work and personal responsibilities.</w:t>
      </w:r>
    </w:p>
    <w:p w14:paraId="3EC3198F" w14:textId="77777777" w:rsidR="00785670" w:rsidRDefault="00785670" w:rsidP="00785670">
      <w:r w:rsidRPr="003E5419">
        <w:rPr>
          <w:b/>
          <w:bCs/>
        </w:rPr>
        <w:t>Working Time Regulations 1998</w:t>
      </w:r>
      <w:r>
        <w:rPr>
          <w:b/>
          <w:bCs/>
        </w:rPr>
        <w:t xml:space="preserve">: </w:t>
      </w:r>
      <w:r w:rsidRPr="003E5419">
        <w:t>The Working Time Regulations 1998 govern working hours in the UK. The regulations set a maximum of 48 hours for the working week (although workers can opt out of this restriction) and limit the working day to an average of eight hours and the right to paid leave.</w:t>
      </w:r>
      <w:r>
        <w:t xml:space="preserve"> (</w:t>
      </w:r>
      <w:r w:rsidRPr="003E5419">
        <w:rPr>
          <w:i/>
          <w:iCs/>
        </w:rPr>
        <w:t>CIPD, 2020</w:t>
      </w:r>
      <w:r>
        <w:t xml:space="preserve">) The WTR also entitles an employee to at least 11 hours of rest in any 24-hour period, and at least 24 hours of rest in any seven-day period. The WTR also mandates that a minimum of 28 days of paid annual leave is available, pro rata. </w:t>
      </w:r>
    </w:p>
    <w:p w14:paraId="5DB86734" w14:textId="77777777" w:rsidR="00785670" w:rsidRDefault="00785670" w:rsidP="00785670">
      <w:r>
        <w:rPr>
          <w:b/>
          <w:bCs/>
        </w:rPr>
        <w:t xml:space="preserve">Flexible Working Regulations 2014: </w:t>
      </w:r>
      <w:r w:rsidRPr="003E5419">
        <w:t>Flexible working is a way of working that suits an employee’s needs, for example having flexible start and finish times, or working from home.</w:t>
      </w:r>
      <w:r>
        <w:t xml:space="preserve"> The flexible working regulations entitle an employee with at least 26-weeks of service to request a flexible working request, where they can request a change in shift times, shift days or remote working. (</w:t>
      </w:r>
      <w:r w:rsidRPr="00016E93">
        <w:rPr>
          <w:i/>
          <w:iCs/>
        </w:rPr>
        <w:t>GOV.UK, 2024</w:t>
      </w:r>
      <w:r>
        <w:t>) The flexible working act outlines an employer’s duty when flexible working requests are submitted. It outlines that an employer must consider requests in a reasonable manner and can only refuse them based on specific business needs.</w:t>
      </w:r>
    </w:p>
    <w:p w14:paraId="065C1115" w14:textId="77777777" w:rsidR="00785670" w:rsidRDefault="00785670" w:rsidP="00785670">
      <w:r w:rsidRPr="00016E93">
        <w:rPr>
          <w:b/>
          <w:bCs/>
        </w:rPr>
        <w:t>The Equality Act 2010:</w:t>
      </w:r>
      <w:r>
        <w:t xml:space="preserve"> The equality act also gives people protect against discrimination, ensuring that employees are not discriminated against based on their need for flexible working arrangements or their caring responsibilities. The equality act also requires employers to make reasonable adjustments to employees with disabilities, which can include adjustments to their working hours or conditions. (</w:t>
      </w:r>
      <w:r w:rsidRPr="00016E93">
        <w:rPr>
          <w:i/>
          <w:iCs/>
        </w:rPr>
        <w:t>Equality and Human Rights Commission, 2016</w:t>
      </w:r>
      <w:r>
        <w:t>)</w:t>
      </w:r>
    </w:p>
    <w:p w14:paraId="6394EBF8" w14:textId="2355F6DF" w:rsidR="00813AD2" w:rsidRPr="00E431BB" w:rsidRDefault="00E431BB" w:rsidP="00912F19">
      <w:pPr>
        <w:pStyle w:val="NormalWeb"/>
        <w:spacing w:before="0" w:beforeAutospacing="0" w:after="0" w:afterAutospacing="0" w:line="360" w:lineRule="atLeast"/>
        <w:rPr>
          <w:rFonts w:asciiTheme="minorHAnsi" w:hAnsiTheme="minorHAnsi" w:cstheme="minorHAnsi"/>
          <w:b/>
          <w:bCs/>
          <w:sz w:val="22"/>
          <w:szCs w:val="22"/>
          <w:shd w:val="clear" w:color="auto" w:fill="FFFFFF"/>
        </w:rPr>
      </w:pPr>
      <w:r w:rsidRPr="00E431BB">
        <w:rPr>
          <w:rFonts w:asciiTheme="minorHAnsi" w:hAnsiTheme="minorHAnsi" w:cstheme="minorHAnsi"/>
          <w:b/>
          <w:bCs/>
          <w:sz w:val="22"/>
          <w:szCs w:val="22"/>
          <w:shd w:val="clear" w:color="auto" w:fill="FFFFFF"/>
        </w:rPr>
        <w:t>AC3.2-</w:t>
      </w:r>
      <w:r>
        <w:rPr>
          <w:rFonts w:asciiTheme="minorHAnsi" w:hAnsiTheme="minorHAnsi" w:cstheme="minorHAnsi"/>
          <w:b/>
          <w:bCs/>
          <w:sz w:val="22"/>
          <w:szCs w:val="22"/>
          <w:shd w:val="clear" w:color="auto" w:fill="FFFFFF"/>
        </w:rPr>
        <w:t xml:space="preserve"> </w:t>
      </w:r>
      <w:r w:rsidRPr="00E431BB">
        <w:rPr>
          <w:rFonts w:asciiTheme="minorHAnsi" w:hAnsiTheme="minorHAnsi" w:cstheme="minorHAnsi"/>
          <w:b/>
          <w:bCs/>
          <w:sz w:val="22"/>
          <w:szCs w:val="22"/>
        </w:rPr>
        <w:t>An explanation of what is meant by, and the importance of, wellbeing in the workplace.</w:t>
      </w:r>
    </w:p>
    <w:p w14:paraId="400CD1A5" w14:textId="77777777" w:rsidR="00E431BB" w:rsidRDefault="00E431BB" w:rsidP="00E431BB">
      <w:r>
        <w:t>Wellbeing in the workplace refers to the mental, physical and emotional health of employees. It includes factors such as job satisfaction, stress levels and work-life balance. Well-being initiatives can include flexible working hours, mental health support such as an employee wellbeing programme (EAP) and a positive workplace culture. (</w:t>
      </w:r>
      <w:r w:rsidRPr="009F56B0">
        <w:rPr>
          <w:i/>
          <w:iCs/>
        </w:rPr>
        <w:t>CIPD, 2023</w:t>
      </w:r>
      <w:r>
        <w:t>)</w:t>
      </w:r>
    </w:p>
    <w:p w14:paraId="46D36AD4" w14:textId="77777777" w:rsidR="00E431BB" w:rsidRDefault="00E431BB" w:rsidP="00E431BB">
      <w:r>
        <w:t>Enhancing workplace well-being boosts productivity and efficiency as employees feel supported and valued, leading to fewer sick days due to improved health and reduced stress. It also addresses mental health by lowering stress and burnout rates, resulting in higher job satisfaction, engagement, and morale. Prioritising well-being helps retain top talent, fosters a supportive organisational culture that enhances teamwork and collaboration, and enhances the company's reputation, making it more attractive to potential employees. (</w:t>
      </w:r>
      <w:proofErr w:type="spellStart"/>
      <w:r w:rsidRPr="009F56B0">
        <w:rPr>
          <w:i/>
          <w:iCs/>
        </w:rPr>
        <w:t>Suff</w:t>
      </w:r>
      <w:proofErr w:type="spellEnd"/>
      <w:r w:rsidRPr="009F56B0">
        <w:rPr>
          <w:i/>
          <w:iCs/>
        </w:rPr>
        <w:t>, 2023</w:t>
      </w:r>
      <w:r>
        <w:t>)</w:t>
      </w:r>
    </w:p>
    <w:p w14:paraId="31CDD262" w14:textId="7DF6E637" w:rsidR="00E431BB" w:rsidRDefault="00E431BB" w:rsidP="00E431BB">
      <w:r>
        <w:t>In summary, prioritising workplace well-being fosters a productive, satisfied and committed workforce, promoting a positive culture and reduces both physical and mental health-related costs.</w:t>
      </w:r>
    </w:p>
    <w:p w14:paraId="79A81B74" w14:textId="0FFE291F" w:rsidR="00385829" w:rsidRDefault="00385829" w:rsidP="00385829">
      <w:pPr>
        <w:rPr>
          <w:b/>
          <w:bCs/>
        </w:rPr>
      </w:pPr>
      <w:r w:rsidRPr="00385829">
        <w:rPr>
          <w:b/>
          <w:bCs/>
        </w:rPr>
        <w:lastRenderedPageBreak/>
        <w:t xml:space="preserve">AC3.3- </w:t>
      </w:r>
      <w:r w:rsidRPr="00385829">
        <w:rPr>
          <w:b/>
          <w:bCs/>
        </w:rPr>
        <w:t>A summary of the main points of discrimination legislation.</w:t>
      </w:r>
    </w:p>
    <w:p w14:paraId="609FDDE2" w14:textId="59297E79" w:rsidR="00385829" w:rsidRDefault="00385829" w:rsidP="00385829">
      <w:r>
        <w:t>Discrimination legislation is designed to prevent unfair treatment of individuals in the workplace based on specific protected characteristics. The Equality Act 2010 protects against discrimination based on age, disability, gender reassignment, marriage and civil partnership, pregnancy, race, religion, sex and sexual orientation. The Equality Act has these listed as protected characteristics. (</w:t>
      </w:r>
      <w:r w:rsidRPr="00385829">
        <w:rPr>
          <w:i/>
          <w:iCs/>
        </w:rPr>
        <w:t>GOV. UK</w:t>
      </w:r>
      <w:r>
        <w:t>)</w:t>
      </w:r>
    </w:p>
    <w:p w14:paraId="4D95AA9E" w14:textId="6A00BBCC" w:rsidR="00385829" w:rsidRDefault="00385829" w:rsidP="00385829">
      <w:r>
        <w:t xml:space="preserve">There are </w:t>
      </w:r>
      <w:r w:rsidR="007774FD">
        <w:t>different</w:t>
      </w:r>
      <w:r>
        <w:t xml:space="preserve"> types of discrimination</w:t>
      </w:r>
      <w:r w:rsidR="007774FD">
        <w:t xml:space="preserve">, direct discrimination, indirect discrimination, harassment and victimisation. </w:t>
      </w:r>
      <w:r w:rsidR="007774FD">
        <w:t xml:space="preserve">Direct discrimination involves treating someone less </w:t>
      </w:r>
      <w:r w:rsidR="007774FD">
        <w:t>favourably</w:t>
      </w:r>
      <w:r w:rsidR="007774FD">
        <w:t xml:space="preserve"> because of a protected characteristic. Indirect discrimination occurs when policies or practices that apply to everyone disproportionately disadvantage a particular group. Harassment includes unwanted conduct related to a protected characteristic that violates an individual's dignity or creates a hostile environment. Victimisation refers to unfair treatment of someone because they have made or supported a complaint about discrimination.</w:t>
      </w:r>
      <w:r w:rsidR="007774FD">
        <w:t xml:space="preserve"> (</w:t>
      </w:r>
      <w:r w:rsidR="007774FD" w:rsidRPr="007774FD">
        <w:rPr>
          <w:i/>
          <w:iCs/>
        </w:rPr>
        <w:t>St. Andrews, ND</w:t>
      </w:r>
      <w:r w:rsidR="007774FD">
        <w:t>)</w:t>
      </w:r>
    </w:p>
    <w:p w14:paraId="39E1BB41" w14:textId="306D8033" w:rsidR="007774FD" w:rsidRPr="007774FD" w:rsidRDefault="007774FD" w:rsidP="00385829">
      <w:r>
        <w:t>Legislation mandates that e</w:t>
      </w:r>
      <w:r>
        <w:t>mployers must make reasonable adjustments to the workplace or working practices to accommodate employees with disabilities.</w:t>
      </w:r>
      <w:r>
        <w:t xml:space="preserve"> The Equal Pay Act 1970 mandates that m</w:t>
      </w:r>
      <w:r>
        <w:t>en and women are entitled to equal pay for equal work</w:t>
      </w:r>
      <w:r>
        <w:t xml:space="preserve">, this is also </w:t>
      </w:r>
      <w:r>
        <w:t>incorporated into the Equality Act 2010.</w:t>
      </w:r>
      <w:r>
        <w:t xml:space="preserve"> (</w:t>
      </w:r>
      <w:r w:rsidRPr="007774FD">
        <w:rPr>
          <w:i/>
          <w:iCs/>
        </w:rPr>
        <w:t>GOV.UK, 1970</w:t>
      </w:r>
      <w:r>
        <w:t>)</w:t>
      </w:r>
      <w:r>
        <w:t xml:space="preserve"> Employees have the right to lodge complaints about discrimination through internal grievance procedures and can seek redress through employment tribunals.</w:t>
      </w:r>
    </w:p>
    <w:p w14:paraId="31DFC285" w14:textId="5DD4CCC6" w:rsidR="007774FD" w:rsidRDefault="007774FD" w:rsidP="007774FD">
      <w:pPr>
        <w:rPr>
          <w:b/>
          <w:bCs/>
        </w:rPr>
      </w:pPr>
      <w:r w:rsidRPr="007774FD">
        <w:rPr>
          <w:b/>
          <w:bCs/>
        </w:rPr>
        <w:t xml:space="preserve">AC3.4- </w:t>
      </w:r>
      <w:r w:rsidRPr="007774FD">
        <w:rPr>
          <w:b/>
          <w:bCs/>
        </w:rPr>
        <w:t>An explanation of what diversity and inclusion mean and why they are important.</w:t>
      </w:r>
    </w:p>
    <w:p w14:paraId="17B542A7" w14:textId="76177C4E" w:rsidR="007774FD" w:rsidRPr="007774FD" w:rsidRDefault="007774FD" w:rsidP="007774FD">
      <w:r>
        <w:t>Diversity refers to the presence of differences within a setting, encompassing attributes like race, gender, age, ethnicity, physical abilities, sexual orientation, religious beliefs, and other unique characteristics. Inclusion involves creating an environment where these diverse individuals feel welcomed, respected, supported, and valued, ensuring they have equal access to opportunities and resources, and enabling them to contribute fully to the organi</w:t>
      </w:r>
      <w:r>
        <w:t>s</w:t>
      </w:r>
      <w:r>
        <w:t>ation’s success.</w:t>
      </w:r>
      <w:r w:rsidR="00A11BCE">
        <w:t xml:space="preserve"> (</w:t>
      </w:r>
      <w:r w:rsidR="00A11BCE" w:rsidRPr="00A11BCE">
        <w:rPr>
          <w:i/>
          <w:iCs/>
        </w:rPr>
        <w:t>McKinsey &amp; Company, 2022</w:t>
      </w:r>
      <w:r w:rsidR="00A11BCE">
        <w:t>)</w:t>
      </w:r>
    </w:p>
    <w:p w14:paraId="5FD92DB7" w14:textId="429B8823" w:rsidR="00E431BB" w:rsidRPr="00E431BB" w:rsidRDefault="00A11BCE" w:rsidP="00385829">
      <w:r>
        <w:t xml:space="preserve">A diverse workforce brings a wide range of perspectives and ideas, fostering creativity and leading to innovative solutions and better decision-making. Inclusive environments where employees feel valued and included enhance job satisfaction and motivation, resulting in higher productivity and performance. </w:t>
      </w:r>
      <w:r>
        <w:t>(</w:t>
      </w:r>
      <w:r w:rsidRPr="00A11BCE">
        <w:rPr>
          <w:i/>
          <w:iCs/>
        </w:rPr>
        <w:t>Ali, 2022</w:t>
      </w:r>
      <w:r>
        <w:t xml:space="preserve">) </w:t>
      </w:r>
      <w:r>
        <w:t>Diverse teams consider a broader array of options and approaches, improving problem-solving and yielding more effective strategies and outcomes. Organi</w:t>
      </w:r>
      <w:r>
        <w:t>s</w:t>
      </w:r>
      <w:r>
        <w:t>ations that prioriti</w:t>
      </w:r>
      <w:r>
        <w:t>s</w:t>
      </w:r>
      <w:r>
        <w:t xml:space="preserve">e diversity and inclusion are more attractive to top talent from various backgrounds, aiding in the recruitment and retention of a skilled workforce. Companies known for their commitment to diversity and inclusion enjoy a </w:t>
      </w:r>
      <w:r>
        <w:t>favourable</w:t>
      </w:r>
      <w:r>
        <w:t xml:space="preserve"> reputation among customers, and the broader community, boosting their brand. Embracing diversity and inclusion helps organi</w:t>
      </w:r>
      <w:r>
        <w:t>s</w:t>
      </w:r>
      <w:r>
        <w:t>ations comply with anti-discrimination laws and regulations, reducing legal risks. Overall, diversity and inclusion are essential for fostering a dynamic, innovative, and successful workplace.</w:t>
      </w:r>
    </w:p>
    <w:p w14:paraId="74FA5968" w14:textId="77777777" w:rsidR="00EC113D" w:rsidRDefault="00EC113D" w:rsidP="00385829">
      <w:pPr>
        <w:rPr>
          <w:b/>
          <w:bCs/>
        </w:rPr>
      </w:pPr>
    </w:p>
    <w:p w14:paraId="4676119A" w14:textId="77777777" w:rsidR="00EC113D" w:rsidRDefault="00EC113D" w:rsidP="00385829">
      <w:pPr>
        <w:rPr>
          <w:b/>
          <w:bCs/>
        </w:rPr>
      </w:pPr>
    </w:p>
    <w:p w14:paraId="7B32E555" w14:textId="77777777" w:rsidR="00EC113D" w:rsidRDefault="00EC113D" w:rsidP="00385829">
      <w:pPr>
        <w:rPr>
          <w:b/>
          <w:bCs/>
        </w:rPr>
      </w:pPr>
    </w:p>
    <w:p w14:paraId="6C36E78D" w14:textId="77777777" w:rsidR="00EC113D" w:rsidRDefault="00EC113D" w:rsidP="00385829">
      <w:pPr>
        <w:rPr>
          <w:b/>
          <w:bCs/>
        </w:rPr>
      </w:pPr>
    </w:p>
    <w:p w14:paraId="5EE1B0FF" w14:textId="77777777" w:rsidR="00EC113D" w:rsidRDefault="00EC113D" w:rsidP="00385829">
      <w:pPr>
        <w:rPr>
          <w:b/>
          <w:bCs/>
        </w:rPr>
      </w:pPr>
    </w:p>
    <w:p w14:paraId="3825B3FF" w14:textId="115E0490" w:rsidR="001B62B0" w:rsidRDefault="00EC113D" w:rsidP="00385829">
      <w:pPr>
        <w:rPr>
          <w:b/>
          <w:bCs/>
        </w:rPr>
      </w:pPr>
      <w:r w:rsidRPr="00EC113D">
        <w:rPr>
          <w:b/>
          <w:bCs/>
        </w:rPr>
        <w:lastRenderedPageBreak/>
        <w:t xml:space="preserve">AC3.5- </w:t>
      </w:r>
      <w:r w:rsidRPr="00EC113D">
        <w:rPr>
          <w:b/>
          <w:bCs/>
        </w:rPr>
        <w:t>An explanation of the difference between fair and unfair dismissal.</w:t>
      </w:r>
    </w:p>
    <w:p w14:paraId="02CF9039" w14:textId="39CA75F1" w:rsidR="00EC113D" w:rsidRDefault="00EC113D" w:rsidP="00385829">
      <w:r>
        <w:t>F</w:t>
      </w:r>
      <w:r>
        <w:t>air dismissal occurs when an employer has legitimate reasons for terminating an employee's contract and follows proper procedures, while unfair dismissal occurs when termination is unjustified or proper procedures are not followed.</w:t>
      </w:r>
      <w:r w:rsidR="00A52F1D">
        <w:t xml:space="preserve"> (</w:t>
      </w:r>
      <w:proofErr w:type="spellStart"/>
      <w:r w:rsidR="00A52F1D" w:rsidRPr="00A52F1D">
        <w:rPr>
          <w:i/>
          <w:iCs/>
        </w:rPr>
        <w:t>Worknest</w:t>
      </w:r>
      <w:proofErr w:type="spellEnd"/>
      <w:r w:rsidR="00A52F1D" w:rsidRPr="00A52F1D">
        <w:rPr>
          <w:i/>
          <w:iCs/>
        </w:rPr>
        <w:t>, 2017</w:t>
      </w:r>
      <w:r w:rsidR="00A52F1D">
        <w:t>)</w:t>
      </w:r>
    </w:p>
    <w:p w14:paraId="317A2697" w14:textId="7AE7F6A6" w:rsidR="00EC113D" w:rsidRPr="00EC113D" w:rsidRDefault="00EC113D" w:rsidP="00385829">
      <w:r w:rsidRPr="00EC113D">
        <w:t xml:space="preserve">Examples for fair dismissal are: </w:t>
      </w:r>
    </w:p>
    <w:p w14:paraId="42EF6EAB" w14:textId="687D765C" w:rsidR="00EC113D" w:rsidRDefault="00EC113D" w:rsidP="00385829">
      <w:r w:rsidRPr="00EC113D">
        <w:rPr>
          <w:b/>
          <w:bCs/>
        </w:rPr>
        <w:t>Capability or performance</w:t>
      </w:r>
      <w:r>
        <w:t xml:space="preserve">: If an employee consistently fails to meet the required standards of their role, despite the efforts of the business to help support them such as putting an employee on a PIP and putting them through adequate retraining programmes. </w:t>
      </w:r>
    </w:p>
    <w:p w14:paraId="7E780E03" w14:textId="77777777" w:rsidR="00EC113D" w:rsidRDefault="00EC113D" w:rsidP="00EC113D">
      <w:r>
        <w:rPr>
          <w:b/>
          <w:bCs/>
        </w:rPr>
        <w:t>Legal obligations</w:t>
      </w:r>
      <w:r>
        <w:t xml:space="preserve">: </w:t>
      </w:r>
      <w:r>
        <w:t>Dismissal is fair if an employee’s employment breaches a legal requirement. An example of this would be if an employee is unable to provide the correct right to work documents.</w:t>
      </w:r>
    </w:p>
    <w:p w14:paraId="4B41BB0D" w14:textId="3B98FA31" w:rsidR="00EC113D" w:rsidRDefault="00EC113D" w:rsidP="00EC113D">
      <w:r>
        <w:rPr>
          <w:b/>
          <w:bCs/>
        </w:rPr>
        <w:t>Conduct</w:t>
      </w:r>
      <w:r>
        <w:t xml:space="preserve">: </w:t>
      </w:r>
      <w:r>
        <w:t xml:space="preserve">If an employee’s behaviour breaches the terms of their contract, or fails to comply with company policy and procedures, an organisation can fairly dismiss them. An example of this would be smoking in a non-designated smoking area. </w:t>
      </w:r>
    </w:p>
    <w:p w14:paraId="1C89D523" w14:textId="77777777" w:rsidR="00EC113D" w:rsidRDefault="00EC113D" w:rsidP="00EC113D">
      <w:r>
        <w:rPr>
          <w:b/>
          <w:bCs/>
        </w:rPr>
        <w:t>Redundancy</w:t>
      </w:r>
      <w:r>
        <w:t xml:space="preserve">: </w:t>
      </w:r>
      <w:r>
        <w:t>If an employer needs to reduce its workforce due to business needs, an employer can dismiss someone if their role has been made redundant.</w:t>
      </w:r>
    </w:p>
    <w:p w14:paraId="5C2B1161" w14:textId="6AE12911" w:rsidR="00EC113D" w:rsidRDefault="00EC113D" w:rsidP="00EC113D">
      <w:r>
        <w:t xml:space="preserve">Unfair dismissal occurs when an employer terminates an employee's contract without a valid reason or fails to follow proper dismissal procedures as outlined by employment law. </w:t>
      </w:r>
      <w:r>
        <w:t>Some examples of these include:</w:t>
      </w:r>
    </w:p>
    <w:p w14:paraId="76FFBCF4" w14:textId="2DDF8BCE" w:rsidR="00EC113D" w:rsidRDefault="00EC113D" w:rsidP="00EC113D">
      <w:r w:rsidRPr="00A52F1D">
        <w:rPr>
          <w:b/>
          <w:bCs/>
        </w:rPr>
        <w:t>Discrimination:</w:t>
      </w:r>
      <w:r w:rsidR="00A52F1D">
        <w:t xml:space="preserve"> Dismissing an employee based on protected characteristics which are outlined in The Equality Act 2010.</w:t>
      </w:r>
    </w:p>
    <w:p w14:paraId="08A85F28" w14:textId="625CFB97" w:rsidR="00EC113D" w:rsidRDefault="00EC113D" w:rsidP="00EC113D">
      <w:r w:rsidRPr="00A52F1D">
        <w:rPr>
          <w:b/>
          <w:bCs/>
        </w:rPr>
        <w:t>Failure to follow proper procedures:</w:t>
      </w:r>
      <w:r w:rsidR="00A52F1D">
        <w:t xml:space="preserve"> Dismissing an employee without following the company’s procedures. An example of this would be dismissing an employee without giving them the opportunity to address any performance concerns, or not giving 48-hours’ notice of a disciplinary. </w:t>
      </w:r>
    </w:p>
    <w:p w14:paraId="0605E729" w14:textId="04FCE52D" w:rsidR="00EC113D" w:rsidRPr="00A52F1D" w:rsidRDefault="00A52F1D" w:rsidP="00EC113D">
      <w:r w:rsidRPr="00A52F1D">
        <w:rPr>
          <w:b/>
          <w:bCs/>
        </w:rPr>
        <w:t>Lack of a valid reason:</w:t>
      </w:r>
      <w:r>
        <w:rPr>
          <w:b/>
          <w:bCs/>
        </w:rPr>
        <w:t xml:space="preserve"> </w:t>
      </w:r>
      <w:r w:rsidR="00B42F6B">
        <w:t>Dismissing</w:t>
      </w:r>
      <w:r>
        <w:t xml:space="preserve"> an employee without a valid reason, such as for personal reasons unrelated to their performance or conduct.</w:t>
      </w:r>
    </w:p>
    <w:p w14:paraId="34AC89D6" w14:textId="7D9159C6" w:rsidR="00A52F1D" w:rsidRDefault="00A52F1D" w:rsidP="00EC113D">
      <w:r w:rsidRPr="00A52F1D">
        <w:rPr>
          <w:b/>
          <w:bCs/>
        </w:rPr>
        <w:t xml:space="preserve">Unfair reasoning: </w:t>
      </w:r>
      <w:r>
        <w:t>Dismissing an employee for reasons such as participating in trade union activities and whistleblowing.</w:t>
      </w:r>
    </w:p>
    <w:p w14:paraId="187EAEAD" w14:textId="219DB464" w:rsidR="00A52F1D" w:rsidRPr="00A52F1D" w:rsidRDefault="00261F15" w:rsidP="00EC113D">
      <w:r>
        <w:t xml:space="preserve">In </w:t>
      </w:r>
      <w:r>
        <w:t>summary</w:t>
      </w:r>
      <w:r>
        <w:t>, fair dismissal is based on valid reasons and procedural fairness, whereas unfair dismissal involves unjustifiable reasons or procedural failures, often accompanied by discrimination or bias.</w:t>
      </w:r>
    </w:p>
    <w:p w14:paraId="2F16E2CA" w14:textId="77777777" w:rsidR="00EC113D" w:rsidRDefault="00EC113D" w:rsidP="00EC113D"/>
    <w:p w14:paraId="7F930284" w14:textId="33B1ACA7" w:rsidR="00EC113D" w:rsidRPr="00EC113D" w:rsidRDefault="00EC113D" w:rsidP="00EC113D"/>
    <w:p w14:paraId="58EFB8D7" w14:textId="342D703F" w:rsidR="00B42F6B" w:rsidRDefault="00B42F6B" w:rsidP="00385829"/>
    <w:p w14:paraId="4E3801B2" w14:textId="77777777" w:rsidR="00B42F6B" w:rsidRDefault="00B42F6B">
      <w:r>
        <w:br w:type="page"/>
      </w:r>
    </w:p>
    <w:p w14:paraId="5687D619" w14:textId="7698F682" w:rsidR="00EC113D" w:rsidRPr="00B42F6B" w:rsidRDefault="00B42F6B" w:rsidP="00385829">
      <w:pPr>
        <w:rPr>
          <w:b/>
          <w:bCs/>
        </w:rPr>
      </w:pPr>
      <w:r w:rsidRPr="00B42F6B">
        <w:rPr>
          <w:b/>
          <w:bCs/>
        </w:rPr>
        <w:lastRenderedPageBreak/>
        <w:t>Bibliography</w:t>
      </w:r>
    </w:p>
    <w:p w14:paraId="14E6C2D6" w14:textId="7DD20861" w:rsidR="00B42F6B" w:rsidRPr="00B42F6B" w:rsidRDefault="00B42F6B" w:rsidP="00B42F6B">
      <w:r w:rsidRPr="00B42F6B">
        <w:t>CIPD (2020) </w:t>
      </w:r>
      <w:r w:rsidRPr="00B42F6B">
        <w:rPr>
          <w:i/>
          <w:iCs/>
        </w:rPr>
        <w:t>CIPD | Working time: UK employment law</w:t>
      </w:r>
      <w:r w:rsidRPr="00B42F6B">
        <w:t>, </w:t>
      </w:r>
      <w:r w:rsidRPr="00B42F6B">
        <w:rPr>
          <w:i/>
          <w:iCs/>
        </w:rPr>
        <w:t>CIPD</w:t>
      </w:r>
      <w:r w:rsidRPr="00B42F6B">
        <w:t xml:space="preserve">. Available at: </w:t>
      </w:r>
      <w:hyperlink r:id="rId7" w:history="1">
        <w:r w:rsidRPr="00B42F6B">
          <w:rPr>
            <w:rStyle w:val="Hyperlink"/>
            <w:rFonts w:ascii="Calibri" w:hAnsi="Calibri" w:cs="Calibri"/>
          </w:rPr>
          <w:t>https://www.cipd.org/uk/knowledge/employment-law/working-time/#:~:text=The%20Working%20Time%20Regulations%201998</w:t>
        </w:r>
      </w:hyperlink>
      <w:r w:rsidRPr="00B42F6B">
        <w:t>.</w:t>
      </w:r>
    </w:p>
    <w:p w14:paraId="253E2AAA" w14:textId="7D987B7A" w:rsidR="00B42F6B" w:rsidRPr="00B42F6B" w:rsidRDefault="00B42F6B" w:rsidP="00B42F6B">
      <w:r w:rsidRPr="00B42F6B">
        <w:t>GOV.UK (2024) </w:t>
      </w:r>
      <w:r w:rsidRPr="00B42F6B">
        <w:rPr>
          <w:i/>
          <w:iCs/>
        </w:rPr>
        <w:t>Flexible working</w:t>
      </w:r>
      <w:r w:rsidRPr="00B42F6B">
        <w:t>, </w:t>
      </w:r>
      <w:r w:rsidRPr="00B42F6B">
        <w:rPr>
          <w:i/>
          <w:iCs/>
        </w:rPr>
        <w:t>GOV.UK</w:t>
      </w:r>
      <w:r w:rsidRPr="00B42F6B">
        <w:t xml:space="preserve">. Available at: </w:t>
      </w:r>
      <w:hyperlink r:id="rId8" w:history="1">
        <w:r w:rsidRPr="00B42F6B">
          <w:rPr>
            <w:rStyle w:val="Hyperlink"/>
            <w:rFonts w:ascii="Calibri" w:hAnsi="Calibri" w:cs="Calibri"/>
          </w:rPr>
          <w:t>https://www.gov.uk/flexible-working</w:t>
        </w:r>
      </w:hyperlink>
      <w:r w:rsidRPr="00B42F6B">
        <w:t>.</w:t>
      </w:r>
    </w:p>
    <w:p w14:paraId="1BD4DE13" w14:textId="5DC5FC77" w:rsidR="00B42F6B" w:rsidRPr="00B42F6B" w:rsidRDefault="00B42F6B" w:rsidP="00B42F6B">
      <w:r w:rsidRPr="00B42F6B">
        <w:t>Equality and Human Rights Commission (2016) </w:t>
      </w:r>
      <w:r w:rsidRPr="00B42F6B">
        <w:rPr>
          <w:i/>
          <w:iCs/>
        </w:rPr>
        <w:t>What is the Equality Act? | EHRC</w:t>
      </w:r>
      <w:r w:rsidRPr="00B42F6B">
        <w:t>, </w:t>
      </w:r>
      <w:r w:rsidRPr="00B42F6B">
        <w:rPr>
          <w:i/>
          <w:iCs/>
        </w:rPr>
        <w:t>www.equalityhumanrights.com</w:t>
      </w:r>
      <w:r w:rsidRPr="00B42F6B">
        <w:t xml:space="preserve">. Available at: </w:t>
      </w:r>
      <w:hyperlink r:id="rId9" w:history="1">
        <w:r w:rsidRPr="00B42F6B">
          <w:rPr>
            <w:rStyle w:val="Hyperlink"/>
            <w:rFonts w:ascii="Calibri" w:hAnsi="Calibri" w:cs="Calibri"/>
          </w:rPr>
          <w:t>https://www.equalityhumanrights.com/equality/equality-act-2010/what-equality-act</w:t>
        </w:r>
      </w:hyperlink>
      <w:r w:rsidRPr="00B42F6B">
        <w:t>.</w:t>
      </w:r>
    </w:p>
    <w:p w14:paraId="647FEEAA" w14:textId="0F7358E5" w:rsidR="00B42F6B" w:rsidRPr="00B42F6B" w:rsidRDefault="00B42F6B" w:rsidP="00B42F6B">
      <w:proofErr w:type="spellStart"/>
      <w:r w:rsidRPr="00B42F6B">
        <w:t>Suff</w:t>
      </w:r>
      <w:proofErr w:type="spellEnd"/>
      <w:r w:rsidRPr="00B42F6B">
        <w:t>, R. (2023) </w:t>
      </w:r>
      <w:r w:rsidRPr="00B42F6B">
        <w:rPr>
          <w:i/>
          <w:iCs/>
        </w:rPr>
        <w:t>Wellbeing at Work</w:t>
      </w:r>
      <w:r w:rsidRPr="00B42F6B">
        <w:t>, </w:t>
      </w:r>
      <w:r w:rsidRPr="00B42F6B">
        <w:rPr>
          <w:i/>
          <w:iCs/>
        </w:rPr>
        <w:t>CIPD</w:t>
      </w:r>
      <w:r w:rsidRPr="00B42F6B">
        <w:t xml:space="preserve">. Available at: </w:t>
      </w:r>
      <w:hyperlink r:id="rId10" w:history="1">
        <w:r w:rsidRPr="00B42F6B">
          <w:rPr>
            <w:rStyle w:val="Hyperlink"/>
            <w:rFonts w:ascii="Calibri" w:hAnsi="Calibri" w:cs="Calibri"/>
          </w:rPr>
          <w:t>https://www.cipd.org/uk/knowledge/factsheets/well-being-factsheet/</w:t>
        </w:r>
      </w:hyperlink>
      <w:r w:rsidRPr="00B42F6B">
        <w:t>.</w:t>
      </w:r>
    </w:p>
    <w:p w14:paraId="187AE260" w14:textId="5725FFBD" w:rsidR="00B42F6B" w:rsidRPr="00B42F6B" w:rsidRDefault="00B42F6B" w:rsidP="00B42F6B">
      <w:r w:rsidRPr="00B42F6B">
        <w:t>‌CIPD (2023) </w:t>
      </w:r>
      <w:r w:rsidRPr="00B42F6B">
        <w:rPr>
          <w:i/>
          <w:iCs/>
        </w:rPr>
        <w:t>CIPD | Employee health and wellbeing</w:t>
      </w:r>
      <w:r w:rsidRPr="00B42F6B">
        <w:t>, </w:t>
      </w:r>
      <w:r w:rsidRPr="00B42F6B">
        <w:rPr>
          <w:i/>
          <w:iCs/>
        </w:rPr>
        <w:t>CIPD</w:t>
      </w:r>
      <w:r w:rsidRPr="00B42F6B">
        <w:t xml:space="preserve">. Available at: </w:t>
      </w:r>
      <w:hyperlink r:id="rId11" w:history="1">
        <w:r w:rsidRPr="00B42F6B">
          <w:rPr>
            <w:rStyle w:val="Hyperlink"/>
            <w:rFonts w:ascii="Calibri" w:hAnsi="Calibri" w:cs="Calibri"/>
          </w:rPr>
          <w:t>https://www.cipd.org/uk/views-and-insights/cipd-viewpoint/employee-health-wellbeing/</w:t>
        </w:r>
      </w:hyperlink>
      <w:r w:rsidRPr="00B42F6B">
        <w:t>.</w:t>
      </w:r>
    </w:p>
    <w:p w14:paraId="07A4C8B8" w14:textId="67D0D87D" w:rsidR="00B42F6B" w:rsidRPr="00B42F6B" w:rsidRDefault="00B42F6B" w:rsidP="00B42F6B">
      <w:r w:rsidRPr="00B42F6B">
        <w:rPr>
          <w:i/>
          <w:iCs/>
        </w:rPr>
        <w:t>Discrimination: your rights</w:t>
      </w:r>
      <w:r w:rsidRPr="00B42F6B">
        <w:t> (no date) </w:t>
      </w:r>
      <w:r w:rsidRPr="00B42F6B">
        <w:rPr>
          <w:i/>
          <w:iCs/>
        </w:rPr>
        <w:t>GOV.UK</w:t>
      </w:r>
      <w:r w:rsidRPr="00B42F6B">
        <w:t xml:space="preserve">. Available at: </w:t>
      </w:r>
      <w:hyperlink r:id="rId12" w:history="1">
        <w:r w:rsidRPr="00B42F6B">
          <w:rPr>
            <w:rStyle w:val="Hyperlink"/>
            <w:rFonts w:ascii="Calibri" w:hAnsi="Calibri" w:cs="Calibri"/>
          </w:rPr>
          <w:t>https://www.gov.uk/discrimination-your-rights#:~:text=You%27re%20legally%20protected%20from</w:t>
        </w:r>
      </w:hyperlink>
      <w:r w:rsidRPr="00B42F6B">
        <w:t>.</w:t>
      </w:r>
    </w:p>
    <w:p w14:paraId="50C06D23" w14:textId="520E23A7" w:rsidR="00B42F6B" w:rsidRPr="00B42F6B" w:rsidRDefault="00B42F6B" w:rsidP="00B42F6B">
      <w:r w:rsidRPr="00B42F6B">
        <w:t>‌St. Andrews (no date) </w:t>
      </w:r>
      <w:r w:rsidRPr="00B42F6B">
        <w:rPr>
          <w:i/>
          <w:iCs/>
        </w:rPr>
        <w:t>Types of Discrimination | University of St Andrews</w:t>
      </w:r>
      <w:r w:rsidRPr="00B42F6B">
        <w:t>, </w:t>
      </w:r>
      <w:r w:rsidRPr="00B42F6B">
        <w:rPr>
          <w:i/>
          <w:iCs/>
        </w:rPr>
        <w:t>www.st-andrews.ac.uk</w:t>
      </w:r>
      <w:r w:rsidRPr="00B42F6B">
        <w:t xml:space="preserve">. Available at: </w:t>
      </w:r>
      <w:hyperlink r:id="rId13" w:history="1">
        <w:r w:rsidRPr="00B42F6B">
          <w:rPr>
            <w:rStyle w:val="Hyperlink"/>
            <w:rFonts w:ascii="Calibri" w:hAnsi="Calibri" w:cs="Calibri"/>
          </w:rPr>
          <w:t>https://www.st-andrews.ac.uk/hr/edi/inclusivecurriculum/discrimination/</w:t>
        </w:r>
      </w:hyperlink>
      <w:r w:rsidRPr="00B42F6B">
        <w:t>.</w:t>
      </w:r>
    </w:p>
    <w:p w14:paraId="6AB0E7CF" w14:textId="037A9B42" w:rsidR="00B42F6B" w:rsidRPr="00B42F6B" w:rsidRDefault="00B42F6B" w:rsidP="00B42F6B">
      <w:r w:rsidRPr="00B42F6B">
        <w:t>‌GOV.UK (1970) </w:t>
      </w:r>
      <w:r w:rsidRPr="00B42F6B">
        <w:rPr>
          <w:i/>
          <w:iCs/>
        </w:rPr>
        <w:t>Equal Pay Act 1970</w:t>
      </w:r>
      <w:r w:rsidRPr="00B42F6B">
        <w:t>, </w:t>
      </w:r>
      <w:r w:rsidRPr="00B42F6B">
        <w:rPr>
          <w:i/>
          <w:iCs/>
        </w:rPr>
        <w:t>Legislation.gov.uk</w:t>
      </w:r>
      <w:r w:rsidRPr="00B42F6B">
        <w:t xml:space="preserve">. Available at: </w:t>
      </w:r>
      <w:hyperlink r:id="rId14" w:history="1">
        <w:r w:rsidRPr="00B42F6B">
          <w:rPr>
            <w:rStyle w:val="Hyperlink"/>
            <w:rFonts w:ascii="Calibri" w:hAnsi="Calibri" w:cs="Calibri"/>
          </w:rPr>
          <w:t>https://www.legislation.gov.uk/ukpga/1970/41/enacted</w:t>
        </w:r>
      </w:hyperlink>
      <w:r w:rsidRPr="00B42F6B">
        <w:t>.</w:t>
      </w:r>
    </w:p>
    <w:p w14:paraId="3720EC68" w14:textId="11A2E16F" w:rsidR="00B42F6B" w:rsidRPr="00B42F6B" w:rsidRDefault="00B42F6B" w:rsidP="00B42F6B">
      <w:r w:rsidRPr="00B42F6B">
        <w:t>McKinsey &amp; Company (2022) </w:t>
      </w:r>
      <w:r w:rsidRPr="00B42F6B">
        <w:rPr>
          <w:i/>
          <w:iCs/>
        </w:rPr>
        <w:t>What is diversity, equity, and inclusion (DE&amp;I)? </w:t>
      </w:r>
      <w:r w:rsidRPr="00B42F6B">
        <w:t>, </w:t>
      </w:r>
      <w:r w:rsidRPr="00B42F6B">
        <w:rPr>
          <w:i/>
          <w:iCs/>
        </w:rPr>
        <w:t>www.mckinsey.com</w:t>
      </w:r>
      <w:r w:rsidRPr="00B42F6B">
        <w:t xml:space="preserve">. McKinsey &amp; Company. Available at: </w:t>
      </w:r>
      <w:hyperlink r:id="rId15" w:history="1">
        <w:r w:rsidRPr="00B42F6B">
          <w:rPr>
            <w:rStyle w:val="Hyperlink"/>
            <w:rFonts w:ascii="Calibri" w:hAnsi="Calibri" w:cs="Calibri"/>
          </w:rPr>
          <w:t>https://www.mckinsey.com/featured-insights/mckinsey-explainers/what-is-diversity-equity-and-inclusion</w:t>
        </w:r>
      </w:hyperlink>
      <w:r w:rsidRPr="00B42F6B">
        <w:t>.</w:t>
      </w:r>
    </w:p>
    <w:p w14:paraId="554DC3DC" w14:textId="30AF2A7B" w:rsidR="00B42F6B" w:rsidRPr="00B42F6B" w:rsidRDefault="00B42F6B" w:rsidP="00B42F6B">
      <w:r w:rsidRPr="00B42F6B">
        <w:t>‌Ali, L. (2022) </w:t>
      </w:r>
      <w:r w:rsidRPr="00B42F6B">
        <w:rPr>
          <w:i/>
          <w:iCs/>
        </w:rPr>
        <w:t>CIPD | Equality, Diversity and Inclusion in the Workplace | Factsheets</w:t>
      </w:r>
      <w:r w:rsidRPr="00B42F6B">
        <w:t>, </w:t>
      </w:r>
      <w:r w:rsidRPr="00B42F6B">
        <w:rPr>
          <w:i/>
          <w:iCs/>
        </w:rPr>
        <w:t>CIPD</w:t>
      </w:r>
      <w:r w:rsidRPr="00B42F6B">
        <w:t xml:space="preserve">. CIPD. Available at: </w:t>
      </w:r>
      <w:hyperlink r:id="rId16" w:history="1">
        <w:r w:rsidRPr="00B42F6B">
          <w:rPr>
            <w:rStyle w:val="Hyperlink"/>
            <w:rFonts w:ascii="Calibri" w:hAnsi="Calibri" w:cs="Calibri"/>
          </w:rPr>
          <w:t>https://www.cipd.org/uk/knowledge/factsheets/diversity-factsheet/</w:t>
        </w:r>
      </w:hyperlink>
      <w:r w:rsidRPr="00B42F6B">
        <w:t>.</w:t>
      </w:r>
    </w:p>
    <w:p w14:paraId="235FAC49" w14:textId="77777777" w:rsidR="00B42F6B" w:rsidRPr="00B42F6B" w:rsidRDefault="00B42F6B" w:rsidP="00B42F6B">
      <w:pPr>
        <w:pStyle w:val="NormalWeb"/>
        <w:spacing w:before="0" w:beforeAutospacing="0" w:after="0" w:afterAutospacing="0" w:line="360" w:lineRule="atLeast"/>
        <w:rPr>
          <w:rFonts w:ascii="Calibri" w:hAnsi="Calibri" w:cs="Calibri"/>
          <w:color w:val="000000"/>
          <w:sz w:val="22"/>
          <w:szCs w:val="22"/>
        </w:rPr>
      </w:pPr>
      <w:proofErr w:type="spellStart"/>
      <w:r w:rsidRPr="00B42F6B">
        <w:rPr>
          <w:rFonts w:ascii="Calibri" w:hAnsi="Calibri" w:cs="Calibri"/>
          <w:color w:val="000000"/>
          <w:sz w:val="22"/>
          <w:szCs w:val="22"/>
        </w:rPr>
        <w:t>Worknest</w:t>
      </w:r>
      <w:proofErr w:type="spellEnd"/>
      <w:r w:rsidRPr="00B42F6B">
        <w:rPr>
          <w:rFonts w:ascii="Calibri" w:hAnsi="Calibri" w:cs="Calibri"/>
          <w:color w:val="000000"/>
          <w:sz w:val="22"/>
          <w:szCs w:val="22"/>
        </w:rPr>
        <w:t xml:space="preserve"> (2017) </w:t>
      </w:r>
      <w:r w:rsidRPr="00B42F6B">
        <w:rPr>
          <w:rFonts w:ascii="Calibri" w:hAnsi="Calibri" w:cs="Calibri"/>
          <w:i/>
          <w:iCs/>
          <w:color w:val="000000"/>
          <w:sz w:val="22"/>
          <w:szCs w:val="22"/>
        </w:rPr>
        <w:t>Fair and unfair dismissals</w:t>
      </w:r>
      <w:r w:rsidRPr="00B42F6B">
        <w:rPr>
          <w:rFonts w:ascii="Calibri" w:hAnsi="Calibri" w:cs="Calibri"/>
          <w:color w:val="000000"/>
          <w:sz w:val="22"/>
          <w:szCs w:val="22"/>
        </w:rPr>
        <w:t>, </w:t>
      </w:r>
      <w:proofErr w:type="spellStart"/>
      <w:r w:rsidRPr="00B42F6B">
        <w:rPr>
          <w:rFonts w:ascii="Calibri" w:hAnsi="Calibri" w:cs="Calibri"/>
          <w:i/>
          <w:iCs/>
          <w:color w:val="000000"/>
          <w:sz w:val="22"/>
          <w:szCs w:val="22"/>
        </w:rPr>
        <w:t>WorkNest</w:t>
      </w:r>
      <w:proofErr w:type="spellEnd"/>
      <w:r w:rsidRPr="00B42F6B">
        <w:rPr>
          <w:rFonts w:ascii="Calibri" w:hAnsi="Calibri" w:cs="Calibri"/>
          <w:color w:val="000000"/>
          <w:sz w:val="22"/>
          <w:szCs w:val="22"/>
        </w:rPr>
        <w:t xml:space="preserve">. Available at: </w:t>
      </w:r>
      <w:hyperlink r:id="rId17" w:history="1">
        <w:r w:rsidRPr="00B42F6B">
          <w:rPr>
            <w:rStyle w:val="Hyperlink"/>
            <w:rFonts w:ascii="Calibri" w:hAnsi="Calibri" w:cs="Calibri"/>
            <w:sz w:val="22"/>
            <w:szCs w:val="22"/>
          </w:rPr>
          <w:t>https://worknest.com/blog/fair-unfair-dismissals/</w:t>
        </w:r>
      </w:hyperlink>
      <w:r w:rsidRPr="00B42F6B">
        <w:rPr>
          <w:rFonts w:ascii="Calibri" w:hAnsi="Calibri" w:cs="Calibri"/>
          <w:color w:val="000000"/>
          <w:sz w:val="22"/>
          <w:szCs w:val="22"/>
        </w:rPr>
        <w:t>.</w:t>
      </w:r>
    </w:p>
    <w:p w14:paraId="28612C6F" w14:textId="77777777" w:rsidR="00B42F6B" w:rsidRDefault="00B42F6B" w:rsidP="00B42F6B">
      <w:pPr>
        <w:pStyle w:val="NormalWeb"/>
        <w:spacing w:before="0" w:beforeAutospacing="0" w:after="0" w:afterAutospacing="0" w:line="360" w:lineRule="atLeast"/>
        <w:rPr>
          <w:rFonts w:ascii="Calibri" w:hAnsi="Calibri" w:cs="Calibri"/>
          <w:color w:val="000000"/>
          <w:sz w:val="27"/>
          <w:szCs w:val="27"/>
        </w:rPr>
      </w:pPr>
    </w:p>
    <w:p w14:paraId="32F275D7" w14:textId="77777777" w:rsidR="00B42F6B" w:rsidRDefault="00B42F6B" w:rsidP="00B42F6B">
      <w:pPr>
        <w:pStyle w:val="NormalWeb"/>
        <w:rPr>
          <w:rFonts w:ascii="Calibri" w:hAnsi="Calibri" w:cs="Calibri"/>
          <w:color w:val="000000"/>
          <w:sz w:val="27"/>
          <w:szCs w:val="27"/>
        </w:rPr>
      </w:pPr>
      <w:r>
        <w:rPr>
          <w:rFonts w:ascii="Calibri" w:hAnsi="Calibri" w:cs="Calibri"/>
          <w:color w:val="000000"/>
          <w:sz w:val="27"/>
          <w:szCs w:val="27"/>
        </w:rPr>
        <w:t>‌</w:t>
      </w:r>
    </w:p>
    <w:p w14:paraId="5EAC59A7" w14:textId="77777777" w:rsidR="00B42F6B" w:rsidRPr="00EC113D" w:rsidRDefault="00B42F6B" w:rsidP="00385829"/>
    <w:sectPr w:rsidR="00B42F6B" w:rsidRPr="00EC113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97CB7" w14:textId="77777777" w:rsidR="00305186" w:rsidRDefault="00305186" w:rsidP="00B650B3">
      <w:pPr>
        <w:spacing w:after="0" w:line="240" w:lineRule="auto"/>
      </w:pPr>
      <w:r>
        <w:separator/>
      </w:r>
    </w:p>
  </w:endnote>
  <w:endnote w:type="continuationSeparator" w:id="0">
    <w:p w14:paraId="7A6BD1BE" w14:textId="77777777" w:rsidR="00305186" w:rsidRDefault="00305186" w:rsidP="00B65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492D0" w14:textId="52BF94A3" w:rsidR="00B650B3" w:rsidRDefault="00B650B3">
    <w:pPr>
      <w:pStyle w:val="Footer"/>
    </w:pPr>
    <w:r>
      <w:t>Carl Jordan Harries</w:t>
    </w:r>
    <w:r>
      <w:ptab w:relativeTo="margin" w:alignment="center" w:leader="none"/>
    </w:r>
    <w:r w:rsidR="0000208C">
      <w:t xml:space="preserve">Word count: </w:t>
    </w:r>
    <w:r w:rsidR="00522A72">
      <w:t>1</w:t>
    </w:r>
    <w:r w:rsidR="00261F15">
      <w:t>3</w:t>
    </w:r>
    <w:r w:rsidR="00B42F6B">
      <w:t>28</w:t>
    </w:r>
    <w:r>
      <w:ptab w:relativeTo="margin" w:alignment="right" w:leader="none"/>
    </w:r>
    <w:r>
      <w:t>2318469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6A809" w14:textId="77777777" w:rsidR="00305186" w:rsidRDefault="00305186" w:rsidP="00B650B3">
      <w:pPr>
        <w:spacing w:after="0" w:line="240" w:lineRule="auto"/>
      </w:pPr>
      <w:r>
        <w:separator/>
      </w:r>
    </w:p>
  </w:footnote>
  <w:footnote w:type="continuationSeparator" w:id="0">
    <w:p w14:paraId="22AAB856" w14:textId="77777777" w:rsidR="00305186" w:rsidRDefault="00305186" w:rsidP="00B650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A5E89"/>
    <w:multiLevelType w:val="hybridMultilevel"/>
    <w:tmpl w:val="3514C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4472C4"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B0B39DB"/>
    <w:multiLevelType w:val="hybridMultilevel"/>
    <w:tmpl w:val="E5C68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4D6D1FC8"/>
    <w:multiLevelType w:val="multilevel"/>
    <w:tmpl w:val="F0E8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333652"/>
    <w:multiLevelType w:val="hybridMultilevel"/>
    <w:tmpl w:val="9880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7142C"/>
    <w:multiLevelType w:val="multilevel"/>
    <w:tmpl w:val="0E10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054736">
    <w:abstractNumId w:val="3"/>
    <w:lvlOverride w:ilvl="0">
      <w:startOverride w:val="1"/>
    </w:lvlOverride>
    <w:lvlOverride w:ilvl="1"/>
    <w:lvlOverride w:ilvl="2"/>
    <w:lvlOverride w:ilvl="3"/>
    <w:lvlOverride w:ilvl="4"/>
    <w:lvlOverride w:ilvl="5"/>
    <w:lvlOverride w:ilvl="6"/>
    <w:lvlOverride w:ilvl="7"/>
    <w:lvlOverride w:ilvl="8"/>
  </w:num>
  <w:num w:numId="2" w16cid:durableId="1598830085">
    <w:abstractNumId w:val="4"/>
  </w:num>
  <w:num w:numId="3" w16cid:durableId="1724061812">
    <w:abstractNumId w:val="6"/>
  </w:num>
  <w:num w:numId="4" w16cid:durableId="743375604">
    <w:abstractNumId w:val="1"/>
  </w:num>
  <w:num w:numId="5" w16cid:durableId="468595441">
    <w:abstractNumId w:val="5"/>
  </w:num>
  <w:num w:numId="6" w16cid:durableId="2636956">
    <w:abstractNumId w:val="1"/>
  </w:num>
  <w:num w:numId="7" w16cid:durableId="1632982667">
    <w:abstractNumId w:val="3"/>
  </w:num>
  <w:num w:numId="8" w16cid:durableId="1312099408">
    <w:abstractNumId w:val="0"/>
  </w:num>
  <w:num w:numId="9" w16cid:durableId="1090539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8A6"/>
    <w:rsid w:val="0000208C"/>
    <w:rsid w:val="000570F0"/>
    <w:rsid w:val="000C1036"/>
    <w:rsid w:val="001336DC"/>
    <w:rsid w:val="00161449"/>
    <w:rsid w:val="001927ED"/>
    <w:rsid w:val="001B4DA9"/>
    <w:rsid w:val="001B62B0"/>
    <w:rsid w:val="001E32AE"/>
    <w:rsid w:val="00210045"/>
    <w:rsid w:val="00227108"/>
    <w:rsid w:val="0024196E"/>
    <w:rsid w:val="0025727F"/>
    <w:rsid w:val="00261F15"/>
    <w:rsid w:val="002A17DD"/>
    <w:rsid w:val="002E45AE"/>
    <w:rsid w:val="00305186"/>
    <w:rsid w:val="00307DE8"/>
    <w:rsid w:val="003261CF"/>
    <w:rsid w:val="003839D3"/>
    <w:rsid w:val="00385829"/>
    <w:rsid w:val="00386463"/>
    <w:rsid w:val="003F37E9"/>
    <w:rsid w:val="00463943"/>
    <w:rsid w:val="0047735E"/>
    <w:rsid w:val="004C6EBA"/>
    <w:rsid w:val="004E0CF3"/>
    <w:rsid w:val="004E16DF"/>
    <w:rsid w:val="004E530C"/>
    <w:rsid w:val="00522A72"/>
    <w:rsid w:val="005762EE"/>
    <w:rsid w:val="005C4C0D"/>
    <w:rsid w:val="005D3BBB"/>
    <w:rsid w:val="00645AF0"/>
    <w:rsid w:val="00647407"/>
    <w:rsid w:val="00654598"/>
    <w:rsid w:val="006A6AF0"/>
    <w:rsid w:val="00726D87"/>
    <w:rsid w:val="00742467"/>
    <w:rsid w:val="0076275F"/>
    <w:rsid w:val="0077351A"/>
    <w:rsid w:val="007774FD"/>
    <w:rsid w:val="00785670"/>
    <w:rsid w:val="007B7CA1"/>
    <w:rsid w:val="007F6AFA"/>
    <w:rsid w:val="00813AD2"/>
    <w:rsid w:val="008519F2"/>
    <w:rsid w:val="008567C4"/>
    <w:rsid w:val="00892D67"/>
    <w:rsid w:val="008C1F5F"/>
    <w:rsid w:val="008D6CE1"/>
    <w:rsid w:val="008E0F2A"/>
    <w:rsid w:val="00912F19"/>
    <w:rsid w:val="00974301"/>
    <w:rsid w:val="0098239C"/>
    <w:rsid w:val="00987FB5"/>
    <w:rsid w:val="00993171"/>
    <w:rsid w:val="0099776B"/>
    <w:rsid w:val="009B1771"/>
    <w:rsid w:val="009B2ABD"/>
    <w:rsid w:val="00A11BCE"/>
    <w:rsid w:val="00A14B85"/>
    <w:rsid w:val="00A170A4"/>
    <w:rsid w:val="00A216F8"/>
    <w:rsid w:val="00A52F1D"/>
    <w:rsid w:val="00A71A0F"/>
    <w:rsid w:val="00A908E0"/>
    <w:rsid w:val="00AB61E2"/>
    <w:rsid w:val="00AC0251"/>
    <w:rsid w:val="00AE3975"/>
    <w:rsid w:val="00AF7391"/>
    <w:rsid w:val="00B018A6"/>
    <w:rsid w:val="00B32052"/>
    <w:rsid w:val="00B33B0B"/>
    <w:rsid w:val="00B42F6B"/>
    <w:rsid w:val="00B650B3"/>
    <w:rsid w:val="00B709EA"/>
    <w:rsid w:val="00BD7523"/>
    <w:rsid w:val="00C35232"/>
    <w:rsid w:val="00C70E8F"/>
    <w:rsid w:val="00C87B89"/>
    <w:rsid w:val="00C87D52"/>
    <w:rsid w:val="00CE00F0"/>
    <w:rsid w:val="00D34D9D"/>
    <w:rsid w:val="00D37237"/>
    <w:rsid w:val="00D640D0"/>
    <w:rsid w:val="00D768C1"/>
    <w:rsid w:val="00D91C23"/>
    <w:rsid w:val="00DA22B7"/>
    <w:rsid w:val="00DA251E"/>
    <w:rsid w:val="00DB4A54"/>
    <w:rsid w:val="00DF34C4"/>
    <w:rsid w:val="00E431BB"/>
    <w:rsid w:val="00E6381C"/>
    <w:rsid w:val="00E8733A"/>
    <w:rsid w:val="00EA3299"/>
    <w:rsid w:val="00EC113D"/>
    <w:rsid w:val="00F0402D"/>
    <w:rsid w:val="00F2597A"/>
    <w:rsid w:val="00F4674A"/>
    <w:rsid w:val="00FA2B0A"/>
    <w:rsid w:val="00FE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D826"/>
  <w15:chartTrackingRefBased/>
  <w15:docId w15:val="{97CDA492-9080-4FC0-989C-E74CD7F7E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D768C1"/>
    <w:rPr>
      <w:rFonts w:ascii="Arial" w:hAnsi="Arial" w:cs="Arial"/>
    </w:rPr>
  </w:style>
  <w:style w:type="paragraph" w:styleId="ListParagraph">
    <w:name w:val="List Paragraph"/>
    <w:basedOn w:val="Normal"/>
    <w:link w:val="ListParagraphChar"/>
    <w:uiPriority w:val="34"/>
    <w:qFormat/>
    <w:rsid w:val="00D768C1"/>
    <w:pPr>
      <w:spacing w:after="0" w:line="256" w:lineRule="auto"/>
      <w:ind w:left="720"/>
      <w:contextualSpacing/>
    </w:pPr>
    <w:rPr>
      <w:rFonts w:ascii="Arial" w:hAnsi="Arial" w:cs="Arial"/>
    </w:rPr>
  </w:style>
  <w:style w:type="paragraph" w:styleId="NormalWeb">
    <w:name w:val="Normal (Web)"/>
    <w:basedOn w:val="Normal"/>
    <w:uiPriority w:val="99"/>
    <w:unhideWhenUsed/>
    <w:rsid w:val="005C4C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519F2"/>
    <w:rPr>
      <w:i/>
      <w:iCs/>
    </w:rPr>
  </w:style>
  <w:style w:type="character" w:styleId="Hyperlink">
    <w:name w:val="Hyperlink"/>
    <w:basedOn w:val="DefaultParagraphFont"/>
    <w:uiPriority w:val="99"/>
    <w:unhideWhenUsed/>
    <w:rsid w:val="00B709EA"/>
    <w:rPr>
      <w:color w:val="0000FF"/>
      <w:u w:val="single"/>
    </w:rPr>
  </w:style>
  <w:style w:type="character" w:styleId="UnresolvedMention">
    <w:name w:val="Unresolved Mention"/>
    <w:basedOn w:val="DefaultParagraphFont"/>
    <w:uiPriority w:val="99"/>
    <w:semiHidden/>
    <w:unhideWhenUsed/>
    <w:rsid w:val="00892D67"/>
    <w:rPr>
      <w:color w:val="605E5C"/>
      <w:shd w:val="clear" w:color="auto" w:fill="E1DFDD"/>
    </w:rPr>
  </w:style>
  <w:style w:type="paragraph" w:styleId="Header">
    <w:name w:val="header"/>
    <w:basedOn w:val="Normal"/>
    <w:link w:val="HeaderChar"/>
    <w:uiPriority w:val="99"/>
    <w:unhideWhenUsed/>
    <w:rsid w:val="00B65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B3"/>
  </w:style>
  <w:style w:type="paragraph" w:styleId="Footer">
    <w:name w:val="footer"/>
    <w:basedOn w:val="Normal"/>
    <w:link w:val="FooterChar"/>
    <w:uiPriority w:val="99"/>
    <w:unhideWhenUsed/>
    <w:rsid w:val="00B65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B3"/>
  </w:style>
  <w:style w:type="character" w:customStyle="1" w:styleId="ListparagChar">
    <w:name w:val="List parag Char"/>
    <w:basedOn w:val="DefaultParagraphFont"/>
    <w:link w:val="Listparag"/>
    <w:locked/>
    <w:rsid w:val="00AF7391"/>
    <w:rPr>
      <w:rFonts w:ascii="Arial" w:eastAsia="Times New Roman" w:hAnsi="Arial" w:cs="Arial"/>
      <w:lang w:eastAsia="en-GB"/>
    </w:rPr>
  </w:style>
  <w:style w:type="paragraph" w:customStyle="1" w:styleId="Listparag">
    <w:name w:val="List parag"/>
    <w:basedOn w:val="ListParagraph"/>
    <w:link w:val="ListparagChar"/>
    <w:qFormat/>
    <w:rsid w:val="00AF7391"/>
    <w:pPr>
      <w:numPr>
        <w:numId w:val="4"/>
      </w:numPr>
      <w:spacing w:after="120" w:line="264" w:lineRule="auto"/>
      <w:contextualSpacing w:val="0"/>
    </w:pPr>
    <w:rPr>
      <w:rFonts w:eastAsia="Times New Roman"/>
      <w:lang w:eastAsia="en-GB"/>
    </w:rPr>
  </w:style>
  <w:style w:type="paragraph" w:styleId="NoSpacing">
    <w:name w:val="No Spacing"/>
    <w:uiPriority w:val="1"/>
    <w:qFormat/>
    <w:rsid w:val="007F6A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353116">
      <w:bodyDiv w:val="1"/>
      <w:marLeft w:val="0"/>
      <w:marRight w:val="0"/>
      <w:marTop w:val="0"/>
      <w:marBottom w:val="0"/>
      <w:divBdr>
        <w:top w:val="none" w:sz="0" w:space="0" w:color="auto"/>
        <w:left w:val="none" w:sz="0" w:space="0" w:color="auto"/>
        <w:bottom w:val="none" w:sz="0" w:space="0" w:color="auto"/>
        <w:right w:val="none" w:sz="0" w:space="0" w:color="auto"/>
      </w:divBdr>
    </w:div>
    <w:div w:id="154928883">
      <w:bodyDiv w:val="1"/>
      <w:marLeft w:val="0"/>
      <w:marRight w:val="0"/>
      <w:marTop w:val="0"/>
      <w:marBottom w:val="0"/>
      <w:divBdr>
        <w:top w:val="none" w:sz="0" w:space="0" w:color="auto"/>
        <w:left w:val="none" w:sz="0" w:space="0" w:color="auto"/>
        <w:bottom w:val="none" w:sz="0" w:space="0" w:color="auto"/>
        <w:right w:val="none" w:sz="0" w:space="0" w:color="auto"/>
      </w:divBdr>
    </w:div>
    <w:div w:id="237982803">
      <w:bodyDiv w:val="1"/>
      <w:marLeft w:val="0"/>
      <w:marRight w:val="0"/>
      <w:marTop w:val="0"/>
      <w:marBottom w:val="0"/>
      <w:divBdr>
        <w:top w:val="none" w:sz="0" w:space="0" w:color="auto"/>
        <w:left w:val="none" w:sz="0" w:space="0" w:color="auto"/>
        <w:bottom w:val="none" w:sz="0" w:space="0" w:color="auto"/>
        <w:right w:val="none" w:sz="0" w:space="0" w:color="auto"/>
      </w:divBdr>
    </w:div>
    <w:div w:id="255942053">
      <w:bodyDiv w:val="1"/>
      <w:marLeft w:val="0"/>
      <w:marRight w:val="0"/>
      <w:marTop w:val="0"/>
      <w:marBottom w:val="0"/>
      <w:divBdr>
        <w:top w:val="none" w:sz="0" w:space="0" w:color="auto"/>
        <w:left w:val="none" w:sz="0" w:space="0" w:color="auto"/>
        <w:bottom w:val="none" w:sz="0" w:space="0" w:color="auto"/>
        <w:right w:val="none" w:sz="0" w:space="0" w:color="auto"/>
      </w:divBdr>
    </w:div>
    <w:div w:id="280767912">
      <w:bodyDiv w:val="1"/>
      <w:marLeft w:val="0"/>
      <w:marRight w:val="0"/>
      <w:marTop w:val="0"/>
      <w:marBottom w:val="0"/>
      <w:divBdr>
        <w:top w:val="none" w:sz="0" w:space="0" w:color="auto"/>
        <w:left w:val="none" w:sz="0" w:space="0" w:color="auto"/>
        <w:bottom w:val="none" w:sz="0" w:space="0" w:color="auto"/>
        <w:right w:val="none" w:sz="0" w:space="0" w:color="auto"/>
      </w:divBdr>
    </w:div>
    <w:div w:id="323320746">
      <w:bodyDiv w:val="1"/>
      <w:marLeft w:val="0"/>
      <w:marRight w:val="0"/>
      <w:marTop w:val="0"/>
      <w:marBottom w:val="0"/>
      <w:divBdr>
        <w:top w:val="none" w:sz="0" w:space="0" w:color="auto"/>
        <w:left w:val="none" w:sz="0" w:space="0" w:color="auto"/>
        <w:bottom w:val="none" w:sz="0" w:space="0" w:color="auto"/>
        <w:right w:val="none" w:sz="0" w:space="0" w:color="auto"/>
      </w:divBdr>
    </w:div>
    <w:div w:id="384571315">
      <w:bodyDiv w:val="1"/>
      <w:marLeft w:val="0"/>
      <w:marRight w:val="0"/>
      <w:marTop w:val="0"/>
      <w:marBottom w:val="0"/>
      <w:divBdr>
        <w:top w:val="none" w:sz="0" w:space="0" w:color="auto"/>
        <w:left w:val="none" w:sz="0" w:space="0" w:color="auto"/>
        <w:bottom w:val="none" w:sz="0" w:space="0" w:color="auto"/>
        <w:right w:val="none" w:sz="0" w:space="0" w:color="auto"/>
      </w:divBdr>
    </w:div>
    <w:div w:id="425925186">
      <w:bodyDiv w:val="1"/>
      <w:marLeft w:val="0"/>
      <w:marRight w:val="0"/>
      <w:marTop w:val="0"/>
      <w:marBottom w:val="0"/>
      <w:divBdr>
        <w:top w:val="none" w:sz="0" w:space="0" w:color="auto"/>
        <w:left w:val="none" w:sz="0" w:space="0" w:color="auto"/>
        <w:bottom w:val="none" w:sz="0" w:space="0" w:color="auto"/>
        <w:right w:val="none" w:sz="0" w:space="0" w:color="auto"/>
      </w:divBdr>
    </w:div>
    <w:div w:id="462506140">
      <w:bodyDiv w:val="1"/>
      <w:marLeft w:val="0"/>
      <w:marRight w:val="0"/>
      <w:marTop w:val="0"/>
      <w:marBottom w:val="0"/>
      <w:divBdr>
        <w:top w:val="none" w:sz="0" w:space="0" w:color="auto"/>
        <w:left w:val="none" w:sz="0" w:space="0" w:color="auto"/>
        <w:bottom w:val="none" w:sz="0" w:space="0" w:color="auto"/>
        <w:right w:val="none" w:sz="0" w:space="0" w:color="auto"/>
      </w:divBdr>
    </w:div>
    <w:div w:id="544801989">
      <w:bodyDiv w:val="1"/>
      <w:marLeft w:val="0"/>
      <w:marRight w:val="0"/>
      <w:marTop w:val="0"/>
      <w:marBottom w:val="0"/>
      <w:divBdr>
        <w:top w:val="none" w:sz="0" w:space="0" w:color="auto"/>
        <w:left w:val="none" w:sz="0" w:space="0" w:color="auto"/>
        <w:bottom w:val="none" w:sz="0" w:space="0" w:color="auto"/>
        <w:right w:val="none" w:sz="0" w:space="0" w:color="auto"/>
      </w:divBdr>
    </w:div>
    <w:div w:id="616523731">
      <w:bodyDiv w:val="1"/>
      <w:marLeft w:val="0"/>
      <w:marRight w:val="0"/>
      <w:marTop w:val="0"/>
      <w:marBottom w:val="0"/>
      <w:divBdr>
        <w:top w:val="none" w:sz="0" w:space="0" w:color="auto"/>
        <w:left w:val="none" w:sz="0" w:space="0" w:color="auto"/>
        <w:bottom w:val="none" w:sz="0" w:space="0" w:color="auto"/>
        <w:right w:val="none" w:sz="0" w:space="0" w:color="auto"/>
      </w:divBdr>
    </w:div>
    <w:div w:id="634020219">
      <w:bodyDiv w:val="1"/>
      <w:marLeft w:val="0"/>
      <w:marRight w:val="0"/>
      <w:marTop w:val="0"/>
      <w:marBottom w:val="0"/>
      <w:divBdr>
        <w:top w:val="none" w:sz="0" w:space="0" w:color="auto"/>
        <w:left w:val="none" w:sz="0" w:space="0" w:color="auto"/>
        <w:bottom w:val="none" w:sz="0" w:space="0" w:color="auto"/>
        <w:right w:val="none" w:sz="0" w:space="0" w:color="auto"/>
      </w:divBdr>
    </w:div>
    <w:div w:id="640499142">
      <w:bodyDiv w:val="1"/>
      <w:marLeft w:val="0"/>
      <w:marRight w:val="0"/>
      <w:marTop w:val="0"/>
      <w:marBottom w:val="0"/>
      <w:divBdr>
        <w:top w:val="none" w:sz="0" w:space="0" w:color="auto"/>
        <w:left w:val="none" w:sz="0" w:space="0" w:color="auto"/>
        <w:bottom w:val="none" w:sz="0" w:space="0" w:color="auto"/>
        <w:right w:val="none" w:sz="0" w:space="0" w:color="auto"/>
      </w:divBdr>
    </w:div>
    <w:div w:id="650914486">
      <w:bodyDiv w:val="1"/>
      <w:marLeft w:val="0"/>
      <w:marRight w:val="0"/>
      <w:marTop w:val="0"/>
      <w:marBottom w:val="0"/>
      <w:divBdr>
        <w:top w:val="none" w:sz="0" w:space="0" w:color="auto"/>
        <w:left w:val="none" w:sz="0" w:space="0" w:color="auto"/>
        <w:bottom w:val="none" w:sz="0" w:space="0" w:color="auto"/>
        <w:right w:val="none" w:sz="0" w:space="0" w:color="auto"/>
      </w:divBdr>
    </w:div>
    <w:div w:id="669799735">
      <w:bodyDiv w:val="1"/>
      <w:marLeft w:val="0"/>
      <w:marRight w:val="0"/>
      <w:marTop w:val="0"/>
      <w:marBottom w:val="0"/>
      <w:divBdr>
        <w:top w:val="none" w:sz="0" w:space="0" w:color="auto"/>
        <w:left w:val="none" w:sz="0" w:space="0" w:color="auto"/>
        <w:bottom w:val="none" w:sz="0" w:space="0" w:color="auto"/>
        <w:right w:val="none" w:sz="0" w:space="0" w:color="auto"/>
      </w:divBdr>
    </w:div>
    <w:div w:id="773671406">
      <w:bodyDiv w:val="1"/>
      <w:marLeft w:val="0"/>
      <w:marRight w:val="0"/>
      <w:marTop w:val="0"/>
      <w:marBottom w:val="0"/>
      <w:divBdr>
        <w:top w:val="none" w:sz="0" w:space="0" w:color="auto"/>
        <w:left w:val="none" w:sz="0" w:space="0" w:color="auto"/>
        <w:bottom w:val="none" w:sz="0" w:space="0" w:color="auto"/>
        <w:right w:val="none" w:sz="0" w:space="0" w:color="auto"/>
      </w:divBdr>
    </w:div>
    <w:div w:id="869301847">
      <w:bodyDiv w:val="1"/>
      <w:marLeft w:val="0"/>
      <w:marRight w:val="0"/>
      <w:marTop w:val="0"/>
      <w:marBottom w:val="0"/>
      <w:divBdr>
        <w:top w:val="none" w:sz="0" w:space="0" w:color="auto"/>
        <w:left w:val="none" w:sz="0" w:space="0" w:color="auto"/>
        <w:bottom w:val="none" w:sz="0" w:space="0" w:color="auto"/>
        <w:right w:val="none" w:sz="0" w:space="0" w:color="auto"/>
      </w:divBdr>
    </w:div>
    <w:div w:id="952663937">
      <w:bodyDiv w:val="1"/>
      <w:marLeft w:val="0"/>
      <w:marRight w:val="0"/>
      <w:marTop w:val="0"/>
      <w:marBottom w:val="0"/>
      <w:divBdr>
        <w:top w:val="none" w:sz="0" w:space="0" w:color="auto"/>
        <w:left w:val="none" w:sz="0" w:space="0" w:color="auto"/>
        <w:bottom w:val="none" w:sz="0" w:space="0" w:color="auto"/>
        <w:right w:val="none" w:sz="0" w:space="0" w:color="auto"/>
      </w:divBdr>
    </w:div>
    <w:div w:id="1024289932">
      <w:bodyDiv w:val="1"/>
      <w:marLeft w:val="0"/>
      <w:marRight w:val="0"/>
      <w:marTop w:val="0"/>
      <w:marBottom w:val="0"/>
      <w:divBdr>
        <w:top w:val="none" w:sz="0" w:space="0" w:color="auto"/>
        <w:left w:val="none" w:sz="0" w:space="0" w:color="auto"/>
        <w:bottom w:val="none" w:sz="0" w:space="0" w:color="auto"/>
        <w:right w:val="none" w:sz="0" w:space="0" w:color="auto"/>
      </w:divBdr>
    </w:div>
    <w:div w:id="1099256991">
      <w:bodyDiv w:val="1"/>
      <w:marLeft w:val="0"/>
      <w:marRight w:val="0"/>
      <w:marTop w:val="0"/>
      <w:marBottom w:val="0"/>
      <w:divBdr>
        <w:top w:val="none" w:sz="0" w:space="0" w:color="auto"/>
        <w:left w:val="none" w:sz="0" w:space="0" w:color="auto"/>
        <w:bottom w:val="none" w:sz="0" w:space="0" w:color="auto"/>
        <w:right w:val="none" w:sz="0" w:space="0" w:color="auto"/>
      </w:divBdr>
    </w:div>
    <w:div w:id="1143161909">
      <w:bodyDiv w:val="1"/>
      <w:marLeft w:val="0"/>
      <w:marRight w:val="0"/>
      <w:marTop w:val="0"/>
      <w:marBottom w:val="0"/>
      <w:divBdr>
        <w:top w:val="none" w:sz="0" w:space="0" w:color="auto"/>
        <w:left w:val="none" w:sz="0" w:space="0" w:color="auto"/>
        <w:bottom w:val="none" w:sz="0" w:space="0" w:color="auto"/>
        <w:right w:val="none" w:sz="0" w:space="0" w:color="auto"/>
      </w:divBdr>
    </w:div>
    <w:div w:id="1224291802">
      <w:bodyDiv w:val="1"/>
      <w:marLeft w:val="0"/>
      <w:marRight w:val="0"/>
      <w:marTop w:val="0"/>
      <w:marBottom w:val="0"/>
      <w:divBdr>
        <w:top w:val="none" w:sz="0" w:space="0" w:color="auto"/>
        <w:left w:val="none" w:sz="0" w:space="0" w:color="auto"/>
        <w:bottom w:val="none" w:sz="0" w:space="0" w:color="auto"/>
        <w:right w:val="none" w:sz="0" w:space="0" w:color="auto"/>
      </w:divBdr>
    </w:div>
    <w:div w:id="1480029009">
      <w:bodyDiv w:val="1"/>
      <w:marLeft w:val="0"/>
      <w:marRight w:val="0"/>
      <w:marTop w:val="0"/>
      <w:marBottom w:val="0"/>
      <w:divBdr>
        <w:top w:val="none" w:sz="0" w:space="0" w:color="auto"/>
        <w:left w:val="none" w:sz="0" w:space="0" w:color="auto"/>
        <w:bottom w:val="none" w:sz="0" w:space="0" w:color="auto"/>
        <w:right w:val="none" w:sz="0" w:space="0" w:color="auto"/>
      </w:divBdr>
    </w:div>
    <w:div w:id="1493179463">
      <w:bodyDiv w:val="1"/>
      <w:marLeft w:val="0"/>
      <w:marRight w:val="0"/>
      <w:marTop w:val="0"/>
      <w:marBottom w:val="0"/>
      <w:divBdr>
        <w:top w:val="none" w:sz="0" w:space="0" w:color="auto"/>
        <w:left w:val="none" w:sz="0" w:space="0" w:color="auto"/>
        <w:bottom w:val="none" w:sz="0" w:space="0" w:color="auto"/>
        <w:right w:val="none" w:sz="0" w:space="0" w:color="auto"/>
      </w:divBdr>
    </w:div>
    <w:div w:id="1666590812">
      <w:bodyDiv w:val="1"/>
      <w:marLeft w:val="0"/>
      <w:marRight w:val="0"/>
      <w:marTop w:val="0"/>
      <w:marBottom w:val="0"/>
      <w:divBdr>
        <w:top w:val="none" w:sz="0" w:space="0" w:color="auto"/>
        <w:left w:val="none" w:sz="0" w:space="0" w:color="auto"/>
        <w:bottom w:val="none" w:sz="0" w:space="0" w:color="auto"/>
        <w:right w:val="none" w:sz="0" w:space="0" w:color="auto"/>
      </w:divBdr>
    </w:div>
    <w:div w:id="1684478168">
      <w:bodyDiv w:val="1"/>
      <w:marLeft w:val="0"/>
      <w:marRight w:val="0"/>
      <w:marTop w:val="0"/>
      <w:marBottom w:val="0"/>
      <w:divBdr>
        <w:top w:val="none" w:sz="0" w:space="0" w:color="auto"/>
        <w:left w:val="none" w:sz="0" w:space="0" w:color="auto"/>
        <w:bottom w:val="none" w:sz="0" w:space="0" w:color="auto"/>
        <w:right w:val="none" w:sz="0" w:space="0" w:color="auto"/>
      </w:divBdr>
    </w:div>
    <w:div w:id="1733457783">
      <w:bodyDiv w:val="1"/>
      <w:marLeft w:val="0"/>
      <w:marRight w:val="0"/>
      <w:marTop w:val="0"/>
      <w:marBottom w:val="0"/>
      <w:divBdr>
        <w:top w:val="none" w:sz="0" w:space="0" w:color="auto"/>
        <w:left w:val="none" w:sz="0" w:space="0" w:color="auto"/>
        <w:bottom w:val="none" w:sz="0" w:space="0" w:color="auto"/>
        <w:right w:val="none" w:sz="0" w:space="0" w:color="auto"/>
      </w:divBdr>
    </w:div>
    <w:div w:id="1780446606">
      <w:bodyDiv w:val="1"/>
      <w:marLeft w:val="0"/>
      <w:marRight w:val="0"/>
      <w:marTop w:val="0"/>
      <w:marBottom w:val="0"/>
      <w:divBdr>
        <w:top w:val="none" w:sz="0" w:space="0" w:color="auto"/>
        <w:left w:val="none" w:sz="0" w:space="0" w:color="auto"/>
        <w:bottom w:val="none" w:sz="0" w:space="0" w:color="auto"/>
        <w:right w:val="none" w:sz="0" w:space="0" w:color="auto"/>
      </w:divBdr>
    </w:div>
    <w:div w:id="1797866075">
      <w:bodyDiv w:val="1"/>
      <w:marLeft w:val="0"/>
      <w:marRight w:val="0"/>
      <w:marTop w:val="0"/>
      <w:marBottom w:val="0"/>
      <w:divBdr>
        <w:top w:val="none" w:sz="0" w:space="0" w:color="auto"/>
        <w:left w:val="none" w:sz="0" w:space="0" w:color="auto"/>
        <w:bottom w:val="none" w:sz="0" w:space="0" w:color="auto"/>
        <w:right w:val="none" w:sz="0" w:space="0" w:color="auto"/>
      </w:divBdr>
    </w:div>
    <w:div w:id="1943029310">
      <w:bodyDiv w:val="1"/>
      <w:marLeft w:val="0"/>
      <w:marRight w:val="0"/>
      <w:marTop w:val="0"/>
      <w:marBottom w:val="0"/>
      <w:divBdr>
        <w:top w:val="none" w:sz="0" w:space="0" w:color="auto"/>
        <w:left w:val="none" w:sz="0" w:space="0" w:color="auto"/>
        <w:bottom w:val="none" w:sz="0" w:space="0" w:color="auto"/>
        <w:right w:val="none" w:sz="0" w:space="0" w:color="auto"/>
      </w:divBdr>
    </w:div>
    <w:div w:id="2026713161">
      <w:bodyDiv w:val="1"/>
      <w:marLeft w:val="0"/>
      <w:marRight w:val="0"/>
      <w:marTop w:val="0"/>
      <w:marBottom w:val="0"/>
      <w:divBdr>
        <w:top w:val="none" w:sz="0" w:space="0" w:color="auto"/>
        <w:left w:val="none" w:sz="0" w:space="0" w:color="auto"/>
        <w:bottom w:val="none" w:sz="0" w:space="0" w:color="auto"/>
        <w:right w:val="none" w:sz="0" w:space="0" w:color="auto"/>
      </w:divBdr>
    </w:div>
    <w:div w:id="210792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flexible-working" TargetMode="External"/><Relationship Id="rId13" Type="http://schemas.openxmlformats.org/officeDocument/2006/relationships/hyperlink" Target="https://www.st-andrews.ac.uk/hr/edi/inclusivecurriculum/discriminatio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ipd.org/uk/knowledge/employment-law/working-time/#:~:text=The%20Working%20Time%20Regulations%201998" TargetMode="External"/><Relationship Id="rId12" Type="http://schemas.openxmlformats.org/officeDocument/2006/relationships/hyperlink" Target="https://www.gov.uk/discrimination-your-rights#:~:text=You%27re%20legally%20protected%20from" TargetMode="External"/><Relationship Id="rId17" Type="http://schemas.openxmlformats.org/officeDocument/2006/relationships/hyperlink" Target="https://worknest.com/blog/fair-unfair-dismissals/" TargetMode="External"/><Relationship Id="rId2" Type="http://schemas.openxmlformats.org/officeDocument/2006/relationships/styles" Target="styles.xml"/><Relationship Id="rId16" Type="http://schemas.openxmlformats.org/officeDocument/2006/relationships/hyperlink" Target="https://www.cipd.org/uk/knowledge/factsheets/diversity-factshee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views-and-insights/cipd-viewpoint/employee-health-wellbeing/" TargetMode="External"/><Relationship Id="rId5" Type="http://schemas.openxmlformats.org/officeDocument/2006/relationships/footnotes" Target="footnotes.xml"/><Relationship Id="rId15" Type="http://schemas.openxmlformats.org/officeDocument/2006/relationships/hyperlink" Target="https://www.mckinsey.com/featured-insights/mckinsey-explainers/what-is-diversity-equity-and-inclusion" TargetMode="External"/><Relationship Id="rId10" Type="http://schemas.openxmlformats.org/officeDocument/2006/relationships/hyperlink" Target="https://www.cipd.org/uk/knowledge/factsheets/well-being-factshe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qualityhumanrights.com/equality/equality-act-2010/what-equality-act" TargetMode="External"/><Relationship Id="rId14" Type="http://schemas.openxmlformats.org/officeDocument/2006/relationships/hyperlink" Target="https://www.legislation.gov.uk/ukpga/1970/4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Harries</dc:creator>
  <cp:keywords/>
  <dc:description/>
  <cp:lastModifiedBy>Jordan Harries</cp:lastModifiedBy>
  <cp:revision>4</cp:revision>
  <dcterms:created xsi:type="dcterms:W3CDTF">2024-06-10T16:21:00Z</dcterms:created>
  <dcterms:modified xsi:type="dcterms:W3CDTF">2024-06-10T16:49:00Z</dcterms:modified>
</cp:coreProperties>
</file>