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353329"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072BA26" w14:textId="6CC1FCBE" w:rsidR="00502C6D" w:rsidRPr="00502C6D" w:rsidRDefault="00CD33A8" w:rsidP="00502C6D">
      <w:pPr>
        <w:pStyle w:val="p1"/>
        <w:rPr>
          <w:sz w:val="24"/>
          <w:szCs w:val="24"/>
        </w:rPr>
      </w:pPr>
      <w:r w:rsidRPr="00502C6D">
        <w:rPr>
          <w:b/>
          <w:bCs/>
          <w:sz w:val="24"/>
          <w:szCs w:val="24"/>
          <w:lang w:val="nl-NL"/>
        </w:rPr>
        <w:t>Module name</w:t>
      </w:r>
      <w:r w:rsidRPr="00502C6D">
        <w:rPr>
          <w:sz w:val="24"/>
          <w:szCs w:val="24"/>
          <w:lang w:val="nl-NL"/>
        </w:rPr>
        <w:t xml:space="preserve">: </w:t>
      </w:r>
      <w:r w:rsidR="00502C6D" w:rsidRPr="00502C6D">
        <w:rPr>
          <w:sz w:val="24"/>
          <w:szCs w:val="24"/>
        </w:rPr>
        <w:t>Introduction to Independent Research Skills</w:t>
      </w:r>
    </w:p>
    <w:p w14:paraId="7D557BA5" w14:textId="7C5C2728" w:rsidR="00CD33A8" w:rsidRPr="00502C6D" w:rsidRDefault="00CD33A8" w:rsidP="00CD33A8">
      <w:pPr>
        <w:tabs>
          <w:tab w:val="left" w:pos="6540"/>
        </w:tabs>
        <w:spacing w:line="360" w:lineRule="auto"/>
        <w:rPr>
          <w:rFonts w:ascii="Arial" w:hAnsi="Arial" w:cs="Arial"/>
          <w:szCs w:val="24"/>
          <w:lang w:val="nl-NL"/>
        </w:rPr>
      </w:pPr>
    </w:p>
    <w:p w14:paraId="537571AF" w14:textId="1FCE4F61" w:rsidR="00CD33A8" w:rsidRPr="00502C6D" w:rsidRDefault="00CD33A8" w:rsidP="00CD33A8">
      <w:pPr>
        <w:tabs>
          <w:tab w:val="left" w:pos="6540"/>
        </w:tabs>
        <w:spacing w:line="360" w:lineRule="auto"/>
        <w:rPr>
          <w:rFonts w:ascii="Arial" w:hAnsi="Arial" w:cs="Arial"/>
          <w:szCs w:val="24"/>
        </w:rPr>
      </w:pPr>
      <w:r w:rsidRPr="00502C6D">
        <w:rPr>
          <w:rFonts w:ascii="Arial" w:hAnsi="Arial" w:cs="Arial"/>
          <w:b/>
          <w:bCs/>
          <w:szCs w:val="24"/>
        </w:rPr>
        <w:t>Module code</w:t>
      </w:r>
      <w:r w:rsidRPr="00502C6D">
        <w:rPr>
          <w:rFonts w:ascii="Arial" w:hAnsi="Arial" w:cs="Arial"/>
          <w:szCs w:val="24"/>
        </w:rPr>
        <w:t>:</w:t>
      </w:r>
      <w:r w:rsidR="00502C6D" w:rsidRPr="00502C6D">
        <w:rPr>
          <w:rFonts w:ascii="Arial" w:hAnsi="Arial" w:cs="Arial"/>
          <w:szCs w:val="24"/>
        </w:rPr>
        <w:t xml:space="preserve"> BMHP5019</w:t>
      </w:r>
    </w:p>
    <w:p w14:paraId="529D7354" w14:textId="77777777" w:rsidR="00CD33A8" w:rsidRPr="00502C6D" w:rsidRDefault="00CD33A8" w:rsidP="00CD33A8">
      <w:pPr>
        <w:tabs>
          <w:tab w:val="left" w:pos="6540"/>
        </w:tabs>
        <w:spacing w:line="360" w:lineRule="auto"/>
        <w:rPr>
          <w:rFonts w:ascii="Arial" w:hAnsi="Arial" w:cs="Arial"/>
          <w:b/>
          <w:bCs/>
          <w:szCs w:val="24"/>
          <w:lang w:val="nl-NL"/>
        </w:rPr>
      </w:pPr>
    </w:p>
    <w:p w14:paraId="0A48766D" w14:textId="190E006F" w:rsidR="00074402" w:rsidRPr="00502C6D" w:rsidRDefault="00074402" w:rsidP="00CD33A8">
      <w:pPr>
        <w:tabs>
          <w:tab w:val="left" w:pos="6540"/>
        </w:tabs>
        <w:spacing w:line="360" w:lineRule="auto"/>
        <w:rPr>
          <w:rFonts w:ascii="Arial" w:hAnsi="Arial" w:cs="Arial"/>
          <w:szCs w:val="24"/>
          <w:lang w:val="nl-NL"/>
        </w:rPr>
      </w:pPr>
      <w:r w:rsidRPr="00502C6D">
        <w:rPr>
          <w:rFonts w:ascii="Arial" w:hAnsi="Arial" w:cs="Arial"/>
          <w:b/>
          <w:bCs/>
          <w:szCs w:val="24"/>
          <w:lang w:val="nl-NL"/>
        </w:rPr>
        <w:t>Student name</w:t>
      </w:r>
      <w:r w:rsidRPr="00502C6D">
        <w:rPr>
          <w:rFonts w:ascii="Arial" w:hAnsi="Arial" w:cs="Arial"/>
          <w:szCs w:val="24"/>
          <w:lang w:val="nl-NL"/>
        </w:rPr>
        <w:t>:</w:t>
      </w:r>
      <w:r w:rsidR="00502C6D">
        <w:rPr>
          <w:rFonts w:ascii="Arial" w:hAnsi="Arial" w:cs="Arial"/>
          <w:szCs w:val="24"/>
          <w:lang w:val="nl-NL"/>
        </w:rPr>
        <w:t xml:space="preserve"> Kleber Morais da Silva</w:t>
      </w:r>
    </w:p>
    <w:p w14:paraId="39AA4413" w14:textId="20A87689" w:rsidR="00074402" w:rsidRPr="00502C6D" w:rsidRDefault="00074402" w:rsidP="00CD33A8">
      <w:pPr>
        <w:tabs>
          <w:tab w:val="left" w:pos="6540"/>
        </w:tabs>
        <w:spacing w:line="360" w:lineRule="auto"/>
        <w:rPr>
          <w:rFonts w:ascii="Arial" w:hAnsi="Arial" w:cs="Arial"/>
          <w:szCs w:val="24"/>
          <w:lang w:val="nl-NL"/>
        </w:rPr>
      </w:pPr>
      <w:r w:rsidRPr="00502C6D">
        <w:rPr>
          <w:rFonts w:ascii="Arial" w:hAnsi="Arial" w:cs="Arial"/>
          <w:b/>
          <w:bCs/>
          <w:szCs w:val="24"/>
          <w:lang w:val="nl-NL"/>
        </w:rPr>
        <w:t>Student ID</w:t>
      </w:r>
      <w:r w:rsidRPr="00502C6D">
        <w:rPr>
          <w:rFonts w:ascii="Arial" w:hAnsi="Arial" w:cs="Arial"/>
          <w:szCs w:val="24"/>
          <w:lang w:val="nl-NL"/>
        </w:rPr>
        <w:t>:</w:t>
      </w:r>
      <w:r w:rsidR="00502C6D">
        <w:rPr>
          <w:rFonts w:ascii="Arial" w:hAnsi="Arial" w:cs="Arial"/>
          <w:szCs w:val="24"/>
          <w:lang w:val="nl-NL"/>
        </w:rPr>
        <w:t xml:space="preserve"> 2336879</w:t>
      </w:r>
    </w:p>
    <w:p w14:paraId="5E81F6AD" w14:textId="77777777" w:rsidR="00074402" w:rsidRPr="00502C6D" w:rsidRDefault="00074402" w:rsidP="00CD33A8">
      <w:pPr>
        <w:tabs>
          <w:tab w:val="left" w:pos="6540"/>
        </w:tabs>
        <w:spacing w:line="360" w:lineRule="auto"/>
        <w:rPr>
          <w:rFonts w:ascii="Arial" w:hAnsi="Arial" w:cs="Arial"/>
          <w:szCs w:val="24"/>
          <w:lang w:val="nl-NL"/>
        </w:rPr>
      </w:pPr>
    </w:p>
    <w:p w14:paraId="1A0B2D2B" w14:textId="5AD12055" w:rsidR="00074402" w:rsidRPr="00502C6D" w:rsidRDefault="00CD33A8" w:rsidP="00CD33A8">
      <w:pPr>
        <w:tabs>
          <w:tab w:val="left" w:pos="6540"/>
        </w:tabs>
        <w:spacing w:line="360" w:lineRule="auto"/>
        <w:rPr>
          <w:rFonts w:ascii="Arial" w:hAnsi="Arial" w:cs="Arial"/>
          <w:szCs w:val="24"/>
        </w:rPr>
      </w:pPr>
      <w:r w:rsidRPr="00502C6D">
        <w:rPr>
          <w:rFonts w:ascii="Arial" w:hAnsi="Arial" w:cs="Arial"/>
          <w:b/>
          <w:bCs/>
          <w:szCs w:val="24"/>
        </w:rPr>
        <w:t>Word count</w:t>
      </w:r>
      <w:r w:rsidR="00074402" w:rsidRPr="00502C6D">
        <w:rPr>
          <w:rFonts w:ascii="Arial" w:hAnsi="Arial" w:cs="Arial"/>
          <w:szCs w:val="24"/>
        </w:rPr>
        <w:t>:</w:t>
      </w:r>
      <w:r w:rsidR="00502C6D">
        <w:rPr>
          <w:rFonts w:ascii="Arial" w:hAnsi="Arial" w:cs="Arial"/>
          <w:szCs w:val="24"/>
        </w:rPr>
        <w:t xml:space="preserve"> 3600</w:t>
      </w:r>
    </w:p>
    <w:p w14:paraId="39D08584" w14:textId="77777777" w:rsidR="00074402" w:rsidRPr="00502C6D" w:rsidRDefault="00074402" w:rsidP="00CD33A8">
      <w:pPr>
        <w:tabs>
          <w:tab w:val="left" w:pos="6540"/>
        </w:tabs>
        <w:spacing w:line="360" w:lineRule="auto"/>
        <w:rPr>
          <w:rFonts w:ascii="Arial" w:hAnsi="Arial" w:cs="Arial"/>
          <w:szCs w:val="24"/>
        </w:rPr>
      </w:pPr>
    </w:p>
    <w:p w14:paraId="5B66D125" w14:textId="77777777" w:rsidR="00074402" w:rsidRPr="00502C6D" w:rsidRDefault="00074402" w:rsidP="00CD33A8">
      <w:pPr>
        <w:tabs>
          <w:tab w:val="left" w:pos="6540"/>
        </w:tabs>
        <w:spacing w:line="360" w:lineRule="auto"/>
        <w:rPr>
          <w:rFonts w:ascii="Arial" w:hAnsi="Arial" w:cs="Arial"/>
          <w:szCs w:val="24"/>
        </w:rPr>
      </w:pPr>
    </w:p>
    <w:p w14:paraId="291524A2" w14:textId="2CBFF360" w:rsidR="00074402" w:rsidRPr="00502C6D" w:rsidRDefault="00074402" w:rsidP="00CD33A8">
      <w:pPr>
        <w:tabs>
          <w:tab w:val="left" w:pos="6540"/>
        </w:tabs>
        <w:spacing w:line="360" w:lineRule="auto"/>
        <w:rPr>
          <w:rFonts w:ascii="Arial" w:hAnsi="Arial" w:cs="Arial"/>
          <w:szCs w:val="24"/>
        </w:rPr>
      </w:pPr>
    </w:p>
    <w:p w14:paraId="5AE88297" w14:textId="03A6ACFC" w:rsidR="00B87E75" w:rsidRDefault="00AF7AB9" w:rsidP="005C055C">
      <w:pPr>
        <w:tabs>
          <w:tab w:val="left" w:pos="6540"/>
        </w:tabs>
        <w:spacing w:line="360" w:lineRule="auto"/>
        <w:jc w:val="center"/>
        <w:rPr>
          <w:rFonts w:ascii="Arial" w:hAnsi="Arial" w:cs="Arial"/>
          <w:szCs w:val="24"/>
        </w:rPr>
      </w:pPr>
      <w:r>
        <w:rPr>
          <w:rFonts w:ascii="Arial" w:hAnsi="Arial" w:cs="Arial"/>
          <w:szCs w:val="24"/>
        </w:rPr>
        <w:t>Scoping Re</w:t>
      </w:r>
      <w:r w:rsidR="00341611">
        <w:rPr>
          <w:rFonts w:ascii="Arial" w:hAnsi="Arial" w:cs="Arial"/>
          <w:szCs w:val="24"/>
        </w:rPr>
        <w:t>view Research Report</w:t>
      </w:r>
    </w:p>
    <w:p w14:paraId="777FC97E" w14:textId="77777777" w:rsidR="005C055C" w:rsidRDefault="005C055C" w:rsidP="00CD33A8">
      <w:pPr>
        <w:tabs>
          <w:tab w:val="left" w:pos="6540"/>
        </w:tabs>
        <w:spacing w:line="360" w:lineRule="auto"/>
        <w:rPr>
          <w:rFonts w:ascii="Arial" w:hAnsi="Arial" w:cs="Arial"/>
          <w:szCs w:val="24"/>
        </w:rPr>
      </w:pPr>
    </w:p>
    <w:p w14:paraId="50601397" w14:textId="77777777" w:rsidR="005C055C" w:rsidRDefault="005C055C" w:rsidP="00CD33A8">
      <w:pPr>
        <w:tabs>
          <w:tab w:val="left" w:pos="6540"/>
        </w:tabs>
        <w:spacing w:line="360" w:lineRule="auto"/>
        <w:rPr>
          <w:rFonts w:ascii="Arial" w:hAnsi="Arial" w:cs="Arial"/>
          <w:szCs w:val="24"/>
        </w:rPr>
      </w:pPr>
    </w:p>
    <w:p w14:paraId="728870BA" w14:textId="77777777" w:rsidR="005C055C" w:rsidRDefault="005C055C" w:rsidP="00CD33A8">
      <w:pPr>
        <w:tabs>
          <w:tab w:val="left" w:pos="6540"/>
        </w:tabs>
        <w:spacing w:line="360" w:lineRule="auto"/>
        <w:rPr>
          <w:rFonts w:ascii="Arial" w:hAnsi="Arial" w:cs="Arial"/>
          <w:szCs w:val="24"/>
        </w:rPr>
      </w:pPr>
    </w:p>
    <w:p w14:paraId="36CF56E8" w14:textId="0B28B518" w:rsidR="00341611" w:rsidRPr="00502C6D" w:rsidRDefault="00341611" w:rsidP="005C055C">
      <w:pPr>
        <w:tabs>
          <w:tab w:val="left" w:pos="6540"/>
        </w:tabs>
        <w:spacing w:line="360" w:lineRule="auto"/>
        <w:jc w:val="center"/>
        <w:rPr>
          <w:rFonts w:ascii="Arial" w:hAnsi="Arial" w:cs="Arial"/>
          <w:szCs w:val="24"/>
        </w:rPr>
      </w:pPr>
      <w:r>
        <w:rPr>
          <w:rFonts w:ascii="Arial" w:hAnsi="Arial" w:cs="Arial"/>
          <w:szCs w:val="24"/>
        </w:rPr>
        <w:t xml:space="preserve">Digital Healthcare </w:t>
      </w:r>
      <w:r w:rsidR="005C055C">
        <w:rPr>
          <w:rFonts w:ascii="Arial" w:hAnsi="Arial" w:cs="Arial"/>
          <w:szCs w:val="24"/>
        </w:rPr>
        <w:t>Technologies</w:t>
      </w:r>
      <w:r>
        <w:rPr>
          <w:rFonts w:ascii="Arial" w:hAnsi="Arial" w:cs="Arial"/>
          <w:szCs w:val="24"/>
        </w:rPr>
        <w:t xml:space="preserve"> and Their Contribution to Increasing Primary Care Access</w:t>
      </w:r>
      <w:r w:rsidR="005C055C">
        <w:rPr>
          <w:rFonts w:ascii="Arial" w:hAnsi="Arial" w:cs="Arial"/>
          <w:szCs w:val="24"/>
        </w:rPr>
        <w:t xml:space="preserve"> in the UK</w:t>
      </w:r>
    </w:p>
    <w:p w14:paraId="08F6E651" w14:textId="4F33ED28" w:rsidR="002E33B9" w:rsidRPr="00502C6D" w:rsidRDefault="00B87E75" w:rsidP="00CD33A8">
      <w:pPr>
        <w:spacing w:line="360" w:lineRule="auto"/>
        <w:rPr>
          <w:rFonts w:ascii="Arial" w:hAnsi="Arial" w:cs="Arial"/>
          <w:szCs w:val="24"/>
        </w:rPr>
      </w:pPr>
      <w:r w:rsidRPr="00502C6D">
        <w:rPr>
          <w:rFonts w:ascii="Arial" w:hAnsi="Arial" w:cs="Arial"/>
          <w:szCs w:val="24"/>
        </w:rPr>
        <w:br w:type="page"/>
      </w:r>
    </w:p>
    <w:p w14:paraId="05AB2C84" w14:textId="4D2C1F1C" w:rsidR="00B87E75" w:rsidRPr="00502C6D" w:rsidRDefault="00B87E75" w:rsidP="004119B0">
      <w:pPr>
        <w:pStyle w:val="Heading1"/>
      </w:pPr>
      <w:r w:rsidRPr="00502C6D">
        <w:lastRenderedPageBreak/>
        <w:t>Table of contents</w:t>
      </w:r>
    </w:p>
    <w:p w14:paraId="13E00080" w14:textId="137FF22A" w:rsidR="00B87E75" w:rsidRPr="00502C6D" w:rsidRDefault="00B87E75" w:rsidP="00CD33A8">
      <w:pPr>
        <w:spacing w:line="360" w:lineRule="auto"/>
        <w:rPr>
          <w:rFonts w:ascii="Arial" w:hAnsi="Arial" w:cs="Arial"/>
          <w:szCs w:val="24"/>
        </w:rPr>
      </w:pPr>
    </w:p>
    <w:p w14:paraId="5E012AC1" w14:textId="7A5572DB" w:rsidR="0067699E" w:rsidRPr="0067699E" w:rsidRDefault="0067699E" w:rsidP="0067699E">
      <w:pPr>
        <w:pStyle w:val="NormalWeb"/>
        <w:rPr>
          <w:rFonts w:ascii="Arial" w:hAnsi="Arial" w:cs="Arial"/>
          <w:color w:val="000000"/>
          <w:sz w:val="22"/>
          <w:szCs w:val="22"/>
        </w:rPr>
      </w:pPr>
      <w:r w:rsidRPr="0067699E">
        <w:rPr>
          <w:rStyle w:val="Strong"/>
          <w:rFonts w:ascii="Arial" w:hAnsi="Arial" w:cs="Arial"/>
          <w:b w:val="0"/>
          <w:bCs w:val="0"/>
          <w:color w:val="000000"/>
          <w:sz w:val="22"/>
          <w:szCs w:val="22"/>
        </w:rPr>
        <w:t>Abstract</w:t>
      </w:r>
      <w:r w:rsidRPr="0067699E">
        <w:rPr>
          <w:rStyle w:val="apple-converted-space"/>
          <w:rFonts w:ascii="Arial" w:hAnsi="Arial" w:cs="Arial"/>
          <w:b/>
          <w:bCs/>
          <w:color w:val="000000"/>
          <w:sz w:val="22"/>
          <w:szCs w:val="22"/>
        </w:rPr>
        <w:t> </w:t>
      </w:r>
    </w:p>
    <w:p w14:paraId="6DD20B3F" w14:textId="3B2440DB" w:rsidR="0067699E" w:rsidRPr="0067699E" w:rsidRDefault="0067699E" w:rsidP="0067699E">
      <w:pPr>
        <w:pStyle w:val="NormalWeb"/>
        <w:rPr>
          <w:rFonts w:ascii="Arial" w:hAnsi="Arial" w:cs="Arial"/>
          <w:b/>
          <w:bCs/>
          <w:color w:val="000000"/>
          <w:sz w:val="22"/>
          <w:szCs w:val="22"/>
        </w:rPr>
      </w:pPr>
      <w:r w:rsidRPr="0067699E">
        <w:rPr>
          <w:rStyle w:val="Strong"/>
          <w:rFonts w:ascii="Arial" w:hAnsi="Arial" w:cs="Arial"/>
          <w:b w:val="0"/>
          <w:bCs w:val="0"/>
          <w:color w:val="000000"/>
          <w:sz w:val="22"/>
          <w:szCs w:val="22"/>
        </w:rPr>
        <w:t>1. Introduction</w:t>
      </w:r>
      <w:r w:rsidRPr="0067699E">
        <w:rPr>
          <w:rStyle w:val="apple-converted-space"/>
          <w:rFonts w:ascii="Arial" w:hAnsi="Arial" w:cs="Arial"/>
          <w:b/>
          <w:bCs/>
          <w:color w:val="000000"/>
          <w:sz w:val="22"/>
          <w:szCs w:val="22"/>
        </w:rPr>
        <w:t> </w:t>
      </w:r>
    </w:p>
    <w:p w14:paraId="2E0667A0" w14:textId="78D8F0CA" w:rsidR="0067699E" w:rsidRPr="0067699E" w:rsidRDefault="0067699E" w:rsidP="0067699E">
      <w:pPr>
        <w:pStyle w:val="NormalWeb"/>
        <w:rPr>
          <w:rFonts w:ascii="Arial" w:hAnsi="Arial" w:cs="Arial"/>
          <w:color w:val="000000"/>
          <w:sz w:val="22"/>
          <w:szCs w:val="22"/>
        </w:rPr>
      </w:pPr>
      <w:r w:rsidRPr="0067699E">
        <w:rPr>
          <w:rStyle w:val="Strong"/>
          <w:rFonts w:ascii="Arial" w:hAnsi="Arial" w:cs="Arial"/>
          <w:b w:val="0"/>
          <w:bCs w:val="0"/>
          <w:color w:val="000000"/>
          <w:sz w:val="22"/>
          <w:szCs w:val="22"/>
        </w:rPr>
        <w:t>2. Background</w:t>
      </w:r>
      <w:r w:rsidRPr="0067699E">
        <w:rPr>
          <w:rStyle w:val="apple-converted-space"/>
          <w:rFonts w:ascii="Arial" w:hAnsi="Arial" w:cs="Arial"/>
          <w:b/>
          <w:bCs/>
          <w:color w:val="000000"/>
          <w:sz w:val="22"/>
          <w:szCs w:val="22"/>
        </w:rPr>
        <w:t> </w:t>
      </w:r>
    </w:p>
    <w:p w14:paraId="64DA1331" w14:textId="77777777" w:rsidR="0067699E" w:rsidRDefault="0067699E" w:rsidP="0067699E">
      <w:pPr>
        <w:pStyle w:val="NormalWeb"/>
        <w:rPr>
          <w:rFonts w:ascii="Arial" w:hAnsi="Arial" w:cs="Arial"/>
          <w:color w:val="000000"/>
          <w:sz w:val="22"/>
          <w:szCs w:val="22"/>
        </w:rPr>
      </w:pPr>
      <w:r w:rsidRPr="0067699E">
        <w:rPr>
          <w:rStyle w:val="Strong"/>
          <w:rFonts w:ascii="Arial" w:hAnsi="Arial" w:cs="Arial"/>
          <w:b w:val="0"/>
          <w:bCs w:val="0"/>
          <w:color w:val="000000"/>
          <w:sz w:val="22"/>
          <w:szCs w:val="22"/>
        </w:rPr>
        <w:t>3. Methods</w:t>
      </w:r>
      <w:r w:rsidRPr="0067699E">
        <w:rPr>
          <w:rStyle w:val="apple-converted-space"/>
          <w:rFonts w:ascii="Arial" w:hAnsi="Arial" w:cs="Arial"/>
          <w:b/>
          <w:bCs/>
          <w:color w:val="000000"/>
          <w:sz w:val="22"/>
          <w:szCs w:val="22"/>
        </w:rPr>
        <w:t> </w:t>
      </w:r>
    </w:p>
    <w:p w14:paraId="46C222A4" w14:textId="20F7D03E" w:rsidR="0067699E" w:rsidRPr="0067699E" w:rsidRDefault="0067699E" w:rsidP="0067699E">
      <w:pPr>
        <w:pStyle w:val="NormalWeb"/>
        <w:rPr>
          <w:rFonts w:ascii="Arial" w:hAnsi="Arial" w:cs="Arial"/>
          <w:color w:val="000000"/>
          <w:sz w:val="22"/>
          <w:szCs w:val="22"/>
        </w:rPr>
      </w:pPr>
      <w:r w:rsidRPr="0067699E">
        <w:rPr>
          <w:rFonts w:ascii="Arial" w:hAnsi="Arial" w:cs="Arial"/>
          <w:color w:val="000000"/>
          <w:sz w:val="22"/>
          <w:szCs w:val="22"/>
        </w:rPr>
        <w:t xml:space="preserve">   3.1 Search Strategy </w:t>
      </w:r>
      <w:r w:rsidRPr="0067699E">
        <w:rPr>
          <w:rFonts w:ascii="Arial" w:hAnsi="Arial" w:cs="Arial"/>
          <w:color w:val="000000"/>
          <w:sz w:val="22"/>
          <w:szCs w:val="22"/>
        </w:rPr>
        <w:br/>
        <w:t xml:space="preserve">   3.2 Inclusion and Exclusion Criteria </w:t>
      </w:r>
      <w:r w:rsidRPr="0067699E">
        <w:rPr>
          <w:rFonts w:ascii="Arial" w:hAnsi="Arial" w:cs="Arial"/>
          <w:color w:val="000000"/>
          <w:sz w:val="22"/>
          <w:szCs w:val="22"/>
        </w:rPr>
        <w:br/>
        <w:t xml:space="preserve">   3.3 Study Selection </w:t>
      </w:r>
      <w:r w:rsidRPr="0067699E">
        <w:rPr>
          <w:rFonts w:ascii="Arial" w:hAnsi="Arial" w:cs="Arial"/>
          <w:color w:val="000000"/>
          <w:sz w:val="22"/>
          <w:szCs w:val="22"/>
        </w:rPr>
        <w:br/>
        <w:t>   3.4 Data Extraction</w:t>
      </w:r>
      <w:r w:rsidRPr="0067699E">
        <w:rPr>
          <w:rFonts w:ascii="Arial" w:hAnsi="Arial" w:cs="Arial"/>
          <w:color w:val="000000"/>
          <w:sz w:val="22"/>
          <w:szCs w:val="22"/>
        </w:rPr>
        <w:br/>
        <w:t>   3.5 Data Analysis</w:t>
      </w:r>
      <w:r w:rsidRPr="0067699E">
        <w:rPr>
          <w:rFonts w:ascii="Arial" w:hAnsi="Arial" w:cs="Arial"/>
          <w:color w:val="000000"/>
          <w:sz w:val="22"/>
          <w:szCs w:val="22"/>
        </w:rPr>
        <w:br/>
        <w:t>   3.6 Ethical Considerations</w:t>
      </w:r>
      <w:r w:rsidRPr="0067699E">
        <w:rPr>
          <w:rFonts w:ascii="Arial" w:hAnsi="Arial" w:cs="Arial"/>
          <w:color w:val="000000"/>
          <w:sz w:val="22"/>
          <w:szCs w:val="22"/>
        </w:rPr>
        <w:br/>
        <w:t xml:space="preserve">   3.7 Limitations of the Methodology </w:t>
      </w:r>
    </w:p>
    <w:p w14:paraId="20B7CC4A" w14:textId="525655EA" w:rsidR="0067699E" w:rsidRPr="0067699E" w:rsidRDefault="0067699E" w:rsidP="0067699E">
      <w:pPr>
        <w:pStyle w:val="NormalWeb"/>
        <w:rPr>
          <w:rFonts w:ascii="Arial" w:hAnsi="Arial" w:cs="Arial"/>
          <w:color w:val="000000"/>
          <w:sz w:val="22"/>
          <w:szCs w:val="22"/>
        </w:rPr>
      </w:pPr>
      <w:r w:rsidRPr="0067699E">
        <w:rPr>
          <w:rStyle w:val="Strong"/>
          <w:rFonts w:ascii="Arial" w:hAnsi="Arial" w:cs="Arial"/>
          <w:b w:val="0"/>
          <w:bCs w:val="0"/>
          <w:color w:val="000000"/>
          <w:sz w:val="22"/>
          <w:szCs w:val="22"/>
        </w:rPr>
        <w:t>4. Results</w:t>
      </w:r>
      <w:r w:rsidRPr="0067699E">
        <w:rPr>
          <w:rStyle w:val="apple-converted-space"/>
          <w:rFonts w:ascii="Arial" w:hAnsi="Arial" w:cs="Arial"/>
          <w:b/>
          <w:bCs/>
          <w:color w:val="000000"/>
          <w:sz w:val="22"/>
          <w:szCs w:val="22"/>
        </w:rPr>
        <w:t> </w:t>
      </w:r>
      <w:r w:rsidRPr="0067699E">
        <w:rPr>
          <w:rFonts w:ascii="Arial" w:hAnsi="Arial" w:cs="Arial"/>
          <w:b/>
          <w:bCs/>
          <w:color w:val="000000"/>
          <w:sz w:val="22"/>
          <w:szCs w:val="22"/>
        </w:rPr>
        <w:br/>
        <w:t>   </w:t>
      </w:r>
      <w:r w:rsidRPr="0067699E">
        <w:rPr>
          <w:rFonts w:ascii="Arial" w:hAnsi="Arial" w:cs="Arial"/>
          <w:color w:val="000000"/>
          <w:sz w:val="22"/>
          <w:szCs w:val="22"/>
        </w:rPr>
        <w:t>4.1 Summary of Included Studies</w:t>
      </w:r>
      <w:r w:rsidRPr="0067699E">
        <w:rPr>
          <w:rFonts w:ascii="Arial" w:hAnsi="Arial" w:cs="Arial"/>
          <w:color w:val="000000"/>
          <w:sz w:val="22"/>
          <w:szCs w:val="22"/>
        </w:rPr>
        <w:br/>
        <w:t>   4.2 Thematic Analysis</w:t>
      </w:r>
      <w:r w:rsidRPr="0067699E">
        <w:rPr>
          <w:rFonts w:ascii="Arial" w:hAnsi="Arial" w:cs="Arial"/>
          <w:color w:val="000000"/>
          <w:sz w:val="22"/>
          <w:szCs w:val="22"/>
        </w:rPr>
        <w:br/>
        <w:t xml:space="preserve">     4.2.1 Digital technologies increase access and utilisation </w:t>
      </w:r>
      <w:r w:rsidRPr="0067699E">
        <w:rPr>
          <w:rFonts w:ascii="Arial" w:hAnsi="Arial" w:cs="Arial"/>
          <w:color w:val="000000"/>
          <w:sz w:val="22"/>
          <w:szCs w:val="22"/>
        </w:rPr>
        <w:br/>
        <w:t xml:space="preserve">     4.2.2 Access and digital literacy </w:t>
      </w:r>
      <w:r w:rsidRPr="0067699E">
        <w:rPr>
          <w:rFonts w:ascii="Arial" w:hAnsi="Arial" w:cs="Arial"/>
          <w:color w:val="000000"/>
          <w:sz w:val="22"/>
          <w:szCs w:val="22"/>
        </w:rPr>
        <w:br/>
        <w:t xml:space="preserve">     4.2.3 Digital facilitation </w:t>
      </w:r>
      <w:r w:rsidRPr="0067699E">
        <w:rPr>
          <w:rFonts w:ascii="Arial" w:hAnsi="Arial" w:cs="Arial"/>
          <w:color w:val="000000"/>
          <w:sz w:val="22"/>
          <w:szCs w:val="22"/>
        </w:rPr>
        <w:br/>
        <w:t xml:space="preserve">     4.2.4 Complementary role of digital technologies </w:t>
      </w:r>
      <w:r w:rsidRPr="0067699E">
        <w:rPr>
          <w:rFonts w:ascii="Arial" w:hAnsi="Arial" w:cs="Arial"/>
          <w:color w:val="000000"/>
          <w:sz w:val="22"/>
          <w:szCs w:val="22"/>
        </w:rPr>
        <w:br/>
        <w:t xml:space="preserve">   4.3 Summary of Findings </w:t>
      </w:r>
    </w:p>
    <w:p w14:paraId="0A1BD44E" w14:textId="77777777" w:rsidR="0067699E" w:rsidRDefault="0067699E" w:rsidP="0067699E">
      <w:pPr>
        <w:pStyle w:val="NormalWeb"/>
        <w:rPr>
          <w:rFonts w:ascii="Arial" w:hAnsi="Arial" w:cs="Arial"/>
          <w:color w:val="000000"/>
          <w:sz w:val="22"/>
          <w:szCs w:val="22"/>
        </w:rPr>
      </w:pPr>
      <w:r w:rsidRPr="0067699E">
        <w:rPr>
          <w:rStyle w:val="Strong"/>
          <w:rFonts w:ascii="Arial" w:hAnsi="Arial" w:cs="Arial"/>
          <w:b w:val="0"/>
          <w:bCs w:val="0"/>
          <w:color w:val="000000"/>
          <w:sz w:val="22"/>
          <w:szCs w:val="22"/>
        </w:rPr>
        <w:t>5. Discussion</w:t>
      </w:r>
      <w:r w:rsidRPr="0067699E">
        <w:rPr>
          <w:rStyle w:val="apple-converted-space"/>
          <w:rFonts w:ascii="Arial" w:hAnsi="Arial" w:cs="Arial"/>
          <w:b/>
          <w:bCs/>
          <w:color w:val="000000"/>
          <w:sz w:val="22"/>
          <w:szCs w:val="22"/>
        </w:rPr>
        <w:t> </w:t>
      </w:r>
    </w:p>
    <w:p w14:paraId="4624FD23" w14:textId="1C8BF0E5" w:rsidR="0067699E" w:rsidRPr="0067699E" w:rsidRDefault="0067699E" w:rsidP="0067699E">
      <w:pPr>
        <w:pStyle w:val="NormalWeb"/>
        <w:rPr>
          <w:rFonts w:ascii="Arial" w:hAnsi="Arial" w:cs="Arial"/>
          <w:color w:val="000000"/>
          <w:sz w:val="22"/>
          <w:szCs w:val="22"/>
        </w:rPr>
      </w:pPr>
      <w:r w:rsidRPr="0067699E">
        <w:rPr>
          <w:rFonts w:ascii="Arial" w:hAnsi="Arial" w:cs="Arial"/>
          <w:b/>
          <w:bCs/>
          <w:color w:val="000000"/>
          <w:sz w:val="22"/>
          <w:szCs w:val="22"/>
        </w:rPr>
        <w:t>   </w:t>
      </w:r>
      <w:r w:rsidRPr="0067699E">
        <w:rPr>
          <w:rFonts w:ascii="Arial" w:hAnsi="Arial" w:cs="Arial"/>
          <w:color w:val="000000"/>
          <w:sz w:val="22"/>
          <w:szCs w:val="22"/>
        </w:rPr>
        <w:t xml:space="preserve">5.1 Access versus utilisation </w:t>
      </w:r>
      <w:r w:rsidRPr="0067699E">
        <w:rPr>
          <w:rFonts w:ascii="Arial" w:hAnsi="Arial" w:cs="Arial"/>
          <w:color w:val="000000"/>
          <w:sz w:val="22"/>
          <w:szCs w:val="22"/>
        </w:rPr>
        <w:br/>
        <w:t xml:space="preserve">   5.2 Digital literacy and inequality </w:t>
      </w:r>
      <w:r w:rsidRPr="0067699E">
        <w:rPr>
          <w:rFonts w:ascii="Arial" w:hAnsi="Arial" w:cs="Arial"/>
          <w:color w:val="000000"/>
          <w:sz w:val="22"/>
          <w:szCs w:val="22"/>
        </w:rPr>
        <w:br/>
        <w:t xml:space="preserve">   5.3 Digital facilitation and service design </w:t>
      </w:r>
      <w:r w:rsidRPr="0067699E">
        <w:rPr>
          <w:rFonts w:ascii="Arial" w:hAnsi="Arial" w:cs="Arial"/>
          <w:color w:val="000000"/>
          <w:sz w:val="22"/>
          <w:szCs w:val="22"/>
        </w:rPr>
        <w:br/>
        <w:t xml:space="preserve">   5.4 Complementary role of digital healthcare </w:t>
      </w:r>
      <w:r w:rsidRPr="0067699E">
        <w:rPr>
          <w:rFonts w:ascii="Arial" w:hAnsi="Arial" w:cs="Arial"/>
          <w:color w:val="000000"/>
          <w:sz w:val="22"/>
          <w:szCs w:val="22"/>
        </w:rPr>
        <w:br/>
        <w:t xml:space="preserve">   5.5 Policy implications </w:t>
      </w:r>
      <w:r w:rsidRPr="0067699E">
        <w:rPr>
          <w:rFonts w:ascii="Arial" w:hAnsi="Arial" w:cs="Arial"/>
          <w:color w:val="000000"/>
          <w:sz w:val="22"/>
          <w:szCs w:val="22"/>
        </w:rPr>
        <w:br/>
        <w:t xml:space="preserve">   5.6 Strengths and limitations </w:t>
      </w:r>
      <w:r w:rsidRPr="0067699E">
        <w:rPr>
          <w:rFonts w:ascii="Arial" w:hAnsi="Arial" w:cs="Arial"/>
          <w:color w:val="000000"/>
          <w:sz w:val="22"/>
          <w:szCs w:val="22"/>
        </w:rPr>
        <w:br/>
        <w:t>   5.7 Summary of discussion</w:t>
      </w:r>
    </w:p>
    <w:p w14:paraId="3C6BA199" w14:textId="636BD012" w:rsidR="0067699E" w:rsidRDefault="0067699E" w:rsidP="0067699E">
      <w:pPr>
        <w:pStyle w:val="NormalWeb"/>
        <w:rPr>
          <w:rFonts w:ascii="Arial" w:hAnsi="Arial" w:cs="Arial"/>
          <w:color w:val="000000"/>
          <w:sz w:val="22"/>
          <w:szCs w:val="22"/>
        </w:rPr>
      </w:pPr>
      <w:r w:rsidRPr="0067699E">
        <w:rPr>
          <w:rStyle w:val="Strong"/>
          <w:rFonts w:ascii="Arial" w:hAnsi="Arial" w:cs="Arial"/>
          <w:b w:val="0"/>
          <w:bCs w:val="0"/>
          <w:color w:val="000000"/>
          <w:sz w:val="22"/>
          <w:szCs w:val="22"/>
        </w:rPr>
        <w:t>6. Recommendations and Conclusion</w:t>
      </w:r>
      <w:r w:rsidRPr="0067699E">
        <w:rPr>
          <w:rStyle w:val="apple-converted-space"/>
          <w:rFonts w:ascii="Arial" w:hAnsi="Arial" w:cs="Arial"/>
          <w:b/>
          <w:bCs/>
          <w:color w:val="000000"/>
          <w:sz w:val="22"/>
          <w:szCs w:val="22"/>
        </w:rPr>
        <w:t> </w:t>
      </w:r>
      <w:r w:rsidRPr="0067699E">
        <w:rPr>
          <w:rFonts w:ascii="Arial" w:hAnsi="Arial" w:cs="Arial"/>
          <w:color w:val="000000"/>
          <w:sz w:val="22"/>
          <w:szCs w:val="22"/>
        </w:rPr>
        <w:br/>
      </w:r>
      <w:r w:rsidRPr="0067699E">
        <w:rPr>
          <w:rFonts w:ascii="Arial" w:hAnsi="Arial" w:cs="Arial"/>
          <w:b/>
          <w:bCs/>
          <w:color w:val="000000"/>
          <w:sz w:val="22"/>
          <w:szCs w:val="22"/>
        </w:rPr>
        <w:t>   </w:t>
      </w:r>
      <w:r w:rsidRPr="0067699E">
        <w:rPr>
          <w:rFonts w:ascii="Arial" w:hAnsi="Arial" w:cs="Arial"/>
          <w:color w:val="000000"/>
          <w:sz w:val="22"/>
          <w:szCs w:val="22"/>
        </w:rPr>
        <w:t>6.1 Recommendations</w:t>
      </w:r>
    </w:p>
    <w:p w14:paraId="141001C8" w14:textId="47AC6A02" w:rsidR="0067699E" w:rsidRPr="0067699E" w:rsidRDefault="0067699E" w:rsidP="0067699E">
      <w:pPr>
        <w:pStyle w:val="NormalWeb"/>
        <w:rPr>
          <w:rFonts w:ascii="Arial" w:hAnsi="Arial" w:cs="Arial"/>
          <w:color w:val="000000"/>
          <w:sz w:val="22"/>
          <w:szCs w:val="22"/>
        </w:rPr>
      </w:pPr>
      <w:r w:rsidRPr="0067699E">
        <w:rPr>
          <w:rFonts w:ascii="Arial" w:hAnsi="Arial" w:cs="Arial"/>
          <w:color w:val="000000"/>
          <w:sz w:val="22"/>
          <w:szCs w:val="22"/>
        </w:rPr>
        <w:t xml:space="preserve">6.1.1 Practice </w:t>
      </w:r>
      <w:r w:rsidRPr="0067699E">
        <w:rPr>
          <w:rFonts w:ascii="Arial" w:hAnsi="Arial" w:cs="Arial"/>
          <w:color w:val="000000"/>
          <w:sz w:val="22"/>
          <w:szCs w:val="22"/>
        </w:rPr>
        <w:br/>
        <w:t xml:space="preserve">     6.1.2 Policy </w:t>
      </w:r>
      <w:r w:rsidRPr="0067699E">
        <w:rPr>
          <w:rFonts w:ascii="Arial" w:hAnsi="Arial" w:cs="Arial"/>
          <w:color w:val="000000"/>
          <w:sz w:val="22"/>
          <w:szCs w:val="22"/>
        </w:rPr>
        <w:br/>
        <w:t xml:space="preserve">     6.1.3 Future Research </w:t>
      </w:r>
      <w:r w:rsidRPr="0067699E">
        <w:rPr>
          <w:rFonts w:ascii="Arial" w:hAnsi="Arial" w:cs="Arial"/>
          <w:color w:val="000000"/>
          <w:sz w:val="22"/>
          <w:szCs w:val="22"/>
        </w:rPr>
        <w:br/>
        <w:t xml:space="preserve">   6.2 Final Reflection </w:t>
      </w:r>
      <w:r w:rsidRPr="0067699E">
        <w:rPr>
          <w:rFonts w:ascii="Arial" w:hAnsi="Arial" w:cs="Arial"/>
          <w:color w:val="000000"/>
          <w:sz w:val="22"/>
          <w:szCs w:val="22"/>
        </w:rPr>
        <w:br/>
        <w:t xml:space="preserve">   6.3 Conclusion </w:t>
      </w:r>
    </w:p>
    <w:p w14:paraId="452115DF" w14:textId="6BD29DD5" w:rsidR="0067699E" w:rsidRPr="0067699E" w:rsidRDefault="0067699E" w:rsidP="0067699E">
      <w:pPr>
        <w:pStyle w:val="NormalWeb"/>
        <w:rPr>
          <w:rFonts w:ascii="Arial" w:hAnsi="Arial" w:cs="Arial"/>
          <w:b/>
          <w:bCs/>
          <w:color w:val="000000"/>
          <w:sz w:val="22"/>
          <w:szCs w:val="22"/>
        </w:rPr>
      </w:pPr>
      <w:r w:rsidRPr="0067699E">
        <w:rPr>
          <w:rStyle w:val="Strong"/>
          <w:rFonts w:ascii="Arial" w:hAnsi="Arial" w:cs="Arial"/>
          <w:b w:val="0"/>
          <w:bCs w:val="0"/>
          <w:color w:val="000000"/>
          <w:sz w:val="22"/>
          <w:szCs w:val="22"/>
        </w:rPr>
        <w:t>7. References</w:t>
      </w:r>
      <w:r w:rsidRPr="0067699E">
        <w:rPr>
          <w:rStyle w:val="apple-converted-space"/>
          <w:rFonts w:ascii="Arial" w:hAnsi="Arial" w:cs="Arial"/>
          <w:b/>
          <w:bCs/>
          <w:color w:val="000000"/>
          <w:sz w:val="22"/>
          <w:szCs w:val="22"/>
        </w:rPr>
        <w:t> </w:t>
      </w:r>
    </w:p>
    <w:p w14:paraId="2E79F7ED" w14:textId="182913C0" w:rsidR="00B87E75" w:rsidRPr="00502C6D" w:rsidRDefault="00B87E75" w:rsidP="00CD33A8">
      <w:pPr>
        <w:spacing w:line="360" w:lineRule="auto"/>
        <w:rPr>
          <w:rFonts w:ascii="Arial" w:hAnsi="Arial" w:cs="Arial"/>
          <w:szCs w:val="24"/>
        </w:rPr>
      </w:pPr>
    </w:p>
    <w:p w14:paraId="47A41D5C" w14:textId="77777777" w:rsidR="004119B0" w:rsidRDefault="004119B0" w:rsidP="004119B0">
      <w:pPr>
        <w:spacing w:line="360" w:lineRule="auto"/>
        <w:rPr>
          <w:rFonts w:ascii="Arial" w:hAnsi="Arial" w:cs="Arial"/>
          <w:szCs w:val="24"/>
        </w:rPr>
      </w:pPr>
    </w:p>
    <w:p w14:paraId="4E8948AC" w14:textId="77777777" w:rsidR="0067699E" w:rsidRDefault="0067699E" w:rsidP="004119B0">
      <w:pPr>
        <w:spacing w:line="360" w:lineRule="auto"/>
        <w:rPr>
          <w:rFonts w:ascii="Arial" w:hAnsi="Arial" w:cs="Arial"/>
          <w:szCs w:val="24"/>
        </w:rPr>
      </w:pPr>
    </w:p>
    <w:p w14:paraId="688F685E" w14:textId="4576CF8D" w:rsidR="004119B0" w:rsidRDefault="004119B0" w:rsidP="004119B0">
      <w:pPr>
        <w:spacing w:line="360" w:lineRule="auto"/>
        <w:ind w:firstLine="720"/>
        <w:rPr>
          <w:rFonts w:ascii="Arial" w:hAnsi="Arial" w:cs="Arial"/>
          <w:b/>
          <w:sz w:val="22"/>
        </w:rPr>
      </w:pPr>
      <w:r w:rsidRPr="004119B0">
        <w:rPr>
          <w:rFonts w:ascii="Arial" w:hAnsi="Arial" w:cs="Arial"/>
          <w:b/>
          <w:sz w:val="22"/>
        </w:rPr>
        <w:t>Abstract</w:t>
      </w:r>
    </w:p>
    <w:p w14:paraId="00DC7943" w14:textId="77777777" w:rsidR="004119B0" w:rsidRPr="004119B0" w:rsidRDefault="004119B0" w:rsidP="004119B0">
      <w:pPr>
        <w:spacing w:line="360" w:lineRule="auto"/>
        <w:ind w:firstLine="720"/>
        <w:rPr>
          <w:rFonts w:ascii="Arial" w:hAnsi="Arial" w:cs="Arial"/>
          <w:b/>
          <w:sz w:val="22"/>
        </w:rPr>
      </w:pPr>
    </w:p>
    <w:p w14:paraId="3E4B99D1" w14:textId="7FFB58ED" w:rsidR="004119B0" w:rsidRPr="004119B0" w:rsidRDefault="0012395A" w:rsidP="004119B0">
      <w:pPr>
        <w:spacing w:line="360" w:lineRule="auto"/>
        <w:ind w:firstLine="720"/>
        <w:rPr>
          <w:rFonts w:ascii="Arial" w:hAnsi="Arial" w:cs="Arial"/>
          <w:bCs/>
          <w:sz w:val="22"/>
        </w:rPr>
      </w:pPr>
      <w:r w:rsidRPr="004119B0">
        <w:rPr>
          <w:rFonts w:ascii="Arial" w:hAnsi="Arial" w:cs="Arial"/>
          <w:bCs/>
          <w:sz w:val="22"/>
        </w:rPr>
        <w:t>This scoping assessment looks at the evidence supporting the efficacy of digital healthcare technology in enhancing access to primary care services in the United Kingdom. Increasing demand, workforce challenges, and policy-driven digital transformation have resulted in the fast adoption of technology including online consultation platforms, NHS 111 Online, and mobile health apps. However, the extent to which these technologies increase access is still debated.</w:t>
      </w:r>
    </w:p>
    <w:p w14:paraId="358E045B" w14:textId="62219B31" w:rsidR="00F046BA" w:rsidRPr="004119B0" w:rsidRDefault="004119B0" w:rsidP="004119B0">
      <w:pPr>
        <w:spacing w:line="360" w:lineRule="auto"/>
        <w:ind w:firstLine="720"/>
        <w:rPr>
          <w:rFonts w:ascii="Arial" w:hAnsi="Arial" w:cs="Arial"/>
          <w:sz w:val="22"/>
        </w:rPr>
      </w:pPr>
      <w:r w:rsidRPr="004119B0">
        <w:rPr>
          <w:rFonts w:ascii="Arial" w:hAnsi="Arial" w:cs="Arial"/>
          <w:bCs/>
          <w:sz w:val="22"/>
        </w:rPr>
        <w:t>L</w:t>
      </w:r>
      <w:r w:rsidR="00B74A28" w:rsidRPr="004119B0">
        <w:rPr>
          <w:rFonts w:ascii="Arial" w:hAnsi="Arial" w:cs="Arial"/>
          <w:bCs/>
          <w:sz w:val="22"/>
        </w:rPr>
        <w:t>ocate relevant peer-reviewed publications, a systematic search was undertaken in academic databases such as PubMed, EBSCOhost, and SAGE Journals. Four papers were chosen based on predetermined inclusion criteria, using qualitative, quantitative, and survey-based research methodologies. Data were examined thematically to discover important trends and conclusions.</w:t>
      </w:r>
    </w:p>
    <w:p w14:paraId="26AC286B" w14:textId="1A6CFECD" w:rsidR="007843A3" w:rsidRPr="004119B0" w:rsidRDefault="007843A3" w:rsidP="00F8701D">
      <w:pPr>
        <w:spacing w:line="360" w:lineRule="auto"/>
        <w:ind w:firstLine="720"/>
        <w:jc w:val="both"/>
        <w:rPr>
          <w:rFonts w:ascii="Arial" w:hAnsi="Arial" w:cs="Arial"/>
          <w:bCs/>
          <w:sz w:val="22"/>
        </w:rPr>
      </w:pPr>
      <w:r w:rsidRPr="004119B0">
        <w:rPr>
          <w:rFonts w:ascii="Arial" w:hAnsi="Arial" w:cs="Arial"/>
          <w:bCs/>
          <w:sz w:val="22"/>
        </w:rPr>
        <w:t>The review highlighted five major topics. Digital technologies were shown to improve access by increasing service availability and allowing for more flexible patient-provider interactions. However, digital literacy has a significant impact on access, with younger and more educated persons using the technology more frequently. The findings also emphasise the significance of digital facilitation, since many patients require assistance to interact with digital systems. Furthermore, digital technologies were shown to supplement rather than replace traditional primary care services. The evidence for their influence on equity was inconsistent, with some research suggesting increased access generally and others highlighting continuing discrepancies.</w:t>
      </w:r>
    </w:p>
    <w:p w14:paraId="17FCAC1A" w14:textId="77777777" w:rsidR="004119B0" w:rsidRDefault="004119B0" w:rsidP="004119B0">
      <w:pPr>
        <w:spacing w:line="360" w:lineRule="auto"/>
        <w:ind w:firstLine="720"/>
        <w:jc w:val="both"/>
        <w:rPr>
          <w:rFonts w:ascii="Arial" w:hAnsi="Arial" w:cs="Arial"/>
          <w:bCs/>
          <w:sz w:val="22"/>
        </w:rPr>
      </w:pPr>
      <w:r w:rsidRPr="004119B0">
        <w:rPr>
          <w:rFonts w:ascii="Arial" w:hAnsi="Arial" w:cs="Arial"/>
          <w:bCs/>
          <w:sz w:val="22"/>
        </w:rPr>
        <w:t>To summarise, digital healthcare technologies offer the potential to increase access to primary care in the UK, but their efficacy is contingent on patient competency, service design, and proper support. A balanced and inclusive strategy is necessary to guarantee that digital innovation improves access while not worsening current inequities.</w:t>
      </w:r>
    </w:p>
    <w:p w14:paraId="1A491D5E" w14:textId="77777777" w:rsidR="004119B0" w:rsidRDefault="004119B0" w:rsidP="004119B0">
      <w:pPr>
        <w:spacing w:line="360" w:lineRule="auto"/>
        <w:ind w:firstLine="720"/>
        <w:jc w:val="both"/>
        <w:rPr>
          <w:rFonts w:ascii="Arial" w:hAnsi="Arial" w:cs="Arial"/>
          <w:bCs/>
          <w:sz w:val="22"/>
        </w:rPr>
      </w:pPr>
    </w:p>
    <w:p w14:paraId="3004E499" w14:textId="77777777" w:rsidR="004119B0" w:rsidRDefault="004119B0" w:rsidP="004119B0">
      <w:pPr>
        <w:spacing w:line="360" w:lineRule="auto"/>
        <w:ind w:firstLine="720"/>
        <w:jc w:val="both"/>
        <w:rPr>
          <w:rFonts w:ascii="Arial" w:hAnsi="Arial" w:cs="Arial"/>
          <w:bCs/>
          <w:sz w:val="22"/>
        </w:rPr>
      </w:pPr>
    </w:p>
    <w:p w14:paraId="31199AB3" w14:textId="77777777" w:rsidR="004119B0" w:rsidRDefault="004119B0" w:rsidP="004119B0">
      <w:pPr>
        <w:spacing w:line="360" w:lineRule="auto"/>
        <w:ind w:firstLine="720"/>
        <w:jc w:val="both"/>
        <w:rPr>
          <w:rFonts w:ascii="Arial" w:hAnsi="Arial" w:cs="Arial"/>
          <w:bCs/>
          <w:sz w:val="22"/>
        </w:rPr>
      </w:pPr>
    </w:p>
    <w:p w14:paraId="313FB21F" w14:textId="77777777" w:rsidR="004119B0" w:rsidRDefault="004119B0" w:rsidP="004119B0">
      <w:pPr>
        <w:spacing w:line="360" w:lineRule="auto"/>
        <w:ind w:firstLine="720"/>
        <w:jc w:val="both"/>
        <w:rPr>
          <w:rFonts w:ascii="Arial" w:hAnsi="Arial" w:cs="Arial"/>
          <w:bCs/>
          <w:sz w:val="22"/>
        </w:rPr>
      </w:pPr>
    </w:p>
    <w:p w14:paraId="06D57197" w14:textId="77777777" w:rsidR="004119B0" w:rsidRDefault="004119B0" w:rsidP="004119B0">
      <w:pPr>
        <w:spacing w:line="360" w:lineRule="auto"/>
        <w:ind w:firstLine="720"/>
        <w:jc w:val="both"/>
        <w:rPr>
          <w:rFonts w:ascii="Arial" w:hAnsi="Arial" w:cs="Arial"/>
          <w:bCs/>
          <w:sz w:val="22"/>
        </w:rPr>
      </w:pPr>
    </w:p>
    <w:p w14:paraId="75615772" w14:textId="77777777" w:rsidR="004119B0" w:rsidRDefault="004119B0" w:rsidP="004119B0">
      <w:pPr>
        <w:spacing w:line="360" w:lineRule="auto"/>
        <w:ind w:firstLine="720"/>
        <w:jc w:val="both"/>
        <w:rPr>
          <w:rFonts w:ascii="Arial" w:hAnsi="Arial" w:cs="Arial"/>
          <w:bCs/>
          <w:sz w:val="22"/>
        </w:rPr>
      </w:pPr>
    </w:p>
    <w:p w14:paraId="5B1AB7AE" w14:textId="534E42BE" w:rsidR="004119B0" w:rsidRPr="007D063C" w:rsidRDefault="007D063C" w:rsidP="004119B0">
      <w:pPr>
        <w:spacing w:line="360" w:lineRule="auto"/>
        <w:ind w:firstLine="720"/>
        <w:jc w:val="both"/>
        <w:rPr>
          <w:rFonts w:ascii="Arial" w:hAnsi="Arial" w:cs="Arial"/>
          <w:b/>
          <w:bCs/>
          <w:sz w:val="22"/>
        </w:rPr>
      </w:pPr>
      <w:r>
        <w:rPr>
          <w:rFonts w:ascii="Arial" w:hAnsi="Arial" w:cs="Arial"/>
          <w:b/>
          <w:bCs/>
          <w:sz w:val="22"/>
        </w:rPr>
        <w:t xml:space="preserve">1. </w:t>
      </w:r>
      <w:r w:rsidRPr="007D063C">
        <w:rPr>
          <w:rFonts w:ascii="Arial" w:hAnsi="Arial" w:cs="Arial"/>
          <w:b/>
          <w:bCs/>
          <w:sz w:val="22"/>
        </w:rPr>
        <w:t>Introduction</w:t>
      </w:r>
    </w:p>
    <w:p w14:paraId="4BC9FA24" w14:textId="3264ABAC" w:rsidR="00144EBD" w:rsidRPr="004119B0" w:rsidRDefault="00B91841" w:rsidP="004119B0">
      <w:pPr>
        <w:spacing w:line="360" w:lineRule="auto"/>
        <w:ind w:firstLine="720"/>
        <w:jc w:val="both"/>
        <w:rPr>
          <w:rFonts w:ascii="Arial" w:hAnsi="Arial" w:cs="Arial"/>
          <w:bCs/>
          <w:sz w:val="22"/>
        </w:rPr>
      </w:pPr>
      <w:r w:rsidRPr="004119B0">
        <w:rPr>
          <w:rFonts w:ascii="Arial" w:hAnsi="Arial" w:cs="Arial"/>
          <w:sz w:val="22"/>
        </w:rPr>
        <w:t xml:space="preserve">In UK primary care, digital healthcare technologies have grown in significance, especially as the National Health Service (NHS) has worked to enhance patient comfort, efficiency, and prompt access through online and remote service delivery models. Virtual counselling platforms, triage systems, virtual communication tools, and apps for mobile health are examples of digital health technologies in this context that assist patients in obtaining guidance, evaluation, and components of primary care without exclusively depending on conventional in-person appointments. These technologies are frequently offered to meet the increasing demand in clinical practice while enhancing patient flexibility and responsiveness. The degree to which they </w:t>
      </w:r>
      <w:r w:rsidR="009E2C7D" w:rsidRPr="004119B0">
        <w:rPr>
          <w:rFonts w:ascii="Arial" w:hAnsi="Arial" w:cs="Arial"/>
          <w:sz w:val="22"/>
        </w:rPr>
        <w:t>increase</w:t>
      </w:r>
      <w:r w:rsidRPr="004119B0">
        <w:rPr>
          <w:rFonts w:ascii="Arial" w:hAnsi="Arial" w:cs="Arial"/>
          <w:sz w:val="22"/>
        </w:rPr>
        <w:t xml:space="preserve"> access, however, is still debatable, especially when concerns about digital literacy, exclusion, and service design are </w:t>
      </w:r>
      <w:r w:rsidRPr="004119B0">
        <w:rPr>
          <w:rFonts w:ascii="Arial" w:hAnsi="Arial" w:cs="Arial"/>
          <w:sz w:val="22"/>
        </w:rPr>
        <w:t>considered</w:t>
      </w:r>
      <w:r w:rsidRPr="004119B0">
        <w:rPr>
          <w:rFonts w:ascii="Arial" w:hAnsi="Arial" w:cs="Arial"/>
          <w:sz w:val="22"/>
        </w:rPr>
        <w:t>.</w:t>
      </w:r>
    </w:p>
    <w:p w14:paraId="37BA440D" w14:textId="77777777" w:rsidR="00164EA2" w:rsidRDefault="00A7098D" w:rsidP="00164EA2">
      <w:pPr>
        <w:spacing w:line="360" w:lineRule="auto"/>
        <w:ind w:firstLine="720"/>
        <w:jc w:val="both"/>
        <w:rPr>
          <w:rFonts w:ascii="Arial" w:hAnsi="Arial" w:cs="Arial"/>
          <w:sz w:val="22"/>
        </w:rPr>
      </w:pPr>
      <w:r w:rsidRPr="004119B0">
        <w:rPr>
          <w:rFonts w:ascii="Arial" w:hAnsi="Arial" w:cs="Arial"/>
          <w:bCs/>
          <w:sz w:val="22"/>
        </w:rPr>
        <w:t>Access to primary care is more than just the availability of services. It involves the capacity for patients to get in touch with services, schedule appointments or advice in a timely manner, successfully navigate systems</w:t>
      </w:r>
      <w:r w:rsidRPr="004119B0">
        <w:rPr>
          <w:rFonts w:ascii="Arial" w:hAnsi="Arial" w:cs="Arial"/>
          <w:sz w:val="22"/>
        </w:rPr>
        <w:t xml:space="preserve">, and receive treatment that is suitable for their requirements. </w:t>
      </w:r>
      <w:r w:rsidR="007A52B6" w:rsidRPr="004119B0">
        <w:rPr>
          <w:rFonts w:ascii="Arial" w:hAnsi="Arial" w:cs="Arial"/>
          <w:sz w:val="22"/>
        </w:rPr>
        <w:t>To</w:t>
      </w:r>
      <w:r w:rsidRPr="004119B0">
        <w:rPr>
          <w:rFonts w:ascii="Arial" w:hAnsi="Arial" w:cs="Arial"/>
          <w:sz w:val="22"/>
        </w:rPr>
        <w:t xml:space="preserve"> expand the methods in which patients may interact with services, digital pathways to treatment including</w:t>
      </w:r>
      <w:r w:rsidRPr="00A7098D">
        <w:rPr>
          <w:rFonts w:ascii="Arial" w:hAnsi="Arial" w:cs="Arial"/>
          <w:sz w:val="22"/>
        </w:rPr>
        <w:t xml:space="preserve"> online consultation forms and NHS 111 Online have been developed in recent years. Research indicates that these technologies might boost the number of primary care encounters and provide more practical avenues for seeking assistance, particularly for patients who feel comfortable utilising digital platforms. However, there are also worries that some groups</w:t>
      </w:r>
      <w:r w:rsidR="007A52B6">
        <w:rPr>
          <w:rFonts w:ascii="Arial" w:hAnsi="Arial" w:cs="Arial"/>
          <w:sz w:val="22"/>
        </w:rPr>
        <w:t xml:space="preserve"> e</w:t>
      </w:r>
      <w:r w:rsidRPr="00A7098D">
        <w:rPr>
          <w:rFonts w:ascii="Arial" w:hAnsi="Arial" w:cs="Arial"/>
          <w:sz w:val="22"/>
        </w:rPr>
        <w:t>specially younger, better educated, and more tech-savvy users</w:t>
      </w:r>
      <w:r w:rsidR="007A52B6">
        <w:rPr>
          <w:rFonts w:ascii="Arial" w:hAnsi="Arial" w:cs="Arial"/>
          <w:sz w:val="22"/>
        </w:rPr>
        <w:t xml:space="preserve"> </w:t>
      </w:r>
      <w:r w:rsidRPr="00A7098D">
        <w:rPr>
          <w:rFonts w:ascii="Arial" w:hAnsi="Arial" w:cs="Arial"/>
          <w:sz w:val="22"/>
        </w:rPr>
        <w:t>may benefit more from digital-first approaches than others.</w:t>
      </w:r>
    </w:p>
    <w:p w14:paraId="5C6E57AD" w14:textId="489FDBA6" w:rsidR="001D2364" w:rsidRDefault="001D2364" w:rsidP="00164EA2">
      <w:pPr>
        <w:spacing w:line="360" w:lineRule="auto"/>
        <w:ind w:firstLine="720"/>
        <w:jc w:val="both"/>
        <w:rPr>
          <w:rFonts w:ascii="Arial" w:hAnsi="Arial" w:cs="Arial"/>
          <w:sz w:val="22"/>
        </w:rPr>
      </w:pPr>
      <w:r w:rsidRPr="001D2364">
        <w:rPr>
          <w:rFonts w:ascii="Arial" w:hAnsi="Arial" w:cs="Arial"/>
          <w:sz w:val="22"/>
        </w:rPr>
        <w:t>The availability to basic medical care is a recurring problem in the UK, which makes this topic crucial. Growing demand, a lack of workers, and patient demands for quicker and more flexible services are all putting strain on general practice. Although digital technologies are frequently presented as a component of the solution, their role should not be taken for granted. For instance, Newbould et al. discovered that patients frequently need practical assistance to utilise online general practice services, indicating that digital access is not always straightforward or inclusive. According to their results, access is dependent on both the availability of technology and the systems that facilitate its usage.</w:t>
      </w:r>
    </w:p>
    <w:p w14:paraId="48A90707" w14:textId="14C5BCE0" w:rsidR="001C3EC9" w:rsidRDefault="001C3EC9" w:rsidP="00144EBD">
      <w:pPr>
        <w:spacing w:line="360" w:lineRule="auto"/>
        <w:ind w:firstLine="720"/>
        <w:jc w:val="both"/>
        <w:rPr>
          <w:rFonts w:ascii="Arial" w:hAnsi="Arial" w:cs="Arial"/>
          <w:sz w:val="22"/>
        </w:rPr>
      </w:pPr>
      <w:r w:rsidRPr="001C3EC9">
        <w:rPr>
          <w:rFonts w:ascii="Arial" w:hAnsi="Arial" w:cs="Arial"/>
          <w:sz w:val="22"/>
        </w:rPr>
        <w:t xml:space="preserve">Therefore, the purpose of this scoping study is to investigate the available peer-reviewed data about the efficacy of digital healthcare technology in enhancing access to primary care services in the United Kingdom. Because the topic encompasses a variety of digital intervention types, outcome measures, and study methodologies, a scoping review is needed. Instead of evaluating a specific intervention, this assessment maps the available data </w:t>
      </w:r>
      <w:r w:rsidRPr="001C3EC9">
        <w:rPr>
          <w:rFonts w:ascii="Arial" w:hAnsi="Arial" w:cs="Arial"/>
          <w:sz w:val="22"/>
        </w:rPr>
        <w:lastRenderedPageBreak/>
        <w:t>and pinpoints the key themes that emerge from it. The chosen papers provide a helpful summary of how digital technologies may facilitate or restrict access in practice by addressing online general practice services, online urgent care, digital access platforms, and mobile health applications.</w:t>
      </w:r>
    </w:p>
    <w:p w14:paraId="4DE4C3C6" w14:textId="47B5648A" w:rsidR="00BA645C" w:rsidRDefault="00BA645C" w:rsidP="00A7098D">
      <w:pPr>
        <w:spacing w:line="360" w:lineRule="auto"/>
        <w:ind w:firstLine="720"/>
        <w:jc w:val="both"/>
        <w:rPr>
          <w:rFonts w:ascii="Arial" w:hAnsi="Arial" w:cs="Arial"/>
          <w:sz w:val="22"/>
        </w:rPr>
      </w:pPr>
      <w:r>
        <w:rPr>
          <w:rFonts w:ascii="Arial" w:hAnsi="Arial" w:cs="Arial"/>
          <w:sz w:val="22"/>
        </w:rPr>
        <w:t>The re</w:t>
      </w:r>
      <w:r w:rsidR="00E85FB6">
        <w:rPr>
          <w:rFonts w:ascii="Arial" w:hAnsi="Arial" w:cs="Arial"/>
          <w:sz w:val="22"/>
        </w:rPr>
        <w:t>view question guiding this report is:</w:t>
      </w:r>
    </w:p>
    <w:p w14:paraId="46F9D67D" w14:textId="274A2FD5" w:rsidR="00E85FB6" w:rsidRDefault="00E85FB6" w:rsidP="00A7098D">
      <w:pPr>
        <w:spacing w:line="360" w:lineRule="auto"/>
        <w:ind w:firstLine="720"/>
        <w:jc w:val="both"/>
        <w:rPr>
          <w:rFonts w:ascii="Arial" w:hAnsi="Arial" w:cs="Arial"/>
          <w:sz w:val="22"/>
        </w:rPr>
      </w:pPr>
      <w:r>
        <w:rPr>
          <w:rFonts w:ascii="Arial" w:hAnsi="Arial" w:cs="Arial"/>
          <w:sz w:val="22"/>
        </w:rPr>
        <w:t>What evidence exi</w:t>
      </w:r>
      <w:r w:rsidR="001E5BA6">
        <w:rPr>
          <w:rFonts w:ascii="Arial" w:hAnsi="Arial" w:cs="Arial"/>
          <w:sz w:val="22"/>
        </w:rPr>
        <w:t>sts regarding the effectiveness of digital health technologies in improving access to primary care services in the UK</w:t>
      </w:r>
      <w:r w:rsidR="00DD314E">
        <w:rPr>
          <w:rFonts w:ascii="Arial" w:hAnsi="Arial" w:cs="Arial"/>
          <w:sz w:val="22"/>
        </w:rPr>
        <w:t>?</w:t>
      </w:r>
    </w:p>
    <w:p w14:paraId="4CC84231" w14:textId="66491D83" w:rsidR="00DD314E" w:rsidRDefault="00DD314E" w:rsidP="00611319">
      <w:pPr>
        <w:spacing w:line="360" w:lineRule="auto"/>
        <w:ind w:firstLine="720"/>
        <w:jc w:val="both"/>
        <w:rPr>
          <w:rFonts w:ascii="Arial" w:hAnsi="Arial" w:cs="Arial"/>
          <w:sz w:val="22"/>
        </w:rPr>
      </w:pPr>
      <w:r>
        <w:rPr>
          <w:rFonts w:ascii="Arial" w:hAnsi="Arial" w:cs="Arial"/>
          <w:sz w:val="22"/>
        </w:rPr>
        <w:t>The objectives of the review are:</w:t>
      </w:r>
    </w:p>
    <w:p w14:paraId="37DF8066" w14:textId="59039525" w:rsidR="00DD314E" w:rsidRDefault="00DD314E" w:rsidP="00611319">
      <w:pPr>
        <w:pStyle w:val="ListParagraph"/>
        <w:numPr>
          <w:ilvl w:val="0"/>
          <w:numId w:val="2"/>
        </w:numPr>
        <w:spacing w:line="360" w:lineRule="auto"/>
        <w:jc w:val="both"/>
        <w:rPr>
          <w:rFonts w:ascii="Arial" w:hAnsi="Arial" w:cs="Arial"/>
          <w:sz w:val="22"/>
        </w:rPr>
      </w:pPr>
      <w:r w:rsidRPr="00611319">
        <w:rPr>
          <w:rFonts w:ascii="Arial" w:hAnsi="Arial" w:cs="Arial"/>
          <w:sz w:val="22"/>
        </w:rPr>
        <w:t xml:space="preserve">To identify peer-reviewed studies examining digital healthcare technologies in relation </w:t>
      </w:r>
      <w:r w:rsidR="00225174" w:rsidRPr="00611319">
        <w:rPr>
          <w:rFonts w:ascii="Arial" w:hAnsi="Arial" w:cs="Arial"/>
          <w:sz w:val="22"/>
        </w:rPr>
        <w:t>to UK primary care access</w:t>
      </w:r>
      <w:r w:rsidR="00611319">
        <w:rPr>
          <w:rFonts w:ascii="Arial" w:hAnsi="Arial" w:cs="Arial"/>
          <w:sz w:val="22"/>
        </w:rPr>
        <w:t>;</w:t>
      </w:r>
    </w:p>
    <w:p w14:paraId="57A845AB" w14:textId="063EB8F2" w:rsidR="00611319" w:rsidRDefault="00F408B6" w:rsidP="00611319">
      <w:pPr>
        <w:pStyle w:val="ListParagraph"/>
        <w:numPr>
          <w:ilvl w:val="0"/>
          <w:numId w:val="2"/>
        </w:numPr>
        <w:spacing w:line="360" w:lineRule="auto"/>
        <w:jc w:val="both"/>
        <w:rPr>
          <w:rFonts w:ascii="Arial" w:hAnsi="Arial" w:cs="Arial"/>
          <w:sz w:val="22"/>
        </w:rPr>
      </w:pPr>
      <w:r>
        <w:rPr>
          <w:rFonts w:ascii="Arial" w:hAnsi="Arial" w:cs="Arial"/>
          <w:sz w:val="22"/>
        </w:rPr>
        <w:t xml:space="preserve">To explore the extent to which these technologies </w:t>
      </w:r>
      <w:r w:rsidR="00102739">
        <w:rPr>
          <w:rFonts w:ascii="Arial" w:hAnsi="Arial" w:cs="Arial"/>
          <w:sz w:val="22"/>
        </w:rPr>
        <w:t xml:space="preserve">improve access, convenience, and service use; </w:t>
      </w:r>
    </w:p>
    <w:p w14:paraId="3DCB5F52" w14:textId="19E2BED8" w:rsidR="00102739" w:rsidRDefault="003B6F2E" w:rsidP="00611319">
      <w:pPr>
        <w:pStyle w:val="ListParagraph"/>
        <w:numPr>
          <w:ilvl w:val="0"/>
          <w:numId w:val="2"/>
        </w:numPr>
        <w:spacing w:line="360" w:lineRule="auto"/>
        <w:jc w:val="both"/>
        <w:rPr>
          <w:rFonts w:ascii="Arial" w:hAnsi="Arial" w:cs="Arial"/>
          <w:sz w:val="22"/>
        </w:rPr>
      </w:pPr>
      <w:r>
        <w:rPr>
          <w:rFonts w:ascii="Arial" w:hAnsi="Arial" w:cs="Arial"/>
          <w:sz w:val="22"/>
        </w:rPr>
        <w:t xml:space="preserve">To identify barriers that may limit their </w:t>
      </w:r>
      <w:r w:rsidR="000564AA">
        <w:rPr>
          <w:rFonts w:ascii="Arial" w:hAnsi="Arial" w:cs="Arial"/>
          <w:sz w:val="22"/>
        </w:rPr>
        <w:t xml:space="preserve">effectiveness, including digital literacy and the need for facilitation; </w:t>
      </w:r>
    </w:p>
    <w:p w14:paraId="282F5BE5" w14:textId="4ECEC147" w:rsidR="000564AA" w:rsidRDefault="00201A88" w:rsidP="00611319">
      <w:pPr>
        <w:pStyle w:val="ListParagraph"/>
        <w:numPr>
          <w:ilvl w:val="0"/>
          <w:numId w:val="2"/>
        </w:numPr>
        <w:spacing w:line="360" w:lineRule="auto"/>
        <w:jc w:val="both"/>
        <w:rPr>
          <w:rFonts w:ascii="Arial" w:hAnsi="Arial" w:cs="Arial"/>
          <w:sz w:val="22"/>
        </w:rPr>
      </w:pPr>
      <w:r>
        <w:rPr>
          <w:rFonts w:ascii="Arial" w:hAnsi="Arial" w:cs="Arial"/>
          <w:sz w:val="22"/>
        </w:rPr>
        <w:t>To examine whether digital technologies risk widening inequalities in access; an</w:t>
      </w:r>
      <w:r w:rsidR="00687DBC">
        <w:rPr>
          <w:rFonts w:ascii="Arial" w:hAnsi="Arial" w:cs="Arial"/>
          <w:sz w:val="22"/>
        </w:rPr>
        <w:t>d;</w:t>
      </w:r>
    </w:p>
    <w:p w14:paraId="73B4C305" w14:textId="5C1F611B" w:rsidR="00687DBC" w:rsidRDefault="00687DBC" w:rsidP="00611319">
      <w:pPr>
        <w:pStyle w:val="ListParagraph"/>
        <w:numPr>
          <w:ilvl w:val="0"/>
          <w:numId w:val="2"/>
        </w:numPr>
        <w:spacing w:line="360" w:lineRule="auto"/>
        <w:jc w:val="both"/>
        <w:rPr>
          <w:rFonts w:ascii="Arial" w:hAnsi="Arial" w:cs="Arial"/>
          <w:sz w:val="22"/>
        </w:rPr>
      </w:pPr>
      <w:r>
        <w:rPr>
          <w:rFonts w:ascii="Arial" w:hAnsi="Arial" w:cs="Arial"/>
          <w:sz w:val="22"/>
        </w:rPr>
        <w:t xml:space="preserve">To consider the implications of the evidence for UK primary care practice, police, and future </w:t>
      </w:r>
      <w:r w:rsidR="001A531E">
        <w:rPr>
          <w:rFonts w:ascii="Arial" w:hAnsi="Arial" w:cs="Arial"/>
          <w:sz w:val="22"/>
        </w:rPr>
        <w:t>research</w:t>
      </w:r>
      <w:r>
        <w:rPr>
          <w:rFonts w:ascii="Arial" w:hAnsi="Arial" w:cs="Arial"/>
          <w:sz w:val="22"/>
        </w:rPr>
        <w:t>.</w:t>
      </w:r>
    </w:p>
    <w:p w14:paraId="54D3FA72" w14:textId="77777777" w:rsidR="001A531E" w:rsidRDefault="001A531E" w:rsidP="001A531E">
      <w:pPr>
        <w:pStyle w:val="ListParagraph"/>
        <w:spacing w:line="360" w:lineRule="auto"/>
        <w:ind w:left="1440"/>
        <w:jc w:val="both"/>
        <w:rPr>
          <w:rFonts w:ascii="Arial" w:hAnsi="Arial" w:cs="Arial"/>
          <w:sz w:val="22"/>
        </w:rPr>
      </w:pPr>
    </w:p>
    <w:p w14:paraId="058E9681" w14:textId="0B7D2A2E" w:rsidR="001A531E" w:rsidRPr="00696E63" w:rsidRDefault="00696E63" w:rsidP="00696E63">
      <w:pPr>
        <w:spacing w:line="360" w:lineRule="auto"/>
        <w:ind w:firstLine="720"/>
        <w:jc w:val="both"/>
        <w:rPr>
          <w:rFonts w:ascii="Arial" w:hAnsi="Arial" w:cs="Arial"/>
          <w:sz w:val="22"/>
        </w:rPr>
      </w:pPr>
      <w:r w:rsidRPr="00696E63">
        <w:rPr>
          <w:rFonts w:ascii="Arial" w:hAnsi="Arial" w:cs="Arial"/>
          <w:sz w:val="22"/>
        </w:rPr>
        <w:t>In summary, this assessment contends that although digital healthcare technologies offer a great deal of promise to increase primary care access in the UK, patient competence, service design, and the ongoing need for human assistance will determine how effective they are. Therefore, digital technologies should be viewed as part of a broader and more intricate revolution of service delivery rather than as a straightforward substitute for conventional primary care access pathways.</w:t>
      </w:r>
    </w:p>
    <w:p w14:paraId="79ADA018" w14:textId="77777777" w:rsidR="00687DBC" w:rsidRPr="00611319" w:rsidRDefault="00687DBC" w:rsidP="00687DBC">
      <w:pPr>
        <w:pStyle w:val="ListParagraph"/>
        <w:spacing w:line="360" w:lineRule="auto"/>
        <w:ind w:left="1440"/>
        <w:jc w:val="both"/>
        <w:rPr>
          <w:rFonts w:ascii="Arial" w:hAnsi="Arial" w:cs="Arial"/>
          <w:sz w:val="22"/>
        </w:rPr>
      </w:pPr>
    </w:p>
    <w:p w14:paraId="1DB787B5" w14:textId="77777777" w:rsidR="00225174" w:rsidRDefault="00225174" w:rsidP="00321191">
      <w:pPr>
        <w:spacing w:line="360" w:lineRule="auto"/>
        <w:jc w:val="both"/>
        <w:rPr>
          <w:rFonts w:ascii="Arial" w:hAnsi="Arial" w:cs="Arial"/>
          <w:sz w:val="22"/>
        </w:rPr>
      </w:pPr>
    </w:p>
    <w:p w14:paraId="7FEB4481" w14:textId="77777777" w:rsidR="00867387" w:rsidRDefault="00867387" w:rsidP="00321191">
      <w:pPr>
        <w:spacing w:line="360" w:lineRule="auto"/>
        <w:jc w:val="both"/>
        <w:rPr>
          <w:rFonts w:ascii="Arial" w:hAnsi="Arial" w:cs="Arial"/>
          <w:sz w:val="22"/>
        </w:rPr>
      </w:pPr>
    </w:p>
    <w:p w14:paraId="1FCE7D8C" w14:textId="77777777" w:rsidR="00867387" w:rsidRDefault="00867387" w:rsidP="00321191">
      <w:pPr>
        <w:spacing w:line="360" w:lineRule="auto"/>
        <w:jc w:val="both"/>
        <w:rPr>
          <w:rFonts w:ascii="Arial" w:hAnsi="Arial" w:cs="Arial"/>
          <w:sz w:val="22"/>
        </w:rPr>
      </w:pPr>
    </w:p>
    <w:p w14:paraId="27F1691E" w14:textId="77777777" w:rsidR="00867387" w:rsidRDefault="00867387" w:rsidP="00321191">
      <w:pPr>
        <w:spacing w:line="360" w:lineRule="auto"/>
        <w:jc w:val="both"/>
        <w:rPr>
          <w:rFonts w:ascii="Arial" w:hAnsi="Arial" w:cs="Arial"/>
          <w:sz w:val="22"/>
        </w:rPr>
      </w:pPr>
    </w:p>
    <w:p w14:paraId="7037DD1B" w14:textId="77777777" w:rsidR="00867387" w:rsidRPr="00A7098D" w:rsidRDefault="00867387" w:rsidP="00321191">
      <w:pPr>
        <w:spacing w:line="360" w:lineRule="auto"/>
        <w:jc w:val="both"/>
        <w:rPr>
          <w:rFonts w:ascii="Arial" w:hAnsi="Arial" w:cs="Arial"/>
          <w:sz w:val="22"/>
        </w:rPr>
      </w:pPr>
    </w:p>
    <w:p w14:paraId="59E04A13" w14:textId="77777777" w:rsidR="00B91841" w:rsidRPr="00B91841" w:rsidRDefault="00B91841" w:rsidP="00B91841"/>
    <w:p w14:paraId="238D64F3" w14:textId="23EB2247" w:rsidR="009106C6" w:rsidRDefault="0026393A" w:rsidP="006116EC">
      <w:pPr>
        <w:pStyle w:val="Heading1"/>
      </w:pPr>
      <w:r w:rsidRPr="009A688A">
        <w:t>2. Background</w:t>
      </w:r>
    </w:p>
    <w:p w14:paraId="14CFF32F" w14:textId="77777777" w:rsidR="006116EC" w:rsidRPr="006116EC" w:rsidRDefault="006116EC" w:rsidP="006116EC"/>
    <w:p w14:paraId="31B06D8F" w14:textId="436E1CBD" w:rsidR="009106C6" w:rsidRDefault="004C6A07" w:rsidP="004C6A07">
      <w:pPr>
        <w:spacing w:line="360" w:lineRule="auto"/>
        <w:ind w:firstLine="720"/>
        <w:jc w:val="both"/>
        <w:rPr>
          <w:rFonts w:ascii="Arial" w:hAnsi="Arial" w:cs="Arial"/>
          <w:sz w:val="22"/>
        </w:rPr>
      </w:pPr>
      <w:r w:rsidRPr="004C6A07">
        <w:rPr>
          <w:rFonts w:ascii="Arial" w:hAnsi="Arial" w:cs="Arial"/>
          <w:sz w:val="22"/>
        </w:rPr>
        <w:t xml:space="preserve">In the UK, access to primary care has grown in importance as a policy and practice problem, especially </w:t>
      </w:r>
      <w:r w:rsidRPr="004C6A07">
        <w:rPr>
          <w:rFonts w:ascii="Arial" w:hAnsi="Arial" w:cs="Arial"/>
          <w:sz w:val="22"/>
        </w:rPr>
        <w:t>considering</w:t>
      </w:r>
      <w:r w:rsidRPr="004C6A07">
        <w:rPr>
          <w:rFonts w:ascii="Arial" w:hAnsi="Arial" w:cs="Arial"/>
          <w:sz w:val="22"/>
        </w:rPr>
        <w:t xml:space="preserve"> the National Health Service's (NHS) continuous reform, growing patient demand, and staffing difficulties. For </w:t>
      </w:r>
      <w:r w:rsidRPr="004C6A07">
        <w:rPr>
          <w:rFonts w:ascii="Arial" w:hAnsi="Arial" w:cs="Arial"/>
          <w:sz w:val="22"/>
        </w:rPr>
        <w:t>most</w:t>
      </w:r>
      <w:r w:rsidRPr="004C6A07">
        <w:rPr>
          <w:rFonts w:ascii="Arial" w:hAnsi="Arial" w:cs="Arial"/>
          <w:sz w:val="22"/>
        </w:rPr>
        <w:t xml:space="preserve"> patients, general practice is the initial point of contact and is crucial to the coordination of treatment. However, issues including lengthy wait times, trouble scheduling appointments, and regional differences in service delivery have raised questions regarding prompt and fair access. As a result, digital healthcare technologies have been highlighted as a crucial tactic to enhance patient access and modernise service delivery</w:t>
      </w:r>
      <w:r w:rsidR="00FD7C8E">
        <w:rPr>
          <w:rFonts w:ascii="Arial" w:hAnsi="Arial" w:cs="Arial"/>
          <w:sz w:val="22"/>
        </w:rPr>
        <w:t xml:space="preserve"> (Knowles </w:t>
      </w:r>
      <w:r w:rsidR="00FD7C8E" w:rsidRPr="00FD7C8E">
        <w:rPr>
          <w:rFonts w:ascii="Arial" w:hAnsi="Arial" w:cs="Arial"/>
          <w:i/>
          <w:iCs/>
          <w:sz w:val="22"/>
        </w:rPr>
        <w:t>et al.,</w:t>
      </w:r>
      <w:r w:rsidR="00FD7C8E">
        <w:rPr>
          <w:rFonts w:ascii="Arial" w:hAnsi="Arial" w:cs="Arial"/>
          <w:sz w:val="22"/>
        </w:rPr>
        <w:t xml:space="preserve"> 2024)</w:t>
      </w:r>
      <w:r w:rsidRPr="004C6A07">
        <w:rPr>
          <w:rFonts w:ascii="Arial" w:hAnsi="Arial" w:cs="Arial"/>
          <w:sz w:val="22"/>
        </w:rPr>
        <w:t>.</w:t>
      </w:r>
    </w:p>
    <w:p w14:paraId="5074A073" w14:textId="47A232F8" w:rsidR="000E62D7" w:rsidRDefault="000E62D7" w:rsidP="004C6A07">
      <w:pPr>
        <w:spacing w:line="360" w:lineRule="auto"/>
        <w:ind w:firstLine="720"/>
        <w:jc w:val="both"/>
        <w:rPr>
          <w:rFonts w:ascii="Arial" w:hAnsi="Arial" w:cs="Arial"/>
          <w:sz w:val="22"/>
        </w:rPr>
      </w:pPr>
      <w:r w:rsidRPr="000E62D7">
        <w:rPr>
          <w:rFonts w:ascii="Arial" w:hAnsi="Arial" w:cs="Arial"/>
          <w:sz w:val="22"/>
        </w:rPr>
        <w:t xml:space="preserve">National policy direction has played a significant role in the digital transformation of primary care. The NHS Long Term Plan highlighted the necessity of giving patients easier access to services, such as the capacity to communicate with primary care via online channels. </w:t>
      </w:r>
      <w:r w:rsidRPr="000E62D7">
        <w:rPr>
          <w:rFonts w:ascii="Arial" w:hAnsi="Arial" w:cs="Arial"/>
          <w:sz w:val="22"/>
        </w:rPr>
        <w:t>These covers</w:t>
      </w:r>
      <w:r w:rsidRPr="000E62D7">
        <w:rPr>
          <w:rFonts w:ascii="Arial" w:hAnsi="Arial" w:cs="Arial"/>
          <w:sz w:val="22"/>
        </w:rPr>
        <w:t xml:space="preserve"> employing remote consultation techniques, retrieving medical information, and submitting requests online. This change was expedited by the COVID-19 pandemic, as practices quickly embraced remote and digital-first strategies to minimise in-person interactions and preserve service continuity. As a result, regular primary care delivery increasingly incorporates digital access channels including web-based evaluation systems and online assessment forms</w:t>
      </w:r>
      <w:r w:rsidR="00D24E91">
        <w:rPr>
          <w:rFonts w:ascii="Arial" w:hAnsi="Arial" w:cs="Arial"/>
          <w:sz w:val="22"/>
        </w:rPr>
        <w:t xml:space="preserve"> (</w:t>
      </w:r>
      <w:r w:rsidR="00634F5D">
        <w:rPr>
          <w:rFonts w:ascii="Arial" w:hAnsi="Arial" w:cs="Arial"/>
          <w:sz w:val="22"/>
        </w:rPr>
        <w:t>Majeed et al., 2020</w:t>
      </w:r>
      <w:r w:rsidR="00D24E91">
        <w:rPr>
          <w:rFonts w:ascii="Arial" w:hAnsi="Arial" w:cs="Arial"/>
          <w:sz w:val="22"/>
        </w:rPr>
        <w:t>)</w:t>
      </w:r>
      <w:r w:rsidRPr="000E62D7">
        <w:rPr>
          <w:rFonts w:ascii="Arial" w:hAnsi="Arial" w:cs="Arial"/>
          <w:sz w:val="22"/>
        </w:rPr>
        <w:t>.</w:t>
      </w:r>
    </w:p>
    <w:p w14:paraId="5B6ADC29" w14:textId="5C26EEFE" w:rsidR="00FC1FF6" w:rsidRDefault="00FC1FF6" w:rsidP="004C6A07">
      <w:pPr>
        <w:spacing w:line="360" w:lineRule="auto"/>
        <w:ind w:firstLine="720"/>
        <w:jc w:val="both"/>
        <w:rPr>
          <w:rFonts w:ascii="Arial" w:hAnsi="Arial" w:cs="Arial"/>
          <w:sz w:val="22"/>
        </w:rPr>
      </w:pPr>
      <w:r w:rsidRPr="00FC1FF6">
        <w:rPr>
          <w:rFonts w:ascii="Arial" w:hAnsi="Arial" w:cs="Arial"/>
          <w:sz w:val="22"/>
        </w:rPr>
        <w:t>In this context, "technologies" refers to a broad range of tools, such as telephone and web-based triage services like NHS 111 Online, online consultation systems used by general practices, and mobile health (mHealth) applications that facilitate communication, decision-making, and health monitoring. By enabling patients to seek assistance at any time and from any location, these technologies hope to increase access and possibly eliminate the need for in-person visits. Research indicates that using online access channels can double the total number of patient encounters with primary care providers, indicating better accessibility and responsiveness</w:t>
      </w:r>
      <w:r w:rsidR="00064953">
        <w:rPr>
          <w:rFonts w:ascii="Arial" w:hAnsi="Arial" w:cs="Arial"/>
          <w:sz w:val="22"/>
        </w:rPr>
        <w:t xml:space="preserve"> (Murphy </w:t>
      </w:r>
      <w:r w:rsidR="00064953" w:rsidRPr="00491EE1">
        <w:rPr>
          <w:rFonts w:ascii="Arial" w:hAnsi="Arial" w:cs="Arial"/>
          <w:i/>
          <w:iCs/>
          <w:sz w:val="22"/>
        </w:rPr>
        <w:t>et al</w:t>
      </w:r>
      <w:r w:rsidR="0055271C">
        <w:rPr>
          <w:rFonts w:ascii="Arial" w:hAnsi="Arial" w:cs="Arial"/>
          <w:sz w:val="22"/>
        </w:rPr>
        <w:t>., 2021</w:t>
      </w:r>
      <w:r w:rsidR="00064953">
        <w:rPr>
          <w:rFonts w:ascii="Arial" w:hAnsi="Arial" w:cs="Arial"/>
          <w:sz w:val="22"/>
        </w:rPr>
        <w:t>)</w:t>
      </w:r>
      <w:r w:rsidRPr="00FC1FF6">
        <w:rPr>
          <w:rFonts w:ascii="Arial" w:hAnsi="Arial" w:cs="Arial"/>
          <w:sz w:val="22"/>
        </w:rPr>
        <w:t>.</w:t>
      </w:r>
    </w:p>
    <w:p w14:paraId="6E2DAF50" w14:textId="387BFB11" w:rsidR="00362950" w:rsidRDefault="00A2671B" w:rsidP="004C6A07">
      <w:pPr>
        <w:spacing w:line="360" w:lineRule="auto"/>
        <w:ind w:firstLine="720"/>
        <w:jc w:val="both"/>
        <w:rPr>
          <w:rFonts w:ascii="Arial" w:hAnsi="Arial" w:cs="Arial"/>
          <w:sz w:val="22"/>
        </w:rPr>
      </w:pPr>
      <w:r>
        <w:rPr>
          <w:rFonts w:ascii="Arial" w:hAnsi="Arial" w:cs="Arial"/>
          <w:sz w:val="22"/>
        </w:rPr>
        <w:t xml:space="preserve">However </w:t>
      </w:r>
      <w:r w:rsidR="00E477D1">
        <w:rPr>
          <w:rFonts w:ascii="Arial" w:hAnsi="Arial" w:cs="Arial"/>
          <w:sz w:val="22"/>
        </w:rPr>
        <w:t>e</w:t>
      </w:r>
      <w:r w:rsidR="00362950" w:rsidRPr="00362950">
        <w:rPr>
          <w:rFonts w:ascii="Arial" w:hAnsi="Arial" w:cs="Arial"/>
          <w:sz w:val="22"/>
        </w:rPr>
        <w:t>lectronic devices and access,</w:t>
      </w:r>
      <w:r>
        <w:rPr>
          <w:rFonts w:ascii="Arial" w:hAnsi="Arial" w:cs="Arial"/>
          <w:sz w:val="22"/>
        </w:rPr>
        <w:t xml:space="preserve"> </w:t>
      </w:r>
      <w:r w:rsidR="00362950" w:rsidRPr="00362950">
        <w:rPr>
          <w:rFonts w:ascii="Arial" w:hAnsi="Arial" w:cs="Arial"/>
          <w:sz w:val="22"/>
        </w:rPr>
        <w:t xml:space="preserve">have a complicated connection. Digital tools can provide flexibility and convenience, but they can also create new </w:t>
      </w:r>
      <w:r w:rsidR="00534024" w:rsidRPr="00362950">
        <w:rPr>
          <w:rFonts w:ascii="Arial" w:hAnsi="Arial" w:cs="Arial"/>
          <w:sz w:val="22"/>
        </w:rPr>
        <w:t>obstacles</w:t>
      </w:r>
      <w:r w:rsidR="00534024">
        <w:rPr>
          <w:rFonts w:ascii="Arial" w:hAnsi="Arial" w:cs="Arial"/>
          <w:sz w:val="22"/>
        </w:rPr>
        <w:t xml:space="preserve">, </w:t>
      </w:r>
      <w:r w:rsidR="00534024" w:rsidRPr="00362950">
        <w:rPr>
          <w:rFonts w:ascii="Arial" w:hAnsi="Arial" w:cs="Arial"/>
          <w:sz w:val="22"/>
        </w:rPr>
        <w:t>digital</w:t>
      </w:r>
      <w:r w:rsidR="00362950" w:rsidRPr="00362950">
        <w:rPr>
          <w:rFonts w:ascii="Arial" w:hAnsi="Arial" w:cs="Arial"/>
          <w:sz w:val="22"/>
        </w:rPr>
        <w:t xml:space="preserve"> exclusion, or the incapacity of some people to access or use digital technology efficiently, is one major problem. Many people in the UK do not have access to the internet or the requisite technical skills, which might make it difficult for them to use digital health services. These difficulties are particularly common among some populations, such as older adults, those </w:t>
      </w:r>
      <w:r w:rsidR="00534024" w:rsidRPr="00362950">
        <w:rPr>
          <w:rFonts w:ascii="Arial" w:hAnsi="Arial" w:cs="Arial"/>
          <w:sz w:val="22"/>
        </w:rPr>
        <w:t xml:space="preserve">from </w:t>
      </w:r>
      <w:r w:rsidR="00534024">
        <w:rPr>
          <w:rFonts w:ascii="Arial" w:hAnsi="Arial" w:cs="Arial"/>
          <w:sz w:val="22"/>
        </w:rPr>
        <w:lastRenderedPageBreak/>
        <w:t>poorer</w:t>
      </w:r>
      <w:r w:rsidR="00362950" w:rsidRPr="00362950">
        <w:rPr>
          <w:rFonts w:ascii="Arial" w:hAnsi="Arial" w:cs="Arial"/>
          <w:sz w:val="22"/>
        </w:rPr>
        <w:t xml:space="preserve"> socioeconomic origins, and people with long-term medical concerns</w:t>
      </w:r>
      <w:r w:rsidR="00EB66B2">
        <w:rPr>
          <w:rFonts w:ascii="Arial" w:hAnsi="Arial" w:cs="Arial"/>
          <w:sz w:val="22"/>
        </w:rPr>
        <w:t xml:space="preserve"> (</w:t>
      </w:r>
      <w:r w:rsidR="0053679E">
        <w:rPr>
          <w:rFonts w:ascii="Arial" w:hAnsi="Arial" w:cs="Arial"/>
          <w:sz w:val="22"/>
        </w:rPr>
        <w:t>The Health Foundation, 2024</w:t>
      </w:r>
      <w:r w:rsidR="00EB66B2">
        <w:rPr>
          <w:rFonts w:ascii="Arial" w:hAnsi="Arial" w:cs="Arial"/>
          <w:sz w:val="22"/>
        </w:rPr>
        <w:t>)</w:t>
      </w:r>
      <w:r w:rsidR="00362950" w:rsidRPr="00362950">
        <w:rPr>
          <w:rFonts w:ascii="Arial" w:hAnsi="Arial" w:cs="Arial"/>
          <w:sz w:val="22"/>
        </w:rPr>
        <w:t>.</w:t>
      </w:r>
    </w:p>
    <w:p w14:paraId="3F550B7A" w14:textId="53F91A55" w:rsidR="00852986" w:rsidRDefault="00A56465" w:rsidP="004C6A07">
      <w:pPr>
        <w:spacing w:line="360" w:lineRule="auto"/>
        <w:ind w:firstLine="720"/>
        <w:jc w:val="both"/>
        <w:rPr>
          <w:rFonts w:ascii="Arial" w:hAnsi="Arial" w:cs="Arial"/>
          <w:sz w:val="22"/>
        </w:rPr>
      </w:pPr>
      <w:r w:rsidRPr="00A56465">
        <w:rPr>
          <w:rFonts w:ascii="Arial" w:hAnsi="Arial" w:cs="Arial"/>
          <w:sz w:val="22"/>
        </w:rPr>
        <w:t xml:space="preserve">The idea of eHealth literacy is critical to comprehending this issue; it relates to a person's capacity to seek, comprehend, and use digital health information and services. According to research, people who have a greater degree of eHealth literacy are far more likely to use digital health services like NHS 111 Online. Conversely, persons with lesser levels of literacy may be unable to benefit from new technology, thus exacerbating existing health disparities. </w:t>
      </w:r>
      <w:r w:rsidRPr="00A56465">
        <w:rPr>
          <w:rFonts w:ascii="Arial" w:hAnsi="Arial" w:cs="Arial"/>
          <w:sz w:val="22"/>
        </w:rPr>
        <w:t>This raise</w:t>
      </w:r>
      <w:r w:rsidRPr="00A56465">
        <w:rPr>
          <w:rFonts w:ascii="Arial" w:hAnsi="Arial" w:cs="Arial"/>
          <w:sz w:val="22"/>
        </w:rPr>
        <w:t xml:space="preserve"> worries that digital-first approaches to care may disproportionately favour affluent populations</w:t>
      </w:r>
      <w:r w:rsidR="00A82A75">
        <w:rPr>
          <w:rFonts w:ascii="Arial" w:hAnsi="Arial" w:cs="Arial"/>
          <w:sz w:val="22"/>
        </w:rPr>
        <w:t xml:space="preserve"> (Turnbull </w:t>
      </w:r>
      <w:r w:rsidR="00A82A75" w:rsidRPr="00A82A75">
        <w:rPr>
          <w:rFonts w:ascii="Arial" w:hAnsi="Arial" w:cs="Arial"/>
          <w:i/>
          <w:iCs/>
          <w:sz w:val="22"/>
        </w:rPr>
        <w:t>et al.,</w:t>
      </w:r>
      <w:r w:rsidR="00A82A75">
        <w:rPr>
          <w:rFonts w:ascii="Arial" w:hAnsi="Arial" w:cs="Arial"/>
          <w:sz w:val="22"/>
        </w:rPr>
        <w:t xml:space="preserve"> 2024)</w:t>
      </w:r>
      <w:r w:rsidRPr="00A56465">
        <w:rPr>
          <w:rFonts w:ascii="Arial" w:hAnsi="Arial" w:cs="Arial"/>
          <w:sz w:val="22"/>
        </w:rPr>
        <w:t>.</w:t>
      </w:r>
      <w:r w:rsidR="00A82A75">
        <w:rPr>
          <w:rFonts w:ascii="Arial" w:hAnsi="Arial" w:cs="Arial"/>
          <w:sz w:val="22"/>
        </w:rPr>
        <w:t xml:space="preserve"> </w:t>
      </w:r>
    </w:p>
    <w:p w14:paraId="0BAF4CB6" w14:textId="018D5320" w:rsidR="009557EC" w:rsidRDefault="009557EC" w:rsidP="004C6A07">
      <w:pPr>
        <w:spacing w:line="360" w:lineRule="auto"/>
        <w:ind w:firstLine="720"/>
        <w:jc w:val="both"/>
        <w:rPr>
          <w:rFonts w:ascii="Arial" w:hAnsi="Arial" w:cs="Arial"/>
          <w:sz w:val="22"/>
        </w:rPr>
      </w:pPr>
      <w:r w:rsidRPr="009557EC">
        <w:rPr>
          <w:rFonts w:ascii="Arial" w:hAnsi="Arial" w:cs="Arial"/>
          <w:sz w:val="22"/>
        </w:rPr>
        <w:t>In addition to patient-related considerations, the introduction of digital healthcare technology poses obstacles for healthcare practitioners. According to research, encouraging patients to use online services frequently necessitates more time, resources, and staff participation. For example, receptionists typically play an important role in assisting patients with navigating digital systems, but this assistance is often informal and not systematically integrated into office operations. This emphasises the necessity of digital facilitation, which refers to the procedures and support systems that allow patients to efficiently use digital services</w:t>
      </w:r>
      <w:r w:rsidR="00922ED9">
        <w:rPr>
          <w:rFonts w:ascii="Arial" w:hAnsi="Arial" w:cs="Arial"/>
          <w:sz w:val="22"/>
        </w:rPr>
        <w:t xml:space="preserve"> (</w:t>
      </w:r>
      <w:r w:rsidR="004508FA">
        <w:rPr>
          <w:rFonts w:ascii="Arial" w:hAnsi="Arial" w:cs="Arial"/>
          <w:sz w:val="22"/>
        </w:rPr>
        <w:t>V</w:t>
      </w:r>
      <w:r w:rsidR="002E0363">
        <w:rPr>
          <w:rFonts w:ascii="Arial" w:hAnsi="Arial" w:cs="Arial"/>
          <w:sz w:val="22"/>
        </w:rPr>
        <w:t xml:space="preserve">oorhees </w:t>
      </w:r>
      <w:r w:rsidR="00852630" w:rsidRPr="00E230B0">
        <w:rPr>
          <w:rFonts w:ascii="Arial" w:hAnsi="Arial" w:cs="Arial"/>
          <w:i/>
          <w:iCs/>
          <w:sz w:val="22"/>
        </w:rPr>
        <w:t>et al.</w:t>
      </w:r>
      <w:r w:rsidR="00E230B0" w:rsidRPr="00E230B0">
        <w:rPr>
          <w:rFonts w:ascii="Arial" w:hAnsi="Arial" w:cs="Arial"/>
          <w:i/>
          <w:iCs/>
          <w:sz w:val="22"/>
        </w:rPr>
        <w:t>,</w:t>
      </w:r>
      <w:r w:rsidR="00E230B0">
        <w:rPr>
          <w:rFonts w:ascii="Arial" w:hAnsi="Arial" w:cs="Arial"/>
          <w:sz w:val="22"/>
        </w:rPr>
        <w:t xml:space="preserve"> 2022</w:t>
      </w:r>
      <w:r w:rsidR="00922ED9">
        <w:rPr>
          <w:rFonts w:ascii="Arial" w:hAnsi="Arial" w:cs="Arial"/>
          <w:sz w:val="22"/>
        </w:rPr>
        <w:t>)</w:t>
      </w:r>
      <w:r w:rsidRPr="009557EC">
        <w:rPr>
          <w:rFonts w:ascii="Arial" w:hAnsi="Arial" w:cs="Arial"/>
          <w:sz w:val="22"/>
        </w:rPr>
        <w:t>.</w:t>
      </w:r>
      <w:r w:rsidR="003B2CAA">
        <w:rPr>
          <w:rFonts w:ascii="Arial" w:hAnsi="Arial" w:cs="Arial"/>
          <w:sz w:val="22"/>
        </w:rPr>
        <w:t xml:space="preserve"> </w:t>
      </w:r>
    </w:p>
    <w:p w14:paraId="0301ED73" w14:textId="4222EFE5" w:rsidR="003B2CAA" w:rsidRDefault="003B2CAA" w:rsidP="004C6A07">
      <w:pPr>
        <w:spacing w:line="360" w:lineRule="auto"/>
        <w:ind w:firstLine="720"/>
        <w:jc w:val="both"/>
        <w:rPr>
          <w:rFonts w:ascii="Arial" w:hAnsi="Arial" w:cs="Arial"/>
          <w:sz w:val="22"/>
        </w:rPr>
      </w:pPr>
      <w:r w:rsidRPr="003B2CAA">
        <w:rPr>
          <w:rFonts w:ascii="Arial" w:hAnsi="Arial" w:cs="Arial"/>
          <w:sz w:val="22"/>
        </w:rPr>
        <w:t>Another significant concern is whether digital technology can mimic or replace conventional basic medical services functions. Portable health programs, for example, may do a variety of duties normally performed by general practitioners, such as symptom evaluation, health monitoring, and decision assistance. However, they are restricted in their capacity to provide sophisticated care, conduct physical examinations, or organise diverse therapy. This shows that digital technology should be considered as complimentary tools rather than alternatives for professional care</w:t>
      </w:r>
      <w:r w:rsidR="00DB5252">
        <w:rPr>
          <w:rFonts w:ascii="Arial" w:hAnsi="Arial" w:cs="Arial"/>
          <w:sz w:val="22"/>
        </w:rPr>
        <w:t xml:space="preserve"> (</w:t>
      </w:r>
      <w:r w:rsidR="00F26B74">
        <w:rPr>
          <w:rFonts w:ascii="Arial" w:hAnsi="Arial" w:cs="Arial"/>
          <w:sz w:val="22"/>
        </w:rPr>
        <w:t>Greenhalgh et al., 2020</w:t>
      </w:r>
      <w:r w:rsidR="00DB5252">
        <w:rPr>
          <w:rFonts w:ascii="Arial" w:hAnsi="Arial" w:cs="Arial"/>
          <w:sz w:val="22"/>
        </w:rPr>
        <w:t>)</w:t>
      </w:r>
      <w:r w:rsidRPr="003B2CAA">
        <w:rPr>
          <w:rFonts w:ascii="Arial" w:hAnsi="Arial" w:cs="Arial"/>
          <w:sz w:val="22"/>
        </w:rPr>
        <w:t>.</w:t>
      </w:r>
    </w:p>
    <w:p w14:paraId="18586335" w14:textId="7A07E095" w:rsidR="00156496" w:rsidRDefault="00257A98" w:rsidP="004C6A07">
      <w:pPr>
        <w:spacing w:line="360" w:lineRule="auto"/>
        <w:ind w:firstLine="720"/>
        <w:jc w:val="both"/>
        <w:rPr>
          <w:rFonts w:ascii="Arial" w:hAnsi="Arial" w:cs="Arial"/>
          <w:sz w:val="22"/>
        </w:rPr>
      </w:pPr>
      <w:r w:rsidRPr="00257A98">
        <w:rPr>
          <w:rFonts w:ascii="Arial" w:hAnsi="Arial" w:cs="Arial"/>
          <w:sz w:val="22"/>
        </w:rPr>
        <w:t xml:space="preserve">Finally, there is continuous discussion over how digital technologies affect equality and efficiency in the healthcare system. Some data suggests that introducing e-access methods can enhance overall service utilisation while not significantly exacerbating inequality across various population segments. Other study, however, shows that gaps in usage exist and are connected to digital literacy and socioeconomic position. </w:t>
      </w:r>
      <w:r w:rsidR="004640DC" w:rsidRPr="00257A98">
        <w:rPr>
          <w:rFonts w:ascii="Arial" w:hAnsi="Arial" w:cs="Arial"/>
          <w:sz w:val="22"/>
        </w:rPr>
        <w:t>This conflicting finding</w:t>
      </w:r>
      <w:r w:rsidRPr="00257A98">
        <w:rPr>
          <w:rFonts w:ascii="Arial" w:hAnsi="Arial" w:cs="Arial"/>
          <w:sz w:val="22"/>
        </w:rPr>
        <w:t xml:space="preserve"> highlights the need for more research into how digital health initiatives benefit various patient populations</w:t>
      </w:r>
      <w:r w:rsidR="001E4021">
        <w:rPr>
          <w:rFonts w:ascii="Arial" w:hAnsi="Arial" w:cs="Arial"/>
          <w:sz w:val="22"/>
        </w:rPr>
        <w:t xml:space="preserve"> (Warwick-G</w:t>
      </w:r>
      <w:r w:rsidR="004640DC">
        <w:rPr>
          <w:rFonts w:ascii="Arial" w:hAnsi="Arial" w:cs="Arial"/>
          <w:sz w:val="22"/>
        </w:rPr>
        <w:t>iles et al., 2024</w:t>
      </w:r>
      <w:r w:rsidR="001E4021">
        <w:rPr>
          <w:rFonts w:ascii="Arial" w:hAnsi="Arial" w:cs="Arial"/>
          <w:sz w:val="22"/>
        </w:rPr>
        <w:t>)</w:t>
      </w:r>
      <w:r w:rsidRPr="00257A98">
        <w:rPr>
          <w:rFonts w:ascii="Arial" w:hAnsi="Arial" w:cs="Arial"/>
          <w:sz w:val="22"/>
        </w:rPr>
        <w:t>.</w:t>
      </w:r>
    </w:p>
    <w:p w14:paraId="50555B78" w14:textId="39D2F55C" w:rsidR="00A465B7" w:rsidRDefault="00A465B7" w:rsidP="004C6A07">
      <w:pPr>
        <w:spacing w:line="360" w:lineRule="auto"/>
        <w:ind w:firstLine="720"/>
        <w:jc w:val="both"/>
        <w:rPr>
          <w:rFonts w:ascii="Arial" w:hAnsi="Arial" w:cs="Arial"/>
          <w:sz w:val="22"/>
        </w:rPr>
      </w:pPr>
      <w:r w:rsidRPr="00A465B7">
        <w:rPr>
          <w:rFonts w:ascii="Arial" w:hAnsi="Arial" w:cs="Arial"/>
          <w:sz w:val="22"/>
        </w:rPr>
        <w:t xml:space="preserve">To summarise, digital healthcare technology </w:t>
      </w:r>
      <w:r w:rsidRPr="00A465B7">
        <w:rPr>
          <w:rFonts w:ascii="Arial" w:hAnsi="Arial" w:cs="Arial"/>
          <w:sz w:val="22"/>
        </w:rPr>
        <w:t>is</w:t>
      </w:r>
      <w:r w:rsidRPr="00A465B7">
        <w:rPr>
          <w:rFonts w:ascii="Arial" w:hAnsi="Arial" w:cs="Arial"/>
          <w:sz w:val="22"/>
        </w:rPr>
        <w:t xml:space="preserve"> now an integral part of primary care delivery in the United Kingdom, aided by national policy and hastened by recent public health issues. While they have the potential to increase access by enhancing convenience and flexibility, their performance is determined by a variety of criteria such as digital literacy, </w:t>
      </w:r>
      <w:r w:rsidRPr="00A465B7">
        <w:rPr>
          <w:rFonts w:ascii="Arial" w:hAnsi="Arial" w:cs="Arial"/>
          <w:sz w:val="22"/>
        </w:rPr>
        <w:lastRenderedPageBreak/>
        <w:t>service design, and patient support. Knowing these contextual concerns is critical when analysing research on digital health and access, and it serves as the basis for the scoping study given in this study.</w:t>
      </w:r>
    </w:p>
    <w:p w14:paraId="4A867A5D" w14:textId="77777777" w:rsidR="004C6A07" w:rsidRDefault="004C6A07" w:rsidP="004C6A07">
      <w:pPr>
        <w:spacing w:line="360" w:lineRule="auto"/>
        <w:ind w:firstLine="720"/>
        <w:jc w:val="both"/>
        <w:rPr>
          <w:rFonts w:ascii="Arial" w:hAnsi="Arial" w:cs="Arial"/>
          <w:sz w:val="22"/>
        </w:rPr>
      </w:pPr>
    </w:p>
    <w:p w14:paraId="0537CEF5" w14:textId="77777777" w:rsidR="003E4ECF" w:rsidRPr="009A688A" w:rsidRDefault="003E4ECF" w:rsidP="00CD33A8">
      <w:pPr>
        <w:tabs>
          <w:tab w:val="left" w:pos="6540"/>
        </w:tabs>
        <w:spacing w:line="360" w:lineRule="auto"/>
        <w:rPr>
          <w:rFonts w:ascii="Arial" w:hAnsi="Arial" w:cs="Arial"/>
          <w:sz w:val="22"/>
        </w:rPr>
      </w:pPr>
    </w:p>
    <w:p w14:paraId="60B2CDC3" w14:textId="16F964EF" w:rsidR="00B87E75" w:rsidRPr="00A5649C" w:rsidRDefault="0026393A" w:rsidP="004119B0">
      <w:pPr>
        <w:pStyle w:val="Heading1"/>
      </w:pPr>
      <w:r w:rsidRPr="00A5649C">
        <w:t>3</w:t>
      </w:r>
      <w:r w:rsidR="00B87E75" w:rsidRPr="00A5649C">
        <w:t>. Method</w:t>
      </w:r>
      <w:r w:rsidR="003E4ECF" w:rsidRPr="00A5649C">
        <w:t>s</w:t>
      </w:r>
    </w:p>
    <w:p w14:paraId="78B20963" w14:textId="77777777" w:rsidR="00C35BC2" w:rsidRDefault="00C35BC2" w:rsidP="00C35BC2">
      <w:pPr>
        <w:spacing w:line="360" w:lineRule="auto"/>
        <w:ind w:firstLine="720"/>
        <w:jc w:val="both"/>
      </w:pPr>
    </w:p>
    <w:p w14:paraId="7EB1AB0E" w14:textId="7A6E68A9" w:rsidR="00AE4AD3" w:rsidRDefault="008518C3" w:rsidP="00C35BC2">
      <w:pPr>
        <w:spacing w:line="360" w:lineRule="auto"/>
        <w:ind w:firstLine="720"/>
        <w:jc w:val="both"/>
        <w:rPr>
          <w:rFonts w:ascii="Arial" w:hAnsi="Arial" w:cs="Arial"/>
          <w:sz w:val="22"/>
        </w:rPr>
      </w:pPr>
      <w:r w:rsidRPr="008518C3">
        <w:rPr>
          <w:rFonts w:ascii="Arial" w:hAnsi="Arial" w:cs="Arial"/>
          <w:sz w:val="22"/>
        </w:rPr>
        <w:t xml:space="preserve">The following section contains the scoping review </w:t>
      </w:r>
      <w:r w:rsidR="00143682">
        <w:rPr>
          <w:rFonts w:ascii="Arial" w:hAnsi="Arial" w:cs="Arial"/>
          <w:sz w:val="22"/>
        </w:rPr>
        <w:t>methodology</w:t>
      </w:r>
      <w:r w:rsidRPr="008518C3">
        <w:rPr>
          <w:rFonts w:ascii="Arial" w:hAnsi="Arial" w:cs="Arial"/>
          <w:sz w:val="22"/>
        </w:rPr>
        <w:t>, which include a synopsis of the selected papers as well as a thematic analysis of their significant findings. Four peer-reviewed papers were considered, reflecting a variety of methodological techniques (qualitative, quantitative, survey-based, and secondary review) and digital healthcare technologies utilised or relevant in UK primary care.</w:t>
      </w:r>
    </w:p>
    <w:p w14:paraId="7C563644" w14:textId="77777777" w:rsidR="0093389B" w:rsidRDefault="0093389B" w:rsidP="008518C3">
      <w:pPr>
        <w:spacing w:line="360" w:lineRule="auto"/>
        <w:ind w:firstLine="720"/>
        <w:jc w:val="both"/>
        <w:rPr>
          <w:rFonts w:ascii="Arial" w:hAnsi="Arial" w:cs="Arial"/>
          <w:sz w:val="22"/>
        </w:rPr>
      </w:pPr>
    </w:p>
    <w:p w14:paraId="4E4ABA29" w14:textId="77777777" w:rsidR="001F290F" w:rsidRPr="00A5649C" w:rsidRDefault="00E43787" w:rsidP="0093389B">
      <w:pPr>
        <w:spacing w:line="360" w:lineRule="auto"/>
        <w:jc w:val="both"/>
        <w:rPr>
          <w:b/>
          <w:bCs/>
        </w:rPr>
      </w:pPr>
      <w:r w:rsidRPr="00A5649C">
        <w:rPr>
          <w:rFonts w:ascii="Arial" w:hAnsi="Arial" w:cs="Arial"/>
          <w:b/>
          <w:bCs/>
          <w:sz w:val="22"/>
        </w:rPr>
        <w:t>3.1 Search Strategy</w:t>
      </w:r>
      <w:r w:rsidR="001F290F" w:rsidRPr="00A5649C">
        <w:rPr>
          <w:b/>
          <w:bCs/>
        </w:rPr>
        <w:t xml:space="preserve"> </w:t>
      </w:r>
    </w:p>
    <w:p w14:paraId="4757001C" w14:textId="4B534F5C" w:rsidR="001F290F" w:rsidRPr="001F290F" w:rsidRDefault="001F290F" w:rsidP="00C35BC2">
      <w:pPr>
        <w:spacing w:line="360" w:lineRule="auto"/>
        <w:ind w:firstLine="720"/>
        <w:jc w:val="both"/>
        <w:rPr>
          <w:rFonts w:ascii="Arial" w:hAnsi="Arial" w:cs="Arial"/>
          <w:sz w:val="22"/>
        </w:rPr>
      </w:pPr>
      <w:r w:rsidRPr="001F290F">
        <w:rPr>
          <w:rFonts w:ascii="Arial" w:hAnsi="Arial" w:cs="Arial"/>
          <w:sz w:val="22"/>
        </w:rPr>
        <w:t xml:space="preserve">A systematic search technique was created to find relevant peer-reviewed literature. Electronic databases routinely utilised in health and social care research were chosen, including PubMed, EBSCOhost, </w:t>
      </w:r>
      <w:r w:rsidR="00F13D2A">
        <w:rPr>
          <w:rFonts w:ascii="Arial" w:hAnsi="Arial" w:cs="Arial"/>
          <w:sz w:val="22"/>
        </w:rPr>
        <w:t>Google Schol</w:t>
      </w:r>
      <w:r w:rsidR="005E0539">
        <w:rPr>
          <w:rFonts w:ascii="Arial" w:hAnsi="Arial" w:cs="Arial"/>
          <w:sz w:val="22"/>
        </w:rPr>
        <w:t>a, Articles, UWTSD e-Library</w:t>
      </w:r>
      <w:r w:rsidR="00F13D2A">
        <w:rPr>
          <w:rFonts w:ascii="Arial" w:hAnsi="Arial" w:cs="Arial"/>
          <w:sz w:val="22"/>
        </w:rPr>
        <w:t xml:space="preserve"> </w:t>
      </w:r>
      <w:r w:rsidRPr="001F290F">
        <w:rPr>
          <w:rFonts w:ascii="Arial" w:hAnsi="Arial" w:cs="Arial"/>
          <w:sz w:val="22"/>
        </w:rPr>
        <w:t xml:space="preserve">and SAGE Journals. These databases were chosen for their coverage of medical, </w:t>
      </w:r>
      <w:r w:rsidRPr="001F290F">
        <w:rPr>
          <w:rFonts w:ascii="Arial" w:hAnsi="Arial" w:cs="Arial"/>
          <w:sz w:val="22"/>
        </w:rPr>
        <w:t>healthcare</w:t>
      </w:r>
      <w:r w:rsidRPr="001F290F">
        <w:rPr>
          <w:rFonts w:ascii="Arial" w:hAnsi="Arial" w:cs="Arial"/>
          <w:sz w:val="22"/>
        </w:rPr>
        <w:t>, and digital health research.</w:t>
      </w:r>
    </w:p>
    <w:p w14:paraId="1470521C" w14:textId="6FAC1680" w:rsidR="00E43787" w:rsidRDefault="001F290F" w:rsidP="00C35BC2">
      <w:pPr>
        <w:spacing w:line="360" w:lineRule="auto"/>
        <w:ind w:firstLine="720"/>
        <w:jc w:val="both"/>
        <w:rPr>
          <w:rFonts w:ascii="Arial" w:hAnsi="Arial" w:cs="Arial"/>
          <w:sz w:val="22"/>
        </w:rPr>
      </w:pPr>
      <w:r w:rsidRPr="001F290F">
        <w:rPr>
          <w:rFonts w:ascii="Arial" w:hAnsi="Arial" w:cs="Arial"/>
          <w:sz w:val="22"/>
        </w:rPr>
        <w:t>Search phrases were created based on important topics from the study topic.   These included keyword combinations, such as</w:t>
      </w:r>
    </w:p>
    <w:p w14:paraId="7344ECA9" w14:textId="5E5C90E0" w:rsidR="005338B3" w:rsidRPr="00085177" w:rsidRDefault="005338B3" w:rsidP="005338B3">
      <w:pPr>
        <w:numPr>
          <w:ilvl w:val="0"/>
          <w:numId w:val="3"/>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w:t>
      </w:r>
      <w:r w:rsidRPr="00085177">
        <w:rPr>
          <w:rFonts w:ascii="Arial" w:eastAsia="Times New Roman" w:hAnsi="Arial" w:cs="Arial"/>
          <w:color w:val="000000"/>
          <w:sz w:val="22"/>
          <w:lang w:eastAsia="en-GB"/>
        </w:rPr>
        <w:t>Digital</w:t>
      </w:r>
      <w:r w:rsidRPr="00085177">
        <w:rPr>
          <w:rFonts w:ascii="Arial" w:eastAsia="Times New Roman" w:hAnsi="Arial" w:cs="Arial"/>
          <w:color w:val="000000"/>
          <w:sz w:val="22"/>
          <w:lang w:eastAsia="en-GB"/>
        </w:rPr>
        <w:t xml:space="preserve"> health” OR “eHealth” OR “mHealth”</w:t>
      </w:r>
    </w:p>
    <w:p w14:paraId="3638021C" w14:textId="3C6F178A" w:rsidR="005338B3" w:rsidRPr="00085177" w:rsidRDefault="005338B3" w:rsidP="005338B3">
      <w:pPr>
        <w:numPr>
          <w:ilvl w:val="0"/>
          <w:numId w:val="3"/>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w:t>
      </w:r>
      <w:r w:rsidRPr="00085177">
        <w:rPr>
          <w:rFonts w:ascii="Arial" w:eastAsia="Times New Roman" w:hAnsi="Arial" w:cs="Arial"/>
          <w:color w:val="000000"/>
          <w:sz w:val="22"/>
          <w:lang w:eastAsia="en-GB"/>
        </w:rPr>
        <w:t>Primary</w:t>
      </w:r>
      <w:r w:rsidRPr="00085177">
        <w:rPr>
          <w:rFonts w:ascii="Arial" w:eastAsia="Times New Roman" w:hAnsi="Arial" w:cs="Arial"/>
          <w:color w:val="000000"/>
          <w:sz w:val="22"/>
          <w:lang w:eastAsia="en-GB"/>
        </w:rPr>
        <w:t xml:space="preserve"> care” OR “general practice”</w:t>
      </w:r>
    </w:p>
    <w:p w14:paraId="1DB5C99C" w14:textId="77777777" w:rsidR="005338B3" w:rsidRPr="00085177" w:rsidRDefault="005338B3" w:rsidP="005338B3">
      <w:pPr>
        <w:numPr>
          <w:ilvl w:val="0"/>
          <w:numId w:val="3"/>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“access” OR “service access” OR “healthcare utilisation”</w:t>
      </w:r>
    </w:p>
    <w:p w14:paraId="62042C8D" w14:textId="77777777" w:rsidR="005338B3" w:rsidRDefault="005338B3" w:rsidP="005338B3">
      <w:pPr>
        <w:numPr>
          <w:ilvl w:val="0"/>
          <w:numId w:val="3"/>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“United Kingdom” OR “UK” OR “NHS”</w:t>
      </w:r>
    </w:p>
    <w:p w14:paraId="3E760AC7" w14:textId="5EAD1C0A" w:rsidR="005338B3" w:rsidRDefault="00F0058A" w:rsidP="00C35BC2">
      <w:pPr>
        <w:spacing w:before="100" w:beforeAutospacing="1" w:after="100" w:afterAutospacing="1" w:line="360" w:lineRule="auto"/>
        <w:ind w:firstLine="720"/>
        <w:jc w:val="both"/>
        <w:rPr>
          <w:rFonts w:ascii="Arial" w:eastAsia="Times New Roman" w:hAnsi="Arial" w:cs="Arial"/>
          <w:color w:val="000000"/>
          <w:sz w:val="22"/>
          <w:lang w:eastAsia="en-GB"/>
        </w:rPr>
      </w:pPr>
      <w:r w:rsidRPr="00F0058A">
        <w:rPr>
          <w:rFonts w:ascii="Arial" w:eastAsia="Times New Roman" w:hAnsi="Arial" w:cs="Arial"/>
          <w:color w:val="000000"/>
          <w:sz w:val="22"/>
          <w:lang w:eastAsia="en-GB"/>
        </w:rPr>
        <w:t>Boolean operators (AND/OR) were employed to fine-tune the search and assure accurate results. To guarantee relevance to current UK practice, searches were limited to English-language papers published within the previous 5-10 years.</w:t>
      </w:r>
    </w:p>
    <w:p w14:paraId="2304DE15" w14:textId="77777777" w:rsidR="00B744B9" w:rsidRDefault="00B744B9" w:rsidP="00217D3F">
      <w:pPr>
        <w:spacing w:before="100" w:beforeAutospacing="1" w:after="100" w:afterAutospacing="1" w:line="360" w:lineRule="auto"/>
        <w:ind w:firstLine="720"/>
        <w:jc w:val="both"/>
        <w:rPr>
          <w:rFonts w:ascii="Arial" w:eastAsia="Times New Roman" w:hAnsi="Arial" w:cs="Arial"/>
          <w:color w:val="000000"/>
          <w:sz w:val="22"/>
          <w:lang w:eastAsia="en-GB"/>
        </w:rPr>
      </w:pPr>
    </w:p>
    <w:p w14:paraId="7E56AC25" w14:textId="77777777" w:rsidR="0026354E" w:rsidRDefault="0026354E" w:rsidP="0026354E">
      <w:pPr>
        <w:spacing w:before="100" w:beforeAutospacing="1" w:after="100" w:afterAutospacing="1" w:line="360" w:lineRule="auto"/>
        <w:jc w:val="both"/>
        <w:rPr>
          <w:rFonts w:ascii="Arial" w:eastAsia="Times New Roman" w:hAnsi="Arial" w:cs="Arial"/>
          <w:color w:val="000000"/>
          <w:sz w:val="22"/>
          <w:lang w:eastAsia="en-GB"/>
        </w:rPr>
      </w:pPr>
    </w:p>
    <w:p w14:paraId="6B3F6A4A" w14:textId="61791CE7" w:rsidR="009C5302" w:rsidRPr="00A5649C" w:rsidRDefault="009C5302" w:rsidP="0026354E">
      <w:pPr>
        <w:spacing w:before="100" w:beforeAutospacing="1" w:after="100" w:afterAutospacing="1" w:line="360" w:lineRule="auto"/>
        <w:jc w:val="both"/>
        <w:rPr>
          <w:rFonts w:ascii="Arial" w:eastAsia="Times New Roman" w:hAnsi="Arial" w:cs="Arial"/>
          <w:b/>
          <w:bCs/>
          <w:color w:val="000000"/>
          <w:sz w:val="22"/>
          <w:lang w:eastAsia="en-GB"/>
        </w:rPr>
      </w:pPr>
      <w:r w:rsidRPr="00A5649C">
        <w:rPr>
          <w:rFonts w:ascii="Arial" w:eastAsia="Times New Roman" w:hAnsi="Arial" w:cs="Arial"/>
          <w:b/>
          <w:bCs/>
          <w:color w:val="000000"/>
          <w:sz w:val="22"/>
          <w:lang w:eastAsia="en-GB"/>
        </w:rPr>
        <w:lastRenderedPageBreak/>
        <w:t>3.2 Inclusion and Exclusion Criteria</w:t>
      </w:r>
    </w:p>
    <w:p w14:paraId="3FF6FDC4" w14:textId="2A5C2913" w:rsidR="009C5302" w:rsidRDefault="00B744B9" w:rsidP="00C35BC2">
      <w:pPr>
        <w:spacing w:before="100" w:beforeAutospacing="1" w:after="100" w:afterAutospacing="1" w:line="360" w:lineRule="auto"/>
        <w:ind w:firstLine="720"/>
        <w:jc w:val="both"/>
        <w:rPr>
          <w:rFonts w:ascii="Arial" w:eastAsia="Times New Roman" w:hAnsi="Arial" w:cs="Arial"/>
          <w:color w:val="000000"/>
          <w:sz w:val="22"/>
          <w:lang w:eastAsia="en-GB"/>
        </w:rPr>
      </w:pPr>
      <w:r w:rsidRPr="00B744B9">
        <w:rPr>
          <w:rFonts w:ascii="Arial" w:eastAsia="Times New Roman" w:hAnsi="Arial" w:cs="Arial"/>
          <w:color w:val="000000"/>
          <w:sz w:val="22"/>
          <w:lang w:eastAsia="en-GB"/>
        </w:rPr>
        <w:t>Clear inclusion and exclusion criteria were used to guarantee that the papers chosen were relevant to the study issue.</w:t>
      </w:r>
    </w:p>
    <w:p w14:paraId="49238450" w14:textId="5C88340A" w:rsidR="00711078" w:rsidRDefault="00711078" w:rsidP="003657BE">
      <w:pPr>
        <w:spacing w:before="100" w:beforeAutospacing="1" w:after="100" w:afterAutospacing="1" w:line="360" w:lineRule="auto"/>
        <w:jc w:val="both"/>
        <w:rPr>
          <w:rFonts w:ascii="Arial" w:eastAsia="Times New Roman" w:hAnsi="Arial" w:cs="Arial"/>
          <w:color w:val="000000"/>
          <w:sz w:val="22"/>
          <w:lang w:eastAsia="en-GB"/>
        </w:rPr>
      </w:pPr>
      <w:r>
        <w:rPr>
          <w:rFonts w:ascii="Arial" w:eastAsia="Times New Roman" w:hAnsi="Arial" w:cs="Arial"/>
          <w:color w:val="000000"/>
          <w:sz w:val="22"/>
          <w:lang w:eastAsia="en-GB"/>
        </w:rPr>
        <w:t>Inclusion Criteria:</w:t>
      </w:r>
    </w:p>
    <w:p w14:paraId="5128FF41" w14:textId="77777777" w:rsidR="009C01D5" w:rsidRPr="00085177" w:rsidRDefault="009C01D5" w:rsidP="009C01D5">
      <w:pPr>
        <w:numPr>
          <w:ilvl w:val="0"/>
          <w:numId w:val="4"/>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Peer-reviewed academic journal articles</w:t>
      </w:r>
    </w:p>
    <w:p w14:paraId="2CD54B03" w14:textId="77777777" w:rsidR="009C01D5" w:rsidRPr="00085177" w:rsidRDefault="009C01D5" w:rsidP="009C01D5">
      <w:pPr>
        <w:numPr>
          <w:ilvl w:val="0"/>
          <w:numId w:val="4"/>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Studies focused on digital healthcare technologies</w:t>
      </w:r>
    </w:p>
    <w:p w14:paraId="0DAB893C" w14:textId="77777777" w:rsidR="009C01D5" w:rsidRPr="00085177" w:rsidRDefault="009C01D5" w:rsidP="009C01D5">
      <w:pPr>
        <w:numPr>
          <w:ilvl w:val="0"/>
          <w:numId w:val="4"/>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Research related to primary care or general practice</w:t>
      </w:r>
    </w:p>
    <w:p w14:paraId="08BC7FCB" w14:textId="77777777" w:rsidR="009C01D5" w:rsidRPr="00085177" w:rsidRDefault="009C01D5" w:rsidP="009C01D5">
      <w:pPr>
        <w:numPr>
          <w:ilvl w:val="0"/>
          <w:numId w:val="4"/>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Studies relevant to UK healthcare practice (either UK-based or clearly applicable)</w:t>
      </w:r>
    </w:p>
    <w:p w14:paraId="427F3CAD" w14:textId="77777777" w:rsidR="009C01D5" w:rsidRPr="00085177" w:rsidRDefault="009C01D5" w:rsidP="009C01D5">
      <w:pPr>
        <w:numPr>
          <w:ilvl w:val="0"/>
          <w:numId w:val="4"/>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Primary or secondary research studies</w:t>
      </w:r>
    </w:p>
    <w:p w14:paraId="13BA674B" w14:textId="28EAA823" w:rsidR="00711078" w:rsidRDefault="009C01D5" w:rsidP="003657BE">
      <w:pPr>
        <w:spacing w:before="100" w:beforeAutospacing="1" w:after="100" w:afterAutospacing="1" w:line="360" w:lineRule="auto"/>
        <w:jc w:val="both"/>
        <w:rPr>
          <w:rFonts w:ascii="Arial" w:eastAsia="Times New Roman" w:hAnsi="Arial" w:cs="Arial"/>
          <w:color w:val="000000"/>
          <w:sz w:val="22"/>
          <w:lang w:eastAsia="en-GB"/>
        </w:rPr>
      </w:pPr>
      <w:r>
        <w:rPr>
          <w:rFonts w:ascii="Arial" w:eastAsia="Times New Roman" w:hAnsi="Arial" w:cs="Arial"/>
          <w:color w:val="000000"/>
          <w:sz w:val="22"/>
          <w:lang w:eastAsia="en-GB"/>
        </w:rPr>
        <w:t>Exclusion Criteria:</w:t>
      </w:r>
    </w:p>
    <w:p w14:paraId="109D01EF" w14:textId="77777777" w:rsidR="008C611F" w:rsidRPr="00085177" w:rsidRDefault="008C611F" w:rsidP="008C611F">
      <w:pPr>
        <w:numPr>
          <w:ilvl w:val="0"/>
          <w:numId w:val="5"/>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Policy documents, reports, editorials, or commentary papers</w:t>
      </w:r>
    </w:p>
    <w:p w14:paraId="725FDDB3" w14:textId="77777777" w:rsidR="008C611F" w:rsidRPr="00085177" w:rsidRDefault="008C611F" w:rsidP="008C611F">
      <w:pPr>
        <w:numPr>
          <w:ilvl w:val="0"/>
          <w:numId w:val="5"/>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Conference abstracts or non-peer-reviewed sources</w:t>
      </w:r>
    </w:p>
    <w:p w14:paraId="62C91EDA" w14:textId="77777777" w:rsidR="008C611F" w:rsidRPr="00085177" w:rsidRDefault="008C611F" w:rsidP="008C611F">
      <w:pPr>
        <w:numPr>
          <w:ilvl w:val="0"/>
          <w:numId w:val="5"/>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Studies not related to access to care</w:t>
      </w:r>
    </w:p>
    <w:p w14:paraId="58B17094" w14:textId="77777777" w:rsidR="008C611F" w:rsidRPr="00085177" w:rsidRDefault="008C611F" w:rsidP="008C611F">
      <w:pPr>
        <w:numPr>
          <w:ilvl w:val="0"/>
          <w:numId w:val="5"/>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Studies focused exclusively on secondary or specialist care</w:t>
      </w:r>
    </w:p>
    <w:p w14:paraId="53B659D9" w14:textId="696CB842" w:rsidR="009C01D5" w:rsidRDefault="008374E4" w:rsidP="00C35BC2">
      <w:pPr>
        <w:spacing w:before="100" w:beforeAutospacing="1" w:after="100" w:afterAutospacing="1" w:line="360" w:lineRule="auto"/>
        <w:ind w:firstLine="720"/>
        <w:jc w:val="both"/>
        <w:rPr>
          <w:rFonts w:ascii="Arial" w:eastAsia="Times New Roman" w:hAnsi="Arial" w:cs="Arial"/>
          <w:color w:val="000000"/>
          <w:sz w:val="22"/>
          <w:lang w:eastAsia="en-GB"/>
        </w:rPr>
      </w:pPr>
      <w:r w:rsidRPr="008374E4">
        <w:rPr>
          <w:rFonts w:ascii="Arial" w:eastAsia="Times New Roman" w:hAnsi="Arial" w:cs="Arial"/>
          <w:color w:val="000000"/>
          <w:sz w:val="22"/>
          <w:lang w:eastAsia="en-GB"/>
        </w:rPr>
        <w:t>This method guaranteed that only high-quality, relevant academic evidence was considered for the review.</w:t>
      </w:r>
    </w:p>
    <w:p w14:paraId="354DADF3" w14:textId="77777777" w:rsidR="0026354E" w:rsidRDefault="0026354E" w:rsidP="0026354E">
      <w:pPr>
        <w:spacing w:before="100" w:beforeAutospacing="1" w:after="100" w:afterAutospacing="1" w:line="360" w:lineRule="auto"/>
        <w:jc w:val="both"/>
        <w:rPr>
          <w:rFonts w:ascii="Arial" w:eastAsia="Times New Roman" w:hAnsi="Arial" w:cs="Arial"/>
          <w:color w:val="000000"/>
          <w:sz w:val="22"/>
          <w:lang w:eastAsia="en-GB"/>
        </w:rPr>
      </w:pPr>
    </w:p>
    <w:p w14:paraId="25D95747" w14:textId="5E170CAA" w:rsidR="008374E4" w:rsidRPr="00A5649C" w:rsidRDefault="002960EE" w:rsidP="0026354E">
      <w:pPr>
        <w:spacing w:before="100" w:beforeAutospacing="1" w:after="100" w:afterAutospacing="1" w:line="360" w:lineRule="auto"/>
        <w:jc w:val="both"/>
        <w:rPr>
          <w:rFonts w:ascii="Arial" w:eastAsia="Times New Roman" w:hAnsi="Arial" w:cs="Arial"/>
          <w:b/>
          <w:bCs/>
          <w:color w:val="000000"/>
          <w:sz w:val="22"/>
          <w:lang w:eastAsia="en-GB"/>
        </w:rPr>
      </w:pPr>
      <w:r w:rsidRPr="00A5649C">
        <w:rPr>
          <w:rFonts w:ascii="Arial" w:eastAsia="Times New Roman" w:hAnsi="Arial" w:cs="Arial"/>
          <w:b/>
          <w:bCs/>
          <w:color w:val="000000"/>
          <w:sz w:val="22"/>
          <w:lang w:eastAsia="en-GB"/>
        </w:rPr>
        <w:t>3.3 Study Selection</w:t>
      </w:r>
    </w:p>
    <w:p w14:paraId="6712A936" w14:textId="1EDACED3" w:rsidR="00D46FCB" w:rsidRDefault="00D46FCB" w:rsidP="00D46FCB">
      <w:p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Resulting</w:t>
      </w:r>
      <w:r w:rsidRPr="00085177">
        <w:rPr>
          <w:rFonts w:ascii="Arial" w:eastAsia="Times New Roman" w:hAnsi="Arial" w:cs="Arial"/>
          <w:color w:val="000000"/>
          <w:sz w:val="22"/>
          <w:lang w:eastAsia="en-GB"/>
        </w:rPr>
        <w:t xml:space="preserve"> the database search, articles were screened in two stages:</w:t>
      </w:r>
    </w:p>
    <w:p w14:paraId="0B4B2E23" w14:textId="77777777" w:rsidR="008C5579" w:rsidRPr="00085177" w:rsidRDefault="008C5579" w:rsidP="008C5579">
      <w:pPr>
        <w:numPr>
          <w:ilvl w:val="0"/>
          <w:numId w:val="6"/>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b/>
          <w:bCs/>
          <w:color w:val="000000"/>
          <w:sz w:val="22"/>
          <w:lang w:eastAsia="en-GB"/>
        </w:rPr>
        <w:t>Title and abstract screening</w:t>
      </w:r>
      <w:r w:rsidRPr="00085177">
        <w:rPr>
          <w:rFonts w:ascii="Arial" w:eastAsia="Times New Roman" w:hAnsi="Arial" w:cs="Arial"/>
          <w:color w:val="000000"/>
          <w:sz w:val="22"/>
          <w:lang w:eastAsia="en-GB"/>
        </w:rPr>
        <w:t> to remove clearly irrelevant studies</w:t>
      </w:r>
    </w:p>
    <w:p w14:paraId="5E35995A" w14:textId="77777777" w:rsidR="008C5579" w:rsidRDefault="008C5579" w:rsidP="008C5579">
      <w:pPr>
        <w:numPr>
          <w:ilvl w:val="0"/>
          <w:numId w:val="6"/>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b/>
          <w:bCs/>
          <w:color w:val="000000"/>
          <w:sz w:val="22"/>
          <w:lang w:eastAsia="en-GB"/>
        </w:rPr>
        <w:t>Full-text review</w:t>
      </w:r>
      <w:r w:rsidRPr="00085177">
        <w:rPr>
          <w:rFonts w:ascii="Arial" w:eastAsia="Times New Roman" w:hAnsi="Arial" w:cs="Arial"/>
          <w:color w:val="000000"/>
          <w:sz w:val="22"/>
          <w:lang w:eastAsia="en-GB"/>
        </w:rPr>
        <w:t> to assess eligibility against the inclusion criteria</w:t>
      </w:r>
    </w:p>
    <w:p w14:paraId="6FE1DBD9" w14:textId="7F36AC89" w:rsidR="00527351" w:rsidRPr="00085177" w:rsidRDefault="00205834" w:rsidP="00C35BC2">
      <w:pPr>
        <w:spacing w:before="100" w:beforeAutospacing="1" w:after="100" w:afterAutospacing="1" w:line="360" w:lineRule="auto"/>
        <w:ind w:firstLine="720"/>
        <w:jc w:val="both"/>
        <w:rPr>
          <w:rFonts w:ascii="Arial" w:eastAsia="Times New Roman" w:hAnsi="Arial" w:cs="Arial"/>
          <w:color w:val="000000"/>
          <w:sz w:val="22"/>
          <w:lang w:eastAsia="en-GB"/>
        </w:rPr>
      </w:pPr>
      <w:r w:rsidRPr="00205834">
        <w:rPr>
          <w:rFonts w:ascii="Arial" w:eastAsia="Times New Roman" w:hAnsi="Arial" w:cs="Arial"/>
          <w:color w:val="000000"/>
          <w:sz w:val="22"/>
          <w:lang w:eastAsia="en-GB"/>
        </w:rPr>
        <w:t>The final scoping review included four studies. These studies were chosen because they addressed digital healthcare technology in connection to primary care and used a variety of methodological techniques, such as qualitative, quantitative, and survey-based research.</w:t>
      </w:r>
    </w:p>
    <w:p w14:paraId="5A950509" w14:textId="77777777" w:rsidR="00D46FCB" w:rsidRPr="00085177" w:rsidRDefault="00D46FCB" w:rsidP="0026354E">
      <w:pPr>
        <w:spacing w:before="100" w:beforeAutospacing="1" w:after="100" w:afterAutospacing="1" w:line="360" w:lineRule="auto"/>
        <w:jc w:val="both"/>
        <w:rPr>
          <w:rFonts w:ascii="Arial" w:eastAsia="Times New Roman" w:hAnsi="Arial" w:cs="Arial"/>
          <w:color w:val="000000"/>
          <w:sz w:val="22"/>
          <w:lang w:eastAsia="en-GB"/>
        </w:rPr>
      </w:pPr>
    </w:p>
    <w:p w14:paraId="2F40D09F" w14:textId="77777777" w:rsidR="002960EE" w:rsidRDefault="002960EE" w:rsidP="00217D3F">
      <w:pPr>
        <w:spacing w:before="100" w:beforeAutospacing="1" w:after="100" w:afterAutospacing="1" w:line="360" w:lineRule="auto"/>
        <w:ind w:firstLine="720"/>
        <w:jc w:val="both"/>
        <w:rPr>
          <w:rFonts w:ascii="Arial" w:eastAsia="Times New Roman" w:hAnsi="Arial" w:cs="Arial"/>
          <w:color w:val="000000"/>
          <w:sz w:val="22"/>
          <w:lang w:eastAsia="en-GB"/>
        </w:rPr>
      </w:pPr>
    </w:p>
    <w:p w14:paraId="12DD11B1" w14:textId="77777777" w:rsidR="000F395C" w:rsidRPr="00085177" w:rsidRDefault="000F395C" w:rsidP="00684B31">
      <w:p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lastRenderedPageBreak/>
        <w:t>The selected studies include:</w:t>
      </w:r>
    </w:p>
    <w:p w14:paraId="45FC7098" w14:textId="77777777" w:rsidR="000F395C" w:rsidRPr="00085177" w:rsidRDefault="000F395C" w:rsidP="00684B31">
      <w:pPr>
        <w:numPr>
          <w:ilvl w:val="0"/>
          <w:numId w:val="7"/>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An ethnographic study exploring digital facilitation in general practice</w:t>
      </w:r>
    </w:p>
    <w:p w14:paraId="00784107" w14:textId="77777777" w:rsidR="000F395C" w:rsidRPr="00085177" w:rsidRDefault="000F395C" w:rsidP="00684B31">
      <w:pPr>
        <w:numPr>
          <w:ilvl w:val="0"/>
          <w:numId w:val="7"/>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A large-scale quantitative analysis of digital access platforms</w:t>
      </w:r>
    </w:p>
    <w:p w14:paraId="206359CD" w14:textId="77777777" w:rsidR="000F395C" w:rsidRPr="00085177" w:rsidRDefault="000F395C" w:rsidP="00684B31">
      <w:pPr>
        <w:numPr>
          <w:ilvl w:val="0"/>
          <w:numId w:val="7"/>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A cross-sectional survey examining eHealth literacy and service use</w:t>
      </w:r>
    </w:p>
    <w:p w14:paraId="1E78C00E" w14:textId="77777777" w:rsidR="000F395C" w:rsidRDefault="000F395C" w:rsidP="00684B31">
      <w:pPr>
        <w:numPr>
          <w:ilvl w:val="0"/>
          <w:numId w:val="7"/>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A scoping review of mobile health applications and GP tasks</w:t>
      </w:r>
    </w:p>
    <w:p w14:paraId="64301BEA" w14:textId="77777777" w:rsidR="000F395C" w:rsidRPr="00A5649C" w:rsidRDefault="000F395C" w:rsidP="00684B31">
      <w:pPr>
        <w:spacing w:before="100" w:beforeAutospacing="1" w:after="100" w:afterAutospacing="1" w:line="360" w:lineRule="auto"/>
        <w:jc w:val="both"/>
        <w:rPr>
          <w:rFonts w:ascii="Arial" w:eastAsia="Times New Roman" w:hAnsi="Arial" w:cs="Arial"/>
          <w:b/>
          <w:bCs/>
          <w:color w:val="000000"/>
          <w:sz w:val="22"/>
          <w:lang w:eastAsia="en-GB"/>
        </w:rPr>
      </w:pPr>
    </w:p>
    <w:p w14:paraId="493AF6E0" w14:textId="7AEBA88F" w:rsidR="00946FC1" w:rsidRPr="00A5649C" w:rsidRDefault="00946FC1" w:rsidP="00684B31">
      <w:pPr>
        <w:spacing w:before="100" w:beforeAutospacing="1" w:after="100" w:afterAutospacing="1" w:line="360" w:lineRule="auto"/>
        <w:jc w:val="both"/>
        <w:rPr>
          <w:rFonts w:ascii="Arial" w:eastAsia="Times New Roman" w:hAnsi="Arial" w:cs="Arial"/>
          <w:b/>
          <w:bCs/>
          <w:color w:val="000000"/>
          <w:sz w:val="22"/>
          <w:lang w:eastAsia="en-GB"/>
        </w:rPr>
      </w:pPr>
      <w:r w:rsidRPr="00A5649C">
        <w:rPr>
          <w:rFonts w:ascii="Arial" w:eastAsia="Times New Roman" w:hAnsi="Arial" w:cs="Arial"/>
          <w:b/>
          <w:bCs/>
          <w:color w:val="000000"/>
          <w:sz w:val="22"/>
          <w:lang w:eastAsia="en-GB"/>
        </w:rPr>
        <w:t>3.4 Data Extraction</w:t>
      </w:r>
    </w:p>
    <w:p w14:paraId="6D58D032" w14:textId="4F4511AA" w:rsidR="00946FC1" w:rsidRDefault="005C3F43" w:rsidP="00684B31">
      <w:pPr>
        <w:spacing w:before="100" w:beforeAutospacing="1" w:after="100" w:afterAutospacing="1" w:line="360" w:lineRule="auto"/>
        <w:ind w:firstLine="720"/>
        <w:jc w:val="both"/>
        <w:rPr>
          <w:rFonts w:ascii="Arial" w:eastAsia="Times New Roman" w:hAnsi="Arial" w:cs="Arial"/>
          <w:color w:val="000000"/>
          <w:sz w:val="22"/>
          <w:lang w:eastAsia="en-GB"/>
        </w:rPr>
      </w:pPr>
      <w:r w:rsidRPr="005C3F43">
        <w:rPr>
          <w:rFonts w:ascii="Arial" w:eastAsia="Times New Roman" w:hAnsi="Arial" w:cs="Arial"/>
          <w:color w:val="000000"/>
          <w:sz w:val="22"/>
          <w:lang w:eastAsia="en-GB"/>
        </w:rPr>
        <w:t>Data were gathered from each research using a standardised manner. Key information gathered included:</w:t>
      </w:r>
    </w:p>
    <w:p w14:paraId="5167EA96" w14:textId="77777777" w:rsidR="00947215" w:rsidRPr="00085177" w:rsidRDefault="00947215" w:rsidP="00684B31">
      <w:pPr>
        <w:numPr>
          <w:ilvl w:val="0"/>
          <w:numId w:val="8"/>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Author(s) and year of publication</w:t>
      </w:r>
    </w:p>
    <w:p w14:paraId="1A9F5117" w14:textId="77777777" w:rsidR="00947215" w:rsidRPr="00085177" w:rsidRDefault="00947215" w:rsidP="00684B31">
      <w:pPr>
        <w:numPr>
          <w:ilvl w:val="0"/>
          <w:numId w:val="8"/>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Study aim</w:t>
      </w:r>
    </w:p>
    <w:p w14:paraId="6CF6959A" w14:textId="77777777" w:rsidR="00947215" w:rsidRPr="00085177" w:rsidRDefault="00947215" w:rsidP="00684B31">
      <w:pPr>
        <w:numPr>
          <w:ilvl w:val="0"/>
          <w:numId w:val="8"/>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Study design and methodology</w:t>
      </w:r>
    </w:p>
    <w:p w14:paraId="4AD62244" w14:textId="77777777" w:rsidR="00947215" w:rsidRPr="00085177" w:rsidRDefault="00947215" w:rsidP="00684B31">
      <w:pPr>
        <w:numPr>
          <w:ilvl w:val="0"/>
          <w:numId w:val="8"/>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Sample size and population</w:t>
      </w:r>
    </w:p>
    <w:p w14:paraId="13ED6525" w14:textId="77777777" w:rsidR="00947215" w:rsidRPr="00085177" w:rsidRDefault="00947215" w:rsidP="00684B31">
      <w:pPr>
        <w:numPr>
          <w:ilvl w:val="0"/>
          <w:numId w:val="8"/>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Type of digital technology examined</w:t>
      </w:r>
    </w:p>
    <w:p w14:paraId="3A1192C3" w14:textId="154ED67D" w:rsidR="00947215" w:rsidRPr="00485445" w:rsidRDefault="00947215" w:rsidP="00684B31">
      <w:pPr>
        <w:numPr>
          <w:ilvl w:val="0"/>
          <w:numId w:val="8"/>
        </w:numPr>
        <w:spacing w:before="100" w:beforeAutospacing="1" w:after="100" w:afterAutospacing="1" w:line="360" w:lineRule="auto"/>
        <w:jc w:val="both"/>
        <w:rPr>
          <w:rFonts w:ascii="Arial" w:eastAsia="Times New Roman" w:hAnsi="Arial" w:cs="Arial"/>
          <w:color w:val="000000"/>
          <w:sz w:val="22"/>
          <w:lang w:eastAsia="en-GB"/>
        </w:rPr>
      </w:pPr>
      <w:r w:rsidRPr="00085177">
        <w:rPr>
          <w:rFonts w:ascii="Arial" w:eastAsia="Times New Roman" w:hAnsi="Arial" w:cs="Arial"/>
          <w:color w:val="000000"/>
          <w:sz w:val="22"/>
          <w:lang w:eastAsia="en-GB"/>
        </w:rPr>
        <w:t>Key findings related to access to primary care</w:t>
      </w:r>
    </w:p>
    <w:p w14:paraId="51F9899A" w14:textId="49797DA6" w:rsidR="00A5649C" w:rsidRDefault="00C35BC2" w:rsidP="00CA45CB">
      <w:pPr>
        <w:spacing w:before="100" w:beforeAutospacing="1" w:after="100" w:afterAutospacing="1" w:line="360" w:lineRule="auto"/>
        <w:ind w:firstLine="720"/>
        <w:jc w:val="both"/>
        <w:rPr>
          <w:rFonts w:eastAsia="Times New Roman" w:cs="Times New Roman"/>
          <w:color w:val="000000"/>
          <w:lang w:eastAsia="en-GB"/>
        </w:rPr>
      </w:pPr>
      <w:r w:rsidRPr="00085177">
        <w:rPr>
          <w:rFonts w:ascii="Arial" w:eastAsia="Times New Roman" w:hAnsi="Arial" w:cs="Arial"/>
          <w:color w:val="000000"/>
          <w:sz w:val="22"/>
          <w:lang w:eastAsia="en-GB"/>
        </w:rPr>
        <w:t xml:space="preserve">This </w:t>
      </w:r>
      <w:r w:rsidRPr="00085177">
        <w:rPr>
          <w:rFonts w:ascii="Arial" w:eastAsia="Times New Roman" w:hAnsi="Arial" w:cs="Arial"/>
          <w:color w:val="000000"/>
          <w:sz w:val="22"/>
          <w:lang w:eastAsia="en-GB"/>
        </w:rPr>
        <w:t>material</w:t>
      </w:r>
      <w:r w:rsidRPr="00085177">
        <w:rPr>
          <w:rFonts w:ascii="Arial" w:eastAsia="Times New Roman" w:hAnsi="Arial" w:cs="Arial"/>
          <w:color w:val="000000"/>
          <w:sz w:val="22"/>
          <w:lang w:eastAsia="en-GB"/>
        </w:rPr>
        <w:t xml:space="preserve"> was used to construct a </w:t>
      </w:r>
      <w:r w:rsidR="00CE5985" w:rsidRPr="00085177">
        <w:rPr>
          <w:rFonts w:ascii="Arial" w:eastAsia="Times New Roman" w:hAnsi="Arial" w:cs="Arial"/>
          <w:color w:val="000000"/>
          <w:sz w:val="22"/>
          <w:lang w:eastAsia="en-GB"/>
        </w:rPr>
        <w:t>swift</w:t>
      </w:r>
      <w:r w:rsidRPr="00085177">
        <w:rPr>
          <w:rFonts w:ascii="Arial" w:eastAsia="Times New Roman" w:hAnsi="Arial" w:cs="Arial"/>
          <w:color w:val="000000"/>
          <w:sz w:val="22"/>
          <w:lang w:eastAsia="en-GB"/>
        </w:rPr>
        <w:t xml:space="preserve"> table and support comparison across studies</w:t>
      </w:r>
      <w:r w:rsidRPr="00BD6417">
        <w:rPr>
          <w:rFonts w:eastAsia="Times New Roman" w:cs="Times New Roman"/>
          <w:color w:val="000000"/>
          <w:lang w:eastAsia="en-GB"/>
        </w:rPr>
        <w:t>.</w:t>
      </w:r>
    </w:p>
    <w:p w14:paraId="76AFDA40" w14:textId="138501FB" w:rsidR="003E4739" w:rsidRPr="00A5649C" w:rsidRDefault="003E4739" w:rsidP="00684B31">
      <w:pPr>
        <w:spacing w:before="100" w:beforeAutospacing="1" w:after="100" w:afterAutospacing="1" w:line="360" w:lineRule="auto"/>
        <w:jc w:val="both"/>
        <w:rPr>
          <w:rFonts w:ascii="Arial" w:eastAsia="Times New Roman" w:hAnsi="Arial" w:cs="Arial"/>
          <w:b/>
          <w:bCs/>
          <w:color w:val="000000"/>
          <w:sz w:val="22"/>
          <w:lang w:eastAsia="en-GB"/>
        </w:rPr>
      </w:pPr>
      <w:r w:rsidRPr="00A5649C">
        <w:rPr>
          <w:rFonts w:ascii="Arial" w:eastAsia="Times New Roman" w:hAnsi="Arial" w:cs="Arial"/>
          <w:b/>
          <w:bCs/>
          <w:color w:val="000000"/>
          <w:sz w:val="22"/>
          <w:lang w:eastAsia="en-GB"/>
        </w:rPr>
        <w:t>3.5 Data Analysis</w:t>
      </w:r>
    </w:p>
    <w:p w14:paraId="14AA27E1" w14:textId="77777777" w:rsidR="00A5649C" w:rsidRPr="00A5649C" w:rsidRDefault="00A5649C" w:rsidP="00684B31">
      <w:pPr>
        <w:spacing w:before="100" w:beforeAutospacing="1" w:after="100" w:afterAutospacing="1" w:line="360" w:lineRule="auto"/>
        <w:ind w:firstLine="720"/>
        <w:jc w:val="both"/>
        <w:rPr>
          <w:rFonts w:ascii="Arial" w:eastAsia="Times New Roman" w:hAnsi="Arial" w:cs="Arial"/>
          <w:color w:val="000000"/>
          <w:sz w:val="22"/>
          <w:lang w:eastAsia="en-GB"/>
        </w:rPr>
      </w:pPr>
      <w:r w:rsidRPr="00A5649C">
        <w:rPr>
          <w:rFonts w:ascii="Arial" w:eastAsia="Times New Roman" w:hAnsi="Arial" w:cs="Arial"/>
          <w:color w:val="000000"/>
          <w:sz w:val="22"/>
          <w:lang w:eastAsia="en-GB"/>
        </w:rPr>
        <w:t>The selected studies' conclusions were synthesised using a theme analysis technique. This involved:</w:t>
      </w:r>
    </w:p>
    <w:p w14:paraId="1D2C91F4" w14:textId="77777777" w:rsidR="00F919C8" w:rsidRPr="00CA45CB" w:rsidRDefault="00F919C8" w:rsidP="00CA45CB">
      <w:pPr>
        <w:pStyle w:val="ListParagraph"/>
        <w:numPr>
          <w:ilvl w:val="1"/>
          <w:numId w:val="14"/>
        </w:numPr>
        <w:spacing w:before="100" w:beforeAutospacing="1" w:after="100" w:afterAutospacing="1" w:line="360" w:lineRule="auto"/>
        <w:jc w:val="both"/>
        <w:rPr>
          <w:rFonts w:ascii="Arial" w:eastAsia="Times New Roman" w:hAnsi="Arial" w:cs="Arial"/>
          <w:color w:val="000000"/>
          <w:sz w:val="22"/>
          <w:lang w:eastAsia="en-GB"/>
        </w:rPr>
      </w:pPr>
      <w:r w:rsidRPr="00CA45CB">
        <w:rPr>
          <w:rFonts w:ascii="Arial" w:eastAsia="Times New Roman" w:hAnsi="Arial" w:cs="Arial"/>
          <w:color w:val="000000"/>
          <w:sz w:val="22"/>
          <w:lang w:eastAsia="en-GB"/>
        </w:rPr>
        <w:t>Familiarisation with the data through repeated reading of the studies</w:t>
      </w:r>
    </w:p>
    <w:p w14:paraId="51E804D2" w14:textId="77777777" w:rsidR="00F919C8" w:rsidRPr="00CA45CB" w:rsidRDefault="00F919C8" w:rsidP="00CA45CB">
      <w:pPr>
        <w:pStyle w:val="ListParagraph"/>
        <w:numPr>
          <w:ilvl w:val="1"/>
          <w:numId w:val="14"/>
        </w:numPr>
        <w:spacing w:before="100" w:beforeAutospacing="1" w:after="100" w:afterAutospacing="1" w:line="360" w:lineRule="auto"/>
        <w:jc w:val="both"/>
        <w:rPr>
          <w:rFonts w:ascii="Arial" w:eastAsia="Times New Roman" w:hAnsi="Arial" w:cs="Arial"/>
          <w:color w:val="000000"/>
          <w:sz w:val="22"/>
          <w:lang w:eastAsia="en-GB"/>
        </w:rPr>
      </w:pPr>
      <w:r w:rsidRPr="00CA45CB">
        <w:rPr>
          <w:rFonts w:ascii="Arial" w:eastAsia="Times New Roman" w:hAnsi="Arial" w:cs="Arial"/>
          <w:color w:val="000000"/>
          <w:sz w:val="22"/>
          <w:lang w:eastAsia="en-GB"/>
        </w:rPr>
        <w:t>Identification of recurring patterns and key concepts</w:t>
      </w:r>
    </w:p>
    <w:p w14:paraId="4D0DDB8F" w14:textId="77777777" w:rsidR="00F919C8" w:rsidRPr="00CA45CB" w:rsidRDefault="00F919C8" w:rsidP="00CA45CB">
      <w:pPr>
        <w:pStyle w:val="ListParagraph"/>
        <w:numPr>
          <w:ilvl w:val="1"/>
          <w:numId w:val="14"/>
        </w:numPr>
        <w:spacing w:before="100" w:beforeAutospacing="1" w:after="100" w:afterAutospacing="1" w:line="360" w:lineRule="auto"/>
        <w:jc w:val="both"/>
        <w:rPr>
          <w:rFonts w:ascii="Arial" w:eastAsia="Times New Roman" w:hAnsi="Arial" w:cs="Arial"/>
          <w:color w:val="000000"/>
          <w:sz w:val="22"/>
          <w:lang w:eastAsia="en-GB"/>
        </w:rPr>
      </w:pPr>
      <w:r w:rsidRPr="00CA45CB">
        <w:rPr>
          <w:rFonts w:ascii="Arial" w:eastAsia="Times New Roman" w:hAnsi="Arial" w:cs="Arial"/>
          <w:color w:val="000000"/>
          <w:sz w:val="22"/>
          <w:lang w:eastAsia="en-GB"/>
        </w:rPr>
        <w:t>Grouping of findings into overarching themes</w:t>
      </w:r>
    </w:p>
    <w:p w14:paraId="6149FC92" w14:textId="7E40D39D" w:rsidR="00A5649C" w:rsidRPr="00CA45CB" w:rsidRDefault="00F919C8" w:rsidP="00CA45CB">
      <w:pPr>
        <w:pStyle w:val="ListParagraph"/>
        <w:numPr>
          <w:ilvl w:val="1"/>
          <w:numId w:val="14"/>
        </w:numPr>
        <w:spacing w:before="100" w:beforeAutospacing="1" w:after="100" w:afterAutospacing="1" w:line="360" w:lineRule="auto"/>
        <w:jc w:val="both"/>
        <w:rPr>
          <w:rFonts w:ascii="Arial" w:eastAsia="Times New Roman" w:hAnsi="Arial" w:cs="Arial"/>
          <w:color w:val="000000"/>
          <w:sz w:val="22"/>
          <w:lang w:eastAsia="en-GB"/>
        </w:rPr>
      </w:pPr>
      <w:r w:rsidRPr="00CA45CB">
        <w:rPr>
          <w:rFonts w:ascii="Arial" w:eastAsia="Times New Roman" w:hAnsi="Arial" w:cs="Arial"/>
          <w:color w:val="000000"/>
          <w:sz w:val="22"/>
          <w:lang w:eastAsia="en-GB"/>
        </w:rPr>
        <w:t>Interpretation of themes in relation to the research question</w:t>
      </w:r>
    </w:p>
    <w:p w14:paraId="6527F284" w14:textId="6E6B5F61" w:rsidR="003E4739" w:rsidRDefault="00A5649C" w:rsidP="00684B31">
      <w:pPr>
        <w:spacing w:before="100" w:beforeAutospacing="1" w:after="100" w:afterAutospacing="1" w:line="360" w:lineRule="auto"/>
        <w:ind w:firstLine="720"/>
        <w:jc w:val="both"/>
        <w:rPr>
          <w:rFonts w:ascii="Arial" w:eastAsia="Times New Roman" w:hAnsi="Arial" w:cs="Arial"/>
          <w:color w:val="000000"/>
          <w:sz w:val="22"/>
          <w:lang w:eastAsia="en-GB"/>
        </w:rPr>
      </w:pPr>
      <w:r w:rsidRPr="00A5649C">
        <w:rPr>
          <w:rFonts w:ascii="Arial" w:eastAsia="Times New Roman" w:hAnsi="Arial" w:cs="Arial"/>
          <w:color w:val="000000"/>
          <w:sz w:val="22"/>
          <w:lang w:eastAsia="en-GB"/>
        </w:rPr>
        <w:t>Thematic analysis was chosen because it allows for the integration of data from various study types and helps to identify common themes in the literature. This method generated themes such as access enhancement, digital literacy, facilitation, and equity, which serve as the foundation for the Results section.</w:t>
      </w:r>
    </w:p>
    <w:p w14:paraId="67F82A73" w14:textId="3673B44A" w:rsidR="00CA45CB" w:rsidRDefault="00C232C3" w:rsidP="00684B31">
      <w:pPr>
        <w:spacing w:before="100" w:beforeAutospacing="1" w:after="100" w:afterAutospacing="1" w:line="360" w:lineRule="auto"/>
        <w:ind w:firstLine="720"/>
        <w:jc w:val="both"/>
        <w:rPr>
          <w:rFonts w:ascii="Arial" w:eastAsia="Times New Roman" w:hAnsi="Arial" w:cs="Arial"/>
          <w:color w:val="000000"/>
          <w:sz w:val="22"/>
          <w:lang w:eastAsia="en-GB"/>
        </w:rPr>
      </w:pPr>
      <w:r w:rsidRPr="00C232C3">
        <w:rPr>
          <w:rFonts w:ascii="Arial" w:eastAsia="Times New Roman" w:hAnsi="Arial" w:cs="Arial"/>
          <w:color w:val="000000"/>
          <w:sz w:val="22"/>
          <w:lang w:eastAsia="en-GB"/>
        </w:rPr>
        <w:lastRenderedPageBreak/>
        <w:t xml:space="preserve">This study did not require ethical approval because it was based on a secondary examination of </w:t>
      </w:r>
      <w:r w:rsidR="00724AC2">
        <w:rPr>
          <w:rFonts w:ascii="Arial" w:eastAsia="Times New Roman" w:hAnsi="Arial" w:cs="Arial"/>
          <w:color w:val="000000"/>
          <w:sz w:val="22"/>
          <w:lang w:eastAsia="en-GB"/>
        </w:rPr>
        <w:t xml:space="preserve">freely </w:t>
      </w:r>
      <w:r w:rsidRPr="00C232C3">
        <w:rPr>
          <w:rFonts w:ascii="Arial" w:eastAsia="Times New Roman" w:hAnsi="Arial" w:cs="Arial"/>
          <w:color w:val="000000"/>
          <w:sz w:val="22"/>
          <w:lang w:eastAsia="en-GB"/>
        </w:rPr>
        <w:t>available peer-reviewed literature. However, ethical research norms were upheld throughout the procedure. All sources were properly mentioned using Harvard referencing, and effort was made to correctly convey the original study' conclusions without misunderstanding or prejudice.</w:t>
      </w:r>
    </w:p>
    <w:p w14:paraId="1D4FF64B" w14:textId="6DC5A80F" w:rsidR="00A90ED3" w:rsidRPr="004A0EA5" w:rsidRDefault="006D36A7" w:rsidP="004A0EA5">
      <w:pPr>
        <w:spacing w:before="100" w:beforeAutospacing="1" w:after="100" w:afterAutospacing="1" w:line="360" w:lineRule="auto"/>
        <w:jc w:val="both"/>
        <w:rPr>
          <w:rFonts w:ascii="Arial" w:eastAsia="Times New Roman" w:hAnsi="Arial" w:cs="Arial"/>
          <w:b/>
          <w:bCs/>
          <w:color w:val="000000"/>
          <w:sz w:val="22"/>
          <w:lang w:eastAsia="en-GB"/>
        </w:rPr>
      </w:pPr>
      <w:r w:rsidRPr="004A0EA5">
        <w:rPr>
          <w:rFonts w:ascii="Arial" w:eastAsia="Times New Roman" w:hAnsi="Arial" w:cs="Arial"/>
          <w:b/>
          <w:bCs/>
          <w:color w:val="000000"/>
          <w:sz w:val="22"/>
          <w:lang w:eastAsia="en-GB"/>
        </w:rPr>
        <w:t>3.7 Limitations of the Methodology</w:t>
      </w:r>
    </w:p>
    <w:p w14:paraId="6496D0D1" w14:textId="502BE6C7" w:rsidR="004A0EA5" w:rsidRPr="0063038C" w:rsidRDefault="00363A85" w:rsidP="0063038C">
      <w:pPr>
        <w:spacing w:before="100" w:beforeAutospacing="1" w:after="100" w:afterAutospacing="1" w:line="360" w:lineRule="auto"/>
        <w:ind w:firstLine="720"/>
        <w:jc w:val="both"/>
        <w:rPr>
          <w:rFonts w:ascii="Arial" w:eastAsia="Times New Roman" w:hAnsi="Arial" w:cs="Arial"/>
          <w:color w:val="000000"/>
          <w:sz w:val="22"/>
          <w:lang w:eastAsia="en-GB"/>
        </w:rPr>
      </w:pPr>
      <w:r>
        <w:rPr>
          <w:rFonts w:ascii="Arial" w:eastAsia="Times New Roman" w:hAnsi="Arial" w:cs="Arial"/>
          <w:color w:val="000000"/>
          <w:sz w:val="22"/>
          <w:lang w:eastAsia="en-GB"/>
        </w:rPr>
        <w:t>Although</w:t>
      </w:r>
      <w:r w:rsidRPr="00363A85">
        <w:rPr>
          <w:rFonts w:ascii="Arial" w:eastAsia="Times New Roman" w:hAnsi="Arial" w:cs="Arial"/>
          <w:color w:val="000000"/>
          <w:sz w:val="22"/>
          <w:lang w:eastAsia="en-GB"/>
        </w:rPr>
        <w:t xml:space="preserve"> the scoping review technique is useful for mapping existing evidence, it has several drawbacks. The inclusion of only a small number of papers (three to five, as required by the assignment) means that conclusions cannot be extended to other aspects of digital health. Furthermore, the review does not explicitly evaluate the quality of the included research, which is typical in scoping reviews. Despite these limitations, the technique offers an informative review of significant topics and gaps in the literature.</w:t>
      </w:r>
    </w:p>
    <w:p w14:paraId="450F5422" w14:textId="77777777" w:rsidR="0063038C" w:rsidRDefault="0063038C" w:rsidP="00C16682">
      <w:pPr>
        <w:spacing w:line="360" w:lineRule="auto"/>
        <w:jc w:val="both"/>
        <w:rPr>
          <w:rFonts w:ascii="Arial" w:eastAsia="Times New Roman" w:hAnsi="Arial" w:cs="Arial"/>
          <w:b/>
          <w:bCs/>
          <w:color w:val="000000"/>
          <w:sz w:val="22"/>
          <w:lang w:eastAsia="en-GB"/>
        </w:rPr>
      </w:pPr>
    </w:p>
    <w:p w14:paraId="499A31B0" w14:textId="77777777" w:rsidR="005268EA" w:rsidRDefault="005268EA" w:rsidP="00C16682">
      <w:pPr>
        <w:spacing w:line="360" w:lineRule="auto"/>
        <w:jc w:val="both"/>
        <w:rPr>
          <w:rFonts w:ascii="Arial" w:eastAsia="Times New Roman" w:hAnsi="Arial" w:cs="Arial"/>
          <w:b/>
          <w:bCs/>
          <w:color w:val="000000"/>
          <w:sz w:val="22"/>
          <w:lang w:eastAsia="en-GB"/>
        </w:rPr>
      </w:pPr>
    </w:p>
    <w:p w14:paraId="7CFAD0FC" w14:textId="77777777" w:rsidR="005268EA" w:rsidRDefault="005268EA" w:rsidP="00C16682">
      <w:pPr>
        <w:spacing w:line="360" w:lineRule="auto"/>
        <w:jc w:val="both"/>
        <w:rPr>
          <w:rFonts w:ascii="Arial" w:eastAsia="Times New Roman" w:hAnsi="Arial" w:cs="Arial"/>
          <w:b/>
          <w:bCs/>
          <w:color w:val="000000"/>
          <w:sz w:val="22"/>
          <w:lang w:eastAsia="en-GB"/>
        </w:rPr>
      </w:pPr>
    </w:p>
    <w:p w14:paraId="7FB6B930" w14:textId="77777777" w:rsidR="005268EA" w:rsidRDefault="005268EA" w:rsidP="00C16682">
      <w:pPr>
        <w:spacing w:line="360" w:lineRule="auto"/>
        <w:jc w:val="both"/>
        <w:rPr>
          <w:rFonts w:ascii="Arial" w:eastAsia="Times New Roman" w:hAnsi="Arial" w:cs="Arial"/>
          <w:b/>
          <w:bCs/>
          <w:color w:val="000000"/>
          <w:sz w:val="22"/>
          <w:lang w:eastAsia="en-GB"/>
        </w:rPr>
      </w:pPr>
    </w:p>
    <w:p w14:paraId="26180461" w14:textId="77777777" w:rsidR="005268EA" w:rsidRDefault="005268EA" w:rsidP="00C16682">
      <w:pPr>
        <w:spacing w:line="360" w:lineRule="auto"/>
        <w:jc w:val="both"/>
        <w:rPr>
          <w:rFonts w:ascii="Arial" w:eastAsia="Times New Roman" w:hAnsi="Arial" w:cs="Arial"/>
          <w:b/>
          <w:bCs/>
          <w:color w:val="000000"/>
          <w:sz w:val="22"/>
          <w:lang w:eastAsia="en-GB"/>
        </w:rPr>
      </w:pPr>
    </w:p>
    <w:p w14:paraId="226A6420" w14:textId="77777777" w:rsidR="005268EA" w:rsidRDefault="005268EA" w:rsidP="00C16682">
      <w:pPr>
        <w:spacing w:line="360" w:lineRule="auto"/>
        <w:jc w:val="both"/>
        <w:rPr>
          <w:rFonts w:ascii="Arial" w:eastAsia="Times New Roman" w:hAnsi="Arial" w:cs="Arial"/>
          <w:b/>
          <w:bCs/>
          <w:color w:val="000000"/>
          <w:sz w:val="22"/>
          <w:lang w:eastAsia="en-GB"/>
        </w:rPr>
      </w:pPr>
    </w:p>
    <w:p w14:paraId="37129014" w14:textId="77777777" w:rsidR="005268EA" w:rsidRDefault="005268EA" w:rsidP="00C16682">
      <w:pPr>
        <w:spacing w:line="360" w:lineRule="auto"/>
        <w:jc w:val="both"/>
        <w:rPr>
          <w:rFonts w:ascii="Arial" w:eastAsia="Times New Roman" w:hAnsi="Arial" w:cs="Arial"/>
          <w:b/>
          <w:bCs/>
          <w:color w:val="000000"/>
          <w:sz w:val="22"/>
          <w:lang w:eastAsia="en-GB"/>
        </w:rPr>
      </w:pPr>
    </w:p>
    <w:p w14:paraId="2967DF73" w14:textId="77777777" w:rsidR="005268EA" w:rsidRDefault="005268EA" w:rsidP="00C16682">
      <w:pPr>
        <w:spacing w:line="360" w:lineRule="auto"/>
        <w:jc w:val="both"/>
        <w:rPr>
          <w:rFonts w:ascii="Arial" w:eastAsia="Times New Roman" w:hAnsi="Arial" w:cs="Arial"/>
          <w:b/>
          <w:bCs/>
          <w:color w:val="000000"/>
          <w:sz w:val="22"/>
          <w:lang w:eastAsia="en-GB"/>
        </w:rPr>
      </w:pPr>
    </w:p>
    <w:p w14:paraId="7FABF3B4" w14:textId="77777777" w:rsidR="005268EA" w:rsidRDefault="005268EA" w:rsidP="00C16682">
      <w:pPr>
        <w:spacing w:line="360" w:lineRule="auto"/>
        <w:jc w:val="both"/>
        <w:rPr>
          <w:rFonts w:ascii="Arial" w:eastAsia="Times New Roman" w:hAnsi="Arial" w:cs="Arial"/>
          <w:b/>
          <w:bCs/>
          <w:color w:val="000000"/>
          <w:sz w:val="22"/>
          <w:lang w:eastAsia="en-GB"/>
        </w:rPr>
      </w:pPr>
    </w:p>
    <w:p w14:paraId="66274C08" w14:textId="77777777" w:rsidR="005268EA" w:rsidRDefault="005268EA" w:rsidP="00C16682">
      <w:pPr>
        <w:spacing w:line="360" w:lineRule="auto"/>
        <w:jc w:val="both"/>
        <w:rPr>
          <w:rFonts w:ascii="Arial" w:eastAsia="Times New Roman" w:hAnsi="Arial" w:cs="Arial"/>
          <w:b/>
          <w:bCs/>
          <w:color w:val="000000"/>
          <w:sz w:val="22"/>
          <w:lang w:eastAsia="en-GB"/>
        </w:rPr>
      </w:pPr>
    </w:p>
    <w:p w14:paraId="737813BD" w14:textId="77777777" w:rsidR="005268EA" w:rsidRDefault="005268EA" w:rsidP="00C16682">
      <w:pPr>
        <w:spacing w:line="360" w:lineRule="auto"/>
        <w:jc w:val="both"/>
        <w:rPr>
          <w:rFonts w:ascii="Arial" w:eastAsia="Times New Roman" w:hAnsi="Arial" w:cs="Arial"/>
          <w:b/>
          <w:bCs/>
          <w:color w:val="000000"/>
          <w:sz w:val="22"/>
          <w:lang w:eastAsia="en-GB"/>
        </w:rPr>
      </w:pPr>
    </w:p>
    <w:p w14:paraId="1338583F" w14:textId="77777777" w:rsidR="005268EA" w:rsidRDefault="005268EA" w:rsidP="00C16682">
      <w:pPr>
        <w:spacing w:line="360" w:lineRule="auto"/>
        <w:jc w:val="both"/>
        <w:rPr>
          <w:rFonts w:ascii="Arial" w:eastAsia="Times New Roman" w:hAnsi="Arial" w:cs="Arial"/>
          <w:b/>
          <w:bCs/>
          <w:color w:val="000000"/>
          <w:sz w:val="22"/>
          <w:lang w:eastAsia="en-GB"/>
        </w:rPr>
      </w:pPr>
    </w:p>
    <w:p w14:paraId="17C65E84" w14:textId="77777777" w:rsidR="005268EA" w:rsidRDefault="005268EA" w:rsidP="00C16682">
      <w:pPr>
        <w:spacing w:line="360" w:lineRule="auto"/>
        <w:jc w:val="both"/>
        <w:rPr>
          <w:rFonts w:ascii="Arial" w:eastAsia="Times New Roman" w:hAnsi="Arial" w:cs="Arial"/>
          <w:b/>
          <w:bCs/>
          <w:color w:val="000000"/>
          <w:sz w:val="22"/>
          <w:lang w:eastAsia="en-GB"/>
        </w:rPr>
      </w:pPr>
    </w:p>
    <w:p w14:paraId="084C0AE5" w14:textId="77777777" w:rsidR="005268EA" w:rsidRDefault="005268EA" w:rsidP="00C16682">
      <w:pPr>
        <w:spacing w:line="360" w:lineRule="auto"/>
        <w:jc w:val="both"/>
        <w:rPr>
          <w:rFonts w:ascii="Arial" w:eastAsia="Times New Roman" w:hAnsi="Arial" w:cs="Arial"/>
          <w:b/>
          <w:bCs/>
          <w:color w:val="000000"/>
          <w:sz w:val="22"/>
          <w:lang w:eastAsia="en-GB"/>
        </w:rPr>
      </w:pPr>
    </w:p>
    <w:p w14:paraId="1413B259" w14:textId="77777777" w:rsidR="005268EA" w:rsidRDefault="005268EA" w:rsidP="00C16682">
      <w:pPr>
        <w:spacing w:line="360" w:lineRule="auto"/>
        <w:jc w:val="both"/>
        <w:rPr>
          <w:rFonts w:ascii="Arial" w:eastAsia="Times New Roman" w:hAnsi="Arial" w:cs="Arial"/>
          <w:b/>
          <w:bCs/>
          <w:color w:val="000000"/>
          <w:sz w:val="22"/>
          <w:lang w:eastAsia="en-GB"/>
        </w:rPr>
      </w:pPr>
    </w:p>
    <w:p w14:paraId="53130AA2" w14:textId="77777777" w:rsidR="0063038C" w:rsidRDefault="0063038C" w:rsidP="00C16682">
      <w:pPr>
        <w:spacing w:line="360" w:lineRule="auto"/>
        <w:jc w:val="both"/>
        <w:rPr>
          <w:rFonts w:ascii="Arial" w:eastAsia="Times New Roman" w:hAnsi="Arial" w:cs="Arial"/>
          <w:b/>
          <w:bCs/>
          <w:color w:val="000000"/>
          <w:sz w:val="22"/>
          <w:lang w:eastAsia="en-GB"/>
        </w:rPr>
      </w:pPr>
    </w:p>
    <w:p w14:paraId="74181514" w14:textId="781B86E6" w:rsidR="00C16682" w:rsidRPr="004A0EA5" w:rsidRDefault="00CC07EA" w:rsidP="00C16682">
      <w:pPr>
        <w:spacing w:line="360" w:lineRule="auto"/>
        <w:jc w:val="both"/>
        <w:rPr>
          <w:rFonts w:ascii="Arial" w:eastAsia="Times New Roman" w:hAnsi="Arial" w:cs="Arial"/>
          <w:b/>
          <w:bCs/>
          <w:color w:val="000000"/>
          <w:sz w:val="22"/>
          <w:lang w:eastAsia="en-GB"/>
        </w:rPr>
      </w:pPr>
      <w:r w:rsidRPr="004A0EA5">
        <w:rPr>
          <w:rFonts w:ascii="Arial" w:eastAsia="Times New Roman" w:hAnsi="Arial" w:cs="Arial"/>
          <w:b/>
          <w:bCs/>
          <w:color w:val="000000"/>
          <w:sz w:val="22"/>
          <w:lang w:eastAsia="en-GB"/>
        </w:rPr>
        <w:lastRenderedPageBreak/>
        <w:t>4 Results</w:t>
      </w:r>
    </w:p>
    <w:p w14:paraId="30048ECA" w14:textId="36D7E325" w:rsidR="00C16682" w:rsidRDefault="00A512AD" w:rsidP="004A0EA5">
      <w:pPr>
        <w:spacing w:line="360" w:lineRule="auto"/>
        <w:ind w:firstLine="720"/>
        <w:jc w:val="both"/>
        <w:rPr>
          <w:rFonts w:ascii="Arial" w:hAnsi="Arial" w:cs="Arial"/>
          <w:sz w:val="22"/>
        </w:rPr>
      </w:pPr>
      <w:r w:rsidRPr="00A512AD">
        <w:rPr>
          <w:rFonts w:ascii="Arial" w:hAnsi="Arial" w:cs="Arial"/>
          <w:sz w:val="22"/>
        </w:rPr>
        <w:t>This section contains the scoping review's conclusions, which include a synopsis of the selected papers as well as a thematic analysis of their significant findings. Four peer-reviewed papers were considered, reflecting a variety of methodological techniques (qualitative, quantitative, survey-based, and secondary review) and digital healthcare technologies utilised or relevant in UK primary care.</w:t>
      </w:r>
    </w:p>
    <w:p w14:paraId="6D6D21E0" w14:textId="77777777" w:rsidR="003103BF" w:rsidRDefault="003103BF" w:rsidP="004A0EA5">
      <w:pPr>
        <w:spacing w:line="360" w:lineRule="auto"/>
        <w:ind w:firstLine="720"/>
        <w:jc w:val="both"/>
        <w:rPr>
          <w:rFonts w:ascii="Arial" w:hAnsi="Arial" w:cs="Arial"/>
          <w:sz w:val="22"/>
        </w:rPr>
      </w:pPr>
    </w:p>
    <w:p w14:paraId="26D64EEB" w14:textId="77777777" w:rsidR="004A0EA5" w:rsidRDefault="004A0EA5" w:rsidP="004A0EA5">
      <w:pPr>
        <w:spacing w:line="360" w:lineRule="auto"/>
        <w:jc w:val="both"/>
        <w:rPr>
          <w:rFonts w:ascii="Arial" w:hAnsi="Arial" w:cs="Arial"/>
          <w:sz w:val="22"/>
        </w:rPr>
      </w:pPr>
    </w:p>
    <w:p w14:paraId="77E7FAEF" w14:textId="56A59199" w:rsidR="004A0EA5" w:rsidRDefault="004A0EA5" w:rsidP="004A0EA5">
      <w:pPr>
        <w:spacing w:line="360" w:lineRule="auto"/>
        <w:jc w:val="both"/>
        <w:rPr>
          <w:rFonts w:ascii="Arial" w:hAnsi="Arial" w:cs="Arial"/>
          <w:b/>
          <w:bCs/>
          <w:sz w:val="22"/>
        </w:rPr>
      </w:pPr>
      <w:r w:rsidRPr="004A0EA5">
        <w:rPr>
          <w:rFonts w:ascii="Arial" w:hAnsi="Arial" w:cs="Arial"/>
          <w:b/>
          <w:bCs/>
          <w:sz w:val="22"/>
        </w:rPr>
        <w:t xml:space="preserve">4.1 Summary of Included Studies </w:t>
      </w:r>
    </w:p>
    <w:p w14:paraId="6B5D92D9" w14:textId="40A964D8" w:rsidR="00815162" w:rsidRDefault="0063038C" w:rsidP="0063038C">
      <w:pPr>
        <w:spacing w:line="360" w:lineRule="auto"/>
        <w:ind w:firstLine="720"/>
        <w:jc w:val="both"/>
        <w:rPr>
          <w:rFonts w:ascii="Arial" w:hAnsi="Arial" w:cs="Arial"/>
          <w:sz w:val="22"/>
        </w:rPr>
      </w:pPr>
      <w:r w:rsidRPr="0063038C">
        <w:rPr>
          <w:rFonts w:ascii="Arial" w:hAnsi="Arial" w:cs="Arial"/>
          <w:sz w:val="22"/>
        </w:rPr>
        <w:t>The four chosen studies look at digital healthcare technologies from various angles, including online general practice services, digital access platforms, web-based urgent care systems, and mobile health apps.</w:t>
      </w:r>
    </w:p>
    <w:p w14:paraId="6CB28FB1" w14:textId="771E9495" w:rsidR="003103BF" w:rsidRPr="00901E47" w:rsidRDefault="003103BF" w:rsidP="00901E47">
      <w:pPr>
        <w:spacing w:line="360" w:lineRule="auto"/>
        <w:jc w:val="both"/>
        <w:rPr>
          <w:rFonts w:ascii="Arial" w:hAnsi="Arial" w:cs="Arial"/>
          <w:b/>
          <w:bCs/>
          <w:sz w:val="22"/>
        </w:rPr>
      </w:pPr>
    </w:p>
    <w:p w14:paraId="2EF20BFB" w14:textId="77777777" w:rsidR="003103BF" w:rsidRDefault="003103BF" w:rsidP="0063038C">
      <w:pPr>
        <w:spacing w:line="360" w:lineRule="auto"/>
        <w:ind w:firstLine="720"/>
        <w:jc w:val="both"/>
        <w:rPr>
          <w:rFonts w:ascii="Arial" w:hAnsi="Arial" w:cs="Arial"/>
          <w:sz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709"/>
        <w:gridCol w:w="2410"/>
        <w:gridCol w:w="1563"/>
        <w:gridCol w:w="2501"/>
      </w:tblGrid>
      <w:tr w:rsidR="00C07B3F" w:rsidRPr="008A56E3" w14:paraId="39A6AB97" w14:textId="77777777" w:rsidTr="00C07B3F">
        <w:trPr>
          <w:trHeight w:val="656"/>
          <w:tblHeader/>
          <w:tblCellSpacing w:w="15" w:type="dxa"/>
        </w:trPr>
        <w:tc>
          <w:tcPr>
            <w:tcW w:w="1798" w:type="dxa"/>
            <w:vAlign w:val="center"/>
            <w:hideMark/>
          </w:tcPr>
          <w:p w14:paraId="3C28BCB8" w14:textId="77777777" w:rsidR="00C07B3F" w:rsidRPr="008A56E3" w:rsidRDefault="00C07B3F" w:rsidP="003E697C">
            <w:pPr>
              <w:spacing w:after="0" w:line="360" w:lineRule="auto"/>
              <w:jc w:val="both"/>
              <w:rPr>
                <w:rFonts w:ascii="Arial" w:eastAsia="Times New Roman" w:hAnsi="Arial" w:cs="Arial"/>
                <w:b/>
                <w:bCs/>
                <w:sz w:val="22"/>
                <w:lang w:eastAsia="en-GB"/>
              </w:rPr>
            </w:pPr>
            <w:r w:rsidRPr="008A56E3">
              <w:rPr>
                <w:rFonts w:ascii="Arial" w:eastAsia="Times New Roman" w:hAnsi="Arial" w:cs="Arial"/>
                <w:b/>
                <w:bCs/>
                <w:sz w:val="22"/>
                <w:lang w:eastAsia="en-GB"/>
              </w:rPr>
              <w:t>Author</w:t>
            </w:r>
          </w:p>
        </w:tc>
        <w:tc>
          <w:tcPr>
            <w:tcW w:w="679" w:type="dxa"/>
            <w:vAlign w:val="center"/>
            <w:hideMark/>
          </w:tcPr>
          <w:p w14:paraId="01DCC127" w14:textId="77777777" w:rsidR="00C07B3F" w:rsidRPr="008A56E3" w:rsidRDefault="00C07B3F" w:rsidP="003E697C">
            <w:pPr>
              <w:spacing w:after="0" w:line="360" w:lineRule="auto"/>
              <w:jc w:val="both"/>
              <w:rPr>
                <w:rFonts w:ascii="Arial" w:eastAsia="Times New Roman" w:hAnsi="Arial" w:cs="Arial"/>
                <w:b/>
                <w:bCs/>
                <w:sz w:val="22"/>
                <w:lang w:eastAsia="en-GB"/>
              </w:rPr>
            </w:pPr>
            <w:r w:rsidRPr="008A56E3">
              <w:rPr>
                <w:rFonts w:ascii="Arial" w:eastAsia="Times New Roman" w:hAnsi="Arial" w:cs="Arial"/>
                <w:b/>
                <w:bCs/>
                <w:sz w:val="22"/>
                <w:lang w:eastAsia="en-GB"/>
              </w:rPr>
              <w:t>Year</w:t>
            </w:r>
          </w:p>
        </w:tc>
        <w:tc>
          <w:tcPr>
            <w:tcW w:w="2380" w:type="dxa"/>
            <w:vAlign w:val="center"/>
            <w:hideMark/>
          </w:tcPr>
          <w:p w14:paraId="0CEAB4A3" w14:textId="77777777" w:rsidR="00C07B3F" w:rsidRPr="008A56E3" w:rsidRDefault="00C07B3F" w:rsidP="003E697C">
            <w:pPr>
              <w:spacing w:after="0" w:line="360" w:lineRule="auto"/>
              <w:rPr>
                <w:rFonts w:ascii="Arial" w:eastAsia="Times New Roman" w:hAnsi="Arial" w:cs="Arial"/>
                <w:b/>
                <w:bCs/>
                <w:sz w:val="22"/>
                <w:lang w:eastAsia="en-GB"/>
              </w:rPr>
            </w:pPr>
            <w:r w:rsidRPr="008A56E3">
              <w:rPr>
                <w:rFonts w:ascii="Arial" w:eastAsia="Times New Roman" w:hAnsi="Arial" w:cs="Arial"/>
                <w:b/>
                <w:bCs/>
                <w:sz w:val="22"/>
                <w:lang w:eastAsia="en-GB"/>
              </w:rPr>
              <w:t>Aim</w:t>
            </w:r>
          </w:p>
        </w:tc>
        <w:tc>
          <w:tcPr>
            <w:tcW w:w="1533" w:type="dxa"/>
            <w:vAlign w:val="center"/>
            <w:hideMark/>
          </w:tcPr>
          <w:p w14:paraId="23207EED" w14:textId="77777777" w:rsidR="00C07B3F" w:rsidRPr="008A56E3" w:rsidRDefault="00C07B3F" w:rsidP="003E697C">
            <w:pPr>
              <w:spacing w:after="0" w:line="360" w:lineRule="auto"/>
              <w:rPr>
                <w:rFonts w:ascii="Arial" w:eastAsia="Times New Roman" w:hAnsi="Arial" w:cs="Arial"/>
                <w:b/>
                <w:bCs/>
                <w:sz w:val="22"/>
                <w:lang w:eastAsia="en-GB"/>
              </w:rPr>
            </w:pPr>
            <w:r w:rsidRPr="008A56E3">
              <w:rPr>
                <w:rFonts w:ascii="Arial" w:eastAsia="Times New Roman" w:hAnsi="Arial" w:cs="Arial"/>
                <w:b/>
                <w:bCs/>
                <w:sz w:val="22"/>
                <w:lang w:eastAsia="en-GB"/>
              </w:rPr>
              <w:t>Method</w:t>
            </w:r>
          </w:p>
        </w:tc>
        <w:tc>
          <w:tcPr>
            <w:tcW w:w="2456" w:type="dxa"/>
            <w:vAlign w:val="center"/>
            <w:hideMark/>
          </w:tcPr>
          <w:p w14:paraId="30B20CED" w14:textId="77777777" w:rsidR="00C07B3F" w:rsidRPr="008A56E3" w:rsidRDefault="00C07B3F" w:rsidP="003E697C">
            <w:pPr>
              <w:spacing w:after="0" w:line="360" w:lineRule="auto"/>
              <w:rPr>
                <w:rFonts w:ascii="Arial" w:eastAsia="Times New Roman" w:hAnsi="Arial" w:cs="Arial"/>
                <w:b/>
                <w:bCs/>
                <w:sz w:val="22"/>
                <w:lang w:eastAsia="en-GB"/>
              </w:rPr>
            </w:pPr>
            <w:r w:rsidRPr="008A56E3">
              <w:rPr>
                <w:rFonts w:ascii="Arial" w:eastAsia="Times New Roman" w:hAnsi="Arial" w:cs="Arial"/>
                <w:b/>
                <w:bCs/>
                <w:sz w:val="22"/>
                <w:lang w:eastAsia="en-GB"/>
              </w:rPr>
              <w:t>Key Findings</w:t>
            </w:r>
          </w:p>
        </w:tc>
      </w:tr>
      <w:tr w:rsidR="00C07B3F" w:rsidRPr="008A56E3" w14:paraId="0F28EA42" w14:textId="77777777" w:rsidTr="00C07B3F">
        <w:trPr>
          <w:tblCellSpacing w:w="15" w:type="dxa"/>
        </w:trPr>
        <w:tc>
          <w:tcPr>
            <w:tcW w:w="1798" w:type="dxa"/>
            <w:vAlign w:val="center"/>
            <w:hideMark/>
          </w:tcPr>
          <w:p w14:paraId="4A1186A0"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Newbould et al.</w:t>
            </w:r>
          </w:p>
        </w:tc>
        <w:tc>
          <w:tcPr>
            <w:tcW w:w="679" w:type="dxa"/>
            <w:vAlign w:val="center"/>
            <w:hideMark/>
          </w:tcPr>
          <w:p w14:paraId="1D66844A"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2025</w:t>
            </w:r>
          </w:p>
        </w:tc>
        <w:tc>
          <w:tcPr>
            <w:tcW w:w="2380" w:type="dxa"/>
            <w:vAlign w:val="center"/>
            <w:hideMark/>
          </w:tcPr>
          <w:p w14:paraId="00EDCE66"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Explore how patients are supported to use online GP services</w:t>
            </w:r>
          </w:p>
        </w:tc>
        <w:tc>
          <w:tcPr>
            <w:tcW w:w="1533" w:type="dxa"/>
            <w:vAlign w:val="center"/>
            <w:hideMark/>
          </w:tcPr>
          <w:p w14:paraId="3E13C56B"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Ethnographic study</w:t>
            </w:r>
          </w:p>
        </w:tc>
        <w:tc>
          <w:tcPr>
            <w:tcW w:w="2456" w:type="dxa"/>
            <w:vAlign w:val="center"/>
            <w:hideMark/>
          </w:tcPr>
          <w:p w14:paraId="178973B7"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Digital facilitation is necessary; access is not automatic </w:t>
            </w:r>
          </w:p>
        </w:tc>
      </w:tr>
      <w:tr w:rsidR="00C07B3F" w:rsidRPr="008A56E3" w14:paraId="43558CD7" w14:textId="77777777" w:rsidTr="00C07B3F">
        <w:trPr>
          <w:tblCellSpacing w:w="15" w:type="dxa"/>
        </w:trPr>
        <w:tc>
          <w:tcPr>
            <w:tcW w:w="1798" w:type="dxa"/>
            <w:vAlign w:val="center"/>
            <w:hideMark/>
          </w:tcPr>
          <w:p w14:paraId="2FAF90FD"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Rodrigues et al.</w:t>
            </w:r>
          </w:p>
        </w:tc>
        <w:tc>
          <w:tcPr>
            <w:tcW w:w="679" w:type="dxa"/>
            <w:vAlign w:val="center"/>
            <w:hideMark/>
          </w:tcPr>
          <w:p w14:paraId="7D59F76C"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2025</w:t>
            </w:r>
          </w:p>
        </w:tc>
        <w:tc>
          <w:tcPr>
            <w:tcW w:w="2380" w:type="dxa"/>
            <w:vAlign w:val="center"/>
            <w:hideMark/>
          </w:tcPr>
          <w:p w14:paraId="7F75EF4E"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Assess impact of digital access on equity and efficiency</w:t>
            </w:r>
          </w:p>
        </w:tc>
        <w:tc>
          <w:tcPr>
            <w:tcW w:w="1533" w:type="dxa"/>
            <w:vAlign w:val="center"/>
            <w:hideMark/>
          </w:tcPr>
          <w:p w14:paraId="6A6A73F3"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Quantitative (2.5M patients)</w:t>
            </w:r>
          </w:p>
        </w:tc>
        <w:tc>
          <w:tcPr>
            <w:tcW w:w="2456" w:type="dxa"/>
            <w:vAlign w:val="center"/>
            <w:hideMark/>
          </w:tcPr>
          <w:p w14:paraId="10EF31C8"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Increased overall access; no strong evidence of increased inequality </w:t>
            </w:r>
          </w:p>
        </w:tc>
      </w:tr>
      <w:tr w:rsidR="00C07B3F" w:rsidRPr="008A56E3" w14:paraId="2A92E531" w14:textId="77777777" w:rsidTr="00C07B3F">
        <w:trPr>
          <w:tblCellSpacing w:w="15" w:type="dxa"/>
        </w:trPr>
        <w:tc>
          <w:tcPr>
            <w:tcW w:w="1798" w:type="dxa"/>
            <w:vAlign w:val="center"/>
            <w:hideMark/>
          </w:tcPr>
          <w:p w14:paraId="4408DD03"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Turnbull et al.</w:t>
            </w:r>
          </w:p>
        </w:tc>
        <w:tc>
          <w:tcPr>
            <w:tcW w:w="679" w:type="dxa"/>
            <w:vAlign w:val="center"/>
            <w:hideMark/>
          </w:tcPr>
          <w:p w14:paraId="23138BD1"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2024</w:t>
            </w:r>
          </w:p>
        </w:tc>
        <w:tc>
          <w:tcPr>
            <w:tcW w:w="2380" w:type="dxa"/>
            <w:vAlign w:val="center"/>
            <w:hideMark/>
          </w:tcPr>
          <w:p w14:paraId="3FE78E98"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Examine relationship between eHealth literacy and NHS 111 use</w:t>
            </w:r>
          </w:p>
        </w:tc>
        <w:tc>
          <w:tcPr>
            <w:tcW w:w="1533" w:type="dxa"/>
            <w:vAlign w:val="center"/>
            <w:hideMark/>
          </w:tcPr>
          <w:p w14:paraId="31562381"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Survey (n=2754)</w:t>
            </w:r>
          </w:p>
        </w:tc>
        <w:tc>
          <w:tcPr>
            <w:tcW w:w="2456" w:type="dxa"/>
            <w:vAlign w:val="center"/>
            <w:hideMark/>
          </w:tcPr>
          <w:p w14:paraId="509CCDE0"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Higher digital literacy strongly associated with increased use </w:t>
            </w:r>
          </w:p>
        </w:tc>
      </w:tr>
      <w:tr w:rsidR="00C07B3F" w:rsidRPr="008A56E3" w14:paraId="5238C3A0" w14:textId="77777777" w:rsidTr="00C07B3F">
        <w:trPr>
          <w:tblCellSpacing w:w="15" w:type="dxa"/>
        </w:trPr>
        <w:tc>
          <w:tcPr>
            <w:tcW w:w="1798" w:type="dxa"/>
            <w:vAlign w:val="center"/>
            <w:hideMark/>
          </w:tcPr>
          <w:p w14:paraId="606F41F8"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Wattanapisit et al.</w:t>
            </w:r>
          </w:p>
        </w:tc>
        <w:tc>
          <w:tcPr>
            <w:tcW w:w="679" w:type="dxa"/>
            <w:vAlign w:val="center"/>
            <w:hideMark/>
          </w:tcPr>
          <w:p w14:paraId="2742B7A3" w14:textId="77777777" w:rsidR="00C07B3F" w:rsidRPr="008A56E3" w:rsidRDefault="00C07B3F" w:rsidP="003E697C">
            <w:pPr>
              <w:spacing w:after="0" w:line="360" w:lineRule="auto"/>
              <w:jc w:val="both"/>
              <w:rPr>
                <w:rFonts w:ascii="Arial" w:eastAsia="Times New Roman" w:hAnsi="Arial" w:cs="Arial"/>
                <w:sz w:val="22"/>
                <w:lang w:eastAsia="en-GB"/>
              </w:rPr>
            </w:pPr>
            <w:r w:rsidRPr="008A56E3">
              <w:rPr>
                <w:rFonts w:ascii="Arial" w:eastAsia="Times New Roman" w:hAnsi="Arial" w:cs="Arial"/>
                <w:sz w:val="22"/>
                <w:lang w:eastAsia="en-GB"/>
              </w:rPr>
              <w:t>2020</w:t>
            </w:r>
          </w:p>
        </w:tc>
        <w:tc>
          <w:tcPr>
            <w:tcW w:w="2380" w:type="dxa"/>
            <w:vAlign w:val="center"/>
            <w:hideMark/>
          </w:tcPr>
          <w:p w14:paraId="458BBB4F"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Evaluate ability of mHealth apps to perform GP tasks</w:t>
            </w:r>
          </w:p>
        </w:tc>
        <w:tc>
          <w:tcPr>
            <w:tcW w:w="1533" w:type="dxa"/>
            <w:vAlign w:val="center"/>
            <w:hideMark/>
          </w:tcPr>
          <w:p w14:paraId="1C9DB066"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Scoping review</w:t>
            </w:r>
          </w:p>
        </w:tc>
        <w:tc>
          <w:tcPr>
            <w:tcW w:w="2456" w:type="dxa"/>
            <w:vAlign w:val="center"/>
            <w:hideMark/>
          </w:tcPr>
          <w:p w14:paraId="688505B4" w14:textId="77777777" w:rsidR="00C07B3F" w:rsidRPr="008A56E3" w:rsidRDefault="00C07B3F" w:rsidP="003E697C">
            <w:pPr>
              <w:spacing w:after="0" w:line="360" w:lineRule="auto"/>
              <w:rPr>
                <w:rFonts w:ascii="Arial" w:eastAsia="Times New Roman" w:hAnsi="Arial" w:cs="Arial"/>
                <w:sz w:val="22"/>
                <w:lang w:eastAsia="en-GB"/>
              </w:rPr>
            </w:pPr>
            <w:r w:rsidRPr="008A56E3">
              <w:rPr>
                <w:rFonts w:ascii="Arial" w:eastAsia="Times New Roman" w:hAnsi="Arial" w:cs="Arial"/>
                <w:sz w:val="22"/>
                <w:lang w:eastAsia="en-GB"/>
              </w:rPr>
              <w:t>Apps support care delivery but cannot fully replace GPs </w:t>
            </w:r>
          </w:p>
        </w:tc>
      </w:tr>
    </w:tbl>
    <w:p w14:paraId="724345CA" w14:textId="77777777" w:rsidR="003103BF" w:rsidRDefault="003103BF" w:rsidP="0063038C">
      <w:pPr>
        <w:spacing w:line="360" w:lineRule="auto"/>
        <w:ind w:firstLine="720"/>
        <w:jc w:val="both"/>
        <w:rPr>
          <w:rFonts w:ascii="Arial" w:hAnsi="Arial" w:cs="Arial"/>
          <w:sz w:val="22"/>
        </w:rPr>
      </w:pPr>
    </w:p>
    <w:p w14:paraId="1BA69237" w14:textId="77777777" w:rsidR="00C07B3F" w:rsidRDefault="00C07B3F" w:rsidP="0063038C">
      <w:pPr>
        <w:spacing w:line="360" w:lineRule="auto"/>
        <w:ind w:firstLine="720"/>
        <w:jc w:val="both"/>
        <w:rPr>
          <w:rFonts w:ascii="Arial" w:hAnsi="Arial" w:cs="Arial"/>
          <w:sz w:val="22"/>
        </w:rPr>
      </w:pPr>
    </w:p>
    <w:p w14:paraId="2D151207" w14:textId="681E484F" w:rsidR="00C07B3F" w:rsidRPr="002376D8" w:rsidRDefault="002E14EF" w:rsidP="002E14EF">
      <w:pPr>
        <w:spacing w:line="360" w:lineRule="auto"/>
        <w:jc w:val="both"/>
        <w:rPr>
          <w:rFonts w:ascii="Arial" w:hAnsi="Arial" w:cs="Arial"/>
          <w:b/>
          <w:bCs/>
          <w:sz w:val="22"/>
        </w:rPr>
      </w:pPr>
      <w:r w:rsidRPr="002376D8">
        <w:rPr>
          <w:rFonts w:ascii="Arial" w:hAnsi="Arial" w:cs="Arial"/>
          <w:b/>
          <w:bCs/>
          <w:sz w:val="22"/>
        </w:rPr>
        <w:lastRenderedPageBreak/>
        <w:t>4.2 Thematic Analysis</w:t>
      </w:r>
    </w:p>
    <w:p w14:paraId="75C25745" w14:textId="77777777" w:rsidR="002E14EF" w:rsidRDefault="002E14EF" w:rsidP="002E14EF">
      <w:pPr>
        <w:spacing w:line="360" w:lineRule="auto"/>
        <w:jc w:val="both"/>
        <w:rPr>
          <w:rFonts w:ascii="Arial" w:hAnsi="Arial" w:cs="Arial"/>
          <w:sz w:val="22"/>
        </w:rPr>
      </w:pPr>
    </w:p>
    <w:p w14:paraId="3EC67B6C" w14:textId="66A9ECE1" w:rsidR="002E14EF" w:rsidRDefault="002376D8" w:rsidP="002376D8">
      <w:pPr>
        <w:spacing w:line="360" w:lineRule="auto"/>
        <w:ind w:firstLine="720"/>
        <w:jc w:val="both"/>
        <w:rPr>
          <w:rFonts w:ascii="Arial" w:hAnsi="Arial" w:cs="Arial"/>
          <w:sz w:val="22"/>
        </w:rPr>
      </w:pPr>
      <w:r w:rsidRPr="002376D8">
        <w:rPr>
          <w:rFonts w:ascii="Arial" w:hAnsi="Arial" w:cs="Arial"/>
          <w:sz w:val="22"/>
        </w:rPr>
        <w:t>Thematic analysis of the chosen papers revealed five significant themes on the efficacy of digital healthcare technology in enhancing access to primary care.</w:t>
      </w:r>
    </w:p>
    <w:p w14:paraId="45A3E1E3" w14:textId="77777777" w:rsidR="00373DAA" w:rsidRDefault="00373DAA" w:rsidP="000C7A89">
      <w:pPr>
        <w:spacing w:line="360" w:lineRule="auto"/>
        <w:jc w:val="both"/>
        <w:rPr>
          <w:rFonts w:ascii="Arial" w:hAnsi="Arial" w:cs="Arial"/>
          <w:sz w:val="22"/>
        </w:rPr>
      </w:pPr>
    </w:p>
    <w:p w14:paraId="392EA6A5" w14:textId="3AB4C563" w:rsidR="005259E3" w:rsidRPr="005259E3" w:rsidRDefault="000C7A89" w:rsidP="000C7A89">
      <w:pPr>
        <w:spacing w:line="360" w:lineRule="auto"/>
        <w:jc w:val="both"/>
        <w:rPr>
          <w:rFonts w:ascii="Arial" w:hAnsi="Arial" w:cs="Arial"/>
          <w:b/>
          <w:bCs/>
          <w:sz w:val="22"/>
        </w:rPr>
      </w:pPr>
      <w:r w:rsidRPr="005259E3">
        <w:rPr>
          <w:rFonts w:ascii="Arial" w:hAnsi="Arial" w:cs="Arial"/>
          <w:b/>
          <w:bCs/>
          <w:sz w:val="22"/>
        </w:rPr>
        <w:t xml:space="preserve">4.2.1 Theme </w:t>
      </w:r>
      <w:r w:rsidR="00B62B97" w:rsidRPr="005259E3">
        <w:rPr>
          <w:rFonts w:ascii="Arial" w:hAnsi="Arial" w:cs="Arial"/>
          <w:b/>
          <w:bCs/>
          <w:sz w:val="22"/>
        </w:rPr>
        <w:t>1:</w:t>
      </w:r>
      <w:r w:rsidRPr="005259E3">
        <w:rPr>
          <w:rFonts w:ascii="Arial" w:hAnsi="Arial" w:cs="Arial"/>
          <w:b/>
          <w:bCs/>
          <w:sz w:val="22"/>
        </w:rPr>
        <w:t xml:space="preserve"> </w:t>
      </w:r>
      <w:r w:rsidR="002D1C53" w:rsidRPr="008A56E3">
        <w:rPr>
          <w:rFonts w:ascii="Arial" w:eastAsia="Times New Roman" w:hAnsi="Arial" w:cs="Arial"/>
          <w:b/>
          <w:bCs/>
          <w:color w:val="000000"/>
          <w:sz w:val="22"/>
          <w:lang w:eastAsia="en-GB"/>
        </w:rPr>
        <w:t>Digital technologies increase access and service utilisation</w:t>
      </w:r>
    </w:p>
    <w:p w14:paraId="622C4C77" w14:textId="5D203F70" w:rsidR="000C7A89" w:rsidRDefault="0098252D" w:rsidP="005259E3">
      <w:pPr>
        <w:spacing w:line="360" w:lineRule="auto"/>
        <w:ind w:firstLine="720"/>
        <w:jc w:val="both"/>
        <w:rPr>
          <w:rFonts w:ascii="Arial" w:hAnsi="Arial" w:cs="Arial"/>
          <w:sz w:val="22"/>
        </w:rPr>
      </w:pPr>
      <w:r w:rsidRPr="0098252D">
        <w:rPr>
          <w:rFonts w:ascii="Arial" w:hAnsi="Arial" w:cs="Arial"/>
          <w:sz w:val="22"/>
        </w:rPr>
        <w:t>All studies found that digital healthcare technology can improve access to primary care by expanding the number and variety of touch points between patients and services. The emergence of internet access platforms enables patients to submit requests at any time, eliminating the limits associated with traditional operating hours and phone-based systems.</w:t>
      </w:r>
    </w:p>
    <w:p w14:paraId="0438AFBE" w14:textId="65705DFA" w:rsidR="005259E3" w:rsidRPr="005259E3" w:rsidRDefault="005259E3" w:rsidP="005259E3">
      <w:pPr>
        <w:spacing w:line="360" w:lineRule="auto"/>
        <w:ind w:firstLine="720"/>
        <w:jc w:val="both"/>
        <w:rPr>
          <w:rFonts w:ascii="Arial" w:hAnsi="Arial" w:cs="Arial"/>
          <w:sz w:val="22"/>
        </w:rPr>
      </w:pPr>
      <w:r w:rsidRPr="005259E3">
        <w:rPr>
          <w:rFonts w:ascii="Arial" w:hAnsi="Arial" w:cs="Arial"/>
          <w:sz w:val="22"/>
        </w:rPr>
        <w:t>Rodrigues et al.</w:t>
      </w:r>
      <w:r w:rsidR="00167503">
        <w:rPr>
          <w:rFonts w:ascii="Arial" w:hAnsi="Arial" w:cs="Arial"/>
          <w:sz w:val="22"/>
        </w:rPr>
        <w:t xml:space="preserve"> (2025)</w:t>
      </w:r>
      <w:r w:rsidRPr="005259E3">
        <w:rPr>
          <w:rFonts w:ascii="Arial" w:hAnsi="Arial" w:cs="Arial"/>
          <w:sz w:val="22"/>
        </w:rPr>
        <w:t xml:space="preserve"> discovered that implementing internet access routes in general practice resulted in an overall increase in patient-provider contacts, indicating increased service availability and responsiveness. Similarly, digital solutions like NHS 111 Online allow patients to obtain guidance and triage without having to visit a facility in person, making it more convenient.</w:t>
      </w:r>
    </w:p>
    <w:p w14:paraId="7DC625A3" w14:textId="61243585" w:rsidR="005259E3" w:rsidRDefault="005259E3" w:rsidP="005259E3">
      <w:pPr>
        <w:spacing w:line="360" w:lineRule="auto"/>
        <w:jc w:val="both"/>
        <w:rPr>
          <w:rFonts w:ascii="Arial" w:hAnsi="Arial" w:cs="Arial"/>
          <w:sz w:val="22"/>
        </w:rPr>
      </w:pPr>
      <w:r w:rsidRPr="005259E3">
        <w:rPr>
          <w:rFonts w:ascii="Arial" w:hAnsi="Arial" w:cs="Arial"/>
          <w:sz w:val="22"/>
        </w:rPr>
        <w:t>These findings suggest that digital technologies can eliminate structural obstacles to access, particularly those based on time and place.</w:t>
      </w:r>
      <w:r w:rsidR="00512CE1">
        <w:rPr>
          <w:rFonts w:ascii="Arial" w:hAnsi="Arial" w:cs="Arial"/>
          <w:sz w:val="22"/>
        </w:rPr>
        <w:t xml:space="preserve"> </w:t>
      </w:r>
    </w:p>
    <w:p w14:paraId="143C9411" w14:textId="77777777" w:rsidR="00414FA9" w:rsidRDefault="00414FA9" w:rsidP="005259E3">
      <w:pPr>
        <w:spacing w:line="360" w:lineRule="auto"/>
        <w:jc w:val="both"/>
        <w:rPr>
          <w:rFonts w:ascii="Arial" w:hAnsi="Arial" w:cs="Arial"/>
          <w:sz w:val="22"/>
        </w:rPr>
      </w:pPr>
    </w:p>
    <w:p w14:paraId="0C9B6A36" w14:textId="77777777" w:rsidR="00C547F9" w:rsidRPr="008A56E3" w:rsidRDefault="00C547F9" w:rsidP="00C547F9">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4.2.2 Theme 2: Access is influenced by digital literacy and user capability</w:t>
      </w:r>
    </w:p>
    <w:p w14:paraId="2D856C5F" w14:textId="77777777" w:rsidR="00414FA9" w:rsidRDefault="00414FA9" w:rsidP="005259E3">
      <w:pPr>
        <w:spacing w:line="360" w:lineRule="auto"/>
        <w:jc w:val="both"/>
        <w:rPr>
          <w:rFonts w:ascii="Arial" w:hAnsi="Arial" w:cs="Arial"/>
          <w:sz w:val="22"/>
        </w:rPr>
      </w:pPr>
    </w:p>
    <w:p w14:paraId="6DFB86F7" w14:textId="1D5B9A9B" w:rsidR="00414FA9" w:rsidRPr="00414FA9" w:rsidRDefault="00414FA9" w:rsidP="00414FA9">
      <w:pPr>
        <w:spacing w:line="360" w:lineRule="auto"/>
        <w:ind w:firstLine="720"/>
        <w:jc w:val="both"/>
        <w:rPr>
          <w:rFonts w:ascii="Arial" w:hAnsi="Arial" w:cs="Arial"/>
          <w:sz w:val="22"/>
        </w:rPr>
      </w:pPr>
      <w:r w:rsidRPr="00414FA9">
        <w:rPr>
          <w:rFonts w:ascii="Arial" w:hAnsi="Arial" w:cs="Arial"/>
          <w:sz w:val="22"/>
        </w:rPr>
        <w:t>Despite availability increases, patients' ability to use digital healthcare services efficiently has a significant impact on their access. Turnbull et al.</w:t>
      </w:r>
      <w:r w:rsidR="002D1C53">
        <w:rPr>
          <w:rFonts w:ascii="Arial" w:hAnsi="Arial" w:cs="Arial"/>
          <w:sz w:val="22"/>
        </w:rPr>
        <w:t xml:space="preserve"> (2024) </w:t>
      </w:r>
      <w:r w:rsidRPr="00414FA9">
        <w:rPr>
          <w:rFonts w:ascii="Arial" w:hAnsi="Arial" w:cs="Arial"/>
          <w:sz w:val="22"/>
        </w:rPr>
        <w:t>discovered a substantial link between eHealth literacy and the usage of NHS 111 Online, with those with higher digital literacy being more likely to engage with digital services.</w:t>
      </w:r>
    </w:p>
    <w:p w14:paraId="65759276" w14:textId="77777777" w:rsidR="00414FA9" w:rsidRPr="00414FA9" w:rsidRDefault="00414FA9" w:rsidP="00414FA9">
      <w:pPr>
        <w:spacing w:line="360" w:lineRule="auto"/>
        <w:ind w:firstLine="720"/>
        <w:jc w:val="both"/>
        <w:rPr>
          <w:rFonts w:ascii="Arial" w:hAnsi="Arial" w:cs="Arial"/>
          <w:sz w:val="22"/>
        </w:rPr>
      </w:pPr>
      <w:r w:rsidRPr="00414FA9">
        <w:rPr>
          <w:rFonts w:ascii="Arial" w:hAnsi="Arial" w:cs="Arial"/>
          <w:sz w:val="22"/>
        </w:rPr>
        <w:t>The study also discovered that younger people and those with greater levels of education were more likely to use digital health services, whereas those with chronic diseases had lower digital literacy ratings. This implies that the benefits of digital healthcare are not dispersed fairly throughout the population.</w:t>
      </w:r>
    </w:p>
    <w:p w14:paraId="3F2DE930" w14:textId="6A80A5E3" w:rsidR="00414FA9" w:rsidRDefault="00414FA9" w:rsidP="00414FA9">
      <w:pPr>
        <w:spacing w:line="360" w:lineRule="auto"/>
        <w:ind w:firstLine="720"/>
        <w:jc w:val="both"/>
        <w:rPr>
          <w:rFonts w:ascii="Arial" w:hAnsi="Arial" w:cs="Arial"/>
          <w:sz w:val="22"/>
        </w:rPr>
      </w:pPr>
      <w:r w:rsidRPr="00414FA9">
        <w:rPr>
          <w:rFonts w:ascii="Arial" w:hAnsi="Arial" w:cs="Arial"/>
          <w:sz w:val="22"/>
        </w:rPr>
        <w:t>These findings demonstrate that access is determined not just by service availability, but also by user capabilities.</w:t>
      </w:r>
    </w:p>
    <w:p w14:paraId="608DB464" w14:textId="77777777" w:rsidR="00251ED9" w:rsidRPr="008A56E3" w:rsidRDefault="00251ED9" w:rsidP="00251ED9">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lastRenderedPageBreak/>
        <w:t>4.2.3 Theme 3: Digital facilitation is essential to enable access</w:t>
      </w:r>
    </w:p>
    <w:p w14:paraId="0D4B9BF3" w14:textId="316D8EB0" w:rsidR="007418C3" w:rsidRPr="007418C3" w:rsidRDefault="007418C3" w:rsidP="007418C3">
      <w:pPr>
        <w:spacing w:line="360" w:lineRule="auto"/>
        <w:ind w:firstLine="720"/>
        <w:jc w:val="both"/>
        <w:rPr>
          <w:rFonts w:ascii="Arial" w:hAnsi="Arial" w:cs="Arial"/>
          <w:sz w:val="22"/>
        </w:rPr>
      </w:pPr>
      <w:r w:rsidRPr="007418C3">
        <w:rPr>
          <w:rFonts w:ascii="Arial" w:hAnsi="Arial" w:cs="Arial"/>
          <w:sz w:val="22"/>
        </w:rPr>
        <w:t>Newbould</w:t>
      </w:r>
      <w:r w:rsidR="002A4245">
        <w:rPr>
          <w:rFonts w:ascii="Arial" w:hAnsi="Arial" w:cs="Arial"/>
          <w:sz w:val="22"/>
        </w:rPr>
        <w:t xml:space="preserve"> </w:t>
      </w:r>
      <w:r w:rsidRPr="007418C3">
        <w:rPr>
          <w:rFonts w:ascii="Arial" w:hAnsi="Arial" w:cs="Arial"/>
          <w:sz w:val="22"/>
        </w:rPr>
        <w:t>et</w:t>
      </w:r>
      <w:r w:rsidR="002A4245">
        <w:rPr>
          <w:rFonts w:ascii="Arial" w:hAnsi="Arial" w:cs="Arial"/>
          <w:sz w:val="22"/>
        </w:rPr>
        <w:t xml:space="preserve"> </w:t>
      </w:r>
      <w:r w:rsidRPr="007418C3">
        <w:rPr>
          <w:rFonts w:ascii="Arial" w:hAnsi="Arial" w:cs="Arial"/>
          <w:sz w:val="22"/>
        </w:rPr>
        <w:t>al.</w:t>
      </w:r>
      <w:r w:rsidR="00B90E56">
        <w:rPr>
          <w:rFonts w:ascii="Arial" w:hAnsi="Arial" w:cs="Arial"/>
          <w:sz w:val="22"/>
        </w:rPr>
        <w:t xml:space="preserve"> </w:t>
      </w:r>
      <w:r w:rsidR="0092139C">
        <w:rPr>
          <w:rFonts w:ascii="Arial" w:hAnsi="Arial" w:cs="Arial"/>
          <w:sz w:val="22"/>
        </w:rPr>
        <w:t xml:space="preserve">(2025) </w:t>
      </w:r>
      <w:r w:rsidRPr="007418C3">
        <w:rPr>
          <w:rFonts w:ascii="Arial" w:hAnsi="Arial" w:cs="Arial"/>
          <w:sz w:val="22"/>
        </w:rPr>
        <w:t>qualitative analysis revealed the relevance of support structures in facilitating access. Their findings revealed that patients frequently require assistance to use online general practice services, a procedure known as "digital facilitation."</w:t>
      </w:r>
    </w:p>
    <w:p w14:paraId="28AA6975" w14:textId="77777777" w:rsidR="007418C3" w:rsidRPr="007418C3" w:rsidRDefault="007418C3" w:rsidP="007418C3">
      <w:pPr>
        <w:spacing w:line="360" w:lineRule="auto"/>
        <w:ind w:firstLine="720"/>
        <w:jc w:val="both"/>
        <w:rPr>
          <w:rFonts w:ascii="Arial" w:hAnsi="Arial" w:cs="Arial"/>
          <w:sz w:val="22"/>
        </w:rPr>
      </w:pPr>
      <w:r w:rsidRPr="007418C3">
        <w:rPr>
          <w:rFonts w:ascii="Arial" w:hAnsi="Arial" w:cs="Arial"/>
          <w:sz w:val="22"/>
        </w:rPr>
        <w:t>Digital facilitation was primarily provided informally by practice personnel, notably receptionists, who assisted patients in navigating systems, registering for services, and understanding how to utilise them. However, this assistance was frequently uneven and not properly defined within practical processes.</w:t>
      </w:r>
    </w:p>
    <w:p w14:paraId="1BCE266A" w14:textId="2C9C7F7A" w:rsidR="00A9525D" w:rsidRDefault="007418C3" w:rsidP="007418C3">
      <w:pPr>
        <w:spacing w:line="360" w:lineRule="auto"/>
        <w:ind w:firstLine="720"/>
        <w:jc w:val="both"/>
        <w:rPr>
          <w:rFonts w:ascii="Arial" w:hAnsi="Arial" w:cs="Arial"/>
          <w:sz w:val="22"/>
        </w:rPr>
      </w:pPr>
      <w:r w:rsidRPr="007418C3">
        <w:rPr>
          <w:rFonts w:ascii="Arial" w:hAnsi="Arial" w:cs="Arial"/>
          <w:sz w:val="22"/>
        </w:rPr>
        <w:t>These findings indicate that the existence of digital technology alone is inadequate to assure greater access; robust support mechanisms are required for patients to benefit from these services.</w:t>
      </w:r>
    </w:p>
    <w:p w14:paraId="5A5F0144" w14:textId="77777777" w:rsidR="0068760C" w:rsidRDefault="0068760C" w:rsidP="007418C3">
      <w:pPr>
        <w:spacing w:line="360" w:lineRule="auto"/>
        <w:ind w:firstLine="720"/>
        <w:jc w:val="both"/>
        <w:rPr>
          <w:rFonts w:ascii="Arial" w:hAnsi="Arial" w:cs="Arial"/>
          <w:sz w:val="22"/>
        </w:rPr>
      </w:pPr>
    </w:p>
    <w:p w14:paraId="1C173F07" w14:textId="644DF7FB" w:rsidR="0092139C" w:rsidRPr="0068760C" w:rsidRDefault="0068760C" w:rsidP="0068760C">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4.2.4 Theme 4: Digital technologies complement but do not replace primary care</w:t>
      </w:r>
    </w:p>
    <w:p w14:paraId="2A5FA8E7" w14:textId="2C402E3C" w:rsidR="00A60214" w:rsidRPr="00A60214" w:rsidRDefault="00A60214" w:rsidP="00A60214">
      <w:pPr>
        <w:spacing w:line="360" w:lineRule="auto"/>
        <w:ind w:firstLine="720"/>
        <w:jc w:val="both"/>
        <w:rPr>
          <w:rFonts w:ascii="Arial" w:hAnsi="Arial" w:cs="Arial"/>
          <w:sz w:val="22"/>
        </w:rPr>
      </w:pPr>
      <w:r w:rsidRPr="00A60214">
        <w:rPr>
          <w:rFonts w:ascii="Arial" w:hAnsi="Arial" w:cs="Arial"/>
          <w:sz w:val="22"/>
        </w:rPr>
        <w:t xml:space="preserve">Wattanapisit et al. </w:t>
      </w:r>
      <w:r w:rsidR="0068760C">
        <w:rPr>
          <w:rFonts w:ascii="Arial" w:hAnsi="Arial" w:cs="Arial"/>
          <w:sz w:val="22"/>
        </w:rPr>
        <w:t xml:space="preserve">(2020) </w:t>
      </w:r>
      <w:r w:rsidRPr="00A60214">
        <w:rPr>
          <w:rFonts w:ascii="Arial" w:hAnsi="Arial" w:cs="Arial"/>
          <w:sz w:val="22"/>
        </w:rPr>
        <w:t xml:space="preserve">present an overview of the possibilities and limits of mobile health applications in primary care. The study discovered that such technologies </w:t>
      </w:r>
      <w:r w:rsidR="009E65B5" w:rsidRPr="00A60214">
        <w:rPr>
          <w:rFonts w:ascii="Arial" w:hAnsi="Arial" w:cs="Arial"/>
          <w:sz w:val="22"/>
        </w:rPr>
        <w:t>could</w:t>
      </w:r>
      <w:r w:rsidRPr="00A60214">
        <w:rPr>
          <w:rFonts w:ascii="Arial" w:hAnsi="Arial" w:cs="Arial"/>
          <w:sz w:val="22"/>
        </w:rPr>
        <w:t xml:space="preserve"> do a variety of functions usually performed by general practitioners, such as health monitoring, data collecting, and decision assistance.</w:t>
      </w:r>
    </w:p>
    <w:p w14:paraId="32DF61C9" w14:textId="77777777" w:rsidR="00A60214" w:rsidRDefault="00A60214" w:rsidP="00A60214">
      <w:pPr>
        <w:spacing w:line="360" w:lineRule="auto"/>
        <w:ind w:firstLine="720"/>
        <w:jc w:val="both"/>
        <w:rPr>
          <w:rFonts w:ascii="Arial" w:hAnsi="Arial" w:cs="Arial"/>
          <w:sz w:val="22"/>
        </w:rPr>
      </w:pPr>
      <w:r w:rsidRPr="00A60214">
        <w:rPr>
          <w:rFonts w:ascii="Arial" w:hAnsi="Arial" w:cs="Arial"/>
          <w:sz w:val="22"/>
        </w:rPr>
        <w:t>However, the study identified significant shortcomings. Mobile health applications cannot do physical examinations, provide advanced clinical treatment, or coordinate multidisciplinary services. As a result, they cannot entirely replace the job of general practitioners.</w:t>
      </w:r>
    </w:p>
    <w:p w14:paraId="5B9F3D3E" w14:textId="77777777" w:rsidR="00B16ED3" w:rsidRDefault="00B16ED3" w:rsidP="00B16ED3">
      <w:pPr>
        <w:spacing w:line="360" w:lineRule="auto"/>
        <w:jc w:val="both"/>
        <w:rPr>
          <w:rFonts w:ascii="Arial" w:hAnsi="Arial" w:cs="Arial"/>
          <w:sz w:val="22"/>
        </w:rPr>
      </w:pPr>
    </w:p>
    <w:p w14:paraId="30C44A74" w14:textId="77777777" w:rsidR="0048117D" w:rsidRDefault="0048117D" w:rsidP="0048117D">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4.3 Summary of Findings</w:t>
      </w:r>
    </w:p>
    <w:p w14:paraId="5F19FD6A" w14:textId="166B877F" w:rsidR="003878F0" w:rsidRPr="003878F0" w:rsidRDefault="003878F0" w:rsidP="003C4B0E">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3878F0">
        <w:rPr>
          <w:rFonts w:ascii="Arial" w:eastAsia="Times New Roman" w:hAnsi="Arial" w:cs="Arial"/>
          <w:color w:val="000000"/>
          <w:sz w:val="22"/>
          <w:lang w:eastAsia="en-GB"/>
        </w:rPr>
        <w:t>The influence of digital healthcare technology on equality of access was shown to be complicated and inconsistent among research</w:t>
      </w:r>
      <w:r w:rsidR="003C4B0E">
        <w:rPr>
          <w:rFonts w:ascii="Arial" w:eastAsia="Times New Roman" w:hAnsi="Arial" w:cs="Arial"/>
          <w:color w:val="000000"/>
          <w:sz w:val="22"/>
          <w:lang w:eastAsia="en-GB"/>
        </w:rPr>
        <w:t xml:space="preserve">, </w:t>
      </w:r>
      <w:r w:rsidRPr="003878F0">
        <w:rPr>
          <w:rFonts w:ascii="Arial" w:eastAsia="Times New Roman" w:hAnsi="Arial" w:cs="Arial"/>
          <w:color w:val="000000"/>
          <w:sz w:val="22"/>
          <w:lang w:eastAsia="en-GB"/>
        </w:rPr>
        <w:t>Rodrigues et al.</w:t>
      </w:r>
      <w:r w:rsidR="003C4B0E">
        <w:rPr>
          <w:rFonts w:ascii="Arial" w:eastAsia="Times New Roman" w:hAnsi="Arial" w:cs="Arial"/>
          <w:color w:val="000000"/>
          <w:sz w:val="22"/>
          <w:lang w:eastAsia="en-GB"/>
        </w:rPr>
        <w:t xml:space="preserve"> (2025)</w:t>
      </w:r>
      <w:r w:rsidRPr="003878F0">
        <w:rPr>
          <w:rFonts w:ascii="Arial" w:eastAsia="Times New Roman" w:hAnsi="Arial" w:cs="Arial"/>
          <w:color w:val="000000"/>
          <w:sz w:val="22"/>
          <w:lang w:eastAsia="en-GB"/>
        </w:rPr>
        <w:t xml:space="preserve"> found no substantial rise in inequality following the implementation of internet access platforms, demonstrating that digital technologies did not disadvantage older or lower socioeconomic groups in quantitative terms.</w:t>
      </w:r>
    </w:p>
    <w:p w14:paraId="72F0F9D4" w14:textId="664E28BD" w:rsidR="0048117D" w:rsidRDefault="003878F0" w:rsidP="003C4B0E">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3878F0">
        <w:rPr>
          <w:rFonts w:ascii="Arial" w:eastAsia="Times New Roman" w:hAnsi="Arial" w:cs="Arial"/>
          <w:color w:val="000000"/>
          <w:sz w:val="22"/>
          <w:lang w:eastAsia="en-GB"/>
        </w:rPr>
        <w:t>Turnbull et al.</w:t>
      </w:r>
      <w:r w:rsidR="008B4909">
        <w:rPr>
          <w:rFonts w:ascii="Arial" w:eastAsia="Times New Roman" w:hAnsi="Arial" w:cs="Arial"/>
          <w:color w:val="000000"/>
          <w:sz w:val="22"/>
          <w:lang w:eastAsia="en-GB"/>
        </w:rPr>
        <w:t xml:space="preserve"> (2024)</w:t>
      </w:r>
      <w:r w:rsidRPr="003878F0">
        <w:rPr>
          <w:rFonts w:ascii="Arial" w:eastAsia="Times New Roman" w:hAnsi="Arial" w:cs="Arial"/>
          <w:color w:val="000000"/>
          <w:sz w:val="22"/>
          <w:lang w:eastAsia="en-GB"/>
        </w:rPr>
        <w:t xml:space="preserve">, on the other hand, found obvious inequalities in utilisation associated with digital literacy and demographic characteristics, implying that some </w:t>
      </w:r>
      <w:r w:rsidRPr="003878F0">
        <w:rPr>
          <w:rFonts w:ascii="Arial" w:eastAsia="Times New Roman" w:hAnsi="Arial" w:cs="Arial"/>
          <w:color w:val="000000"/>
          <w:sz w:val="22"/>
          <w:lang w:eastAsia="en-GB"/>
        </w:rPr>
        <w:lastRenderedPageBreak/>
        <w:t>populations are less equipped to profit from digital services. Furthermore, Newbould et al.</w:t>
      </w:r>
      <w:r w:rsidR="008B4909">
        <w:rPr>
          <w:rFonts w:ascii="Arial" w:eastAsia="Times New Roman" w:hAnsi="Arial" w:cs="Arial"/>
          <w:color w:val="000000"/>
          <w:sz w:val="22"/>
          <w:lang w:eastAsia="en-GB"/>
        </w:rPr>
        <w:t xml:space="preserve"> (</w:t>
      </w:r>
      <w:r w:rsidR="00204E49">
        <w:rPr>
          <w:rFonts w:ascii="Arial" w:eastAsia="Times New Roman" w:hAnsi="Arial" w:cs="Arial"/>
          <w:color w:val="000000"/>
          <w:sz w:val="22"/>
          <w:lang w:eastAsia="en-GB"/>
        </w:rPr>
        <w:t>2025</w:t>
      </w:r>
      <w:r w:rsidR="008B4909">
        <w:rPr>
          <w:rFonts w:ascii="Arial" w:eastAsia="Times New Roman" w:hAnsi="Arial" w:cs="Arial"/>
          <w:color w:val="000000"/>
          <w:sz w:val="22"/>
          <w:lang w:eastAsia="en-GB"/>
        </w:rPr>
        <w:t>)</w:t>
      </w:r>
      <w:r w:rsidRPr="003878F0">
        <w:rPr>
          <w:rFonts w:ascii="Arial" w:eastAsia="Times New Roman" w:hAnsi="Arial" w:cs="Arial"/>
          <w:color w:val="000000"/>
          <w:sz w:val="22"/>
          <w:lang w:eastAsia="en-GB"/>
        </w:rPr>
        <w:t xml:space="preserve"> said that certain patient groups require additional assistance to access digital services, indicating possible disparities.</w:t>
      </w:r>
    </w:p>
    <w:p w14:paraId="545F85E5" w14:textId="7BAFFD8F" w:rsidR="00902B37" w:rsidRPr="00902B37" w:rsidRDefault="00902B37" w:rsidP="00902B37">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902B37">
        <w:rPr>
          <w:rFonts w:ascii="Arial" w:eastAsia="Times New Roman" w:hAnsi="Arial" w:cs="Arial"/>
          <w:color w:val="000000"/>
          <w:sz w:val="22"/>
          <w:lang w:eastAsia="en-GB"/>
        </w:rPr>
        <w:t>Overall, the findings show that digital healthcare technologies have the potential to improve access to primary care in the UK by boosting service availability and flexibility. However, numerous significant elements impact their efficacy, including digital literacy, user support, and technology's limits in providing complete treatment</w:t>
      </w:r>
      <w:r w:rsidR="006E197F">
        <w:rPr>
          <w:rFonts w:ascii="Arial" w:eastAsia="Times New Roman" w:hAnsi="Arial" w:cs="Arial"/>
          <w:color w:val="000000"/>
          <w:sz w:val="22"/>
          <w:lang w:eastAsia="en-GB"/>
        </w:rPr>
        <w:t xml:space="preserve"> (Knowles et al., 2024)</w:t>
      </w:r>
      <w:r w:rsidRPr="00902B37">
        <w:rPr>
          <w:rFonts w:ascii="Arial" w:eastAsia="Times New Roman" w:hAnsi="Arial" w:cs="Arial"/>
          <w:color w:val="000000"/>
          <w:sz w:val="22"/>
          <w:lang w:eastAsia="en-GB"/>
        </w:rPr>
        <w:t>.</w:t>
      </w:r>
      <w:r w:rsidR="00376310">
        <w:rPr>
          <w:rFonts w:ascii="Arial" w:eastAsia="Times New Roman" w:hAnsi="Arial" w:cs="Arial"/>
          <w:color w:val="000000"/>
          <w:sz w:val="22"/>
          <w:lang w:eastAsia="en-GB"/>
        </w:rPr>
        <w:t xml:space="preserve"> </w:t>
      </w:r>
    </w:p>
    <w:p w14:paraId="6D649AD8" w14:textId="5F0A5C00" w:rsidR="00B90E56" w:rsidRDefault="00902B37" w:rsidP="0093357F">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902B37">
        <w:rPr>
          <w:rFonts w:ascii="Arial" w:eastAsia="Times New Roman" w:hAnsi="Arial" w:cs="Arial"/>
          <w:color w:val="000000"/>
          <w:sz w:val="22"/>
          <w:lang w:eastAsia="en-GB"/>
        </w:rPr>
        <w:t>The findings also underscore persistent issues about equality, implying that digital approaches to healthcare may benefit some populations more than others unless specific efforts are taken to remove obstacles to access</w:t>
      </w:r>
      <w:r w:rsidR="00D73CF9">
        <w:rPr>
          <w:rFonts w:ascii="Arial" w:eastAsia="Times New Roman" w:hAnsi="Arial" w:cs="Arial"/>
          <w:color w:val="000000"/>
          <w:sz w:val="22"/>
          <w:lang w:eastAsia="en-GB"/>
        </w:rPr>
        <w:t xml:space="preserve"> (Warwick-Giles et al., 2024)</w:t>
      </w:r>
      <w:r w:rsidRPr="00902B37">
        <w:rPr>
          <w:rFonts w:ascii="Arial" w:eastAsia="Times New Roman" w:hAnsi="Arial" w:cs="Arial"/>
          <w:color w:val="000000"/>
          <w:sz w:val="22"/>
          <w:lang w:eastAsia="en-GB"/>
        </w:rPr>
        <w:t>.</w:t>
      </w:r>
    </w:p>
    <w:p w14:paraId="43FEAE08" w14:textId="77777777" w:rsidR="0093357F" w:rsidRPr="0093357F" w:rsidRDefault="0093357F" w:rsidP="0093357F">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5C43254D" w14:textId="209882EA" w:rsidR="00B87E75" w:rsidRPr="009A688A" w:rsidRDefault="004A736E" w:rsidP="004119B0">
      <w:pPr>
        <w:pStyle w:val="Heading1"/>
      </w:pPr>
      <w:r w:rsidRPr="009A688A">
        <w:t>5</w:t>
      </w:r>
      <w:r w:rsidR="00B87E75" w:rsidRPr="009A688A">
        <w:t>. Discussion</w:t>
      </w:r>
    </w:p>
    <w:p w14:paraId="44EA4856" w14:textId="77777777" w:rsidR="004A45D0" w:rsidRDefault="004A45D0" w:rsidP="004A45D0">
      <w:pPr>
        <w:tabs>
          <w:tab w:val="left" w:pos="6540"/>
        </w:tabs>
        <w:spacing w:line="360" w:lineRule="auto"/>
        <w:jc w:val="both"/>
        <w:rPr>
          <w:rFonts w:ascii="Arial" w:hAnsi="Arial" w:cs="Arial"/>
          <w:sz w:val="22"/>
        </w:rPr>
      </w:pPr>
    </w:p>
    <w:p w14:paraId="3045C655" w14:textId="68F924A3" w:rsidR="00A7424F" w:rsidRDefault="004A45D0" w:rsidP="004A45D0">
      <w:pPr>
        <w:tabs>
          <w:tab w:val="left" w:pos="6540"/>
        </w:tabs>
        <w:spacing w:line="360" w:lineRule="auto"/>
        <w:jc w:val="both"/>
        <w:rPr>
          <w:rFonts w:ascii="Arial" w:hAnsi="Arial" w:cs="Arial"/>
          <w:sz w:val="22"/>
        </w:rPr>
      </w:pPr>
      <w:r>
        <w:rPr>
          <w:rFonts w:ascii="Arial" w:hAnsi="Arial" w:cs="Arial"/>
          <w:sz w:val="22"/>
        </w:rPr>
        <w:t xml:space="preserve">           </w:t>
      </w:r>
      <w:r w:rsidRPr="004A45D0">
        <w:rPr>
          <w:rFonts w:ascii="Arial" w:hAnsi="Arial" w:cs="Arial"/>
          <w:sz w:val="22"/>
        </w:rPr>
        <w:t>This scoping assessment looked at the available evidence on how digital healthcare technologies improve access to primary care services in the United Kingdom. Overall, the findings indicate that digital technologies have tremendous potential to improve access, notably by boosting ease, flexibility, and the number of contact options</w:t>
      </w:r>
      <w:r w:rsidR="00F90232">
        <w:rPr>
          <w:rFonts w:ascii="Arial" w:hAnsi="Arial" w:cs="Arial"/>
          <w:sz w:val="22"/>
        </w:rPr>
        <w:t xml:space="preserve"> (Sussex., et al</w:t>
      </w:r>
      <w:r w:rsidR="005D2B4C">
        <w:rPr>
          <w:rFonts w:ascii="Arial" w:hAnsi="Arial" w:cs="Arial"/>
          <w:sz w:val="22"/>
        </w:rPr>
        <w:t>. 2024</w:t>
      </w:r>
      <w:r w:rsidR="00F90232">
        <w:rPr>
          <w:rFonts w:ascii="Arial" w:hAnsi="Arial" w:cs="Arial"/>
          <w:sz w:val="22"/>
        </w:rPr>
        <w:t>)</w:t>
      </w:r>
      <w:r w:rsidRPr="004A45D0">
        <w:rPr>
          <w:rFonts w:ascii="Arial" w:hAnsi="Arial" w:cs="Arial"/>
          <w:sz w:val="22"/>
        </w:rPr>
        <w:t xml:space="preserve">. However, this efficacy is conditional rather than universal, influenced by patient capability, service design, and other structural variables. The discussion below critically analyses these findings </w:t>
      </w:r>
      <w:r w:rsidRPr="004A45D0">
        <w:rPr>
          <w:rFonts w:ascii="Arial" w:hAnsi="Arial" w:cs="Arial"/>
          <w:sz w:val="22"/>
        </w:rPr>
        <w:t>considering</w:t>
      </w:r>
      <w:r w:rsidRPr="004A45D0">
        <w:rPr>
          <w:rFonts w:ascii="Arial" w:hAnsi="Arial" w:cs="Arial"/>
          <w:sz w:val="22"/>
        </w:rPr>
        <w:t xml:space="preserve"> UK primary care practice, policy, and previous literature</w:t>
      </w:r>
      <w:r w:rsidR="00C57539">
        <w:rPr>
          <w:rFonts w:ascii="Arial" w:hAnsi="Arial" w:cs="Arial"/>
          <w:sz w:val="22"/>
        </w:rPr>
        <w:t xml:space="preserve"> (</w:t>
      </w:r>
      <w:r w:rsidR="00D16B98">
        <w:rPr>
          <w:rFonts w:ascii="Arial" w:hAnsi="Arial" w:cs="Arial"/>
          <w:sz w:val="22"/>
        </w:rPr>
        <w:t>Leach et al.,</w:t>
      </w:r>
      <w:r w:rsidR="009255D1">
        <w:rPr>
          <w:rFonts w:ascii="Arial" w:hAnsi="Arial" w:cs="Arial"/>
          <w:sz w:val="22"/>
        </w:rPr>
        <w:t xml:space="preserve"> 2022</w:t>
      </w:r>
      <w:r w:rsidR="00C57539">
        <w:rPr>
          <w:rFonts w:ascii="Arial" w:hAnsi="Arial" w:cs="Arial"/>
          <w:sz w:val="22"/>
        </w:rPr>
        <w:t>)</w:t>
      </w:r>
      <w:r w:rsidRPr="004A45D0">
        <w:rPr>
          <w:rFonts w:ascii="Arial" w:hAnsi="Arial" w:cs="Arial"/>
          <w:sz w:val="22"/>
        </w:rPr>
        <w:t>.</w:t>
      </w:r>
    </w:p>
    <w:p w14:paraId="2E316B6D" w14:textId="77777777" w:rsidR="00CB0048" w:rsidRDefault="00CB0048" w:rsidP="00CB0048">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5.1 Digital technologies improve access, but not uniformly</w:t>
      </w:r>
    </w:p>
    <w:p w14:paraId="1EC8D82C" w14:textId="165E2549" w:rsidR="00CB0048" w:rsidRDefault="001E4DEC"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1E4DEC">
        <w:rPr>
          <w:rFonts w:ascii="Arial" w:eastAsia="Times New Roman" w:hAnsi="Arial" w:cs="Arial"/>
          <w:color w:val="000000"/>
          <w:sz w:val="22"/>
          <w:lang w:eastAsia="en-GB"/>
        </w:rPr>
        <w:t>An</w:t>
      </w:r>
      <w:r w:rsidRPr="001E4DEC">
        <w:rPr>
          <w:rFonts w:ascii="Arial" w:eastAsia="Times New Roman" w:hAnsi="Arial" w:cs="Arial"/>
          <w:color w:val="000000"/>
          <w:sz w:val="22"/>
          <w:lang w:eastAsia="en-GB"/>
        </w:rPr>
        <w:t xml:space="preserve"> important result from the examined research is that digital healthcare technology can improve access by broadening how and when people connect with services. The use of online consultation platforms and web-based triage systems allows patients to seek assistance asynchronously, lowering dependence on traditional appointment systems and perhaps relieving pressure on general practice</w:t>
      </w:r>
      <w:r w:rsidR="00287F37">
        <w:rPr>
          <w:rFonts w:ascii="Arial" w:eastAsia="Times New Roman" w:hAnsi="Arial" w:cs="Arial"/>
          <w:color w:val="000000"/>
          <w:sz w:val="22"/>
          <w:lang w:eastAsia="en-GB"/>
        </w:rPr>
        <w:t xml:space="preserve"> (</w:t>
      </w:r>
      <w:r w:rsidR="006778AF">
        <w:rPr>
          <w:rFonts w:ascii="Arial" w:eastAsia="Times New Roman" w:hAnsi="Arial" w:cs="Arial"/>
          <w:color w:val="000000"/>
          <w:sz w:val="22"/>
          <w:lang w:eastAsia="en-GB"/>
        </w:rPr>
        <w:t>Kristiansen</w:t>
      </w:r>
      <w:r w:rsidR="00485771">
        <w:rPr>
          <w:rFonts w:ascii="Arial" w:eastAsia="Times New Roman" w:hAnsi="Arial" w:cs="Arial"/>
          <w:color w:val="000000"/>
          <w:sz w:val="22"/>
          <w:lang w:eastAsia="en-GB"/>
        </w:rPr>
        <w:t xml:space="preserve"> et a., </w:t>
      </w:r>
      <w:r w:rsidR="0079543D">
        <w:rPr>
          <w:rFonts w:ascii="Arial" w:eastAsia="Times New Roman" w:hAnsi="Arial" w:cs="Arial"/>
          <w:color w:val="000000"/>
          <w:sz w:val="22"/>
          <w:lang w:eastAsia="en-GB"/>
        </w:rPr>
        <w:t>2025</w:t>
      </w:r>
      <w:r w:rsidR="00287F37">
        <w:rPr>
          <w:rFonts w:ascii="Arial" w:eastAsia="Times New Roman" w:hAnsi="Arial" w:cs="Arial"/>
          <w:color w:val="000000"/>
          <w:sz w:val="22"/>
          <w:lang w:eastAsia="en-GB"/>
        </w:rPr>
        <w:t>)</w:t>
      </w:r>
      <w:r w:rsidRPr="001E4DEC">
        <w:rPr>
          <w:rFonts w:ascii="Arial" w:eastAsia="Times New Roman" w:hAnsi="Arial" w:cs="Arial"/>
          <w:color w:val="000000"/>
          <w:sz w:val="22"/>
          <w:lang w:eastAsia="en-GB"/>
        </w:rPr>
        <w:t>.</w:t>
      </w:r>
    </w:p>
    <w:p w14:paraId="0EE49F11" w14:textId="7BFE0565" w:rsidR="009234C1" w:rsidRDefault="009234C1"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9234C1">
        <w:rPr>
          <w:rFonts w:ascii="Arial" w:eastAsia="Times New Roman" w:hAnsi="Arial" w:cs="Arial"/>
          <w:color w:val="000000"/>
          <w:sz w:val="22"/>
          <w:lang w:eastAsia="en-GB"/>
        </w:rPr>
        <w:t>Rodrigues et al.</w:t>
      </w:r>
      <w:r>
        <w:rPr>
          <w:rFonts w:ascii="Arial" w:eastAsia="Times New Roman" w:hAnsi="Arial" w:cs="Arial"/>
          <w:color w:val="000000"/>
          <w:sz w:val="22"/>
          <w:lang w:eastAsia="en-GB"/>
        </w:rPr>
        <w:t xml:space="preserve"> (</w:t>
      </w:r>
      <w:r w:rsidR="00AC3B79">
        <w:rPr>
          <w:rFonts w:ascii="Arial" w:eastAsia="Times New Roman" w:hAnsi="Arial" w:cs="Arial"/>
          <w:color w:val="000000"/>
          <w:sz w:val="22"/>
          <w:lang w:eastAsia="en-GB"/>
        </w:rPr>
        <w:t>2025</w:t>
      </w:r>
      <w:r>
        <w:rPr>
          <w:rFonts w:ascii="Arial" w:eastAsia="Times New Roman" w:hAnsi="Arial" w:cs="Arial"/>
          <w:color w:val="000000"/>
          <w:sz w:val="22"/>
          <w:lang w:eastAsia="en-GB"/>
        </w:rPr>
        <w:t>)</w:t>
      </w:r>
      <w:r w:rsidRPr="009234C1">
        <w:rPr>
          <w:rFonts w:ascii="Arial" w:eastAsia="Times New Roman" w:hAnsi="Arial" w:cs="Arial"/>
          <w:color w:val="000000"/>
          <w:sz w:val="22"/>
          <w:lang w:eastAsia="en-GB"/>
        </w:rPr>
        <w:t xml:space="preserve"> found that digital access routes resulted in an overall increase in patient-provider contacts, implying better service availability. This is consistent with larger NHS policy objectives targeted at enhancing responsiveness and lowering wait times. However, increasing use does not always imply enhanced access in a meaningful sense. It </w:t>
      </w:r>
      <w:r w:rsidRPr="009234C1">
        <w:rPr>
          <w:rFonts w:ascii="Arial" w:eastAsia="Times New Roman" w:hAnsi="Arial" w:cs="Arial"/>
          <w:color w:val="000000"/>
          <w:sz w:val="22"/>
          <w:lang w:eastAsia="en-GB"/>
        </w:rPr>
        <w:lastRenderedPageBreak/>
        <w:t>may also indicate previously unmet demand or the generation of extra demand through more accessible avenues.</w:t>
      </w:r>
    </w:p>
    <w:p w14:paraId="7BC79887" w14:textId="7603721C" w:rsidR="00BF50F6" w:rsidRDefault="00480BBE"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480BBE">
        <w:rPr>
          <w:rFonts w:ascii="Arial" w:eastAsia="Times New Roman" w:hAnsi="Arial" w:cs="Arial"/>
          <w:color w:val="000000"/>
          <w:sz w:val="22"/>
          <w:lang w:eastAsia="en-GB"/>
        </w:rPr>
        <w:t xml:space="preserve">This highlights a significant contrast between accessibility and usage. While digital technologies make it simpler to contact providers, they may not always help patients obtain appropriate or timely treatment. For example, if greater digital interaction results in increased workload but no matching increase in capacity, services may be strained rather than improved. </w:t>
      </w:r>
      <w:r w:rsidR="00E97FBE" w:rsidRPr="00480BBE">
        <w:rPr>
          <w:rFonts w:ascii="Arial" w:eastAsia="Times New Roman" w:hAnsi="Arial" w:cs="Arial"/>
          <w:color w:val="000000"/>
          <w:sz w:val="22"/>
          <w:lang w:eastAsia="en-GB"/>
        </w:rPr>
        <w:t>Consequently</w:t>
      </w:r>
      <w:r w:rsidRPr="00480BBE">
        <w:rPr>
          <w:rFonts w:ascii="Arial" w:eastAsia="Times New Roman" w:hAnsi="Arial" w:cs="Arial"/>
          <w:color w:val="000000"/>
          <w:sz w:val="22"/>
          <w:lang w:eastAsia="en-GB"/>
        </w:rPr>
        <w:t xml:space="preserve">, digital </w:t>
      </w:r>
      <w:r w:rsidR="00E97FBE" w:rsidRPr="00480BBE">
        <w:rPr>
          <w:rFonts w:ascii="Arial" w:eastAsia="Times New Roman" w:hAnsi="Arial" w:cs="Arial"/>
          <w:color w:val="000000"/>
          <w:sz w:val="22"/>
          <w:lang w:eastAsia="en-GB"/>
        </w:rPr>
        <w:t>tools</w:t>
      </w:r>
      <w:r w:rsidRPr="00480BBE">
        <w:rPr>
          <w:rFonts w:ascii="Arial" w:eastAsia="Times New Roman" w:hAnsi="Arial" w:cs="Arial"/>
          <w:color w:val="000000"/>
          <w:sz w:val="22"/>
          <w:lang w:eastAsia="en-GB"/>
        </w:rPr>
        <w:t xml:space="preserve"> should be regarded as both dispersing demand and fixing access constraints</w:t>
      </w:r>
      <w:r w:rsidR="002F20DF">
        <w:rPr>
          <w:rFonts w:ascii="Arial" w:eastAsia="Times New Roman" w:hAnsi="Arial" w:cs="Arial"/>
          <w:color w:val="000000"/>
          <w:sz w:val="22"/>
          <w:lang w:eastAsia="en-GB"/>
        </w:rPr>
        <w:t xml:space="preserve"> (</w:t>
      </w:r>
      <w:r w:rsidR="00EE5CB5">
        <w:rPr>
          <w:rFonts w:ascii="Arial" w:eastAsia="Times New Roman" w:hAnsi="Arial" w:cs="Arial"/>
          <w:color w:val="000000"/>
          <w:sz w:val="22"/>
          <w:lang w:eastAsia="en-GB"/>
        </w:rPr>
        <w:t>Ziemssen and Haase</w:t>
      </w:r>
      <w:r w:rsidR="00CC3B45">
        <w:rPr>
          <w:rFonts w:ascii="Arial" w:eastAsia="Times New Roman" w:hAnsi="Arial" w:cs="Arial"/>
          <w:color w:val="000000"/>
          <w:sz w:val="22"/>
          <w:lang w:eastAsia="en-GB"/>
        </w:rPr>
        <w:t>, 2022</w:t>
      </w:r>
      <w:r w:rsidR="002F20DF">
        <w:rPr>
          <w:rFonts w:ascii="Arial" w:eastAsia="Times New Roman" w:hAnsi="Arial" w:cs="Arial"/>
          <w:color w:val="000000"/>
          <w:sz w:val="22"/>
          <w:lang w:eastAsia="en-GB"/>
        </w:rPr>
        <w:t>)</w:t>
      </w:r>
      <w:r w:rsidRPr="00480BBE">
        <w:rPr>
          <w:rFonts w:ascii="Arial" w:eastAsia="Times New Roman" w:hAnsi="Arial" w:cs="Arial"/>
          <w:color w:val="000000"/>
          <w:sz w:val="22"/>
          <w:lang w:eastAsia="en-GB"/>
        </w:rPr>
        <w:t>.</w:t>
      </w:r>
    </w:p>
    <w:p w14:paraId="325A9131" w14:textId="77777777" w:rsidR="00474AFD" w:rsidRDefault="00474AFD" w:rsidP="00474AFD">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5.2 The role of digital literacy in shaping access</w:t>
      </w:r>
    </w:p>
    <w:p w14:paraId="0C36EEC3" w14:textId="35EB3934" w:rsidR="00474AFD" w:rsidRDefault="005F6915" w:rsidP="005F6915">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5F6915">
        <w:rPr>
          <w:rFonts w:ascii="Arial" w:eastAsia="Times New Roman" w:hAnsi="Arial" w:cs="Arial"/>
          <w:color w:val="000000"/>
          <w:sz w:val="22"/>
          <w:lang w:eastAsia="en-GB"/>
        </w:rPr>
        <w:t>The reliance on patient competence, particularly eHealth literacy, is a significant barrier to the efficacy of digital healthcare solutions. Turnbull et al.</w:t>
      </w:r>
      <w:r>
        <w:rPr>
          <w:rFonts w:ascii="Arial" w:eastAsia="Times New Roman" w:hAnsi="Arial" w:cs="Arial"/>
          <w:color w:val="000000"/>
          <w:sz w:val="22"/>
          <w:lang w:eastAsia="en-GB"/>
        </w:rPr>
        <w:t xml:space="preserve"> (</w:t>
      </w:r>
      <w:r w:rsidR="00CF0416">
        <w:rPr>
          <w:rFonts w:ascii="Arial" w:eastAsia="Times New Roman" w:hAnsi="Arial" w:cs="Arial"/>
          <w:color w:val="000000"/>
          <w:sz w:val="22"/>
          <w:lang w:eastAsia="en-GB"/>
        </w:rPr>
        <w:t>2024</w:t>
      </w:r>
      <w:r>
        <w:rPr>
          <w:rFonts w:ascii="Arial" w:eastAsia="Times New Roman" w:hAnsi="Arial" w:cs="Arial"/>
          <w:color w:val="000000"/>
          <w:sz w:val="22"/>
          <w:lang w:eastAsia="en-GB"/>
        </w:rPr>
        <w:t>)</w:t>
      </w:r>
      <w:r w:rsidRPr="005F6915">
        <w:rPr>
          <w:rFonts w:ascii="Arial" w:eastAsia="Times New Roman" w:hAnsi="Arial" w:cs="Arial"/>
          <w:color w:val="000000"/>
          <w:sz w:val="22"/>
          <w:lang w:eastAsia="en-GB"/>
        </w:rPr>
        <w:t xml:space="preserve"> discovered that people with higher digital literacy were considerably more likely to utilise NHS 111 Online, whereas those with lower literacy—typically elderly folks or those with long-term conditions—were less likely to participate.</w:t>
      </w:r>
    </w:p>
    <w:p w14:paraId="05A3052E" w14:textId="5411BD00" w:rsidR="00CF0416" w:rsidRDefault="00D41517" w:rsidP="005F6915">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D41517">
        <w:rPr>
          <w:rFonts w:ascii="Arial" w:eastAsia="Times New Roman" w:hAnsi="Arial" w:cs="Arial"/>
          <w:color w:val="000000"/>
          <w:sz w:val="22"/>
          <w:lang w:eastAsia="en-GB"/>
        </w:rPr>
        <w:t>This study is consistent with the wider idea of the digital divide, which describes how variations in abilities, access to technology, and confidence affect people's capacity to profit from digital services. In this environment, digital health treatments have the potential to exacerbate rather than alleviate existing disparities in healthcare access. Although Rodrigues et al.</w:t>
      </w:r>
      <w:r w:rsidR="008B41BF">
        <w:rPr>
          <w:rFonts w:ascii="Arial" w:eastAsia="Times New Roman" w:hAnsi="Arial" w:cs="Arial"/>
          <w:color w:val="000000"/>
          <w:sz w:val="22"/>
          <w:lang w:eastAsia="en-GB"/>
        </w:rPr>
        <w:t xml:space="preserve"> (</w:t>
      </w:r>
      <w:r w:rsidR="008E5A73">
        <w:rPr>
          <w:rFonts w:ascii="Arial" w:eastAsia="Times New Roman" w:hAnsi="Arial" w:cs="Arial"/>
          <w:color w:val="000000"/>
          <w:sz w:val="22"/>
          <w:lang w:eastAsia="en-GB"/>
        </w:rPr>
        <w:t>2025</w:t>
      </w:r>
      <w:r w:rsidR="008B41BF">
        <w:rPr>
          <w:rFonts w:ascii="Arial" w:eastAsia="Times New Roman" w:hAnsi="Arial" w:cs="Arial"/>
          <w:color w:val="000000"/>
          <w:sz w:val="22"/>
          <w:lang w:eastAsia="en-GB"/>
        </w:rPr>
        <w:t>)</w:t>
      </w:r>
      <w:r w:rsidRPr="00D41517">
        <w:rPr>
          <w:rFonts w:ascii="Arial" w:eastAsia="Times New Roman" w:hAnsi="Arial" w:cs="Arial"/>
          <w:color w:val="000000"/>
          <w:sz w:val="22"/>
          <w:lang w:eastAsia="en-GB"/>
        </w:rPr>
        <w:t xml:space="preserve"> found no substantial quantitative evidence of growing inequality, qualitative and survey data indicate that differences exist at the individual experience and skill level.</w:t>
      </w:r>
    </w:p>
    <w:p w14:paraId="74AC81F7" w14:textId="7FCEC038" w:rsidR="008E5A73" w:rsidRDefault="00BC5435" w:rsidP="005F6915">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BC5435">
        <w:rPr>
          <w:rFonts w:ascii="Arial" w:eastAsia="Times New Roman" w:hAnsi="Arial" w:cs="Arial"/>
          <w:color w:val="000000"/>
          <w:sz w:val="22"/>
          <w:lang w:eastAsia="en-GB"/>
        </w:rPr>
        <w:t>That seeming inconsistency raises an important point: inequality may not always be clear in aggregate statistics. While total service utilisation may expand across populations, certain groups may continue to suffer hurdles that prevent them from benefiting equitably. This implies that evaluations of digital health treatments should evaluate not only usage statistics, but also user experience and accessibility</w:t>
      </w:r>
      <w:r w:rsidR="005A0E59">
        <w:rPr>
          <w:rFonts w:ascii="Arial" w:eastAsia="Times New Roman" w:hAnsi="Arial" w:cs="Arial"/>
          <w:color w:val="000000"/>
          <w:sz w:val="22"/>
          <w:lang w:eastAsia="en-GB"/>
        </w:rPr>
        <w:t xml:space="preserve"> (Ginsberg et al., </w:t>
      </w:r>
      <w:r w:rsidR="00821A9C">
        <w:rPr>
          <w:rFonts w:ascii="Arial" w:eastAsia="Times New Roman" w:hAnsi="Arial" w:cs="Arial"/>
          <w:color w:val="000000"/>
          <w:sz w:val="22"/>
          <w:lang w:eastAsia="en-GB"/>
        </w:rPr>
        <w:t>2024</w:t>
      </w:r>
      <w:r w:rsidR="005A0E59">
        <w:rPr>
          <w:rFonts w:ascii="Arial" w:eastAsia="Times New Roman" w:hAnsi="Arial" w:cs="Arial"/>
          <w:color w:val="000000"/>
          <w:sz w:val="22"/>
          <w:lang w:eastAsia="en-GB"/>
        </w:rPr>
        <w:t>)</w:t>
      </w:r>
      <w:r w:rsidRPr="00BC5435">
        <w:rPr>
          <w:rFonts w:ascii="Arial" w:eastAsia="Times New Roman" w:hAnsi="Arial" w:cs="Arial"/>
          <w:color w:val="000000"/>
          <w:sz w:val="22"/>
          <w:lang w:eastAsia="en-GB"/>
        </w:rPr>
        <w:t>.</w:t>
      </w:r>
    </w:p>
    <w:p w14:paraId="286854B6" w14:textId="77777777" w:rsidR="0007686B" w:rsidRDefault="0007686B" w:rsidP="0007686B">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5.3 The importance of digital facilitation and service design</w:t>
      </w:r>
    </w:p>
    <w:p w14:paraId="3DD79CE4" w14:textId="7E5D991A" w:rsidR="0007686B" w:rsidRPr="00351FDD" w:rsidRDefault="00351FDD" w:rsidP="00351FDD">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351FDD">
        <w:rPr>
          <w:rFonts w:ascii="Arial" w:eastAsia="Times New Roman" w:hAnsi="Arial" w:cs="Arial"/>
          <w:color w:val="000000"/>
          <w:sz w:val="22"/>
          <w:lang w:eastAsia="en-GB"/>
        </w:rPr>
        <w:t>Newbould et al.</w:t>
      </w:r>
      <w:r w:rsidR="006F7120">
        <w:rPr>
          <w:rFonts w:ascii="Arial" w:eastAsia="Times New Roman" w:hAnsi="Arial" w:cs="Arial"/>
          <w:color w:val="000000"/>
          <w:sz w:val="22"/>
          <w:lang w:eastAsia="en-GB"/>
        </w:rPr>
        <w:t xml:space="preserve"> (2025) </w:t>
      </w:r>
      <w:r w:rsidRPr="00351FDD">
        <w:rPr>
          <w:rFonts w:ascii="Arial" w:eastAsia="Times New Roman" w:hAnsi="Arial" w:cs="Arial"/>
          <w:color w:val="000000"/>
          <w:sz w:val="22"/>
          <w:lang w:eastAsia="en-GB"/>
        </w:rPr>
        <w:t>findings highlight the need of support systems, or digital facilitation, in addition to technological availability. Patients frequently require assistance in registering for and navigating digital platforms, which is usually supplied informally by clinic personnel.</w:t>
      </w:r>
    </w:p>
    <w:p w14:paraId="5B3007E7" w14:textId="77777777" w:rsidR="00821A9C" w:rsidRPr="005F6915" w:rsidRDefault="00821A9C" w:rsidP="005F6915">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415B9568" w14:textId="49E9175E" w:rsidR="000C417F" w:rsidRDefault="0050038D"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50038D">
        <w:rPr>
          <w:rFonts w:ascii="Arial" w:eastAsia="Times New Roman" w:hAnsi="Arial" w:cs="Arial"/>
          <w:color w:val="000000"/>
          <w:sz w:val="22"/>
          <w:lang w:eastAsia="en-GB"/>
        </w:rPr>
        <w:lastRenderedPageBreak/>
        <w:t>This has significant consequences for UK primary care. First, it implies that digital transformation necessitates organisational change rather than merely technology deployment. Practices must devote time, training, and resources to patient assistance, which may result in increased burden in the near run. Second, it emphasises the dangers of hidden employment, in which administrative personnel are expected to offer digital assistance without formal acknowledgement or training</w:t>
      </w:r>
      <w:r w:rsidR="0027190C">
        <w:rPr>
          <w:rFonts w:ascii="Arial" w:eastAsia="Times New Roman" w:hAnsi="Arial" w:cs="Arial"/>
          <w:color w:val="000000"/>
          <w:sz w:val="22"/>
          <w:lang w:eastAsia="en-GB"/>
        </w:rPr>
        <w:t xml:space="preserve"> (Latif</w:t>
      </w:r>
      <w:r w:rsidR="00727CF0">
        <w:rPr>
          <w:rFonts w:ascii="Arial" w:eastAsia="Times New Roman" w:hAnsi="Arial" w:cs="Arial"/>
          <w:color w:val="000000"/>
          <w:sz w:val="22"/>
          <w:lang w:eastAsia="en-GB"/>
        </w:rPr>
        <w:t xml:space="preserve"> et al., 2021</w:t>
      </w:r>
      <w:r w:rsidR="0027190C">
        <w:rPr>
          <w:rFonts w:ascii="Arial" w:eastAsia="Times New Roman" w:hAnsi="Arial" w:cs="Arial"/>
          <w:color w:val="000000"/>
          <w:sz w:val="22"/>
          <w:lang w:eastAsia="en-GB"/>
        </w:rPr>
        <w:t>)</w:t>
      </w:r>
      <w:r w:rsidRPr="0050038D">
        <w:rPr>
          <w:rFonts w:ascii="Arial" w:eastAsia="Times New Roman" w:hAnsi="Arial" w:cs="Arial"/>
          <w:color w:val="000000"/>
          <w:sz w:val="22"/>
          <w:lang w:eastAsia="en-GB"/>
        </w:rPr>
        <w:t>.</w:t>
      </w:r>
    </w:p>
    <w:p w14:paraId="3BE831EC" w14:textId="69C44CCC" w:rsidR="00052518" w:rsidRDefault="001E1D8E" w:rsidP="00052518">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1E1D8E">
        <w:rPr>
          <w:rFonts w:ascii="Arial" w:eastAsia="Times New Roman" w:hAnsi="Arial" w:cs="Arial"/>
          <w:color w:val="000000"/>
          <w:sz w:val="22"/>
          <w:lang w:eastAsia="en-GB"/>
        </w:rPr>
        <w:t>As a policy standpoint, this suggests that digital health policies should invest in patient support mechanisms such as digital training, user-friendly system design, and tailored help for vulnerable populations. Without these safeguards, the potential advantages of digital technology may not be fully exploited.</w:t>
      </w:r>
    </w:p>
    <w:p w14:paraId="28F025B4" w14:textId="4BC51C95" w:rsidR="00052518" w:rsidRDefault="00052518"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052518">
        <w:rPr>
          <w:rFonts w:ascii="Arial" w:eastAsia="Times New Roman" w:hAnsi="Arial" w:cs="Arial"/>
          <w:color w:val="000000"/>
          <w:sz w:val="22"/>
          <w:lang w:eastAsia="en-GB"/>
        </w:rPr>
        <w:t>Digital health policies that prioritise patient support mechanisms such as digital training, user-friendly system design, and targeted help for vulnerable groups are consistent with the findings of several research. According to one research, underprivileged and minority groups encounter challenges to digital health adoption, with characteristics such as knowledge, accessibility, trust, and user experience having a substantial impact on uptake. Strategies for increasing adoption include community-based promotion of credible digital health solutions combined with digital literacy training, brief counselling in healthcare settings, personalised rewards, policies ensuring accessibility and regulation, and gamified, user-friendly designs that emphasise feedback and behavioural cues. These techniques seek to make digital health solutions more accessible, trustworthy, and inspiring, hence reducing disparities in uptake</w:t>
      </w:r>
      <w:r w:rsidR="005701C2">
        <w:rPr>
          <w:rFonts w:ascii="Arial" w:eastAsia="Times New Roman" w:hAnsi="Arial" w:cs="Arial"/>
          <w:color w:val="000000"/>
          <w:sz w:val="22"/>
          <w:lang w:eastAsia="en-GB"/>
        </w:rPr>
        <w:t xml:space="preserve"> (Mair et al., 2025)</w:t>
      </w:r>
      <w:r w:rsidRPr="00052518">
        <w:rPr>
          <w:rFonts w:ascii="Arial" w:eastAsia="Times New Roman" w:hAnsi="Arial" w:cs="Arial"/>
          <w:color w:val="000000"/>
          <w:sz w:val="22"/>
          <w:lang w:eastAsia="en-GB"/>
        </w:rPr>
        <w:t>.</w:t>
      </w:r>
    </w:p>
    <w:p w14:paraId="5F457250" w14:textId="77777777" w:rsidR="0000364C" w:rsidRPr="008A56E3" w:rsidRDefault="0000364C" w:rsidP="0000364C">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5.4 Digital technologies as complementary rather than substitutive</w:t>
      </w:r>
    </w:p>
    <w:p w14:paraId="7F803427" w14:textId="37B9663A" w:rsidR="00F02F0B" w:rsidRDefault="00B170A9"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B170A9">
        <w:rPr>
          <w:rFonts w:ascii="Arial" w:eastAsia="Times New Roman" w:hAnsi="Arial" w:cs="Arial"/>
          <w:color w:val="000000"/>
          <w:sz w:val="22"/>
          <w:lang w:eastAsia="en-GB"/>
        </w:rPr>
        <w:t>Another key result is that digital healthcare technology cannot completely replace traditional primary care services. Wattanapisit et al.</w:t>
      </w:r>
      <w:r w:rsidR="008E3CE7">
        <w:rPr>
          <w:rFonts w:ascii="Arial" w:eastAsia="Times New Roman" w:hAnsi="Arial" w:cs="Arial"/>
          <w:color w:val="000000"/>
          <w:sz w:val="22"/>
          <w:lang w:eastAsia="en-GB"/>
        </w:rPr>
        <w:t xml:space="preserve"> (2020)</w:t>
      </w:r>
      <w:r w:rsidRPr="00B170A9">
        <w:rPr>
          <w:rFonts w:ascii="Arial" w:eastAsia="Times New Roman" w:hAnsi="Arial" w:cs="Arial"/>
          <w:color w:val="000000"/>
          <w:sz w:val="22"/>
          <w:lang w:eastAsia="en-GB"/>
        </w:rPr>
        <w:t xml:space="preserve"> revealed that, while mobile health applications can do many of the same activities as general practitioners, such as data gathering, symptom evaluation, and monitoring, they are restricted in their capacity to provide complicated, comprehensive treatment.</w:t>
      </w:r>
    </w:p>
    <w:p w14:paraId="0ED08608" w14:textId="15CCE0E1" w:rsidR="00B1345A" w:rsidRDefault="00B1345A"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B1345A">
        <w:rPr>
          <w:rFonts w:ascii="Arial" w:eastAsia="Times New Roman" w:hAnsi="Arial" w:cs="Arial"/>
          <w:color w:val="000000"/>
          <w:sz w:val="22"/>
          <w:lang w:eastAsia="en-GB"/>
        </w:rPr>
        <w:t>This emphasises the notion that digital technology should be considered as supplementing, rather than replacing, human-delivered care. General practitioners offer not just clinical skill, but also relational and contextual awareness, which automated technologies cannot reproduce. This is especially crucial for individuals with severe or chronic illnesses, who require coordinated and customised treatment.</w:t>
      </w:r>
    </w:p>
    <w:p w14:paraId="06FB6A3D" w14:textId="72BFAD79" w:rsidR="00986209" w:rsidRDefault="00986209"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986209">
        <w:rPr>
          <w:rFonts w:ascii="Arial" w:eastAsia="Times New Roman" w:hAnsi="Arial" w:cs="Arial"/>
          <w:color w:val="000000"/>
          <w:sz w:val="22"/>
          <w:lang w:eastAsia="en-GB"/>
        </w:rPr>
        <w:lastRenderedPageBreak/>
        <w:t>The consequence is that digital health should be integrated into a hybrid care paradigm that combines digital and in-person treatments. Such approaches may have the most promise for increasing access while preserving quality and continuity of service</w:t>
      </w:r>
      <w:r>
        <w:rPr>
          <w:rFonts w:ascii="Arial" w:eastAsia="Times New Roman" w:hAnsi="Arial" w:cs="Arial"/>
          <w:color w:val="000000"/>
          <w:sz w:val="22"/>
          <w:lang w:eastAsia="en-GB"/>
        </w:rPr>
        <w:t xml:space="preserve"> (</w:t>
      </w:r>
      <w:r w:rsidR="00C079F2" w:rsidRPr="00C079F2">
        <w:rPr>
          <w:rStyle w:val="Strong"/>
          <w:rFonts w:ascii="Arial" w:hAnsi="Arial" w:cs="Arial"/>
          <w:b w:val="0"/>
          <w:bCs w:val="0"/>
          <w:color w:val="0A0A0A"/>
          <w:sz w:val="22"/>
        </w:rPr>
        <w:t xml:space="preserve">Birati </w:t>
      </w:r>
      <w:r w:rsidR="00C079F2">
        <w:rPr>
          <w:rStyle w:val="Strong"/>
          <w:rFonts w:ascii="Arial" w:hAnsi="Arial" w:cs="Arial"/>
          <w:b w:val="0"/>
          <w:bCs w:val="0"/>
          <w:color w:val="0A0A0A"/>
          <w:sz w:val="22"/>
        </w:rPr>
        <w:t>and</w:t>
      </w:r>
      <w:r w:rsidR="00C079F2" w:rsidRPr="00C079F2">
        <w:rPr>
          <w:rStyle w:val="Strong"/>
          <w:rFonts w:ascii="Arial" w:hAnsi="Arial" w:cs="Arial"/>
          <w:b w:val="0"/>
          <w:bCs w:val="0"/>
          <w:color w:val="0A0A0A"/>
          <w:sz w:val="22"/>
        </w:rPr>
        <w:t xml:space="preserve"> Tzemah-Shahar</w:t>
      </w:r>
      <w:r w:rsidR="00B96EE6" w:rsidRPr="00C079F2">
        <w:rPr>
          <w:rFonts w:ascii="Arial" w:eastAsia="Times New Roman" w:hAnsi="Arial" w:cs="Arial"/>
          <w:color w:val="000000"/>
          <w:sz w:val="22"/>
          <w:lang w:eastAsia="en-GB"/>
        </w:rPr>
        <w:t>, 2026</w:t>
      </w:r>
      <w:r w:rsidRPr="00C079F2">
        <w:rPr>
          <w:rFonts w:ascii="Arial" w:eastAsia="Times New Roman" w:hAnsi="Arial" w:cs="Arial"/>
          <w:color w:val="000000"/>
          <w:sz w:val="22"/>
          <w:lang w:eastAsia="en-GB"/>
        </w:rPr>
        <w:t>)</w:t>
      </w:r>
      <w:r w:rsidRPr="00C079F2">
        <w:rPr>
          <w:rFonts w:ascii="Arial" w:eastAsia="Times New Roman" w:hAnsi="Arial" w:cs="Arial"/>
          <w:color w:val="000000"/>
          <w:sz w:val="22"/>
          <w:lang w:eastAsia="en-GB"/>
        </w:rPr>
        <w:t>.</w:t>
      </w:r>
    </w:p>
    <w:p w14:paraId="0250FC0D" w14:textId="77777777" w:rsidR="00BC5092" w:rsidRDefault="00BC5092" w:rsidP="001E4DEC">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3AD17529" w14:textId="77777777" w:rsidR="005C6C66" w:rsidRDefault="005C6C66" w:rsidP="005C6C66">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5.5 Implications for equity and UK healthcare policy</w:t>
      </w:r>
    </w:p>
    <w:p w14:paraId="2F6C9E6F" w14:textId="77777777" w:rsidR="00BC5092" w:rsidRDefault="00BC5092" w:rsidP="005C6C66">
      <w:pPr>
        <w:spacing w:before="100" w:beforeAutospacing="1" w:after="100" w:afterAutospacing="1" w:line="360" w:lineRule="auto"/>
        <w:jc w:val="both"/>
        <w:outlineLvl w:val="2"/>
        <w:rPr>
          <w:rFonts w:ascii="Arial" w:eastAsia="Times New Roman" w:hAnsi="Arial" w:cs="Arial"/>
          <w:b/>
          <w:bCs/>
          <w:color w:val="000000"/>
          <w:sz w:val="22"/>
          <w:lang w:eastAsia="en-GB"/>
        </w:rPr>
      </w:pPr>
    </w:p>
    <w:p w14:paraId="16E6DEAA" w14:textId="18AA11B7" w:rsidR="00ED2A55" w:rsidRDefault="00DF16D0" w:rsidP="00DF16D0">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DF16D0">
        <w:rPr>
          <w:rFonts w:ascii="Arial" w:eastAsia="Times New Roman" w:hAnsi="Arial" w:cs="Arial"/>
          <w:color w:val="000000"/>
          <w:sz w:val="22"/>
          <w:lang w:eastAsia="en-GB"/>
        </w:rPr>
        <w:t>The varied results on equity reveal a major difficulty for UK healthcare policy. On the one hand, digital technologies can boost efficiency and broaden access channels without necessarily creating observable inequities</w:t>
      </w:r>
      <w:r w:rsidR="00D25343">
        <w:rPr>
          <w:rFonts w:ascii="Arial" w:eastAsia="Times New Roman" w:hAnsi="Arial" w:cs="Arial"/>
          <w:color w:val="000000"/>
          <w:sz w:val="22"/>
          <w:lang w:eastAsia="en-GB"/>
        </w:rPr>
        <w:t xml:space="preserve"> (Rodrigues et al., </w:t>
      </w:r>
      <w:r w:rsidR="004552EE">
        <w:rPr>
          <w:rFonts w:ascii="Arial" w:eastAsia="Times New Roman" w:hAnsi="Arial" w:cs="Arial"/>
          <w:color w:val="000000"/>
          <w:sz w:val="22"/>
          <w:lang w:eastAsia="en-GB"/>
        </w:rPr>
        <w:t>2025</w:t>
      </w:r>
      <w:r w:rsidR="00D25343">
        <w:rPr>
          <w:rFonts w:ascii="Arial" w:eastAsia="Times New Roman" w:hAnsi="Arial" w:cs="Arial"/>
          <w:color w:val="000000"/>
          <w:sz w:val="22"/>
          <w:lang w:eastAsia="en-GB"/>
        </w:rPr>
        <w:t>)</w:t>
      </w:r>
      <w:r w:rsidRPr="00DF16D0">
        <w:rPr>
          <w:rFonts w:ascii="Arial" w:eastAsia="Times New Roman" w:hAnsi="Arial" w:cs="Arial"/>
          <w:color w:val="000000"/>
          <w:sz w:val="22"/>
          <w:lang w:eastAsia="en-GB"/>
        </w:rPr>
        <w:t>. However, inequalities in computer literacy, socioeconomic position, and health requirements imply that some populations will be less able to benefit from these improvements</w:t>
      </w:r>
      <w:r>
        <w:rPr>
          <w:rFonts w:ascii="Arial" w:eastAsia="Times New Roman" w:hAnsi="Arial" w:cs="Arial"/>
          <w:color w:val="000000"/>
          <w:sz w:val="22"/>
          <w:lang w:eastAsia="en-GB"/>
        </w:rPr>
        <w:t xml:space="preserve"> (</w:t>
      </w:r>
      <w:r w:rsidR="004552EE" w:rsidRPr="004552EE">
        <w:rPr>
          <w:rStyle w:val="Strong"/>
          <w:rFonts w:ascii="Arial" w:hAnsi="Arial" w:cs="Arial"/>
          <w:b w:val="0"/>
          <w:bCs w:val="0"/>
          <w:color w:val="0A0A0A"/>
          <w:sz w:val="22"/>
        </w:rPr>
        <w:t xml:space="preserve">Dobrovolska </w:t>
      </w:r>
      <w:r w:rsidR="004552EE">
        <w:rPr>
          <w:rStyle w:val="Strong"/>
          <w:rFonts w:ascii="Arial" w:hAnsi="Arial" w:cs="Arial"/>
          <w:b w:val="0"/>
          <w:bCs w:val="0"/>
          <w:color w:val="0A0A0A"/>
          <w:sz w:val="22"/>
        </w:rPr>
        <w:t xml:space="preserve">and </w:t>
      </w:r>
      <w:r w:rsidR="004552EE" w:rsidRPr="004552EE">
        <w:rPr>
          <w:rStyle w:val="Strong"/>
          <w:rFonts w:ascii="Arial" w:hAnsi="Arial" w:cs="Arial"/>
          <w:b w:val="0"/>
          <w:bCs w:val="0"/>
          <w:color w:val="0A0A0A"/>
          <w:sz w:val="22"/>
        </w:rPr>
        <w:t>Kolomiiets, 2024</w:t>
      </w:r>
      <w:r w:rsidRPr="004552EE">
        <w:rPr>
          <w:rFonts w:ascii="Arial" w:eastAsia="Times New Roman" w:hAnsi="Arial" w:cs="Arial"/>
          <w:color w:val="000000"/>
          <w:sz w:val="22"/>
          <w:lang w:eastAsia="en-GB"/>
        </w:rPr>
        <w:t>)</w:t>
      </w:r>
      <w:r w:rsidRPr="004552EE">
        <w:rPr>
          <w:rFonts w:ascii="Arial" w:eastAsia="Times New Roman" w:hAnsi="Arial" w:cs="Arial"/>
          <w:color w:val="000000"/>
          <w:sz w:val="22"/>
          <w:lang w:eastAsia="en-GB"/>
        </w:rPr>
        <w:t>.</w:t>
      </w:r>
    </w:p>
    <w:p w14:paraId="7654120E" w14:textId="77777777" w:rsidR="00983DC2" w:rsidRPr="00983DC2" w:rsidRDefault="00983DC2"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983DC2">
        <w:rPr>
          <w:rFonts w:ascii="Arial" w:eastAsia="Times New Roman" w:hAnsi="Arial" w:cs="Arial"/>
          <w:color w:val="000000"/>
          <w:sz w:val="22"/>
          <w:lang w:eastAsia="en-GB"/>
        </w:rPr>
        <w:t>This implies that a "digital-first" strategy may not be suitable for all patients. Instead, policy should promote inclusive access, ensuring that digital services are only one option among many, rather than the default or only way to care. This involves providing alternate access channels, such as phone and in-person services, for people who require them.</w:t>
      </w:r>
    </w:p>
    <w:p w14:paraId="24828E91" w14:textId="12459821" w:rsidR="00A3717E" w:rsidRDefault="00983DC2"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983DC2">
        <w:rPr>
          <w:rFonts w:ascii="Arial" w:eastAsia="Times New Roman" w:hAnsi="Arial" w:cs="Arial"/>
          <w:color w:val="000000"/>
          <w:sz w:val="22"/>
          <w:lang w:eastAsia="en-GB"/>
        </w:rPr>
        <w:t>Furthermore, the findings emphasise the necessity of tailored interventions in combating digital marginalisation. This may include:</w:t>
      </w:r>
    </w:p>
    <w:p w14:paraId="58E11651" w14:textId="77777777" w:rsidR="00C55844" w:rsidRPr="008A56E3" w:rsidRDefault="00C55844" w:rsidP="00C55844">
      <w:pPr>
        <w:numPr>
          <w:ilvl w:val="0"/>
          <w:numId w:val="18"/>
        </w:numPr>
        <w:spacing w:before="100" w:beforeAutospacing="1" w:after="100" w:afterAutospacing="1" w:line="360" w:lineRule="auto"/>
        <w:jc w:val="both"/>
        <w:rPr>
          <w:rFonts w:ascii="Arial" w:eastAsia="Times New Roman" w:hAnsi="Arial" w:cs="Arial"/>
          <w:color w:val="000000"/>
          <w:sz w:val="22"/>
          <w:lang w:eastAsia="en-GB"/>
        </w:rPr>
      </w:pPr>
      <w:r w:rsidRPr="008A56E3">
        <w:rPr>
          <w:rFonts w:ascii="Arial" w:eastAsia="Times New Roman" w:hAnsi="Arial" w:cs="Arial"/>
          <w:color w:val="000000"/>
          <w:sz w:val="22"/>
          <w:lang w:eastAsia="en-GB"/>
        </w:rPr>
        <w:t>Improving digital literacy through education and training</w:t>
      </w:r>
    </w:p>
    <w:p w14:paraId="4E22005C" w14:textId="77777777" w:rsidR="00C55844" w:rsidRPr="008A56E3" w:rsidRDefault="00C55844" w:rsidP="00C55844">
      <w:pPr>
        <w:numPr>
          <w:ilvl w:val="0"/>
          <w:numId w:val="18"/>
        </w:numPr>
        <w:spacing w:before="100" w:beforeAutospacing="1" w:after="100" w:afterAutospacing="1" w:line="360" w:lineRule="auto"/>
        <w:jc w:val="both"/>
        <w:rPr>
          <w:rFonts w:ascii="Arial" w:eastAsia="Times New Roman" w:hAnsi="Arial" w:cs="Arial"/>
          <w:color w:val="000000"/>
          <w:sz w:val="22"/>
          <w:lang w:eastAsia="en-GB"/>
        </w:rPr>
      </w:pPr>
      <w:r w:rsidRPr="008A56E3">
        <w:rPr>
          <w:rFonts w:ascii="Arial" w:eastAsia="Times New Roman" w:hAnsi="Arial" w:cs="Arial"/>
          <w:color w:val="000000"/>
          <w:sz w:val="22"/>
          <w:lang w:eastAsia="en-GB"/>
        </w:rPr>
        <w:t>Designing user-friendly and accessible digital systems</w:t>
      </w:r>
    </w:p>
    <w:p w14:paraId="0974A896" w14:textId="77777777" w:rsidR="00C55844" w:rsidRDefault="00C55844" w:rsidP="00C55844">
      <w:pPr>
        <w:numPr>
          <w:ilvl w:val="0"/>
          <w:numId w:val="18"/>
        </w:numPr>
        <w:spacing w:before="100" w:beforeAutospacing="1" w:after="100" w:afterAutospacing="1" w:line="360" w:lineRule="auto"/>
        <w:jc w:val="both"/>
        <w:rPr>
          <w:rFonts w:ascii="Arial" w:eastAsia="Times New Roman" w:hAnsi="Arial" w:cs="Arial"/>
          <w:color w:val="000000"/>
          <w:sz w:val="22"/>
          <w:lang w:eastAsia="en-GB"/>
        </w:rPr>
      </w:pPr>
      <w:r w:rsidRPr="008A56E3">
        <w:rPr>
          <w:rFonts w:ascii="Arial" w:eastAsia="Times New Roman" w:hAnsi="Arial" w:cs="Arial"/>
          <w:color w:val="000000"/>
          <w:sz w:val="22"/>
          <w:lang w:eastAsia="en-GB"/>
        </w:rPr>
        <w:t>Providing additional support for vulnerable populations</w:t>
      </w:r>
    </w:p>
    <w:p w14:paraId="698CC7FD" w14:textId="0B1C6F03" w:rsidR="00C55844" w:rsidRDefault="00F8696F"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F8696F">
        <w:rPr>
          <w:rFonts w:ascii="Arial" w:eastAsia="Times New Roman" w:hAnsi="Arial" w:cs="Arial"/>
          <w:color w:val="000000"/>
          <w:sz w:val="22"/>
          <w:lang w:eastAsia="en-GB"/>
        </w:rPr>
        <w:t>By resolving these issues, digital healthcare technology can be used more effectively to minimise rather than exacerbate access disparities</w:t>
      </w:r>
      <w:r>
        <w:rPr>
          <w:rFonts w:ascii="Arial" w:eastAsia="Times New Roman" w:hAnsi="Arial" w:cs="Arial"/>
          <w:color w:val="000000"/>
          <w:sz w:val="22"/>
          <w:lang w:eastAsia="en-GB"/>
        </w:rPr>
        <w:t xml:space="preserve"> (Rodrigues et al., </w:t>
      </w:r>
      <w:r w:rsidR="00D22587">
        <w:rPr>
          <w:rFonts w:ascii="Arial" w:eastAsia="Times New Roman" w:hAnsi="Arial" w:cs="Arial"/>
          <w:color w:val="000000"/>
          <w:sz w:val="22"/>
          <w:lang w:eastAsia="en-GB"/>
        </w:rPr>
        <w:t>2025</w:t>
      </w:r>
      <w:r>
        <w:rPr>
          <w:rFonts w:ascii="Arial" w:eastAsia="Times New Roman" w:hAnsi="Arial" w:cs="Arial"/>
          <w:color w:val="000000"/>
          <w:sz w:val="22"/>
          <w:lang w:eastAsia="en-GB"/>
        </w:rPr>
        <w:t>)</w:t>
      </w:r>
      <w:r w:rsidRPr="00F8696F">
        <w:rPr>
          <w:rFonts w:ascii="Arial" w:eastAsia="Times New Roman" w:hAnsi="Arial" w:cs="Arial"/>
          <w:color w:val="000000"/>
          <w:sz w:val="22"/>
          <w:lang w:eastAsia="en-GB"/>
        </w:rPr>
        <w:t>.</w:t>
      </w:r>
    </w:p>
    <w:p w14:paraId="22B5073A" w14:textId="77777777" w:rsidR="00BC5092" w:rsidRDefault="00BC5092"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410EFCDF" w14:textId="77777777" w:rsidR="00BC5092" w:rsidRDefault="00BC5092"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03093FAE" w14:textId="77777777" w:rsidR="00BC5092" w:rsidRDefault="00BC5092"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7094948A" w14:textId="77777777" w:rsidR="00BC5092" w:rsidRDefault="00BC5092"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755735C0" w14:textId="77777777" w:rsidR="00C65B58" w:rsidRDefault="00C65B58" w:rsidP="004F7709">
      <w:pPr>
        <w:spacing w:before="100" w:beforeAutospacing="1" w:after="100" w:afterAutospacing="1" w:line="360" w:lineRule="auto"/>
        <w:jc w:val="both"/>
        <w:outlineLvl w:val="2"/>
        <w:rPr>
          <w:rFonts w:ascii="Arial" w:eastAsia="Times New Roman" w:hAnsi="Arial" w:cs="Arial"/>
          <w:b/>
          <w:bCs/>
          <w:color w:val="000000"/>
          <w:sz w:val="22"/>
          <w:lang w:eastAsia="en-GB"/>
        </w:rPr>
      </w:pPr>
    </w:p>
    <w:p w14:paraId="43EA9DCC" w14:textId="005C7092" w:rsidR="004F7709" w:rsidRDefault="004F7709" w:rsidP="004F7709">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5.6 Strengths and limitations of the evidence</w:t>
      </w:r>
    </w:p>
    <w:p w14:paraId="3B3B5E5E" w14:textId="77777777" w:rsidR="00C65B58" w:rsidRPr="008A56E3" w:rsidRDefault="00C65B58" w:rsidP="004F7709">
      <w:pPr>
        <w:spacing w:before="100" w:beforeAutospacing="1" w:after="100" w:afterAutospacing="1" w:line="360" w:lineRule="auto"/>
        <w:jc w:val="both"/>
        <w:outlineLvl w:val="2"/>
        <w:rPr>
          <w:rFonts w:ascii="Arial" w:eastAsia="Times New Roman" w:hAnsi="Arial" w:cs="Arial"/>
          <w:b/>
          <w:bCs/>
          <w:color w:val="000000"/>
          <w:sz w:val="22"/>
          <w:lang w:eastAsia="en-GB"/>
        </w:rPr>
      </w:pPr>
    </w:p>
    <w:p w14:paraId="77558793" w14:textId="37638662" w:rsidR="00BC5092" w:rsidRDefault="00F25CE8"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F25CE8">
        <w:rPr>
          <w:rFonts w:ascii="Arial" w:eastAsia="Times New Roman" w:hAnsi="Arial" w:cs="Arial"/>
          <w:color w:val="000000"/>
          <w:sz w:val="22"/>
          <w:lang w:eastAsia="en-GB"/>
        </w:rPr>
        <w:t>The papers in this review offer a variety of views, including large-scale quantitative data, qualitative insights, and survey results. This diversity improves the overall analysis by allowing for comparisons of various sorts of data.</w:t>
      </w:r>
    </w:p>
    <w:p w14:paraId="4BA2E517" w14:textId="0069C8E2" w:rsidR="00821388" w:rsidRDefault="00821388"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821388">
        <w:rPr>
          <w:rFonts w:ascii="Arial" w:eastAsia="Times New Roman" w:hAnsi="Arial" w:cs="Arial"/>
          <w:color w:val="000000"/>
          <w:sz w:val="22"/>
          <w:lang w:eastAsia="en-GB"/>
        </w:rPr>
        <w:t>However, there are certain limits. Due to the small number of research examined, the findings cannot be extended to all aspects of digital health. Furthermore, differences in research design and outcome metrics make direct comparison difficult. Some studies, for example, focus on service utilisation, whilst others look at user experience or technological competence.</w:t>
      </w:r>
    </w:p>
    <w:p w14:paraId="0A3F0FA4" w14:textId="4DD5B8EF" w:rsidR="00C36C0A" w:rsidRDefault="00C36C0A"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C36C0A">
        <w:rPr>
          <w:rFonts w:ascii="Arial" w:eastAsia="Times New Roman" w:hAnsi="Arial" w:cs="Arial"/>
          <w:color w:val="000000"/>
          <w:sz w:val="22"/>
          <w:lang w:eastAsia="en-GB"/>
        </w:rPr>
        <w:t>Despite these constraints, the consistency of major themes—particularly those related to digital literacy, facilitation, and the complementing function of technology—indicates that the findings are solid and applicable to UK primary care practice.</w:t>
      </w:r>
    </w:p>
    <w:p w14:paraId="68679FE3" w14:textId="77777777" w:rsidR="00C65B58" w:rsidRDefault="00C65B58"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0CA3AA0F" w14:textId="3B6E2433" w:rsidR="00C65B58" w:rsidRPr="008A56E3" w:rsidRDefault="004F28CE" w:rsidP="004F28CE">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5.7 Summary of Discussion</w:t>
      </w:r>
    </w:p>
    <w:p w14:paraId="640B960A" w14:textId="1077F1DC" w:rsidR="00C36C0A" w:rsidRDefault="00ED7B57"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ED7B57">
        <w:rPr>
          <w:rFonts w:ascii="Arial" w:eastAsia="Times New Roman" w:hAnsi="Arial" w:cs="Arial"/>
          <w:color w:val="000000"/>
          <w:sz w:val="22"/>
          <w:lang w:eastAsia="en-GB"/>
        </w:rPr>
        <w:t>In conclusion, digital healthcare technologies have the potential to increase access to primary care in the United Kingdom, but their efficacy is determined by a variety of interconnected variables. While they enhance convenience and access routes, they do not guarantee fair or increased access for all patients. The effectiveness of digital health treatments is dependent on patient capabilities, service design, and the incorporation of technology into a larger, more inclusive paradigm of care.</w:t>
      </w:r>
    </w:p>
    <w:p w14:paraId="0EA0E85A" w14:textId="7600A61D" w:rsidR="00C65B58" w:rsidRDefault="0067699E" w:rsidP="0067699E">
      <w:pPr>
        <w:spacing w:before="100" w:beforeAutospacing="1" w:after="100" w:afterAutospacing="1" w:line="360" w:lineRule="auto"/>
        <w:ind w:firstLine="720"/>
        <w:jc w:val="both"/>
        <w:outlineLvl w:val="2"/>
        <w:rPr>
          <w:rFonts w:ascii="Arial" w:eastAsia="Times New Roman" w:hAnsi="Arial" w:cs="Arial"/>
          <w:color w:val="000000"/>
          <w:sz w:val="22"/>
          <w:lang w:eastAsia="en-GB"/>
        </w:rPr>
      </w:pPr>
      <w:r w:rsidRPr="0067699E">
        <w:rPr>
          <w:rFonts w:ascii="Arial" w:hAnsi="Arial" w:cs="Arial"/>
          <w:color w:val="000000"/>
          <w:sz w:val="22"/>
        </w:rPr>
        <w:t>Taken together, the findings of this review suggest that digital healthcare technologies should not be conceptualised as standalone solutions to access challenges, but rather as components of a broader socio-technical system. Their effectiveness depends not only on technological functionality, but also on patient capability, organisational support, and policy context. This reinforces the importance of adopting a systems-based perspective when evaluating digital health interventions in primary care</w:t>
      </w:r>
    </w:p>
    <w:p w14:paraId="355DCCC7" w14:textId="77777777" w:rsidR="00C65B58" w:rsidRDefault="00C65B58" w:rsidP="00983DC2">
      <w:pPr>
        <w:spacing w:before="100" w:beforeAutospacing="1" w:after="100" w:afterAutospacing="1" w:line="360" w:lineRule="auto"/>
        <w:ind w:firstLine="720"/>
        <w:jc w:val="both"/>
        <w:outlineLvl w:val="2"/>
        <w:rPr>
          <w:rFonts w:ascii="Arial" w:eastAsia="Times New Roman" w:hAnsi="Arial" w:cs="Arial"/>
          <w:color w:val="000000"/>
          <w:sz w:val="22"/>
          <w:lang w:eastAsia="en-GB"/>
        </w:rPr>
      </w:pPr>
    </w:p>
    <w:p w14:paraId="6E69C3DB" w14:textId="4AAC6E82" w:rsidR="009D08AC" w:rsidRDefault="009D08AC" w:rsidP="009D08AC">
      <w:pPr>
        <w:spacing w:before="100" w:beforeAutospacing="1" w:after="100" w:afterAutospacing="1" w:line="360" w:lineRule="auto"/>
        <w:jc w:val="both"/>
        <w:outlineLvl w:val="1"/>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lastRenderedPageBreak/>
        <w:t>6. Recommendations</w:t>
      </w:r>
      <w:r>
        <w:rPr>
          <w:rFonts w:ascii="Arial" w:eastAsia="Times New Roman" w:hAnsi="Arial" w:cs="Arial"/>
          <w:b/>
          <w:bCs/>
          <w:color w:val="000000"/>
          <w:sz w:val="22"/>
          <w:lang w:eastAsia="en-GB"/>
        </w:rPr>
        <w:t xml:space="preserve"> </w:t>
      </w:r>
      <w:r w:rsidRPr="008A56E3">
        <w:rPr>
          <w:rFonts w:ascii="Arial" w:eastAsia="Times New Roman" w:hAnsi="Arial" w:cs="Arial"/>
          <w:b/>
          <w:bCs/>
          <w:color w:val="000000"/>
          <w:sz w:val="22"/>
          <w:lang w:eastAsia="en-GB"/>
        </w:rPr>
        <w:t>and</w:t>
      </w:r>
      <w:r>
        <w:rPr>
          <w:rFonts w:ascii="Arial" w:eastAsia="Times New Roman" w:hAnsi="Arial" w:cs="Arial"/>
          <w:b/>
          <w:bCs/>
          <w:color w:val="000000"/>
          <w:sz w:val="22"/>
          <w:lang w:eastAsia="en-GB"/>
        </w:rPr>
        <w:t xml:space="preserve"> </w:t>
      </w:r>
      <w:r w:rsidRPr="008A56E3">
        <w:rPr>
          <w:rFonts w:ascii="Arial" w:eastAsia="Times New Roman" w:hAnsi="Arial" w:cs="Arial"/>
          <w:b/>
          <w:bCs/>
          <w:color w:val="000000"/>
          <w:sz w:val="22"/>
          <w:lang w:eastAsia="en-GB"/>
        </w:rPr>
        <w:t xml:space="preserve">Conclusion </w:t>
      </w:r>
    </w:p>
    <w:p w14:paraId="18C4E743" w14:textId="77777777" w:rsidR="009D08AC" w:rsidRDefault="009D08AC" w:rsidP="009D08AC">
      <w:pPr>
        <w:spacing w:before="100" w:beforeAutospacing="1" w:after="100" w:afterAutospacing="1" w:line="360" w:lineRule="auto"/>
        <w:jc w:val="both"/>
        <w:outlineLvl w:val="1"/>
        <w:rPr>
          <w:rFonts w:ascii="Arial" w:eastAsia="Times New Roman" w:hAnsi="Arial" w:cs="Arial"/>
          <w:b/>
          <w:bCs/>
          <w:color w:val="000000"/>
          <w:sz w:val="22"/>
          <w:lang w:eastAsia="en-GB"/>
        </w:rPr>
      </w:pPr>
    </w:p>
    <w:p w14:paraId="00EE1A12" w14:textId="0DA8EAA4" w:rsidR="009D08AC" w:rsidRDefault="009D08AC" w:rsidP="009D08AC">
      <w:pPr>
        <w:spacing w:before="100" w:beforeAutospacing="1" w:after="100" w:afterAutospacing="1" w:line="360" w:lineRule="auto"/>
        <w:jc w:val="both"/>
        <w:outlineLvl w:val="1"/>
        <w:rPr>
          <w:rFonts w:ascii="Arial" w:eastAsia="Times New Roman" w:hAnsi="Arial" w:cs="Arial"/>
          <w:b/>
          <w:bCs/>
          <w:color w:val="000000"/>
          <w:sz w:val="22"/>
          <w:lang w:eastAsia="en-GB"/>
        </w:rPr>
      </w:pPr>
      <w:r>
        <w:rPr>
          <w:rFonts w:ascii="Arial" w:eastAsia="Times New Roman" w:hAnsi="Arial" w:cs="Arial"/>
          <w:b/>
          <w:bCs/>
          <w:color w:val="000000"/>
          <w:sz w:val="22"/>
          <w:lang w:eastAsia="en-GB"/>
        </w:rPr>
        <w:t>6.1 Recommendations</w:t>
      </w:r>
    </w:p>
    <w:p w14:paraId="0515294C" w14:textId="6C14A237" w:rsidR="009D08AC" w:rsidRDefault="009F1A74" w:rsidP="009F1A7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8124B4">
        <w:rPr>
          <w:rFonts w:ascii="Arial" w:eastAsia="Times New Roman" w:hAnsi="Arial" w:cs="Arial"/>
          <w:color w:val="000000"/>
          <w:sz w:val="22"/>
          <w:lang w:eastAsia="en-GB"/>
        </w:rPr>
        <w:t>Several</w:t>
      </w:r>
      <w:r w:rsidR="008124B4" w:rsidRPr="008124B4">
        <w:rPr>
          <w:rFonts w:ascii="Arial" w:eastAsia="Times New Roman" w:hAnsi="Arial" w:cs="Arial"/>
          <w:color w:val="000000"/>
          <w:sz w:val="22"/>
          <w:lang w:eastAsia="en-GB"/>
        </w:rPr>
        <w:t xml:space="preserve"> suggestions for UK practice, policy, and further study may be made </w:t>
      </w:r>
      <w:r w:rsidRPr="008124B4">
        <w:rPr>
          <w:rFonts w:ascii="Arial" w:eastAsia="Times New Roman" w:hAnsi="Arial" w:cs="Arial"/>
          <w:color w:val="000000"/>
          <w:sz w:val="22"/>
          <w:lang w:eastAsia="en-GB"/>
        </w:rPr>
        <w:t>considering</w:t>
      </w:r>
      <w:r w:rsidR="008124B4" w:rsidRPr="008124B4">
        <w:rPr>
          <w:rFonts w:ascii="Arial" w:eastAsia="Times New Roman" w:hAnsi="Arial" w:cs="Arial"/>
          <w:color w:val="000000"/>
          <w:sz w:val="22"/>
          <w:lang w:eastAsia="en-GB"/>
        </w:rPr>
        <w:t xml:space="preserve"> the review's results.</w:t>
      </w:r>
    </w:p>
    <w:p w14:paraId="6AE62782" w14:textId="77777777" w:rsidR="008530E9" w:rsidRPr="008A56E3" w:rsidRDefault="008530E9" w:rsidP="008530E9">
      <w:pPr>
        <w:spacing w:before="100" w:beforeAutospacing="1" w:after="100" w:afterAutospacing="1" w:line="360" w:lineRule="auto"/>
        <w:jc w:val="both"/>
        <w:outlineLvl w:val="3"/>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6.2.1 Recommendations for Practice</w:t>
      </w:r>
    </w:p>
    <w:p w14:paraId="453B69EF" w14:textId="64AC7EE6" w:rsidR="00172C3C" w:rsidRPr="00172C3C" w:rsidRDefault="00172C3C"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172C3C">
        <w:rPr>
          <w:rFonts w:ascii="Arial" w:eastAsia="Times New Roman" w:hAnsi="Arial" w:cs="Arial"/>
          <w:color w:val="000000"/>
          <w:sz w:val="22"/>
          <w:lang w:eastAsia="en-GB"/>
        </w:rPr>
        <w:t>Primary care professionals should take a balanced and inclusive approach to digital healthcare deployment. While digital technologies provide great prospects for improving access, they should not completely replace conventional access ways</w:t>
      </w:r>
      <w:r w:rsidR="005951E3">
        <w:rPr>
          <w:rFonts w:ascii="Arial" w:eastAsia="Times New Roman" w:hAnsi="Arial" w:cs="Arial"/>
          <w:color w:val="000000"/>
          <w:sz w:val="22"/>
          <w:lang w:eastAsia="en-GB"/>
        </w:rPr>
        <w:t xml:space="preserve"> (</w:t>
      </w:r>
      <w:r w:rsidR="00CC7C4B">
        <w:rPr>
          <w:rFonts w:ascii="Arial" w:eastAsia="Times New Roman" w:hAnsi="Arial" w:cs="Arial"/>
          <w:color w:val="000000"/>
          <w:sz w:val="22"/>
          <w:lang w:eastAsia="en-GB"/>
        </w:rPr>
        <w:t xml:space="preserve">Neves </w:t>
      </w:r>
      <w:r w:rsidR="00FE5C2D">
        <w:rPr>
          <w:rFonts w:ascii="Arial" w:eastAsia="Times New Roman" w:hAnsi="Arial" w:cs="Arial"/>
          <w:color w:val="000000"/>
          <w:sz w:val="22"/>
          <w:lang w:eastAsia="en-GB"/>
        </w:rPr>
        <w:t>and Burgers</w:t>
      </w:r>
      <w:r w:rsidR="00CC7C4B">
        <w:rPr>
          <w:rFonts w:ascii="Arial" w:eastAsia="Times New Roman" w:hAnsi="Arial" w:cs="Arial"/>
          <w:color w:val="000000"/>
          <w:sz w:val="22"/>
          <w:lang w:eastAsia="en-GB"/>
        </w:rPr>
        <w:t>,</w:t>
      </w:r>
      <w:r w:rsidR="00FE5C2D">
        <w:rPr>
          <w:rFonts w:ascii="Arial" w:eastAsia="Times New Roman" w:hAnsi="Arial" w:cs="Arial"/>
          <w:color w:val="000000"/>
          <w:sz w:val="22"/>
          <w:lang w:eastAsia="en-GB"/>
        </w:rPr>
        <w:t xml:space="preserve"> </w:t>
      </w:r>
      <w:r w:rsidR="00CC7C4B">
        <w:rPr>
          <w:rFonts w:ascii="Arial" w:eastAsia="Times New Roman" w:hAnsi="Arial" w:cs="Arial"/>
          <w:color w:val="000000"/>
          <w:sz w:val="22"/>
          <w:lang w:eastAsia="en-GB"/>
        </w:rPr>
        <w:t>2022</w:t>
      </w:r>
      <w:r w:rsidR="005951E3">
        <w:rPr>
          <w:rFonts w:ascii="Arial" w:eastAsia="Times New Roman" w:hAnsi="Arial" w:cs="Arial"/>
          <w:color w:val="000000"/>
          <w:sz w:val="22"/>
          <w:lang w:eastAsia="en-GB"/>
        </w:rPr>
        <w:t>)</w:t>
      </w:r>
      <w:r w:rsidRPr="00172C3C">
        <w:rPr>
          <w:rFonts w:ascii="Arial" w:eastAsia="Times New Roman" w:hAnsi="Arial" w:cs="Arial"/>
          <w:color w:val="000000"/>
          <w:sz w:val="22"/>
          <w:lang w:eastAsia="en-GB"/>
        </w:rPr>
        <w:t>.</w:t>
      </w:r>
    </w:p>
    <w:p w14:paraId="135BD882" w14:textId="161EEBEC" w:rsidR="00172C3C" w:rsidRDefault="00172C3C" w:rsidP="00D819A4">
      <w:pPr>
        <w:pStyle w:val="ListParagraph"/>
        <w:numPr>
          <w:ilvl w:val="1"/>
          <w:numId w:val="20"/>
        </w:numPr>
        <w:spacing w:before="100" w:beforeAutospacing="1" w:after="100" w:afterAutospacing="1" w:line="360" w:lineRule="auto"/>
        <w:jc w:val="both"/>
        <w:outlineLvl w:val="1"/>
        <w:rPr>
          <w:rFonts w:ascii="Arial" w:eastAsia="Times New Roman" w:hAnsi="Arial" w:cs="Arial"/>
          <w:color w:val="000000"/>
          <w:sz w:val="22"/>
          <w:lang w:eastAsia="en-GB"/>
        </w:rPr>
      </w:pPr>
      <w:r w:rsidRPr="00476866">
        <w:rPr>
          <w:rFonts w:ascii="Arial" w:eastAsia="Times New Roman" w:hAnsi="Arial" w:cs="Arial"/>
          <w:color w:val="000000"/>
          <w:sz w:val="22"/>
          <w:lang w:eastAsia="en-GB"/>
        </w:rPr>
        <w:t xml:space="preserve">General </w:t>
      </w:r>
      <w:r w:rsidR="00C53115" w:rsidRPr="00476866">
        <w:rPr>
          <w:rFonts w:ascii="Arial" w:eastAsia="Times New Roman" w:hAnsi="Arial" w:cs="Arial"/>
          <w:color w:val="000000"/>
          <w:sz w:val="22"/>
          <w:lang w:eastAsia="en-GB"/>
        </w:rPr>
        <w:t>workplaces</w:t>
      </w:r>
      <w:r w:rsidRPr="00476866">
        <w:rPr>
          <w:rFonts w:ascii="Arial" w:eastAsia="Times New Roman" w:hAnsi="Arial" w:cs="Arial"/>
          <w:color w:val="000000"/>
          <w:sz w:val="22"/>
          <w:lang w:eastAsia="en-GB"/>
        </w:rPr>
        <w:t xml:space="preserve"> should offer numerous access channels (phone, face-to-face, and digital) to meet diverse patient demands.</w:t>
      </w:r>
    </w:p>
    <w:p w14:paraId="2B504505" w14:textId="77777777" w:rsidR="00670873" w:rsidRPr="00476866" w:rsidRDefault="00670873" w:rsidP="00670873">
      <w:pPr>
        <w:pStyle w:val="ListParagraph"/>
        <w:spacing w:before="100" w:beforeAutospacing="1" w:after="100" w:afterAutospacing="1" w:line="360" w:lineRule="auto"/>
        <w:ind w:left="1440"/>
        <w:jc w:val="both"/>
        <w:outlineLvl w:val="1"/>
        <w:rPr>
          <w:rFonts w:ascii="Arial" w:eastAsia="Times New Roman" w:hAnsi="Arial" w:cs="Arial"/>
          <w:color w:val="000000"/>
          <w:sz w:val="22"/>
          <w:lang w:eastAsia="en-GB"/>
        </w:rPr>
      </w:pPr>
    </w:p>
    <w:p w14:paraId="7E52EBD9" w14:textId="77777777" w:rsidR="00476866" w:rsidRDefault="00172C3C" w:rsidP="00D819A4">
      <w:pPr>
        <w:pStyle w:val="ListParagraph"/>
        <w:numPr>
          <w:ilvl w:val="1"/>
          <w:numId w:val="20"/>
        </w:numPr>
        <w:spacing w:before="100" w:beforeAutospacing="1" w:after="100" w:afterAutospacing="1" w:line="360" w:lineRule="auto"/>
        <w:jc w:val="both"/>
        <w:outlineLvl w:val="1"/>
        <w:rPr>
          <w:rFonts w:ascii="Arial" w:eastAsia="Times New Roman" w:hAnsi="Arial" w:cs="Arial"/>
          <w:color w:val="000000"/>
          <w:sz w:val="22"/>
          <w:lang w:eastAsia="en-GB"/>
        </w:rPr>
      </w:pPr>
      <w:r w:rsidRPr="00476866">
        <w:rPr>
          <w:rFonts w:ascii="Arial" w:eastAsia="Times New Roman" w:hAnsi="Arial" w:cs="Arial"/>
          <w:color w:val="000000"/>
          <w:sz w:val="22"/>
          <w:lang w:eastAsia="en-GB"/>
        </w:rPr>
        <w:t>Provide healthcare workers with digital facilitation training to assist patients in using online services efficiently.</w:t>
      </w:r>
    </w:p>
    <w:p w14:paraId="33D7DFCD" w14:textId="77777777" w:rsidR="00670873" w:rsidRPr="00476866" w:rsidRDefault="00670873" w:rsidP="00670873">
      <w:pPr>
        <w:pStyle w:val="ListParagraph"/>
        <w:spacing w:before="100" w:beforeAutospacing="1" w:after="100" w:afterAutospacing="1" w:line="360" w:lineRule="auto"/>
        <w:ind w:left="1440"/>
        <w:jc w:val="both"/>
        <w:outlineLvl w:val="1"/>
        <w:rPr>
          <w:rFonts w:ascii="Arial" w:eastAsia="Times New Roman" w:hAnsi="Arial" w:cs="Arial"/>
          <w:color w:val="000000"/>
          <w:sz w:val="22"/>
          <w:lang w:eastAsia="en-GB"/>
        </w:rPr>
      </w:pPr>
    </w:p>
    <w:p w14:paraId="648AE458" w14:textId="341E0281" w:rsidR="00172C3C" w:rsidRDefault="00172C3C" w:rsidP="00D819A4">
      <w:pPr>
        <w:pStyle w:val="ListParagraph"/>
        <w:numPr>
          <w:ilvl w:val="1"/>
          <w:numId w:val="20"/>
        </w:numPr>
        <w:spacing w:before="100" w:beforeAutospacing="1" w:after="100" w:afterAutospacing="1" w:line="360" w:lineRule="auto"/>
        <w:jc w:val="both"/>
        <w:outlineLvl w:val="1"/>
        <w:rPr>
          <w:rFonts w:ascii="Arial" w:eastAsia="Times New Roman" w:hAnsi="Arial" w:cs="Arial"/>
          <w:color w:val="000000"/>
          <w:sz w:val="22"/>
          <w:lang w:eastAsia="en-GB"/>
        </w:rPr>
      </w:pPr>
      <w:r w:rsidRPr="00476866">
        <w:rPr>
          <w:rFonts w:ascii="Arial" w:eastAsia="Times New Roman" w:hAnsi="Arial" w:cs="Arial"/>
          <w:color w:val="000000"/>
          <w:sz w:val="22"/>
          <w:lang w:eastAsia="en-GB"/>
        </w:rPr>
        <w:t xml:space="preserve">Allocate sufficient time and resources to enable digital access, </w:t>
      </w:r>
      <w:r w:rsidRPr="00476866">
        <w:rPr>
          <w:rFonts w:ascii="Arial" w:eastAsia="Times New Roman" w:hAnsi="Arial" w:cs="Arial"/>
          <w:color w:val="000000"/>
          <w:sz w:val="22"/>
          <w:lang w:eastAsia="en-GB"/>
        </w:rPr>
        <w:t>considering</w:t>
      </w:r>
      <w:r w:rsidRPr="00476866">
        <w:rPr>
          <w:rFonts w:ascii="Arial" w:eastAsia="Times New Roman" w:hAnsi="Arial" w:cs="Arial"/>
          <w:color w:val="000000"/>
          <w:sz w:val="22"/>
          <w:lang w:eastAsia="en-GB"/>
        </w:rPr>
        <w:t xml:space="preserve"> the added burden.</w:t>
      </w:r>
    </w:p>
    <w:p w14:paraId="296B870E" w14:textId="77777777" w:rsidR="00C45961" w:rsidRDefault="00C45961" w:rsidP="00C45961">
      <w:pPr>
        <w:pStyle w:val="ListParagraph"/>
        <w:spacing w:before="100" w:beforeAutospacing="1" w:after="100" w:afterAutospacing="1" w:line="360" w:lineRule="auto"/>
        <w:ind w:left="1440"/>
        <w:jc w:val="both"/>
        <w:outlineLvl w:val="1"/>
        <w:rPr>
          <w:rFonts w:ascii="Arial" w:eastAsia="Times New Roman" w:hAnsi="Arial" w:cs="Arial"/>
          <w:color w:val="000000"/>
          <w:sz w:val="22"/>
          <w:lang w:eastAsia="en-GB"/>
        </w:rPr>
      </w:pPr>
    </w:p>
    <w:p w14:paraId="1A8171AB" w14:textId="77777777" w:rsidR="00C45961" w:rsidRPr="008A56E3" w:rsidRDefault="00C45961" w:rsidP="00C45961">
      <w:pPr>
        <w:spacing w:before="100" w:beforeAutospacing="1" w:after="100" w:afterAutospacing="1" w:line="360" w:lineRule="auto"/>
        <w:jc w:val="both"/>
        <w:outlineLvl w:val="3"/>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t>6.2.2 Recommendations for Policy</w:t>
      </w:r>
    </w:p>
    <w:p w14:paraId="64048541" w14:textId="218240E2" w:rsidR="00670873" w:rsidRPr="00670873" w:rsidRDefault="00670873" w:rsidP="00670873">
      <w:pPr>
        <w:spacing w:before="100" w:beforeAutospacing="1" w:after="100" w:afterAutospacing="1" w:line="360" w:lineRule="auto"/>
        <w:jc w:val="both"/>
        <w:outlineLvl w:val="1"/>
        <w:rPr>
          <w:rFonts w:ascii="Arial" w:eastAsia="Times New Roman" w:hAnsi="Arial" w:cs="Arial"/>
          <w:color w:val="000000"/>
          <w:sz w:val="22"/>
          <w:lang w:eastAsia="en-GB"/>
        </w:rPr>
      </w:pPr>
      <w:r w:rsidRPr="00670873">
        <w:rPr>
          <w:rFonts w:ascii="Arial" w:eastAsia="Times New Roman" w:hAnsi="Arial" w:cs="Arial"/>
          <w:color w:val="000000"/>
          <w:sz w:val="22"/>
          <w:lang w:eastAsia="en-GB"/>
        </w:rPr>
        <w:t xml:space="preserve">Policymakers should ensure that digital health plans prioritise </w:t>
      </w:r>
      <w:r w:rsidR="00BA06F9" w:rsidRPr="00670873">
        <w:rPr>
          <w:rFonts w:ascii="Arial" w:eastAsia="Times New Roman" w:hAnsi="Arial" w:cs="Arial"/>
          <w:color w:val="000000"/>
          <w:sz w:val="22"/>
          <w:lang w:eastAsia="en-GB"/>
        </w:rPr>
        <w:t>objectivity</w:t>
      </w:r>
      <w:r w:rsidRPr="00670873">
        <w:rPr>
          <w:rFonts w:ascii="Arial" w:eastAsia="Times New Roman" w:hAnsi="Arial" w:cs="Arial"/>
          <w:color w:val="000000"/>
          <w:sz w:val="22"/>
          <w:lang w:eastAsia="en-GB"/>
        </w:rPr>
        <w:t xml:space="preserve"> and inclusion</w:t>
      </w:r>
      <w:r w:rsidR="00A065D4">
        <w:rPr>
          <w:rFonts w:ascii="Arial" w:eastAsia="Times New Roman" w:hAnsi="Arial" w:cs="Arial"/>
          <w:color w:val="000000"/>
          <w:sz w:val="22"/>
          <w:lang w:eastAsia="en-GB"/>
        </w:rPr>
        <w:t xml:space="preserve"> (Rodriguez </w:t>
      </w:r>
      <w:r w:rsidR="00A065D4" w:rsidRPr="00602E19">
        <w:rPr>
          <w:rFonts w:ascii="Arial" w:eastAsia="Times New Roman" w:hAnsi="Arial" w:cs="Arial"/>
          <w:i/>
          <w:iCs/>
          <w:color w:val="000000"/>
          <w:sz w:val="22"/>
          <w:lang w:eastAsia="en-GB"/>
        </w:rPr>
        <w:t>et al.,</w:t>
      </w:r>
      <w:r w:rsidR="00A065D4">
        <w:rPr>
          <w:rFonts w:ascii="Arial" w:eastAsia="Times New Roman" w:hAnsi="Arial" w:cs="Arial"/>
          <w:color w:val="000000"/>
          <w:sz w:val="22"/>
          <w:lang w:eastAsia="en-GB"/>
        </w:rPr>
        <w:t xml:space="preserve"> </w:t>
      </w:r>
      <w:r w:rsidR="00602E19">
        <w:rPr>
          <w:rFonts w:ascii="Arial" w:eastAsia="Times New Roman" w:hAnsi="Arial" w:cs="Arial"/>
          <w:color w:val="000000"/>
          <w:sz w:val="22"/>
          <w:lang w:eastAsia="en-GB"/>
        </w:rPr>
        <w:t>2022</w:t>
      </w:r>
      <w:r w:rsidR="00A065D4">
        <w:rPr>
          <w:rFonts w:ascii="Arial" w:eastAsia="Times New Roman" w:hAnsi="Arial" w:cs="Arial"/>
          <w:color w:val="000000"/>
          <w:sz w:val="22"/>
          <w:lang w:eastAsia="en-GB"/>
        </w:rPr>
        <w:t>)</w:t>
      </w:r>
      <w:r w:rsidRPr="00670873">
        <w:rPr>
          <w:rFonts w:ascii="Arial" w:eastAsia="Times New Roman" w:hAnsi="Arial" w:cs="Arial"/>
          <w:color w:val="000000"/>
          <w:sz w:val="22"/>
          <w:lang w:eastAsia="en-GB"/>
        </w:rPr>
        <w:t>.</w:t>
      </w:r>
    </w:p>
    <w:p w14:paraId="1C78FA70" w14:textId="1CCB1A41" w:rsidR="00670873" w:rsidRPr="00670873" w:rsidRDefault="00670873" w:rsidP="00670873">
      <w:pPr>
        <w:pStyle w:val="ListParagraph"/>
        <w:numPr>
          <w:ilvl w:val="1"/>
          <w:numId w:val="22"/>
        </w:numPr>
        <w:spacing w:before="100" w:beforeAutospacing="1" w:after="100" w:afterAutospacing="1" w:line="360" w:lineRule="auto"/>
        <w:jc w:val="both"/>
        <w:outlineLvl w:val="1"/>
        <w:rPr>
          <w:rFonts w:ascii="Arial" w:eastAsia="Times New Roman" w:hAnsi="Arial" w:cs="Arial"/>
          <w:color w:val="000000"/>
          <w:sz w:val="22"/>
          <w:lang w:eastAsia="en-GB"/>
        </w:rPr>
      </w:pPr>
      <w:r w:rsidRPr="00670873">
        <w:rPr>
          <w:rFonts w:ascii="Arial" w:eastAsia="Times New Roman" w:hAnsi="Arial" w:cs="Arial"/>
          <w:color w:val="000000"/>
          <w:sz w:val="22"/>
          <w:lang w:eastAsia="en-GB"/>
        </w:rPr>
        <w:t>Investing in digital infrastructure ensures stable and user-friendly systems across all areas.</w:t>
      </w:r>
    </w:p>
    <w:p w14:paraId="68815624" w14:textId="77777777" w:rsidR="00670873" w:rsidRPr="00670873" w:rsidRDefault="00670873" w:rsidP="00670873">
      <w:pPr>
        <w:pStyle w:val="ListParagraph"/>
        <w:spacing w:before="100" w:beforeAutospacing="1" w:after="100" w:afterAutospacing="1" w:line="360" w:lineRule="auto"/>
        <w:ind w:left="1440"/>
        <w:jc w:val="both"/>
        <w:outlineLvl w:val="1"/>
        <w:rPr>
          <w:rFonts w:ascii="Arial" w:eastAsia="Times New Roman" w:hAnsi="Arial" w:cs="Arial"/>
          <w:color w:val="000000"/>
          <w:sz w:val="22"/>
          <w:lang w:eastAsia="en-GB"/>
        </w:rPr>
      </w:pPr>
    </w:p>
    <w:p w14:paraId="682C5CC6" w14:textId="31C862B2" w:rsidR="00670873" w:rsidRPr="00670873" w:rsidRDefault="00670873" w:rsidP="00670873">
      <w:pPr>
        <w:pStyle w:val="ListParagraph"/>
        <w:numPr>
          <w:ilvl w:val="1"/>
          <w:numId w:val="22"/>
        </w:numPr>
        <w:spacing w:before="100" w:beforeAutospacing="1" w:after="100" w:afterAutospacing="1" w:line="360" w:lineRule="auto"/>
        <w:jc w:val="both"/>
        <w:outlineLvl w:val="1"/>
        <w:rPr>
          <w:rFonts w:ascii="Arial" w:eastAsia="Times New Roman" w:hAnsi="Arial" w:cs="Arial"/>
          <w:color w:val="000000"/>
          <w:sz w:val="22"/>
          <w:lang w:eastAsia="en-GB"/>
        </w:rPr>
      </w:pPr>
      <w:r w:rsidRPr="00670873">
        <w:rPr>
          <w:rFonts w:ascii="Arial" w:eastAsia="Times New Roman" w:hAnsi="Arial" w:cs="Arial"/>
          <w:color w:val="000000"/>
          <w:sz w:val="22"/>
          <w:lang w:eastAsia="en-GB"/>
        </w:rPr>
        <w:t>Targeted support for vulnerable populations, such as older persons and those with limited digital literacy, should be part of national policies to combat digital exclusion.</w:t>
      </w:r>
    </w:p>
    <w:p w14:paraId="5AFDAA4F" w14:textId="77777777" w:rsidR="00670873" w:rsidRPr="00670873" w:rsidRDefault="00670873" w:rsidP="00670873">
      <w:pPr>
        <w:pStyle w:val="ListParagraph"/>
        <w:spacing w:before="100" w:beforeAutospacing="1" w:after="100" w:afterAutospacing="1" w:line="360" w:lineRule="auto"/>
        <w:ind w:left="1440"/>
        <w:jc w:val="both"/>
        <w:outlineLvl w:val="1"/>
        <w:rPr>
          <w:rFonts w:ascii="Arial" w:eastAsia="Times New Roman" w:hAnsi="Arial" w:cs="Arial"/>
          <w:color w:val="000000"/>
          <w:sz w:val="22"/>
          <w:lang w:eastAsia="en-GB"/>
        </w:rPr>
      </w:pPr>
    </w:p>
    <w:p w14:paraId="42C85569" w14:textId="6F7F0779" w:rsidR="00C45961" w:rsidRDefault="00670873" w:rsidP="00670873">
      <w:pPr>
        <w:pStyle w:val="ListParagraph"/>
        <w:numPr>
          <w:ilvl w:val="1"/>
          <w:numId w:val="22"/>
        </w:numPr>
        <w:spacing w:before="100" w:beforeAutospacing="1" w:after="100" w:afterAutospacing="1" w:line="360" w:lineRule="auto"/>
        <w:jc w:val="both"/>
        <w:outlineLvl w:val="1"/>
        <w:rPr>
          <w:rFonts w:ascii="Arial" w:eastAsia="Times New Roman" w:hAnsi="Arial" w:cs="Arial"/>
          <w:color w:val="000000"/>
          <w:sz w:val="22"/>
          <w:lang w:eastAsia="en-GB"/>
        </w:rPr>
      </w:pPr>
      <w:r w:rsidRPr="00670873">
        <w:rPr>
          <w:rFonts w:ascii="Arial" w:eastAsia="Times New Roman" w:hAnsi="Arial" w:cs="Arial"/>
          <w:color w:val="000000"/>
          <w:sz w:val="22"/>
          <w:lang w:eastAsia="en-GB"/>
        </w:rPr>
        <w:lastRenderedPageBreak/>
        <w:t>Digital healthcare policy should support a hybrid style of care, combining digital and traditional services rather than replacing one another.</w:t>
      </w:r>
    </w:p>
    <w:p w14:paraId="398D0256" w14:textId="77777777" w:rsidR="00DE6A81" w:rsidRPr="00DE6A81" w:rsidRDefault="00DE6A81" w:rsidP="00DE6A81">
      <w:pPr>
        <w:pStyle w:val="ListParagraph"/>
        <w:rPr>
          <w:rFonts w:ascii="Arial" w:eastAsia="Times New Roman" w:hAnsi="Arial" w:cs="Arial"/>
          <w:color w:val="000000"/>
          <w:sz w:val="22"/>
          <w:lang w:eastAsia="en-GB"/>
        </w:rPr>
      </w:pPr>
    </w:p>
    <w:p w14:paraId="0B946D96" w14:textId="77777777" w:rsidR="00DE6A81" w:rsidRPr="00DE6A81" w:rsidRDefault="00DE6A81" w:rsidP="00DE6A81">
      <w:pPr>
        <w:spacing w:before="100" w:beforeAutospacing="1" w:after="100" w:afterAutospacing="1" w:line="360" w:lineRule="auto"/>
        <w:jc w:val="both"/>
        <w:outlineLvl w:val="1"/>
        <w:rPr>
          <w:rFonts w:ascii="Arial" w:eastAsia="Times New Roman" w:hAnsi="Arial" w:cs="Arial"/>
          <w:color w:val="000000"/>
          <w:sz w:val="22"/>
          <w:lang w:eastAsia="en-GB"/>
        </w:rPr>
      </w:pPr>
    </w:p>
    <w:p w14:paraId="2F2F44A6" w14:textId="5CDFC354" w:rsidR="00DE6A81" w:rsidRPr="00221BB4" w:rsidRDefault="00DE6A81" w:rsidP="00221BB4">
      <w:pPr>
        <w:pStyle w:val="ListParagraph"/>
        <w:numPr>
          <w:ilvl w:val="2"/>
          <w:numId w:val="33"/>
        </w:numPr>
        <w:spacing w:before="100" w:beforeAutospacing="1" w:after="100" w:afterAutospacing="1" w:line="360" w:lineRule="auto"/>
        <w:jc w:val="both"/>
        <w:outlineLvl w:val="3"/>
        <w:rPr>
          <w:rFonts w:ascii="Arial" w:eastAsia="Times New Roman" w:hAnsi="Arial" w:cs="Arial"/>
          <w:b/>
          <w:bCs/>
          <w:color w:val="000000"/>
          <w:sz w:val="22"/>
          <w:lang w:eastAsia="en-GB"/>
        </w:rPr>
      </w:pPr>
      <w:r w:rsidRPr="00221BB4">
        <w:rPr>
          <w:rFonts w:ascii="Arial" w:eastAsia="Times New Roman" w:hAnsi="Arial" w:cs="Arial"/>
          <w:b/>
          <w:bCs/>
          <w:color w:val="000000"/>
          <w:sz w:val="22"/>
          <w:lang w:eastAsia="en-GB"/>
        </w:rPr>
        <w:t>Recommendations for Future Research</w:t>
      </w:r>
    </w:p>
    <w:p w14:paraId="4C130C41" w14:textId="77777777" w:rsidR="00221BB4" w:rsidRDefault="00221BB4" w:rsidP="003410F4">
      <w:pPr>
        <w:spacing w:before="100" w:beforeAutospacing="1" w:after="100" w:afterAutospacing="1" w:line="360" w:lineRule="auto"/>
        <w:ind w:firstLine="720"/>
        <w:jc w:val="both"/>
        <w:outlineLvl w:val="3"/>
        <w:rPr>
          <w:rFonts w:ascii="Arial" w:eastAsia="Times New Roman" w:hAnsi="Arial" w:cs="Arial"/>
          <w:b/>
          <w:bCs/>
          <w:color w:val="000000"/>
          <w:sz w:val="22"/>
          <w:lang w:eastAsia="en-GB"/>
        </w:rPr>
      </w:pPr>
    </w:p>
    <w:p w14:paraId="6E3BC641" w14:textId="10550FA7" w:rsidR="003410F4" w:rsidRPr="003410F4" w:rsidRDefault="003410F4" w:rsidP="003410F4">
      <w:pPr>
        <w:spacing w:before="100" w:beforeAutospacing="1" w:after="100" w:afterAutospacing="1" w:line="360" w:lineRule="auto"/>
        <w:ind w:firstLine="720"/>
        <w:jc w:val="both"/>
        <w:outlineLvl w:val="3"/>
        <w:rPr>
          <w:rFonts w:ascii="Arial" w:eastAsia="Times New Roman" w:hAnsi="Arial" w:cs="Arial"/>
          <w:color w:val="000000"/>
          <w:sz w:val="22"/>
          <w:lang w:eastAsia="en-GB"/>
        </w:rPr>
      </w:pPr>
      <w:r w:rsidRPr="003410F4">
        <w:rPr>
          <w:rFonts w:ascii="Arial" w:eastAsia="Times New Roman" w:hAnsi="Arial" w:cs="Arial"/>
          <w:color w:val="000000"/>
          <w:sz w:val="22"/>
          <w:lang w:eastAsia="en-GB"/>
        </w:rPr>
        <w:t>More study is needed to determine the long-term impact of digital healthcare technology on access and equity</w:t>
      </w:r>
      <w:r w:rsidR="003C4735">
        <w:rPr>
          <w:rFonts w:ascii="Arial" w:eastAsia="Times New Roman" w:hAnsi="Arial" w:cs="Arial"/>
          <w:color w:val="000000"/>
          <w:sz w:val="22"/>
          <w:lang w:eastAsia="en-GB"/>
        </w:rPr>
        <w:t xml:space="preserve"> </w:t>
      </w:r>
      <w:r w:rsidR="003C4735" w:rsidRPr="003C4735">
        <w:rPr>
          <w:rStyle w:val="Strong"/>
          <w:rFonts w:ascii="Arial" w:hAnsi="Arial" w:cs="Arial"/>
          <w:b w:val="0"/>
          <w:bCs w:val="0"/>
          <w:color w:val="0A0A0A"/>
          <w:sz w:val="22"/>
        </w:rPr>
        <w:t>(Qiu</w:t>
      </w:r>
      <w:r w:rsidR="003C4735" w:rsidRPr="003C4735">
        <w:rPr>
          <w:rStyle w:val="apple-converted-space"/>
          <w:rFonts w:ascii="Arial" w:hAnsi="Arial" w:cs="Arial"/>
          <w:b/>
          <w:bCs/>
          <w:color w:val="0A0A0A"/>
          <w:sz w:val="22"/>
        </w:rPr>
        <w:t> </w:t>
      </w:r>
      <w:r w:rsidR="003C4735" w:rsidRPr="003C4735">
        <w:rPr>
          <w:rStyle w:val="Emphasis"/>
          <w:rFonts w:ascii="Arial" w:hAnsi="Arial" w:cs="Arial"/>
          <w:color w:val="0A0A0A"/>
          <w:sz w:val="22"/>
        </w:rPr>
        <w:t>et al.</w:t>
      </w:r>
      <w:r w:rsidR="003C4735" w:rsidRPr="003C4735">
        <w:rPr>
          <w:rStyle w:val="Strong"/>
          <w:rFonts w:ascii="Arial" w:hAnsi="Arial" w:cs="Arial"/>
          <w:color w:val="0A0A0A"/>
          <w:sz w:val="22"/>
        </w:rPr>
        <w:t>,</w:t>
      </w:r>
      <w:r w:rsidR="003C4735" w:rsidRPr="003C4735">
        <w:rPr>
          <w:rStyle w:val="Strong"/>
          <w:rFonts w:ascii="Arial" w:hAnsi="Arial" w:cs="Arial"/>
          <w:b w:val="0"/>
          <w:bCs w:val="0"/>
          <w:color w:val="0A0A0A"/>
          <w:sz w:val="22"/>
        </w:rPr>
        <w:t xml:space="preserve"> 2024)</w:t>
      </w:r>
      <w:r w:rsidR="003C4735" w:rsidRPr="003C4735">
        <w:rPr>
          <w:rFonts w:ascii="Arial" w:hAnsi="Arial" w:cs="Arial"/>
          <w:b/>
          <w:bCs/>
          <w:color w:val="0A0A0A"/>
          <w:sz w:val="22"/>
          <w:shd w:val="clear" w:color="auto" w:fill="F0F2F5"/>
        </w:rPr>
        <w:t>.</w:t>
      </w:r>
    </w:p>
    <w:p w14:paraId="06318E39" w14:textId="0388550C" w:rsidR="003410F4" w:rsidRPr="00221BB4" w:rsidRDefault="003410F4" w:rsidP="00221BB4">
      <w:pPr>
        <w:pStyle w:val="ListParagraph"/>
        <w:numPr>
          <w:ilvl w:val="0"/>
          <w:numId w:val="32"/>
        </w:numPr>
        <w:spacing w:before="100" w:beforeAutospacing="1" w:after="100" w:afterAutospacing="1" w:line="360" w:lineRule="auto"/>
        <w:jc w:val="both"/>
        <w:outlineLvl w:val="3"/>
        <w:rPr>
          <w:rFonts w:ascii="Arial" w:eastAsia="Times New Roman" w:hAnsi="Arial" w:cs="Arial"/>
          <w:color w:val="000000"/>
          <w:sz w:val="22"/>
          <w:lang w:eastAsia="en-GB"/>
        </w:rPr>
      </w:pPr>
      <w:r w:rsidRPr="00221BB4">
        <w:rPr>
          <w:rFonts w:ascii="Arial" w:eastAsia="Times New Roman" w:hAnsi="Arial" w:cs="Arial"/>
          <w:color w:val="000000"/>
          <w:sz w:val="22"/>
          <w:lang w:eastAsia="en-GB"/>
        </w:rPr>
        <w:t>Research should examine the long-term effects of digital health treatments on patient health and service efficiency.</w:t>
      </w:r>
    </w:p>
    <w:p w14:paraId="3392C295" w14:textId="77777777" w:rsidR="00CA71B0" w:rsidRPr="00CA71B0" w:rsidRDefault="00CA71B0" w:rsidP="00CA71B0">
      <w:pPr>
        <w:pStyle w:val="ListParagraph"/>
        <w:spacing w:before="100" w:beforeAutospacing="1" w:after="100" w:afterAutospacing="1" w:line="360" w:lineRule="auto"/>
        <w:ind w:left="2160"/>
        <w:jc w:val="both"/>
        <w:outlineLvl w:val="3"/>
        <w:rPr>
          <w:rFonts w:ascii="Arial" w:eastAsia="Times New Roman" w:hAnsi="Arial" w:cs="Arial"/>
          <w:color w:val="000000"/>
          <w:sz w:val="22"/>
          <w:lang w:eastAsia="en-GB"/>
        </w:rPr>
      </w:pPr>
    </w:p>
    <w:p w14:paraId="3698E77F" w14:textId="159B1F3C" w:rsidR="003410F4" w:rsidRPr="00221BB4" w:rsidRDefault="003410F4" w:rsidP="00221BB4">
      <w:pPr>
        <w:pStyle w:val="ListParagraph"/>
        <w:numPr>
          <w:ilvl w:val="0"/>
          <w:numId w:val="32"/>
        </w:numPr>
        <w:spacing w:before="100" w:beforeAutospacing="1" w:after="100" w:afterAutospacing="1" w:line="360" w:lineRule="auto"/>
        <w:jc w:val="both"/>
        <w:outlineLvl w:val="3"/>
        <w:rPr>
          <w:rFonts w:ascii="Arial" w:eastAsia="Times New Roman" w:hAnsi="Arial" w:cs="Arial"/>
          <w:color w:val="000000"/>
          <w:sz w:val="22"/>
          <w:lang w:eastAsia="en-GB"/>
        </w:rPr>
      </w:pPr>
      <w:r w:rsidRPr="00221BB4">
        <w:rPr>
          <w:rFonts w:ascii="Arial" w:eastAsia="Times New Roman" w:hAnsi="Arial" w:cs="Arial"/>
          <w:color w:val="000000"/>
          <w:sz w:val="22"/>
          <w:lang w:eastAsia="en-GB"/>
        </w:rPr>
        <w:t>Additional study is needed on vulnerable and under-represented communities, especially those at risk of digital exclusion.</w:t>
      </w:r>
    </w:p>
    <w:p w14:paraId="44328236" w14:textId="77777777" w:rsidR="00CA71B0" w:rsidRPr="00CA71B0" w:rsidRDefault="00CA71B0" w:rsidP="00CA71B0">
      <w:pPr>
        <w:pStyle w:val="ListParagraph"/>
        <w:rPr>
          <w:rFonts w:ascii="Arial" w:eastAsia="Times New Roman" w:hAnsi="Arial" w:cs="Arial"/>
          <w:color w:val="000000"/>
          <w:sz w:val="22"/>
          <w:lang w:eastAsia="en-GB"/>
        </w:rPr>
      </w:pPr>
    </w:p>
    <w:p w14:paraId="2E81CA16" w14:textId="77777777" w:rsidR="00CA71B0" w:rsidRPr="00CA71B0" w:rsidRDefault="00CA71B0" w:rsidP="00CA71B0">
      <w:pPr>
        <w:pStyle w:val="ListParagraph"/>
        <w:spacing w:before="100" w:beforeAutospacing="1" w:after="100" w:afterAutospacing="1" w:line="360" w:lineRule="auto"/>
        <w:ind w:left="2160"/>
        <w:jc w:val="both"/>
        <w:outlineLvl w:val="3"/>
        <w:rPr>
          <w:rFonts w:ascii="Arial" w:eastAsia="Times New Roman" w:hAnsi="Arial" w:cs="Arial"/>
          <w:color w:val="000000"/>
          <w:sz w:val="22"/>
          <w:lang w:eastAsia="en-GB"/>
        </w:rPr>
      </w:pPr>
    </w:p>
    <w:p w14:paraId="02E80D00" w14:textId="4A45F8E4" w:rsidR="00837D93" w:rsidRPr="00221BB4" w:rsidRDefault="003410F4" w:rsidP="00221BB4">
      <w:pPr>
        <w:pStyle w:val="ListParagraph"/>
        <w:numPr>
          <w:ilvl w:val="0"/>
          <w:numId w:val="31"/>
        </w:numPr>
        <w:spacing w:before="100" w:beforeAutospacing="1" w:after="100" w:afterAutospacing="1" w:line="360" w:lineRule="auto"/>
        <w:jc w:val="both"/>
        <w:outlineLvl w:val="3"/>
        <w:rPr>
          <w:rFonts w:ascii="Arial" w:eastAsia="Times New Roman" w:hAnsi="Arial" w:cs="Arial"/>
          <w:color w:val="000000"/>
          <w:sz w:val="22"/>
          <w:lang w:eastAsia="en-GB"/>
        </w:rPr>
      </w:pPr>
      <w:r w:rsidRPr="00221BB4">
        <w:rPr>
          <w:rFonts w:ascii="Arial" w:eastAsia="Times New Roman" w:hAnsi="Arial" w:cs="Arial"/>
          <w:color w:val="000000"/>
          <w:sz w:val="22"/>
          <w:lang w:eastAsia="en-GB"/>
        </w:rPr>
        <w:t>Future research should focus on properly integrating various digital care models into primary care settings.</w:t>
      </w:r>
    </w:p>
    <w:p w14:paraId="1B477B3D" w14:textId="77777777" w:rsidR="00837D93" w:rsidRPr="00837D93" w:rsidRDefault="00837D93" w:rsidP="00837D93">
      <w:pPr>
        <w:pStyle w:val="ListParagraph"/>
        <w:rPr>
          <w:rFonts w:ascii="Arial" w:eastAsia="Times New Roman" w:hAnsi="Arial" w:cs="Arial"/>
          <w:color w:val="000000"/>
          <w:sz w:val="22"/>
          <w:lang w:eastAsia="en-GB"/>
        </w:rPr>
      </w:pPr>
    </w:p>
    <w:p w14:paraId="17EDDCDD" w14:textId="12499B56" w:rsidR="00DE6A81" w:rsidRDefault="003410F4" w:rsidP="00221BB4">
      <w:pPr>
        <w:pStyle w:val="ListParagraph"/>
        <w:numPr>
          <w:ilvl w:val="0"/>
          <w:numId w:val="31"/>
        </w:numPr>
        <w:spacing w:before="100" w:beforeAutospacing="1" w:after="100" w:afterAutospacing="1" w:line="360" w:lineRule="auto"/>
        <w:jc w:val="both"/>
        <w:outlineLvl w:val="3"/>
        <w:rPr>
          <w:rFonts w:ascii="Arial" w:eastAsia="Times New Roman" w:hAnsi="Arial" w:cs="Arial"/>
          <w:color w:val="000000"/>
          <w:sz w:val="22"/>
          <w:lang w:eastAsia="en-GB"/>
        </w:rPr>
      </w:pPr>
      <w:r w:rsidRPr="00221BB4">
        <w:rPr>
          <w:rFonts w:ascii="Arial" w:eastAsia="Times New Roman" w:hAnsi="Arial" w:cs="Arial"/>
          <w:color w:val="000000"/>
          <w:sz w:val="22"/>
          <w:lang w:eastAsia="en-GB"/>
        </w:rPr>
        <w:t>Research should integrate quantitative and qualitative methods to better understand usage patterns and patient experiences.</w:t>
      </w:r>
    </w:p>
    <w:p w14:paraId="60AA8375" w14:textId="77777777" w:rsidR="000A0AF3" w:rsidRPr="000A0AF3" w:rsidRDefault="000A0AF3" w:rsidP="000A0AF3">
      <w:pPr>
        <w:pStyle w:val="ListParagraph"/>
        <w:rPr>
          <w:rFonts w:ascii="Arial" w:eastAsia="Times New Roman" w:hAnsi="Arial" w:cs="Arial"/>
          <w:color w:val="000000"/>
          <w:sz w:val="22"/>
          <w:lang w:eastAsia="en-GB"/>
        </w:rPr>
      </w:pPr>
    </w:p>
    <w:p w14:paraId="19B8C6AC" w14:textId="77777777" w:rsidR="000A0AF3" w:rsidRDefault="000A0AF3" w:rsidP="00221BB4">
      <w:pPr>
        <w:pStyle w:val="ListParagraph"/>
        <w:numPr>
          <w:ilvl w:val="0"/>
          <w:numId w:val="31"/>
        </w:numPr>
        <w:spacing w:before="100" w:beforeAutospacing="1" w:after="100" w:afterAutospacing="1" w:line="360" w:lineRule="auto"/>
        <w:jc w:val="both"/>
        <w:outlineLvl w:val="3"/>
        <w:rPr>
          <w:rFonts w:ascii="Arial" w:eastAsia="Times New Roman" w:hAnsi="Arial" w:cs="Arial"/>
          <w:color w:val="000000"/>
          <w:sz w:val="22"/>
          <w:lang w:eastAsia="en-GB"/>
        </w:rPr>
      </w:pPr>
    </w:p>
    <w:p w14:paraId="0C618D81" w14:textId="77777777" w:rsidR="0064313F" w:rsidRPr="0064313F" w:rsidRDefault="0064313F" w:rsidP="0064313F">
      <w:pPr>
        <w:pStyle w:val="ListParagraph"/>
        <w:rPr>
          <w:rFonts w:ascii="Arial" w:eastAsia="Times New Roman" w:hAnsi="Arial" w:cs="Arial"/>
          <w:color w:val="000000"/>
          <w:sz w:val="22"/>
          <w:lang w:eastAsia="en-GB"/>
        </w:rPr>
      </w:pPr>
    </w:p>
    <w:p w14:paraId="17616E34" w14:textId="0931B9A9" w:rsidR="00B33292" w:rsidRPr="00B33292" w:rsidRDefault="00B33292" w:rsidP="00B33292">
      <w:pPr>
        <w:pStyle w:val="ListParagraph"/>
        <w:numPr>
          <w:ilvl w:val="1"/>
          <w:numId w:val="33"/>
        </w:numPr>
        <w:spacing w:before="100" w:beforeAutospacing="1" w:after="100" w:afterAutospacing="1" w:line="360" w:lineRule="auto"/>
        <w:jc w:val="both"/>
        <w:outlineLvl w:val="2"/>
        <w:rPr>
          <w:rFonts w:ascii="Arial" w:eastAsia="Times New Roman" w:hAnsi="Arial" w:cs="Arial"/>
          <w:b/>
          <w:bCs/>
          <w:color w:val="000000"/>
          <w:sz w:val="22"/>
          <w:lang w:eastAsia="en-GB"/>
        </w:rPr>
      </w:pPr>
      <w:r w:rsidRPr="00B33292">
        <w:rPr>
          <w:rFonts w:ascii="Arial" w:eastAsia="Times New Roman" w:hAnsi="Arial" w:cs="Arial"/>
          <w:b/>
          <w:bCs/>
          <w:color w:val="000000"/>
          <w:sz w:val="22"/>
          <w:lang w:eastAsia="en-GB"/>
        </w:rPr>
        <w:t>Final Reflection</w:t>
      </w:r>
    </w:p>
    <w:p w14:paraId="55C1DC6A" w14:textId="77777777" w:rsidR="00B33292" w:rsidRDefault="00B33292" w:rsidP="00B33292">
      <w:pPr>
        <w:pStyle w:val="ListParagraph"/>
        <w:spacing w:before="100" w:beforeAutospacing="1" w:after="100" w:afterAutospacing="1" w:line="360" w:lineRule="auto"/>
        <w:ind w:left="480"/>
        <w:jc w:val="both"/>
        <w:outlineLvl w:val="2"/>
        <w:rPr>
          <w:rFonts w:ascii="Arial" w:eastAsia="Times New Roman" w:hAnsi="Arial" w:cs="Arial"/>
          <w:b/>
          <w:bCs/>
          <w:color w:val="000000"/>
          <w:sz w:val="22"/>
          <w:lang w:eastAsia="en-GB"/>
        </w:rPr>
      </w:pPr>
    </w:p>
    <w:p w14:paraId="26388391" w14:textId="33B4D933" w:rsidR="00B33292" w:rsidRPr="000A0AF3" w:rsidRDefault="000A0AF3" w:rsidP="000A0AF3">
      <w:pPr>
        <w:pStyle w:val="ListParagraph"/>
        <w:spacing w:before="100" w:beforeAutospacing="1" w:after="100" w:afterAutospacing="1" w:line="360" w:lineRule="auto"/>
        <w:ind w:left="0" w:firstLine="480"/>
        <w:jc w:val="both"/>
        <w:outlineLvl w:val="2"/>
        <w:rPr>
          <w:rFonts w:ascii="Arial" w:eastAsia="Times New Roman" w:hAnsi="Arial" w:cs="Arial"/>
          <w:color w:val="000000"/>
          <w:sz w:val="22"/>
          <w:lang w:eastAsia="en-GB"/>
        </w:rPr>
      </w:pPr>
      <w:r w:rsidRPr="000A0AF3">
        <w:rPr>
          <w:rFonts w:ascii="Arial" w:eastAsia="Times New Roman" w:hAnsi="Arial" w:cs="Arial"/>
          <w:color w:val="000000"/>
          <w:sz w:val="22"/>
          <w:lang w:eastAsia="en-GB"/>
        </w:rPr>
        <w:t>Finally, digital healthcare technologies are revolutionising primary care in the UK, providing significant opportunity to increase access</w:t>
      </w:r>
      <w:r w:rsidR="00073C60">
        <w:rPr>
          <w:rFonts w:ascii="Arial" w:eastAsia="Times New Roman" w:hAnsi="Arial" w:cs="Arial"/>
          <w:color w:val="000000"/>
          <w:sz w:val="22"/>
          <w:lang w:eastAsia="en-GB"/>
        </w:rPr>
        <w:t xml:space="preserve"> (Rodrigues et al., 2025)</w:t>
      </w:r>
      <w:r w:rsidRPr="000A0AF3">
        <w:rPr>
          <w:rFonts w:ascii="Arial" w:eastAsia="Times New Roman" w:hAnsi="Arial" w:cs="Arial"/>
          <w:color w:val="000000"/>
          <w:sz w:val="22"/>
          <w:lang w:eastAsia="en-GB"/>
        </w:rPr>
        <w:t xml:space="preserve">. However, their effectiveness is contingent on how they are deployed, supported, and integrated into existing systems. </w:t>
      </w:r>
      <w:r w:rsidR="00190147" w:rsidRPr="000A0AF3">
        <w:rPr>
          <w:rFonts w:ascii="Arial" w:eastAsia="Times New Roman" w:hAnsi="Arial" w:cs="Arial"/>
          <w:color w:val="000000"/>
          <w:sz w:val="22"/>
          <w:lang w:eastAsia="en-GB"/>
        </w:rPr>
        <w:t>An</w:t>
      </w:r>
      <w:r w:rsidRPr="000A0AF3">
        <w:rPr>
          <w:rFonts w:ascii="Arial" w:eastAsia="Times New Roman" w:hAnsi="Arial" w:cs="Arial"/>
          <w:color w:val="000000"/>
          <w:sz w:val="22"/>
          <w:lang w:eastAsia="en-GB"/>
        </w:rPr>
        <w:t xml:space="preserve"> </w:t>
      </w:r>
      <w:r w:rsidR="0061600A" w:rsidRPr="000A0AF3">
        <w:rPr>
          <w:rFonts w:ascii="Arial" w:eastAsia="Times New Roman" w:hAnsi="Arial" w:cs="Arial"/>
          <w:color w:val="000000"/>
          <w:sz w:val="22"/>
          <w:lang w:eastAsia="en-GB"/>
        </w:rPr>
        <w:t>attentive</w:t>
      </w:r>
      <w:r w:rsidRPr="000A0AF3">
        <w:rPr>
          <w:rFonts w:ascii="Arial" w:eastAsia="Times New Roman" w:hAnsi="Arial" w:cs="Arial"/>
          <w:color w:val="000000"/>
          <w:sz w:val="22"/>
          <w:lang w:eastAsia="en-GB"/>
        </w:rPr>
        <w:t xml:space="preserve">, inclusive, and evidence-based strategy is required to guarantee that digital innovation improves access for all patients rather than generating new </w:t>
      </w:r>
      <w:r w:rsidR="0061600A" w:rsidRPr="000A0AF3">
        <w:rPr>
          <w:rFonts w:ascii="Arial" w:eastAsia="Times New Roman" w:hAnsi="Arial" w:cs="Arial"/>
          <w:color w:val="000000"/>
          <w:sz w:val="22"/>
          <w:lang w:eastAsia="en-GB"/>
        </w:rPr>
        <w:t>categories</w:t>
      </w:r>
      <w:r w:rsidRPr="000A0AF3">
        <w:rPr>
          <w:rFonts w:ascii="Arial" w:eastAsia="Times New Roman" w:hAnsi="Arial" w:cs="Arial"/>
          <w:color w:val="000000"/>
          <w:sz w:val="22"/>
          <w:lang w:eastAsia="en-GB"/>
        </w:rPr>
        <w:t xml:space="preserve"> of inequity</w:t>
      </w:r>
      <w:r w:rsidR="00BD7303">
        <w:rPr>
          <w:rFonts w:ascii="Arial" w:eastAsia="Times New Roman" w:hAnsi="Arial" w:cs="Arial"/>
          <w:color w:val="000000"/>
          <w:sz w:val="22"/>
          <w:lang w:eastAsia="en-GB"/>
        </w:rPr>
        <w:t xml:space="preserve"> </w:t>
      </w:r>
      <w:r w:rsidR="00BD7303">
        <w:rPr>
          <w:rFonts w:ascii="Helvetica Neue" w:hAnsi="Helvetica Neue"/>
          <w:color w:val="0A0A0A"/>
          <w:shd w:val="clear" w:color="auto" w:fill="FFFFFF"/>
        </w:rPr>
        <w:t>(Granek</w:t>
      </w:r>
      <w:r w:rsidR="00BD7303">
        <w:rPr>
          <w:rStyle w:val="apple-converted-space"/>
          <w:rFonts w:ascii="Helvetica Neue" w:hAnsi="Helvetica Neue"/>
          <w:color w:val="0A0A0A"/>
          <w:shd w:val="clear" w:color="auto" w:fill="FFFFFF"/>
        </w:rPr>
        <w:t> </w:t>
      </w:r>
      <w:r w:rsidR="00BD7303">
        <w:rPr>
          <w:rStyle w:val="Emphasis"/>
          <w:rFonts w:ascii="Helvetica Neue" w:hAnsi="Helvetica Neue"/>
          <w:color w:val="0A0A0A"/>
        </w:rPr>
        <w:t>et al.</w:t>
      </w:r>
      <w:r w:rsidR="00BD7303">
        <w:rPr>
          <w:rFonts w:ascii="Helvetica Neue" w:hAnsi="Helvetica Neue"/>
          <w:color w:val="0A0A0A"/>
          <w:shd w:val="clear" w:color="auto" w:fill="FFFFFF"/>
        </w:rPr>
        <w:t>, 2026)</w:t>
      </w:r>
      <w:r w:rsidRPr="000A0AF3">
        <w:rPr>
          <w:rFonts w:ascii="Arial" w:eastAsia="Times New Roman" w:hAnsi="Arial" w:cs="Arial"/>
          <w:color w:val="000000"/>
          <w:sz w:val="22"/>
          <w:lang w:eastAsia="en-GB"/>
        </w:rPr>
        <w:t>.</w:t>
      </w:r>
    </w:p>
    <w:p w14:paraId="0DD70182" w14:textId="77777777" w:rsidR="0064313F" w:rsidRPr="0064313F" w:rsidRDefault="0064313F" w:rsidP="0064313F">
      <w:pPr>
        <w:spacing w:before="100" w:beforeAutospacing="1" w:after="100" w:afterAutospacing="1" w:line="360" w:lineRule="auto"/>
        <w:jc w:val="both"/>
        <w:outlineLvl w:val="3"/>
        <w:rPr>
          <w:rFonts w:ascii="Arial" w:eastAsia="Times New Roman" w:hAnsi="Arial" w:cs="Arial"/>
          <w:color w:val="000000"/>
          <w:sz w:val="22"/>
          <w:lang w:eastAsia="en-GB"/>
        </w:rPr>
      </w:pPr>
    </w:p>
    <w:p w14:paraId="07149C46" w14:textId="77777777" w:rsidR="00DE6A81" w:rsidRPr="00DE6A81" w:rsidRDefault="00DE6A81" w:rsidP="003410F4">
      <w:pPr>
        <w:spacing w:before="100" w:beforeAutospacing="1" w:after="100" w:afterAutospacing="1" w:line="360" w:lineRule="auto"/>
        <w:jc w:val="both"/>
        <w:outlineLvl w:val="3"/>
        <w:rPr>
          <w:rFonts w:ascii="Arial" w:eastAsia="Times New Roman" w:hAnsi="Arial" w:cs="Arial"/>
          <w:b/>
          <w:bCs/>
          <w:color w:val="000000"/>
          <w:sz w:val="22"/>
          <w:lang w:eastAsia="en-GB"/>
        </w:rPr>
      </w:pPr>
    </w:p>
    <w:p w14:paraId="12DA8AC3" w14:textId="77777777" w:rsidR="000E74C7" w:rsidRPr="008A56E3" w:rsidRDefault="000E74C7" w:rsidP="000E74C7">
      <w:pPr>
        <w:spacing w:before="100" w:beforeAutospacing="1" w:after="100" w:afterAutospacing="1" w:line="360" w:lineRule="auto"/>
        <w:jc w:val="both"/>
        <w:outlineLvl w:val="2"/>
        <w:rPr>
          <w:rFonts w:ascii="Arial" w:eastAsia="Times New Roman" w:hAnsi="Arial" w:cs="Arial"/>
          <w:b/>
          <w:bCs/>
          <w:color w:val="000000"/>
          <w:sz w:val="22"/>
          <w:lang w:eastAsia="en-GB"/>
        </w:rPr>
      </w:pPr>
      <w:r w:rsidRPr="008A56E3">
        <w:rPr>
          <w:rFonts w:ascii="Arial" w:eastAsia="Times New Roman" w:hAnsi="Arial" w:cs="Arial"/>
          <w:b/>
          <w:bCs/>
          <w:color w:val="000000"/>
          <w:sz w:val="22"/>
          <w:lang w:eastAsia="en-GB"/>
        </w:rPr>
        <w:lastRenderedPageBreak/>
        <w:t>6.1 Conclusion</w:t>
      </w:r>
    </w:p>
    <w:p w14:paraId="6215004A" w14:textId="27398408" w:rsidR="009F1A74" w:rsidRDefault="009F1A74"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p>
    <w:p w14:paraId="52F67DCD" w14:textId="34E48510" w:rsidR="000E74C7" w:rsidRDefault="0034775A"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34775A">
        <w:rPr>
          <w:rFonts w:ascii="Arial" w:eastAsia="Times New Roman" w:hAnsi="Arial" w:cs="Arial"/>
          <w:color w:val="000000"/>
          <w:sz w:val="22"/>
          <w:lang w:eastAsia="en-GB"/>
        </w:rPr>
        <w:t>This scoping assessment aimed to look at the evidence on the usefulness of digital healthcare technology in enhancing access to primary care services in the United Kingdom. The findings show that digital technologies, such as online consultation platforms, web-based triage systems, and mobile health applications, have a clear potential to improve access by increasing patients' convenience, flexibility, and the number of contact options.</w:t>
      </w:r>
    </w:p>
    <w:p w14:paraId="4F051D35" w14:textId="733A8A30" w:rsidR="00157B5D" w:rsidRDefault="00157B5D"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157B5D">
        <w:rPr>
          <w:rFonts w:ascii="Arial" w:eastAsia="Times New Roman" w:hAnsi="Arial" w:cs="Arial"/>
          <w:color w:val="000000"/>
          <w:sz w:val="22"/>
          <w:lang w:eastAsia="en-GB"/>
        </w:rPr>
        <w:t>According to the evidence from the evaluated research, digital access routes can result in more patient-provider interactions and better service availability. However, the research shows that increasing access is neither automatic or fairly distributed across communities. Digital literacy, socioeconomic background, and individual skill all have a substantial impact on patients' ability to effectively connect with digital services. Furthermore, qualitative evidence emphasises the necessity of digital facilitation, demonstrating that many patients require assistance to utilise online services, placing extra demands on healthcare professionals.</w:t>
      </w:r>
    </w:p>
    <w:p w14:paraId="72EAB990" w14:textId="1446C49C" w:rsidR="00D11ADA" w:rsidRDefault="00D11ADA"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D11ADA">
        <w:rPr>
          <w:rFonts w:ascii="Arial" w:eastAsia="Times New Roman" w:hAnsi="Arial" w:cs="Arial"/>
          <w:color w:val="000000"/>
          <w:sz w:val="22"/>
          <w:lang w:eastAsia="en-GB"/>
        </w:rPr>
        <w:t>Furthermore, while digital technologies may fulfil many of the activities traditionally associated with general practitioners, they have limitations in terms of providing complicated, comprehensive, and coordinated care. As such, they should be seen as supplementary tools rather than alternatives for primary care</w:t>
      </w:r>
      <w:r w:rsidR="004F2B6F">
        <w:rPr>
          <w:rFonts w:ascii="Arial" w:eastAsia="Times New Roman" w:hAnsi="Arial" w:cs="Arial"/>
          <w:color w:val="000000"/>
          <w:sz w:val="22"/>
          <w:lang w:eastAsia="en-GB"/>
        </w:rPr>
        <w:t xml:space="preserve"> professionals</w:t>
      </w:r>
      <w:r w:rsidRPr="00D11ADA">
        <w:rPr>
          <w:rFonts w:ascii="Arial" w:eastAsia="Times New Roman" w:hAnsi="Arial" w:cs="Arial"/>
          <w:color w:val="000000"/>
          <w:sz w:val="22"/>
          <w:lang w:eastAsia="en-GB"/>
        </w:rPr>
        <w:t>.</w:t>
      </w:r>
    </w:p>
    <w:p w14:paraId="710A32FD" w14:textId="3219ACF5" w:rsidR="00AC6185" w:rsidRDefault="00AC6185"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AC6185">
        <w:rPr>
          <w:rFonts w:ascii="Arial" w:eastAsia="Times New Roman" w:hAnsi="Arial" w:cs="Arial"/>
          <w:color w:val="000000"/>
          <w:sz w:val="22"/>
          <w:lang w:eastAsia="en-GB"/>
        </w:rPr>
        <w:t>Overall, the data shows that digital healthcare technologies help to improve access to primary care in the UK, although their usefulness varies depending on the situation. Without sufficient assistance, inclusive design, and consideration of patient requirements, these technologies have the potential to exacerbate rather than reduce existing inequities.</w:t>
      </w:r>
    </w:p>
    <w:p w14:paraId="7E967267" w14:textId="509017CF" w:rsidR="0067699E" w:rsidRPr="0067699E" w:rsidRDefault="0067699E"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r w:rsidRPr="0067699E">
        <w:rPr>
          <w:rFonts w:ascii="Arial" w:hAnsi="Arial" w:cs="Arial"/>
          <w:color w:val="000000"/>
          <w:sz w:val="22"/>
        </w:rPr>
        <w:t>This underscores the need for a cautious and evidence-informed approach to digital transformation, ensuring that technological innovation does not outpace the capacity of systems and patients to adapt</w:t>
      </w:r>
      <w:r>
        <w:rPr>
          <w:rFonts w:ascii="Arial" w:hAnsi="Arial" w:cs="Arial"/>
          <w:color w:val="000000"/>
          <w:sz w:val="22"/>
        </w:rPr>
        <w:t>.</w:t>
      </w:r>
    </w:p>
    <w:p w14:paraId="4629BB0F" w14:textId="77777777" w:rsidR="00AC6185" w:rsidRDefault="00AC6185" w:rsidP="00D819A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p>
    <w:p w14:paraId="073C3540" w14:textId="77777777" w:rsidR="009F1A74" w:rsidRDefault="009F1A74" w:rsidP="009F1A74">
      <w:pPr>
        <w:spacing w:before="100" w:beforeAutospacing="1" w:after="100" w:afterAutospacing="1" w:line="360" w:lineRule="auto"/>
        <w:ind w:firstLine="720"/>
        <w:jc w:val="both"/>
        <w:outlineLvl w:val="1"/>
        <w:rPr>
          <w:rFonts w:ascii="Arial" w:eastAsia="Times New Roman" w:hAnsi="Arial" w:cs="Arial"/>
          <w:color w:val="000000"/>
          <w:sz w:val="22"/>
          <w:lang w:eastAsia="en-GB"/>
        </w:rPr>
      </w:pPr>
    </w:p>
    <w:p w14:paraId="10BE75D5" w14:textId="77777777" w:rsidR="00AC6185" w:rsidRDefault="00AC6185" w:rsidP="00AC6185">
      <w:pPr>
        <w:rPr>
          <w:rFonts w:ascii="Arial" w:eastAsia="Times New Roman" w:hAnsi="Arial" w:cs="Arial"/>
          <w:color w:val="000000"/>
          <w:sz w:val="22"/>
          <w:lang w:eastAsia="en-GB"/>
        </w:rPr>
      </w:pPr>
    </w:p>
    <w:p w14:paraId="298AC629" w14:textId="77777777" w:rsidR="00AC6185" w:rsidRDefault="00AC6185" w:rsidP="00AC6185">
      <w:pPr>
        <w:rPr>
          <w:rFonts w:ascii="Arial" w:eastAsia="Times New Roman" w:hAnsi="Arial" w:cs="Arial"/>
          <w:color w:val="000000"/>
          <w:sz w:val="22"/>
          <w:lang w:eastAsia="en-GB"/>
        </w:rPr>
      </w:pPr>
    </w:p>
    <w:p w14:paraId="33F8F0BD" w14:textId="64644A91" w:rsidR="00B87E75" w:rsidRPr="00AC6185" w:rsidRDefault="00AC6185" w:rsidP="00AC6185">
      <w:pPr>
        <w:rPr>
          <w:rFonts w:ascii="Arial" w:eastAsiaTheme="majorEastAsia" w:hAnsi="Arial" w:cs="Arial"/>
          <w:b/>
          <w:bCs/>
          <w:sz w:val="22"/>
        </w:rPr>
      </w:pPr>
      <w:r>
        <w:rPr>
          <w:rFonts w:ascii="Arial" w:hAnsi="Arial" w:cs="Arial"/>
          <w:b/>
          <w:bCs/>
          <w:sz w:val="22"/>
        </w:rPr>
        <w:lastRenderedPageBreak/>
        <w:t>7.</w:t>
      </w:r>
      <w:r w:rsidR="00B87E75" w:rsidRPr="00AC6185">
        <w:rPr>
          <w:rFonts w:ascii="Arial" w:hAnsi="Arial" w:cs="Arial"/>
          <w:b/>
          <w:bCs/>
          <w:sz w:val="22"/>
        </w:rPr>
        <w:t>References</w:t>
      </w:r>
    </w:p>
    <w:p w14:paraId="6F540DF8" w14:textId="77777777" w:rsidR="00082F15" w:rsidRPr="0079543D" w:rsidRDefault="00082F15" w:rsidP="00082F15">
      <w:pPr>
        <w:rPr>
          <w:rFonts w:ascii="Arial" w:hAnsi="Arial" w:cs="Arial"/>
        </w:rPr>
      </w:pPr>
    </w:p>
    <w:p w14:paraId="19BE3807" w14:textId="6D9F1974" w:rsidR="00B96EE6" w:rsidRPr="00710C1C" w:rsidRDefault="00234C3B" w:rsidP="00710C1C">
      <w:pPr>
        <w:rPr>
          <w:rFonts w:ascii="Arial" w:hAnsi="Arial" w:cs="Arial"/>
          <w:color w:val="0A0A0A"/>
          <w:shd w:val="clear" w:color="auto" w:fill="F0F2F5"/>
        </w:rPr>
      </w:pPr>
      <w:r w:rsidRPr="00710C1C">
        <w:rPr>
          <w:rFonts w:ascii="Arial" w:hAnsi="Arial" w:cs="Arial"/>
          <w:color w:val="0A0A0A"/>
          <w:shd w:val="clear" w:color="auto" w:fill="F0F2F5"/>
        </w:rPr>
        <w:t>BIRATI</w:t>
      </w:r>
      <w:r w:rsidR="00B96EE6" w:rsidRPr="00710C1C">
        <w:rPr>
          <w:rFonts w:ascii="Arial" w:hAnsi="Arial" w:cs="Arial"/>
          <w:color w:val="0A0A0A"/>
          <w:shd w:val="clear" w:color="auto" w:fill="F0F2F5"/>
        </w:rPr>
        <w:t xml:space="preserve">, Y. and </w:t>
      </w:r>
      <w:r w:rsidR="004D5845" w:rsidRPr="00710C1C">
        <w:rPr>
          <w:rFonts w:ascii="Arial" w:hAnsi="Arial" w:cs="Arial"/>
          <w:color w:val="0A0A0A"/>
          <w:shd w:val="clear" w:color="auto" w:fill="F0F2F5"/>
        </w:rPr>
        <w:t>TZEMAH-SHAHAR</w:t>
      </w:r>
      <w:r w:rsidR="00B96EE6" w:rsidRPr="00710C1C">
        <w:rPr>
          <w:rFonts w:ascii="Arial" w:hAnsi="Arial" w:cs="Arial"/>
          <w:color w:val="0A0A0A"/>
          <w:shd w:val="clear" w:color="auto" w:fill="F0F2F5"/>
        </w:rPr>
        <w:t xml:space="preserve">T, R. (2026) “Barriers to Digital Health Adoption in Older Adults: Scoping Review Informed by Innovation Resistance Theory,” </w:t>
      </w:r>
      <w:r w:rsidR="00B96EE6" w:rsidRPr="00710C1C">
        <w:rPr>
          <w:rFonts w:ascii="Arial" w:hAnsi="Arial" w:cs="Arial"/>
          <w:i/>
          <w:iCs/>
          <w:color w:val="0A0A0A"/>
          <w:shd w:val="clear" w:color="auto" w:fill="F0F2F5"/>
        </w:rPr>
        <w:t>Journal of medical Internet research</w:t>
      </w:r>
      <w:r w:rsidR="00B96EE6" w:rsidRPr="00710C1C">
        <w:rPr>
          <w:rFonts w:ascii="Arial" w:hAnsi="Arial" w:cs="Arial"/>
          <w:color w:val="0A0A0A"/>
          <w:shd w:val="clear" w:color="auto" w:fill="F0F2F5"/>
        </w:rPr>
        <w:t xml:space="preserve">, 28(7), pp. e75591–e75591. Available at: </w:t>
      </w:r>
      <w:hyperlink r:id="rId9" w:history="1">
        <w:r w:rsidR="004552EE" w:rsidRPr="00710C1C">
          <w:rPr>
            <w:rStyle w:val="Hyperlink"/>
            <w:rFonts w:ascii="Arial" w:hAnsi="Arial" w:cs="Arial"/>
            <w:shd w:val="clear" w:color="auto" w:fill="F0F2F5"/>
          </w:rPr>
          <w:t>https://doi.org/10.2196/75591</w:t>
        </w:r>
      </w:hyperlink>
      <w:r w:rsidR="00B96EE6" w:rsidRPr="00710C1C">
        <w:rPr>
          <w:rFonts w:ascii="Arial" w:hAnsi="Arial" w:cs="Arial"/>
          <w:color w:val="0A0A0A"/>
          <w:shd w:val="clear" w:color="auto" w:fill="F0F2F5"/>
        </w:rPr>
        <w:t>.</w:t>
      </w:r>
      <w:r w:rsidR="000C585F" w:rsidRPr="00710C1C">
        <w:rPr>
          <w:rFonts w:ascii="Arial" w:hAnsi="Arial" w:cs="Arial"/>
          <w:color w:val="0A0A0A"/>
          <w:shd w:val="clear" w:color="auto" w:fill="F0F2F5"/>
        </w:rPr>
        <w:t xml:space="preserve"> Accessed: 24 Apr 2026</w:t>
      </w:r>
      <w:r w:rsidR="00A3717E" w:rsidRPr="00710C1C">
        <w:rPr>
          <w:rFonts w:ascii="Arial" w:hAnsi="Arial" w:cs="Arial"/>
          <w:color w:val="0A0A0A"/>
          <w:shd w:val="clear" w:color="auto" w:fill="F0F2F5"/>
        </w:rPr>
        <w:t>.</w:t>
      </w:r>
    </w:p>
    <w:p w14:paraId="08B3C91B" w14:textId="71D4F02F" w:rsidR="00761861" w:rsidRPr="00710C1C" w:rsidRDefault="004552EE" w:rsidP="00710C1C">
      <w:pPr>
        <w:rPr>
          <w:rFonts w:ascii="Arial" w:hAnsi="Arial" w:cs="Arial"/>
          <w:color w:val="0A0A0A"/>
          <w:shd w:val="clear" w:color="auto" w:fill="F0F2F5"/>
        </w:rPr>
      </w:pPr>
      <w:r w:rsidRPr="00710C1C">
        <w:rPr>
          <w:rFonts w:ascii="Arial" w:hAnsi="Arial" w:cs="Arial"/>
          <w:color w:val="0A0A0A"/>
          <w:shd w:val="clear" w:color="auto" w:fill="F0F2F5"/>
        </w:rPr>
        <w:t>DOBROVOLS</w:t>
      </w:r>
      <w:r w:rsidR="003A230A" w:rsidRPr="00710C1C">
        <w:rPr>
          <w:rFonts w:ascii="Arial" w:hAnsi="Arial" w:cs="Arial"/>
          <w:color w:val="0A0A0A"/>
          <w:shd w:val="clear" w:color="auto" w:fill="F0F2F5"/>
        </w:rPr>
        <w:t>KA, O and KOLOMIIETS,</w:t>
      </w:r>
      <w:r w:rsidRPr="00710C1C">
        <w:rPr>
          <w:rFonts w:ascii="Arial" w:hAnsi="Arial" w:cs="Arial"/>
          <w:color w:val="0A0A0A"/>
          <w:shd w:val="clear" w:color="auto" w:fill="F0F2F5"/>
        </w:rPr>
        <w:t xml:space="preserve"> S. (2024) “The Impact of Digitalisation on Social Determinants of Public Health,” </w:t>
      </w:r>
      <w:r w:rsidRPr="00710C1C">
        <w:rPr>
          <w:rFonts w:ascii="Arial" w:hAnsi="Arial" w:cs="Arial"/>
          <w:i/>
          <w:iCs/>
          <w:color w:val="0A0A0A"/>
          <w:shd w:val="clear" w:color="auto" w:fill="F0F2F5"/>
        </w:rPr>
        <w:t>Health Economics and Management Review,</w:t>
      </w:r>
      <w:r w:rsidRPr="00710C1C">
        <w:rPr>
          <w:rFonts w:ascii="Arial" w:hAnsi="Arial" w:cs="Arial"/>
          <w:color w:val="0A0A0A"/>
          <w:shd w:val="clear" w:color="auto" w:fill="F0F2F5"/>
        </w:rPr>
        <w:t xml:space="preserve"> 5(3), pp. 128–142. Available at: </w:t>
      </w:r>
      <w:hyperlink r:id="rId10" w:history="1">
        <w:r w:rsidR="000C585F" w:rsidRPr="00710C1C">
          <w:rPr>
            <w:rStyle w:val="Hyperlink"/>
            <w:rFonts w:ascii="Arial" w:hAnsi="Arial" w:cs="Arial"/>
            <w:shd w:val="clear" w:color="auto" w:fill="F0F2F5"/>
          </w:rPr>
          <w:t>https://doi.org/10.61093/hem.2024.3-09</w:t>
        </w:r>
      </w:hyperlink>
      <w:r w:rsidRPr="00710C1C">
        <w:rPr>
          <w:rFonts w:ascii="Arial" w:hAnsi="Arial" w:cs="Arial"/>
          <w:color w:val="0A0A0A"/>
          <w:shd w:val="clear" w:color="auto" w:fill="F0F2F5"/>
        </w:rPr>
        <w:t>.</w:t>
      </w:r>
      <w:r w:rsidR="000C585F" w:rsidRPr="00710C1C">
        <w:rPr>
          <w:rFonts w:ascii="Arial" w:hAnsi="Arial" w:cs="Arial"/>
          <w:color w:val="0A0A0A"/>
          <w:shd w:val="clear" w:color="auto" w:fill="F0F2F5"/>
        </w:rPr>
        <w:t xml:space="preserve"> Accessed: 2</w:t>
      </w:r>
      <w:r w:rsidR="008535D6" w:rsidRPr="00710C1C">
        <w:rPr>
          <w:rFonts w:ascii="Arial" w:hAnsi="Arial" w:cs="Arial"/>
          <w:color w:val="0A0A0A"/>
          <w:shd w:val="clear" w:color="auto" w:fill="F0F2F5"/>
        </w:rPr>
        <w:t>3</w:t>
      </w:r>
      <w:r w:rsidR="00A3717E" w:rsidRPr="00710C1C">
        <w:rPr>
          <w:rFonts w:ascii="Arial" w:hAnsi="Arial" w:cs="Arial"/>
          <w:color w:val="0A0A0A"/>
          <w:shd w:val="clear" w:color="auto" w:fill="F0F2F5"/>
        </w:rPr>
        <w:t xml:space="preserve"> Apr 2026.</w:t>
      </w:r>
    </w:p>
    <w:p w14:paraId="79FCC715" w14:textId="7B11CF5C" w:rsidR="00761861" w:rsidRPr="00710C1C" w:rsidRDefault="00761861" w:rsidP="00710C1C">
      <w:pPr>
        <w:rPr>
          <w:rFonts w:ascii="Arial" w:hAnsi="Arial" w:cs="Arial"/>
          <w:color w:val="0A0A0A"/>
          <w:shd w:val="clear" w:color="auto" w:fill="F0F2F5"/>
        </w:rPr>
      </w:pPr>
      <w:r w:rsidRPr="00710C1C">
        <w:rPr>
          <w:rFonts w:ascii="Arial" w:hAnsi="Arial" w:cs="Arial"/>
          <w:color w:val="0A0A0A"/>
          <w:shd w:val="clear" w:color="auto" w:fill="F0F2F5"/>
        </w:rPr>
        <w:t xml:space="preserve"> </w:t>
      </w:r>
      <w:r w:rsidRPr="00710C1C">
        <w:rPr>
          <w:rFonts w:ascii="Arial" w:hAnsi="Arial" w:cs="Arial"/>
          <w:color w:val="0A0A0A"/>
          <w:shd w:val="clear" w:color="auto" w:fill="F0F2F5"/>
        </w:rPr>
        <w:t>GRANEK, B., MATTEL</w:t>
      </w:r>
      <w:r w:rsidR="00EF64F0" w:rsidRPr="00710C1C">
        <w:rPr>
          <w:rFonts w:ascii="Arial" w:hAnsi="Arial" w:cs="Arial"/>
          <w:color w:val="0A0A0A"/>
          <w:shd w:val="clear" w:color="auto" w:fill="F0F2F5"/>
        </w:rPr>
        <w:t xml:space="preserve">, P. and BARBERIO, A. </w:t>
      </w:r>
      <w:r w:rsidRPr="00710C1C">
        <w:rPr>
          <w:rFonts w:ascii="Arial" w:hAnsi="Arial" w:cs="Arial"/>
          <w:color w:val="0A0A0A"/>
          <w:shd w:val="clear" w:color="auto" w:fill="F0F2F5"/>
        </w:rPr>
        <w:t xml:space="preserve">(2026) “Using the RE-AIM Framework to Understand Pathway Home’s Impact, Reach, and Long-Term Sustainability Within the Healthcare System,” </w:t>
      </w:r>
      <w:r w:rsidRPr="00710C1C">
        <w:rPr>
          <w:rFonts w:ascii="Arial" w:hAnsi="Arial" w:cs="Arial"/>
          <w:i/>
          <w:iCs/>
          <w:color w:val="0A0A0A"/>
          <w:shd w:val="clear" w:color="auto" w:fill="F0F2F5"/>
        </w:rPr>
        <w:t>Health promotion practice</w:t>
      </w:r>
      <w:r w:rsidRPr="00710C1C">
        <w:rPr>
          <w:rFonts w:ascii="Arial" w:hAnsi="Arial" w:cs="Arial"/>
          <w:color w:val="0A0A0A"/>
          <w:shd w:val="clear" w:color="auto" w:fill="F0F2F5"/>
        </w:rPr>
        <w:t xml:space="preserve">, p. 15248399261419105. Available at: </w:t>
      </w:r>
      <w:hyperlink r:id="rId11" w:history="1">
        <w:r w:rsidR="00C5265E" w:rsidRPr="00710C1C">
          <w:rPr>
            <w:rStyle w:val="Hyperlink"/>
            <w:rFonts w:ascii="Arial" w:hAnsi="Arial" w:cs="Arial"/>
            <w:shd w:val="clear" w:color="auto" w:fill="F0F2F5"/>
          </w:rPr>
          <w:t>https://doi.org/10.1177/15248399261419105</w:t>
        </w:r>
      </w:hyperlink>
      <w:r w:rsidRPr="00710C1C">
        <w:rPr>
          <w:rFonts w:ascii="Arial" w:hAnsi="Arial" w:cs="Arial"/>
          <w:color w:val="0A0A0A"/>
          <w:shd w:val="clear" w:color="auto" w:fill="F0F2F5"/>
        </w:rPr>
        <w:t>.</w:t>
      </w:r>
      <w:r w:rsidR="00C5265E" w:rsidRPr="00710C1C">
        <w:rPr>
          <w:rFonts w:ascii="Arial" w:hAnsi="Arial" w:cs="Arial"/>
          <w:color w:val="0A0A0A"/>
          <w:shd w:val="clear" w:color="auto" w:fill="F0F2F5"/>
        </w:rPr>
        <w:t xml:space="preserve"> Accessed</w:t>
      </w:r>
      <w:r w:rsidR="008535D6" w:rsidRPr="00710C1C">
        <w:rPr>
          <w:rFonts w:ascii="Arial" w:hAnsi="Arial" w:cs="Arial"/>
          <w:color w:val="0A0A0A"/>
          <w:shd w:val="clear" w:color="auto" w:fill="F0F2F5"/>
        </w:rPr>
        <w:t>: 23 Apr 2026.</w:t>
      </w:r>
    </w:p>
    <w:p w14:paraId="69986D88" w14:textId="79F3D1A2" w:rsidR="003C17B3" w:rsidRPr="00710C1C" w:rsidRDefault="00082F15" w:rsidP="00710C1C">
      <w:pPr>
        <w:rPr>
          <w:rFonts w:ascii="Arial" w:hAnsi="Arial" w:cs="Arial"/>
          <w:color w:val="0A0A0A"/>
          <w:shd w:val="clear" w:color="auto" w:fill="F0F2F5"/>
        </w:rPr>
      </w:pPr>
      <w:r w:rsidRPr="00710C1C">
        <w:rPr>
          <w:rFonts w:ascii="Arial" w:hAnsi="Arial" w:cs="Arial"/>
          <w:color w:val="0A0A0A"/>
          <w:shd w:val="clear" w:color="auto" w:fill="F0F2F5"/>
        </w:rPr>
        <w:t>GREENHALGH, T., KOH, G. C. H. e CAR, J. (2020). Covid-19: a remote assessment in primary care.</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The BMJ</w:t>
      </w:r>
      <w:r w:rsidRPr="00710C1C">
        <w:rPr>
          <w:rFonts w:ascii="Arial" w:hAnsi="Arial" w:cs="Arial"/>
          <w:color w:val="0A0A0A"/>
          <w:shd w:val="clear" w:color="auto" w:fill="F0F2F5"/>
        </w:rPr>
        <w:t>, 368, p. m1182. doi: 10.1136/bmj.m1182.</w:t>
      </w:r>
      <w:r w:rsidRPr="00710C1C">
        <w:rPr>
          <w:rFonts w:ascii="Arial" w:hAnsi="Arial" w:cs="Arial"/>
          <w:color w:val="0A0A0A"/>
          <w:shd w:val="clear" w:color="auto" w:fill="F0F2F5"/>
        </w:rPr>
        <w:t xml:space="preserve"> Accessed: </w:t>
      </w:r>
      <w:r w:rsidR="00696F81" w:rsidRPr="00710C1C">
        <w:rPr>
          <w:rFonts w:ascii="Arial" w:hAnsi="Arial" w:cs="Arial"/>
          <w:color w:val="0A0A0A"/>
          <w:shd w:val="clear" w:color="auto" w:fill="F0F2F5"/>
        </w:rPr>
        <w:t>09 Apr 2026.</w:t>
      </w:r>
    </w:p>
    <w:p w14:paraId="3141CBF8" w14:textId="5E63E278" w:rsidR="003C17B3" w:rsidRPr="00710C1C" w:rsidRDefault="003C17B3" w:rsidP="00710C1C">
      <w:pPr>
        <w:rPr>
          <w:rFonts w:ascii="Arial" w:hAnsi="Arial" w:cs="Arial"/>
          <w:color w:val="0A0A0A"/>
          <w:shd w:val="clear" w:color="auto" w:fill="F0F2F5"/>
        </w:rPr>
      </w:pPr>
      <w:r w:rsidRPr="00710C1C">
        <w:rPr>
          <w:rFonts w:ascii="Arial" w:hAnsi="Arial" w:cs="Arial"/>
          <w:color w:val="0A0A0A"/>
          <w:shd w:val="clear" w:color="auto" w:fill="F0F2F5"/>
        </w:rPr>
        <w:t xml:space="preserve">Harrison Ginsberg, K., Babbott, K. and Serlachius, A. (2024) “Exploring Participants’ Experiences of Digital Health Interventions </w:t>
      </w:r>
      <w:r w:rsidR="00190147" w:rsidRPr="00710C1C">
        <w:rPr>
          <w:rFonts w:ascii="Arial" w:hAnsi="Arial" w:cs="Arial"/>
          <w:color w:val="0A0A0A"/>
          <w:shd w:val="clear" w:color="auto" w:fill="F0F2F5"/>
        </w:rPr>
        <w:t>with</w:t>
      </w:r>
      <w:r w:rsidRPr="00710C1C">
        <w:rPr>
          <w:rFonts w:ascii="Arial" w:hAnsi="Arial" w:cs="Arial"/>
          <w:color w:val="0A0A0A"/>
          <w:shd w:val="clear" w:color="auto" w:fill="F0F2F5"/>
        </w:rPr>
        <w:t xml:space="preserve"> Qualitative Methods: Guidance for Researchers,” </w:t>
      </w:r>
      <w:r w:rsidRPr="00710C1C">
        <w:rPr>
          <w:rFonts w:ascii="Arial" w:hAnsi="Arial" w:cs="Arial"/>
          <w:i/>
          <w:iCs/>
          <w:color w:val="0A0A0A"/>
          <w:shd w:val="clear" w:color="auto" w:fill="F0F2F5"/>
        </w:rPr>
        <w:t>Journal of medical Internet research</w:t>
      </w:r>
      <w:r w:rsidRPr="00710C1C">
        <w:rPr>
          <w:rFonts w:ascii="Arial" w:hAnsi="Arial" w:cs="Arial"/>
          <w:color w:val="0A0A0A"/>
          <w:shd w:val="clear" w:color="auto" w:fill="F0F2F5"/>
        </w:rPr>
        <w:t xml:space="preserve">, 26(8), p. e62761. Available at: </w:t>
      </w:r>
      <w:hyperlink r:id="rId12" w:history="1">
        <w:r w:rsidRPr="00710C1C">
          <w:rPr>
            <w:rStyle w:val="Hyperlink"/>
            <w:rFonts w:ascii="Arial" w:hAnsi="Arial" w:cs="Arial"/>
            <w:shd w:val="clear" w:color="auto" w:fill="F0F2F5"/>
          </w:rPr>
          <w:t>http</w:t>
        </w:r>
        <w:r w:rsidRPr="00710C1C">
          <w:rPr>
            <w:rStyle w:val="Hyperlink"/>
            <w:rFonts w:ascii="Arial" w:hAnsi="Arial" w:cs="Arial"/>
            <w:shd w:val="clear" w:color="auto" w:fill="F0F2F5"/>
          </w:rPr>
          <w:t>s</w:t>
        </w:r>
        <w:r w:rsidRPr="00710C1C">
          <w:rPr>
            <w:rStyle w:val="Hyperlink"/>
            <w:rFonts w:ascii="Arial" w:hAnsi="Arial" w:cs="Arial"/>
            <w:shd w:val="clear" w:color="auto" w:fill="F0F2F5"/>
          </w:rPr>
          <w:t>://doi.org/10.2196/62761</w:t>
        </w:r>
      </w:hyperlink>
      <w:r w:rsidRPr="00710C1C">
        <w:rPr>
          <w:rFonts w:ascii="Arial" w:hAnsi="Arial" w:cs="Arial"/>
          <w:color w:val="0A0A0A"/>
          <w:shd w:val="clear" w:color="auto" w:fill="F0F2F5"/>
        </w:rPr>
        <w:t>.</w:t>
      </w:r>
      <w:r w:rsidRPr="00710C1C">
        <w:rPr>
          <w:rFonts w:ascii="Arial" w:hAnsi="Arial" w:cs="Arial"/>
          <w:color w:val="0A0A0A"/>
          <w:shd w:val="clear" w:color="auto" w:fill="F0F2F5"/>
        </w:rPr>
        <w:t xml:space="preserve"> </w:t>
      </w:r>
      <w:r w:rsidR="00E25DD3" w:rsidRPr="00710C1C">
        <w:rPr>
          <w:rFonts w:ascii="Arial" w:hAnsi="Arial" w:cs="Arial"/>
          <w:color w:val="0A0A0A"/>
          <w:shd w:val="clear" w:color="auto" w:fill="F0F2F5"/>
        </w:rPr>
        <w:t>Accessed: 23 Apr 2026.</w:t>
      </w:r>
    </w:p>
    <w:p w14:paraId="5C63E892" w14:textId="54D569ED" w:rsidR="0079543D" w:rsidRPr="00710C1C" w:rsidRDefault="00B334AB" w:rsidP="00710C1C">
      <w:pPr>
        <w:rPr>
          <w:rFonts w:ascii="Arial" w:hAnsi="Arial" w:cs="Arial"/>
        </w:rPr>
      </w:pPr>
      <w:r w:rsidRPr="00710C1C">
        <w:rPr>
          <w:rStyle w:val="Strong"/>
          <w:rFonts w:ascii="Arial" w:hAnsi="Arial" w:cs="Arial"/>
          <w:b w:val="0"/>
          <w:bCs w:val="0"/>
          <w:color w:val="0A0A0A"/>
        </w:rPr>
        <w:t>HONEYMAN, M., MAGUIRE, D., EVANS, H. e JABBAL, K. (2020).</w:t>
      </w:r>
      <w:r w:rsidRPr="00710C1C">
        <w:rPr>
          <w:rStyle w:val="apple-converted-space"/>
          <w:rFonts w:ascii="Arial" w:hAnsi="Arial" w:cs="Arial"/>
          <w:color w:val="0A0A0A"/>
          <w:shd w:val="clear" w:color="auto" w:fill="FFFFFF"/>
        </w:rPr>
        <w:t> </w:t>
      </w:r>
      <w:r w:rsidRPr="00710C1C">
        <w:rPr>
          <w:rStyle w:val="Emphasis"/>
          <w:rFonts w:ascii="Arial" w:hAnsi="Arial" w:cs="Arial"/>
          <w:color w:val="0A0A0A"/>
        </w:rPr>
        <w:t>Digital change in health and social care: factors for success</w:t>
      </w:r>
      <w:r w:rsidRPr="00710C1C">
        <w:rPr>
          <w:rFonts w:ascii="Arial" w:hAnsi="Arial" w:cs="Arial"/>
          <w:color w:val="0A0A0A"/>
          <w:shd w:val="clear" w:color="auto" w:fill="FFFFFF"/>
        </w:rPr>
        <w:t xml:space="preserve">. Londres: The King's Fund. </w:t>
      </w:r>
      <w:r w:rsidR="00353894" w:rsidRPr="00710C1C">
        <w:rPr>
          <w:rFonts w:ascii="Arial" w:hAnsi="Arial" w:cs="Arial"/>
          <w:color w:val="0A0A0A"/>
          <w:shd w:val="clear" w:color="auto" w:fill="FFFFFF"/>
        </w:rPr>
        <w:t>Available at</w:t>
      </w:r>
      <w:r w:rsidRPr="00710C1C">
        <w:rPr>
          <w:rFonts w:ascii="Arial" w:hAnsi="Arial" w:cs="Arial"/>
          <w:color w:val="0A0A0A"/>
          <w:shd w:val="clear" w:color="auto" w:fill="FFFFFF"/>
        </w:rPr>
        <w:t xml:space="preserve">: kingsfund.org.uk </w:t>
      </w:r>
      <w:r w:rsidR="00353894" w:rsidRPr="00710C1C">
        <w:rPr>
          <w:rFonts w:ascii="Arial" w:hAnsi="Arial" w:cs="Arial"/>
          <w:color w:val="0A0A0A"/>
          <w:shd w:val="clear" w:color="auto" w:fill="FFFFFF"/>
        </w:rPr>
        <w:t>Accessed: 20 Apr</w:t>
      </w:r>
      <w:r w:rsidRPr="00710C1C">
        <w:rPr>
          <w:rFonts w:ascii="Arial" w:hAnsi="Arial" w:cs="Arial"/>
          <w:color w:val="0A0A0A"/>
          <w:shd w:val="clear" w:color="auto" w:fill="FFFFFF"/>
        </w:rPr>
        <w:t xml:space="preserve"> 2026.</w:t>
      </w:r>
    </w:p>
    <w:p w14:paraId="22D259D1" w14:textId="63778958" w:rsidR="0079543D" w:rsidRPr="00710C1C" w:rsidRDefault="0079543D" w:rsidP="00710C1C">
      <w:pPr>
        <w:rPr>
          <w:rFonts w:ascii="Arial" w:hAnsi="Arial" w:cs="Arial"/>
          <w:szCs w:val="24"/>
        </w:rPr>
      </w:pPr>
      <w:r w:rsidRPr="00710C1C">
        <w:rPr>
          <w:rFonts w:ascii="Arial" w:hAnsi="Arial" w:cs="Arial"/>
          <w:sz w:val="22"/>
        </w:rPr>
        <w:t xml:space="preserve"> </w:t>
      </w:r>
      <w:r w:rsidR="00122FC8" w:rsidRPr="00710C1C">
        <w:rPr>
          <w:rFonts w:ascii="Arial" w:hAnsi="Arial" w:cs="Arial"/>
          <w:sz w:val="22"/>
        </w:rPr>
        <w:t>KRISTIANSEN</w:t>
      </w:r>
      <w:r w:rsidRPr="00710C1C">
        <w:rPr>
          <w:rFonts w:ascii="Arial" w:hAnsi="Arial" w:cs="Arial"/>
          <w:szCs w:val="24"/>
        </w:rPr>
        <w:t xml:space="preserve">, E. et al. (2025) “Patients’ Use of e-Consultations as an Alternative to Other General Practitioner Services: Cross-Sectional Survey Study,” </w:t>
      </w:r>
      <w:r w:rsidRPr="00710C1C">
        <w:rPr>
          <w:rFonts w:ascii="Arial" w:hAnsi="Arial" w:cs="Arial"/>
          <w:i/>
          <w:iCs/>
          <w:szCs w:val="24"/>
        </w:rPr>
        <w:t>Journal of medical Internet research</w:t>
      </w:r>
      <w:r w:rsidRPr="00710C1C">
        <w:rPr>
          <w:rFonts w:ascii="Arial" w:hAnsi="Arial" w:cs="Arial"/>
          <w:szCs w:val="24"/>
        </w:rPr>
        <w:t xml:space="preserve">, 27(6), p. e55158. Available at: </w:t>
      </w:r>
      <w:hyperlink r:id="rId13" w:history="1">
        <w:r w:rsidR="007B0060" w:rsidRPr="00710C1C">
          <w:rPr>
            <w:rStyle w:val="Hyperlink"/>
            <w:rFonts w:ascii="Arial" w:hAnsi="Arial" w:cs="Arial"/>
            <w:szCs w:val="24"/>
          </w:rPr>
          <w:t>https://doi.org/10.2196/55158</w:t>
        </w:r>
      </w:hyperlink>
      <w:r w:rsidRPr="00710C1C">
        <w:rPr>
          <w:rFonts w:ascii="Arial" w:hAnsi="Arial" w:cs="Arial"/>
          <w:szCs w:val="24"/>
        </w:rPr>
        <w:t>.</w:t>
      </w:r>
      <w:r w:rsidR="007B0060" w:rsidRPr="00710C1C">
        <w:rPr>
          <w:rFonts w:ascii="Arial" w:hAnsi="Arial" w:cs="Arial"/>
          <w:szCs w:val="24"/>
        </w:rPr>
        <w:t xml:space="preserve"> </w:t>
      </w:r>
      <w:hyperlink r:id="rId14" w:history="1">
        <w:r w:rsidR="00311E24" w:rsidRPr="00710C1C">
          <w:rPr>
            <w:rStyle w:val="Hyperlink"/>
            <w:rFonts w:ascii="Arial" w:hAnsi="Arial" w:cs="Arial"/>
            <w:szCs w:val="24"/>
          </w:rPr>
          <w:t>https://librarysearch.uwtsd.ac.uk/permalink/44WHELF_UWTSD/lrq2gq/cdi_gale_onefilemisc_PPNU_A822764873</w:t>
        </w:r>
      </w:hyperlink>
      <w:r w:rsidR="00311E24" w:rsidRPr="00710C1C">
        <w:rPr>
          <w:rFonts w:ascii="Arial" w:hAnsi="Arial" w:cs="Arial"/>
          <w:szCs w:val="24"/>
        </w:rPr>
        <w:t xml:space="preserve"> Accessed: </w:t>
      </w:r>
      <w:r w:rsidR="0068527D" w:rsidRPr="00710C1C">
        <w:rPr>
          <w:rFonts w:ascii="Arial" w:hAnsi="Arial" w:cs="Arial"/>
          <w:szCs w:val="24"/>
        </w:rPr>
        <w:t>09 April 2026.</w:t>
      </w:r>
    </w:p>
    <w:p w14:paraId="72F7CF5B" w14:textId="3E8212F0" w:rsidR="00280329" w:rsidRPr="00710C1C" w:rsidRDefault="00340235" w:rsidP="00710C1C">
      <w:pPr>
        <w:rPr>
          <w:rFonts w:ascii="Arial" w:hAnsi="Arial" w:cs="Arial"/>
          <w:color w:val="0A0A0A"/>
          <w:shd w:val="clear" w:color="auto" w:fill="F0F2F5"/>
        </w:rPr>
      </w:pPr>
      <w:r w:rsidRPr="00710C1C">
        <w:rPr>
          <w:rFonts w:ascii="Arial" w:hAnsi="Arial" w:cs="Arial"/>
          <w:color w:val="0A0A0A"/>
          <w:shd w:val="clear" w:color="auto" w:fill="F0F2F5"/>
        </w:rPr>
        <w:t>KNOWLES, S., MORDUE, A., REEVE, J., BUTLER, J., COYLE, D., FARQUHAR, M., HALL, L. e MCKINSTRY, B. (2024). Enhancing access to primary care is critical to the future of an equitable National Health Service.</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Frontiers in Health Services</w:t>
      </w:r>
      <w:r w:rsidRPr="00710C1C">
        <w:rPr>
          <w:rFonts w:ascii="Arial" w:hAnsi="Arial" w:cs="Arial"/>
          <w:color w:val="0A0A0A"/>
          <w:shd w:val="clear" w:color="auto" w:fill="F0F2F5"/>
        </w:rPr>
        <w:t xml:space="preserve">, 4, p. 1324505. </w:t>
      </w:r>
      <w:r w:rsidR="008A3E9A" w:rsidRPr="00710C1C">
        <w:rPr>
          <w:rFonts w:ascii="Arial" w:hAnsi="Arial" w:cs="Arial"/>
          <w:color w:val="0A0A0A"/>
          <w:shd w:val="clear" w:color="auto" w:fill="F0F2F5"/>
        </w:rPr>
        <w:t>doi: 10.3389/frhs.2024.1324505.</w:t>
      </w:r>
      <w:r w:rsidR="008A3E9A" w:rsidRPr="00710C1C">
        <w:rPr>
          <w:rFonts w:ascii="Arial" w:hAnsi="Arial" w:cs="Arial"/>
          <w:color w:val="0A0A0A"/>
          <w:shd w:val="clear" w:color="auto" w:fill="F0F2F5"/>
        </w:rPr>
        <w:t xml:space="preserve"> </w:t>
      </w:r>
      <w:r w:rsidRPr="00710C1C">
        <w:rPr>
          <w:rFonts w:ascii="Arial" w:hAnsi="Arial" w:cs="Arial"/>
          <w:color w:val="0A0A0A"/>
          <w:shd w:val="clear" w:color="auto" w:fill="F0F2F5"/>
        </w:rPr>
        <w:t>Accessed:</w:t>
      </w:r>
      <w:r w:rsidRPr="00710C1C">
        <w:rPr>
          <w:rFonts w:ascii="Arial" w:hAnsi="Arial" w:cs="Arial"/>
          <w:color w:val="0A0A0A"/>
          <w:shd w:val="clear" w:color="auto" w:fill="F0F2F5"/>
        </w:rPr>
        <w:t xml:space="preserve"> 23 </w:t>
      </w:r>
      <w:r w:rsidR="00B43D50" w:rsidRPr="00710C1C">
        <w:rPr>
          <w:rFonts w:ascii="Arial" w:hAnsi="Arial" w:cs="Arial"/>
          <w:color w:val="0A0A0A"/>
          <w:shd w:val="clear" w:color="auto" w:fill="F0F2F5"/>
        </w:rPr>
        <w:t>Ap</w:t>
      </w:r>
      <w:r w:rsidRPr="00710C1C">
        <w:rPr>
          <w:rFonts w:ascii="Arial" w:hAnsi="Arial" w:cs="Arial"/>
          <w:color w:val="0A0A0A"/>
          <w:shd w:val="clear" w:color="auto" w:fill="F0F2F5"/>
        </w:rPr>
        <w:t>r</w:t>
      </w:r>
      <w:r w:rsidRPr="00710C1C">
        <w:rPr>
          <w:rFonts w:ascii="Arial" w:hAnsi="Arial" w:cs="Arial"/>
          <w:color w:val="0A0A0A"/>
          <w:shd w:val="clear" w:color="auto" w:fill="F0F2F5"/>
        </w:rPr>
        <w:t xml:space="preserve"> </w:t>
      </w:r>
      <w:r w:rsidRPr="00710C1C">
        <w:rPr>
          <w:rFonts w:ascii="Arial" w:hAnsi="Arial" w:cs="Arial"/>
          <w:color w:val="0A0A0A"/>
          <w:shd w:val="clear" w:color="auto" w:fill="F0F2F5"/>
        </w:rPr>
        <w:t>2026.</w:t>
      </w:r>
    </w:p>
    <w:p w14:paraId="27779AFC" w14:textId="43E1C27F" w:rsidR="00EE4379" w:rsidRPr="00710C1C" w:rsidRDefault="00280329" w:rsidP="00710C1C">
      <w:pPr>
        <w:rPr>
          <w:rFonts w:ascii="Arial" w:hAnsi="Arial" w:cs="Arial"/>
          <w:color w:val="0A0A0A"/>
          <w:shd w:val="clear" w:color="auto" w:fill="F0F2F5"/>
        </w:rPr>
      </w:pPr>
      <w:r w:rsidRPr="00710C1C">
        <w:rPr>
          <w:rFonts w:ascii="Arial" w:hAnsi="Arial" w:cs="Arial"/>
          <w:color w:val="0A0A0A"/>
          <w:shd w:val="clear" w:color="auto" w:fill="F0F2F5"/>
        </w:rPr>
        <w:t xml:space="preserve">Latif, S.Z. et al. (2021) “42 Measuring disruption of UK general practice by digital first primary care: a case study examining the impact of babylon GP at hand in London,” Abstracts, 5(Suppl 1), pp. A16–A16. Available at: </w:t>
      </w:r>
      <w:hyperlink r:id="rId15" w:history="1">
        <w:r w:rsidRPr="00710C1C">
          <w:rPr>
            <w:rStyle w:val="Hyperlink"/>
            <w:rFonts w:ascii="Arial" w:hAnsi="Arial" w:cs="Arial"/>
            <w:shd w:val="clear" w:color="auto" w:fill="F0F2F5"/>
          </w:rPr>
          <w:t>https://doi.org/10.1136/leader-2021-FMLM.42</w:t>
        </w:r>
      </w:hyperlink>
      <w:r w:rsidRPr="00710C1C">
        <w:rPr>
          <w:rFonts w:ascii="Arial" w:hAnsi="Arial" w:cs="Arial"/>
          <w:color w:val="0A0A0A"/>
          <w:shd w:val="clear" w:color="auto" w:fill="F0F2F5"/>
        </w:rPr>
        <w:t>.</w:t>
      </w:r>
      <w:r w:rsidRPr="00710C1C">
        <w:rPr>
          <w:rFonts w:ascii="Arial" w:hAnsi="Arial" w:cs="Arial"/>
          <w:color w:val="0A0A0A"/>
          <w:shd w:val="clear" w:color="auto" w:fill="F0F2F5"/>
        </w:rPr>
        <w:t xml:space="preserve">  </w:t>
      </w:r>
      <w:hyperlink r:id="rId16" w:history="1">
        <w:r w:rsidRPr="00710C1C">
          <w:rPr>
            <w:rStyle w:val="Hyperlink"/>
            <w:rFonts w:ascii="Arial" w:hAnsi="Arial" w:cs="Arial"/>
            <w:shd w:val="clear" w:color="auto" w:fill="F0F2F5"/>
          </w:rPr>
          <w:t>https://librarysearch.uwtsd.ac.uk/permalink/44WHELF_UWTSD/lrq2gq/cdi_proquest_journals_2589745739</w:t>
        </w:r>
      </w:hyperlink>
      <w:r w:rsidRPr="00710C1C">
        <w:rPr>
          <w:rFonts w:ascii="Arial" w:hAnsi="Arial" w:cs="Arial"/>
          <w:color w:val="0A0A0A"/>
          <w:shd w:val="clear" w:color="auto" w:fill="F0F2F5"/>
        </w:rPr>
        <w:t xml:space="preserve"> Accessed: 23 Apr 2026.</w:t>
      </w:r>
    </w:p>
    <w:p w14:paraId="0C51535C" w14:textId="77777777" w:rsidR="00E702F3" w:rsidRPr="00E702F3" w:rsidRDefault="00E702F3" w:rsidP="00710C1C">
      <w:pPr>
        <w:rPr>
          <w:rFonts w:ascii="Arial" w:hAnsi="Arial" w:cs="Arial"/>
          <w:color w:val="0A0A0A"/>
          <w:shd w:val="clear" w:color="auto" w:fill="F0F2F5"/>
        </w:rPr>
      </w:pPr>
    </w:p>
    <w:p w14:paraId="508C276E" w14:textId="58DF2A9B" w:rsidR="009255D1" w:rsidRPr="00710C1C" w:rsidRDefault="003433DC" w:rsidP="00710C1C">
      <w:pPr>
        <w:rPr>
          <w:rFonts w:ascii="Arial" w:hAnsi="Arial" w:cs="Arial"/>
          <w:color w:val="0A0A0A"/>
          <w:shd w:val="clear" w:color="auto" w:fill="F0F2F5"/>
        </w:rPr>
      </w:pPr>
      <w:r w:rsidRPr="00710C1C">
        <w:rPr>
          <w:rFonts w:ascii="Arial" w:hAnsi="Arial" w:cs="Arial"/>
          <w:color w:val="0A0A0A"/>
          <w:shd w:val="clear" w:color="auto" w:fill="F0F2F5"/>
        </w:rPr>
        <w:t>LEACH</w:t>
      </w:r>
      <w:r w:rsidR="009255D1" w:rsidRPr="00710C1C">
        <w:rPr>
          <w:rFonts w:ascii="Arial" w:hAnsi="Arial" w:cs="Arial"/>
          <w:color w:val="0A0A0A"/>
          <w:shd w:val="clear" w:color="auto" w:fill="F0F2F5"/>
        </w:rPr>
        <w:t xml:space="preserve">, B. et al. (2022) “Digital Facilitation to Support Patient Access to Web-Based Primary Care Services: Scoping Literature Review,” </w:t>
      </w:r>
      <w:r w:rsidR="009255D1" w:rsidRPr="00710C1C">
        <w:rPr>
          <w:rFonts w:ascii="Arial" w:hAnsi="Arial" w:cs="Arial"/>
          <w:i/>
          <w:iCs/>
          <w:color w:val="0A0A0A"/>
          <w:shd w:val="clear" w:color="auto" w:fill="F0F2F5"/>
        </w:rPr>
        <w:t>Journal of medical Internet research</w:t>
      </w:r>
      <w:r w:rsidR="009255D1" w:rsidRPr="00710C1C">
        <w:rPr>
          <w:rFonts w:ascii="Arial" w:hAnsi="Arial" w:cs="Arial"/>
          <w:color w:val="0A0A0A"/>
          <w:shd w:val="clear" w:color="auto" w:fill="F0F2F5"/>
        </w:rPr>
        <w:t xml:space="preserve">, 24(7), p. e33911. Available at: </w:t>
      </w:r>
      <w:hyperlink r:id="rId17" w:history="1">
        <w:r w:rsidR="00282185" w:rsidRPr="00710C1C">
          <w:rPr>
            <w:rStyle w:val="Hyperlink"/>
            <w:rFonts w:ascii="Arial" w:hAnsi="Arial" w:cs="Arial"/>
            <w:shd w:val="clear" w:color="auto" w:fill="F0F2F5"/>
          </w:rPr>
          <w:t>https://doi.org/10.2196/33911</w:t>
        </w:r>
      </w:hyperlink>
      <w:r w:rsidR="009255D1" w:rsidRPr="00710C1C">
        <w:rPr>
          <w:rFonts w:ascii="Arial" w:hAnsi="Arial" w:cs="Arial"/>
          <w:color w:val="0A0A0A"/>
          <w:shd w:val="clear" w:color="auto" w:fill="F0F2F5"/>
        </w:rPr>
        <w:t>.</w:t>
      </w:r>
      <w:r w:rsidR="00282185" w:rsidRPr="00710C1C">
        <w:rPr>
          <w:rFonts w:ascii="Arial" w:hAnsi="Arial" w:cs="Arial"/>
          <w:color w:val="0A0A0A"/>
          <w:shd w:val="clear" w:color="auto" w:fill="F0F2F5"/>
        </w:rPr>
        <w:t xml:space="preserve"> </w:t>
      </w:r>
      <w:hyperlink r:id="rId18" w:history="1">
        <w:r w:rsidR="00282185" w:rsidRPr="00710C1C">
          <w:rPr>
            <w:rStyle w:val="Hyperlink"/>
            <w:rFonts w:ascii="Arial" w:hAnsi="Arial" w:cs="Arial"/>
            <w:shd w:val="clear" w:color="auto" w:fill="F0F2F5"/>
          </w:rPr>
          <w:t>https://librarysearch.uwtsd.ac.uk/permalink/44WHELF_UWTSD/lrq2gq/cdi_crossref_citationtrail_10_2196_33911</w:t>
        </w:r>
      </w:hyperlink>
      <w:r w:rsidR="00282185" w:rsidRPr="00710C1C">
        <w:rPr>
          <w:rFonts w:ascii="Arial" w:hAnsi="Arial" w:cs="Arial"/>
          <w:color w:val="0A0A0A"/>
          <w:shd w:val="clear" w:color="auto" w:fill="F0F2F5"/>
        </w:rPr>
        <w:t xml:space="preserve"> </w:t>
      </w:r>
      <w:r w:rsidR="009255D1" w:rsidRPr="00710C1C">
        <w:rPr>
          <w:rFonts w:ascii="Arial" w:hAnsi="Arial" w:cs="Arial"/>
          <w:color w:val="0A0A0A"/>
          <w:shd w:val="clear" w:color="auto" w:fill="F0F2F5"/>
        </w:rPr>
        <w:t xml:space="preserve"> Accesse</w:t>
      </w:r>
      <w:r w:rsidR="00B36BBF" w:rsidRPr="00710C1C">
        <w:rPr>
          <w:rFonts w:ascii="Arial" w:hAnsi="Arial" w:cs="Arial"/>
          <w:color w:val="0A0A0A"/>
          <w:shd w:val="clear" w:color="auto" w:fill="F0F2F5"/>
        </w:rPr>
        <w:t>d: 07 Apr 2026.</w:t>
      </w:r>
    </w:p>
    <w:p w14:paraId="1D7A5847" w14:textId="1002940A" w:rsidR="00407948" w:rsidRPr="00710C1C" w:rsidRDefault="00634F5D" w:rsidP="00710C1C">
      <w:pPr>
        <w:rPr>
          <w:rFonts w:ascii="Arial" w:hAnsi="Arial" w:cs="Arial"/>
          <w:color w:val="0A0A0A"/>
          <w:shd w:val="clear" w:color="auto" w:fill="F0F2F5"/>
        </w:rPr>
      </w:pPr>
      <w:r w:rsidRPr="00710C1C">
        <w:rPr>
          <w:rFonts w:ascii="Arial" w:hAnsi="Arial" w:cs="Arial"/>
          <w:color w:val="0A0A0A"/>
          <w:shd w:val="clear" w:color="auto" w:fill="F0F2F5"/>
        </w:rPr>
        <w:t>MAJEED, A., MAESTRE-HERNANDEZ, A. J., MOLOKHIA, M. e BASHFORD, J. (2020). Evolution of primary care in England during the COVID-19 pandemic.</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The Lancet Digital Health</w:t>
      </w:r>
      <w:r w:rsidRPr="00710C1C">
        <w:rPr>
          <w:rFonts w:ascii="Arial" w:hAnsi="Arial" w:cs="Arial"/>
          <w:color w:val="0A0A0A"/>
          <w:shd w:val="clear" w:color="auto" w:fill="F0F2F5"/>
        </w:rPr>
        <w:t>, 2(12), pp. e617-e618.</w:t>
      </w:r>
      <w:r w:rsidR="00531F7A" w:rsidRPr="00710C1C">
        <w:rPr>
          <w:rFonts w:ascii="Arial" w:hAnsi="Arial" w:cs="Arial"/>
          <w:color w:val="0A0A0A"/>
          <w:shd w:val="clear" w:color="auto" w:fill="F0F2F5"/>
        </w:rPr>
        <w:t xml:space="preserve"> </w:t>
      </w:r>
      <w:r w:rsidR="00AD17CA" w:rsidRPr="00710C1C">
        <w:rPr>
          <w:rFonts w:ascii="Arial" w:hAnsi="Arial" w:cs="Arial"/>
          <w:color w:val="0A0A0A"/>
          <w:shd w:val="clear" w:color="auto" w:fill="F0F2F5"/>
        </w:rPr>
        <w:t>d</w:t>
      </w:r>
      <w:r w:rsidR="00BC515B" w:rsidRPr="00710C1C">
        <w:rPr>
          <w:rFonts w:ascii="Arial" w:hAnsi="Arial" w:cs="Arial"/>
          <w:color w:val="0A0A0A"/>
          <w:shd w:val="clear" w:color="auto" w:fill="F0F2F5"/>
        </w:rPr>
        <w:t>oi</w:t>
      </w:r>
      <w:r w:rsidRPr="00710C1C">
        <w:rPr>
          <w:rFonts w:ascii="Arial" w:hAnsi="Arial" w:cs="Arial"/>
          <w:color w:val="0A0A0A"/>
          <w:shd w:val="clear" w:color="auto" w:fill="F0F2F5"/>
        </w:rPr>
        <w:t>: 10.1016/S2589-7500(20)30217-X.</w:t>
      </w:r>
      <w:r w:rsidRPr="00710C1C">
        <w:rPr>
          <w:rFonts w:ascii="Arial" w:hAnsi="Arial" w:cs="Arial"/>
          <w:color w:val="0A0A0A"/>
          <w:shd w:val="clear" w:color="auto" w:fill="F0F2F5"/>
        </w:rPr>
        <w:t xml:space="preserve"> </w:t>
      </w:r>
      <w:r w:rsidR="00B43D50" w:rsidRPr="00710C1C">
        <w:rPr>
          <w:rFonts w:ascii="Arial" w:hAnsi="Arial" w:cs="Arial"/>
          <w:color w:val="0A0A0A"/>
          <w:shd w:val="clear" w:color="auto" w:fill="F0F2F5"/>
        </w:rPr>
        <w:t>Accessed: 15 Apr 2026.</w:t>
      </w:r>
    </w:p>
    <w:p w14:paraId="5D754EFC" w14:textId="5C256AED" w:rsidR="004505B1" w:rsidRPr="00710C1C" w:rsidRDefault="00407948" w:rsidP="00710C1C">
      <w:pPr>
        <w:rPr>
          <w:rFonts w:ascii="Arial" w:hAnsi="Arial" w:cs="Arial"/>
          <w:color w:val="0A0A0A"/>
          <w:shd w:val="clear" w:color="auto" w:fill="F0F2F5"/>
        </w:rPr>
      </w:pPr>
      <w:r w:rsidRPr="00710C1C">
        <w:rPr>
          <w:rFonts w:ascii="Arial" w:hAnsi="Arial" w:cs="Arial"/>
          <w:color w:val="0A0A0A"/>
          <w:shd w:val="clear" w:color="auto" w:fill="F0F2F5"/>
        </w:rPr>
        <w:t>MURPHY, M., SCOTT, L. J., SALISBURY, C., BARNARD, A., FERRARI, R., LASSEN, A., LUI, H., DENHOLM, R., HORWOOD, J., PAYNE, R. A. e NUNNS, M. (2021). Implementation of remote consulting in UK primary care following the COVID-19 pandemic: a mixed-methods longitudinal study.</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British Journal of General Practice</w:t>
      </w:r>
      <w:r w:rsidRPr="00710C1C">
        <w:rPr>
          <w:rFonts w:ascii="Arial" w:hAnsi="Arial" w:cs="Arial"/>
          <w:color w:val="0A0A0A"/>
          <w:shd w:val="clear" w:color="auto" w:fill="F0F2F5"/>
        </w:rPr>
        <w:t xml:space="preserve">, 71(704), pp. e166-e177. </w:t>
      </w:r>
      <w:r w:rsidR="00AD17CA" w:rsidRPr="00710C1C">
        <w:rPr>
          <w:rFonts w:ascii="Arial" w:hAnsi="Arial" w:cs="Arial"/>
          <w:color w:val="0A0A0A"/>
          <w:shd w:val="clear" w:color="auto" w:fill="F0F2F5"/>
        </w:rPr>
        <w:t>d</w:t>
      </w:r>
      <w:r w:rsidR="00BC515B" w:rsidRPr="00710C1C">
        <w:rPr>
          <w:rFonts w:ascii="Arial" w:hAnsi="Arial" w:cs="Arial"/>
          <w:color w:val="0A0A0A"/>
          <w:shd w:val="clear" w:color="auto" w:fill="F0F2F5"/>
        </w:rPr>
        <w:t>oi</w:t>
      </w:r>
      <w:r w:rsidRPr="00710C1C">
        <w:rPr>
          <w:rFonts w:ascii="Arial" w:hAnsi="Arial" w:cs="Arial"/>
          <w:color w:val="0A0A0A"/>
          <w:shd w:val="clear" w:color="auto" w:fill="F0F2F5"/>
        </w:rPr>
        <w:t>: 10.3399/BJGP.2020.0948.</w:t>
      </w:r>
      <w:r w:rsidR="00B43D50" w:rsidRPr="00710C1C">
        <w:rPr>
          <w:rFonts w:ascii="Arial" w:hAnsi="Arial" w:cs="Arial"/>
          <w:color w:val="0A0A0A"/>
          <w:shd w:val="clear" w:color="auto" w:fill="F0F2F5"/>
        </w:rPr>
        <w:t xml:space="preserve"> Accessed: 15 Apr 2026.</w:t>
      </w:r>
    </w:p>
    <w:p w14:paraId="058F390C" w14:textId="5BC7E587" w:rsidR="004505B1" w:rsidRPr="00710C1C" w:rsidRDefault="004505B1" w:rsidP="00710C1C">
      <w:pPr>
        <w:rPr>
          <w:rFonts w:ascii="Arial" w:hAnsi="Arial" w:cs="Arial"/>
          <w:color w:val="0A0A0A"/>
          <w:shd w:val="clear" w:color="auto" w:fill="F0F2F5"/>
        </w:rPr>
      </w:pPr>
      <w:r w:rsidRPr="00710C1C">
        <w:rPr>
          <w:rFonts w:ascii="Arial" w:hAnsi="Arial" w:cs="Arial"/>
          <w:color w:val="0A0A0A"/>
          <w:shd w:val="clear" w:color="auto" w:fill="F0F2F5"/>
        </w:rPr>
        <w:t>N</w:t>
      </w:r>
      <w:r w:rsidRPr="00710C1C">
        <w:rPr>
          <w:rFonts w:ascii="Arial" w:hAnsi="Arial" w:cs="Arial"/>
          <w:color w:val="0A0A0A"/>
          <w:shd w:val="clear" w:color="auto" w:fill="F0F2F5"/>
        </w:rPr>
        <w:t>EVES</w:t>
      </w:r>
      <w:r w:rsidRPr="00710C1C">
        <w:rPr>
          <w:rFonts w:ascii="Arial" w:hAnsi="Arial" w:cs="Arial"/>
          <w:color w:val="0A0A0A"/>
          <w:shd w:val="clear" w:color="auto" w:fill="F0F2F5"/>
        </w:rPr>
        <w:t>, A.L. and B</w:t>
      </w:r>
      <w:r w:rsidR="00292BA3" w:rsidRPr="00710C1C">
        <w:rPr>
          <w:rFonts w:ascii="Arial" w:hAnsi="Arial" w:cs="Arial"/>
          <w:color w:val="0A0A0A"/>
          <w:shd w:val="clear" w:color="auto" w:fill="F0F2F5"/>
        </w:rPr>
        <w:t>URGE</w:t>
      </w:r>
      <w:r w:rsidR="00F375A4" w:rsidRPr="00710C1C">
        <w:rPr>
          <w:rFonts w:ascii="Arial" w:hAnsi="Arial" w:cs="Arial"/>
          <w:color w:val="0A0A0A"/>
          <w:shd w:val="clear" w:color="auto" w:fill="F0F2F5"/>
        </w:rPr>
        <w:t>R</w:t>
      </w:r>
      <w:r w:rsidR="00292BA3" w:rsidRPr="00710C1C">
        <w:rPr>
          <w:rFonts w:ascii="Arial" w:hAnsi="Arial" w:cs="Arial"/>
          <w:color w:val="0A0A0A"/>
          <w:shd w:val="clear" w:color="auto" w:fill="F0F2F5"/>
        </w:rPr>
        <w:t>S</w:t>
      </w:r>
      <w:r w:rsidRPr="00710C1C">
        <w:rPr>
          <w:rFonts w:ascii="Arial" w:hAnsi="Arial" w:cs="Arial"/>
          <w:color w:val="0A0A0A"/>
          <w:shd w:val="clear" w:color="auto" w:fill="F0F2F5"/>
        </w:rPr>
        <w:t xml:space="preserve">, J. (2022) “Digital technologies in primary care: Implications for patient care and future research,” </w:t>
      </w:r>
      <w:r w:rsidRPr="00710C1C">
        <w:rPr>
          <w:rFonts w:ascii="Arial" w:hAnsi="Arial" w:cs="Arial"/>
          <w:i/>
          <w:iCs/>
          <w:color w:val="0A0A0A"/>
          <w:shd w:val="clear" w:color="auto" w:fill="F0F2F5"/>
        </w:rPr>
        <w:t>The European journal of general practice</w:t>
      </w:r>
      <w:r w:rsidRPr="00710C1C">
        <w:rPr>
          <w:rFonts w:ascii="Arial" w:hAnsi="Arial" w:cs="Arial"/>
          <w:color w:val="0A0A0A"/>
          <w:shd w:val="clear" w:color="auto" w:fill="F0F2F5"/>
        </w:rPr>
        <w:t xml:space="preserve">, 28(1), pp. 203–208. Available at: </w:t>
      </w:r>
      <w:hyperlink r:id="rId19" w:history="1">
        <w:r w:rsidR="00F375A4" w:rsidRPr="00710C1C">
          <w:rPr>
            <w:rStyle w:val="Hyperlink"/>
            <w:rFonts w:ascii="Arial" w:hAnsi="Arial" w:cs="Arial"/>
            <w:shd w:val="clear" w:color="auto" w:fill="F0F2F5"/>
          </w:rPr>
          <w:t>https://doi.org/10.1080/13814788.2022.2052041</w:t>
        </w:r>
      </w:hyperlink>
      <w:r w:rsidRPr="00710C1C">
        <w:rPr>
          <w:rFonts w:ascii="Arial" w:hAnsi="Arial" w:cs="Arial"/>
          <w:color w:val="0A0A0A"/>
          <w:shd w:val="clear" w:color="auto" w:fill="F0F2F5"/>
        </w:rPr>
        <w:t>.</w:t>
      </w:r>
      <w:r w:rsidR="00F375A4" w:rsidRPr="00710C1C">
        <w:rPr>
          <w:rFonts w:ascii="Arial" w:hAnsi="Arial" w:cs="Arial"/>
          <w:color w:val="0A0A0A"/>
          <w:shd w:val="clear" w:color="auto" w:fill="F0F2F5"/>
        </w:rPr>
        <w:t xml:space="preserve"> Accessed: 24 Apr 2026.</w:t>
      </w:r>
    </w:p>
    <w:p w14:paraId="57FB8EE6" w14:textId="24459846" w:rsidR="00EF1CB5" w:rsidRPr="00710C1C" w:rsidRDefault="003603C3" w:rsidP="00710C1C">
      <w:pPr>
        <w:rPr>
          <w:rFonts w:ascii="Arial" w:hAnsi="Arial" w:cs="Arial"/>
          <w:color w:val="0A0A0A"/>
          <w:shd w:val="clear" w:color="auto" w:fill="F0F2F5"/>
        </w:rPr>
      </w:pPr>
      <w:r w:rsidRPr="00710C1C">
        <w:rPr>
          <w:rStyle w:val="Strong"/>
          <w:rFonts w:ascii="Arial" w:hAnsi="Arial" w:cs="Arial"/>
          <w:b w:val="0"/>
          <w:bCs w:val="0"/>
          <w:color w:val="0A0A0A"/>
        </w:rPr>
        <w:t>NEWBOULD, J., BURT, J., SAUNDERS, C. L. e GUMLEY, A. (2022).</w:t>
      </w:r>
      <w:r w:rsidRPr="00710C1C">
        <w:rPr>
          <w:rStyle w:val="apple-converted-space"/>
          <w:rFonts w:ascii="Arial" w:hAnsi="Arial" w:cs="Arial"/>
          <w:color w:val="0A0A0A"/>
          <w:shd w:val="clear" w:color="auto" w:fill="FFFFFF"/>
        </w:rPr>
        <w:t> </w:t>
      </w:r>
      <w:r w:rsidRPr="00710C1C">
        <w:rPr>
          <w:rFonts w:ascii="Arial" w:hAnsi="Arial" w:cs="Arial"/>
          <w:color w:val="0A0A0A"/>
          <w:shd w:val="clear" w:color="auto" w:fill="FFFFFF"/>
        </w:rPr>
        <w:t>The role of the receptionist in facilitating digital access in primary care: a qualitative study.</w:t>
      </w:r>
      <w:r w:rsidRPr="00710C1C">
        <w:rPr>
          <w:rStyle w:val="apple-converted-space"/>
          <w:rFonts w:ascii="Arial" w:hAnsi="Arial" w:cs="Arial"/>
          <w:color w:val="0A0A0A"/>
          <w:shd w:val="clear" w:color="auto" w:fill="FFFFFF"/>
        </w:rPr>
        <w:t> </w:t>
      </w:r>
      <w:r w:rsidRPr="00710C1C">
        <w:rPr>
          <w:rStyle w:val="Emphasis"/>
          <w:rFonts w:ascii="Arial" w:hAnsi="Arial" w:cs="Arial"/>
          <w:color w:val="0A0A0A"/>
        </w:rPr>
        <w:t>British Journal of General Practice</w:t>
      </w:r>
      <w:r w:rsidRPr="00710C1C">
        <w:rPr>
          <w:rFonts w:ascii="Arial" w:hAnsi="Arial" w:cs="Arial"/>
          <w:color w:val="0A0A0A"/>
          <w:shd w:val="clear" w:color="auto" w:fill="FFFFFF"/>
        </w:rPr>
        <w:t>, 72(718), pp. e330-e337. doi: 10.3399/BJGP.2021.0560.</w:t>
      </w:r>
      <w:r w:rsidR="003E7687" w:rsidRPr="00710C1C">
        <w:rPr>
          <w:rFonts w:ascii="Arial" w:hAnsi="Arial" w:cs="Arial"/>
          <w:color w:val="0A0A0A"/>
          <w:shd w:val="clear" w:color="auto" w:fill="FFFFFF"/>
        </w:rPr>
        <w:t xml:space="preserve"> Accessed: 08 Apr 2026.</w:t>
      </w:r>
    </w:p>
    <w:p w14:paraId="3A8C6617" w14:textId="10656192" w:rsidR="00602E19" w:rsidRPr="00710C1C" w:rsidRDefault="00EF1CB5" w:rsidP="00710C1C">
      <w:pPr>
        <w:rPr>
          <w:rFonts w:ascii="Arial" w:hAnsi="Arial" w:cs="Arial"/>
          <w:color w:val="0A0A0A"/>
          <w:shd w:val="clear" w:color="auto" w:fill="F0F2F5"/>
        </w:rPr>
      </w:pPr>
      <w:r w:rsidRPr="00710C1C">
        <w:rPr>
          <w:rFonts w:ascii="Arial" w:hAnsi="Arial" w:cs="Arial"/>
          <w:color w:val="0A0A0A"/>
          <w:shd w:val="clear" w:color="auto" w:fill="F0F2F5"/>
        </w:rPr>
        <w:t>Q</w:t>
      </w:r>
      <w:r w:rsidRPr="00710C1C">
        <w:rPr>
          <w:rFonts w:ascii="Arial" w:hAnsi="Arial" w:cs="Arial"/>
          <w:color w:val="0A0A0A"/>
          <w:shd w:val="clear" w:color="auto" w:fill="F0F2F5"/>
        </w:rPr>
        <w:t>IU</w:t>
      </w:r>
      <w:r w:rsidRPr="00710C1C">
        <w:rPr>
          <w:rFonts w:ascii="Arial" w:hAnsi="Arial" w:cs="Arial"/>
          <w:color w:val="0A0A0A"/>
          <w:shd w:val="clear" w:color="auto" w:fill="F0F2F5"/>
        </w:rPr>
        <w:t xml:space="preserve">, Y. et al. (2024) “The Effects of the COVID-19 Pandemic on Age-Based Disparities in Digital Health Technology Use: Secondary Analysis of the 2017-2022 Health Information National Trends Survey,” Journal of medical Internet research, 26(7), p. e65541. Available at: </w:t>
      </w:r>
      <w:hyperlink r:id="rId20" w:history="1">
        <w:r w:rsidR="00FC4A04" w:rsidRPr="00710C1C">
          <w:rPr>
            <w:rStyle w:val="Hyperlink"/>
            <w:rFonts w:ascii="Arial" w:hAnsi="Arial" w:cs="Arial"/>
            <w:shd w:val="clear" w:color="auto" w:fill="F0F2F5"/>
          </w:rPr>
          <w:t>https://doi.org/10.2196/65541</w:t>
        </w:r>
      </w:hyperlink>
      <w:r w:rsidRPr="00710C1C">
        <w:rPr>
          <w:rFonts w:ascii="Arial" w:hAnsi="Arial" w:cs="Arial"/>
          <w:color w:val="0A0A0A"/>
          <w:shd w:val="clear" w:color="auto" w:fill="F0F2F5"/>
        </w:rPr>
        <w:t>.</w:t>
      </w:r>
      <w:r w:rsidR="00FC4A04" w:rsidRPr="00710C1C">
        <w:rPr>
          <w:rFonts w:ascii="Arial" w:hAnsi="Arial" w:cs="Arial"/>
          <w:color w:val="0A0A0A"/>
          <w:shd w:val="clear" w:color="auto" w:fill="F0F2F5"/>
        </w:rPr>
        <w:t xml:space="preserve"> Accessed: 24 Apr 2026.</w:t>
      </w:r>
    </w:p>
    <w:p w14:paraId="4425F792" w14:textId="7751DB41" w:rsidR="00602E19" w:rsidRPr="00710C1C" w:rsidRDefault="00602E19" w:rsidP="00710C1C">
      <w:pPr>
        <w:rPr>
          <w:rFonts w:ascii="Arial" w:hAnsi="Arial" w:cs="Arial"/>
          <w:color w:val="0A0A0A"/>
          <w:shd w:val="clear" w:color="auto" w:fill="F0F2F5"/>
        </w:rPr>
      </w:pPr>
      <w:r w:rsidRPr="00710C1C">
        <w:rPr>
          <w:rFonts w:ascii="Arial" w:hAnsi="Arial" w:cs="Arial"/>
          <w:color w:val="0A0A0A"/>
          <w:shd w:val="clear" w:color="auto" w:fill="F0F2F5"/>
        </w:rPr>
        <w:t>R</w:t>
      </w:r>
      <w:r w:rsidR="00E64AA4" w:rsidRPr="00710C1C">
        <w:rPr>
          <w:rFonts w:ascii="Arial" w:hAnsi="Arial" w:cs="Arial"/>
          <w:color w:val="0A0A0A"/>
          <w:shd w:val="clear" w:color="auto" w:fill="F0F2F5"/>
        </w:rPr>
        <w:t>ODRIGUEZ</w:t>
      </w:r>
      <w:r w:rsidRPr="00710C1C">
        <w:rPr>
          <w:rFonts w:ascii="Arial" w:hAnsi="Arial" w:cs="Arial"/>
          <w:color w:val="0A0A0A"/>
          <w:shd w:val="clear" w:color="auto" w:fill="F0F2F5"/>
        </w:rPr>
        <w:t>, J.A., S</w:t>
      </w:r>
      <w:r w:rsidR="00E64AA4" w:rsidRPr="00710C1C">
        <w:rPr>
          <w:rFonts w:ascii="Arial" w:hAnsi="Arial" w:cs="Arial"/>
          <w:color w:val="0A0A0A"/>
          <w:shd w:val="clear" w:color="auto" w:fill="F0F2F5"/>
        </w:rPr>
        <w:t>HACHAR</w:t>
      </w:r>
      <w:r w:rsidRPr="00710C1C">
        <w:rPr>
          <w:rFonts w:ascii="Arial" w:hAnsi="Arial" w:cs="Arial"/>
          <w:color w:val="0A0A0A"/>
          <w:shd w:val="clear" w:color="auto" w:fill="F0F2F5"/>
        </w:rPr>
        <w:t>, C. and B</w:t>
      </w:r>
      <w:r w:rsidR="007F7D8D" w:rsidRPr="00710C1C">
        <w:rPr>
          <w:rFonts w:ascii="Arial" w:hAnsi="Arial" w:cs="Arial"/>
          <w:color w:val="0A0A0A"/>
          <w:shd w:val="clear" w:color="auto" w:fill="F0F2F5"/>
        </w:rPr>
        <w:t>ATES</w:t>
      </w:r>
      <w:r w:rsidRPr="00710C1C">
        <w:rPr>
          <w:rFonts w:ascii="Arial" w:hAnsi="Arial" w:cs="Arial"/>
          <w:color w:val="0A0A0A"/>
          <w:shd w:val="clear" w:color="auto" w:fill="F0F2F5"/>
        </w:rPr>
        <w:t xml:space="preserve">, D.W. (2022) “Digital Inclusion as Health Care — Supporting Health Care Equity with Digital-Infrastructure Initiatives,” </w:t>
      </w:r>
      <w:r w:rsidRPr="00710C1C">
        <w:rPr>
          <w:rFonts w:ascii="Arial" w:hAnsi="Arial" w:cs="Arial"/>
          <w:i/>
          <w:iCs/>
          <w:color w:val="0A0A0A"/>
          <w:shd w:val="clear" w:color="auto" w:fill="F0F2F5"/>
        </w:rPr>
        <w:t>The New England journal of medicine</w:t>
      </w:r>
      <w:r w:rsidRPr="00710C1C">
        <w:rPr>
          <w:rFonts w:ascii="Arial" w:hAnsi="Arial" w:cs="Arial"/>
          <w:color w:val="0A0A0A"/>
          <w:shd w:val="clear" w:color="auto" w:fill="F0F2F5"/>
        </w:rPr>
        <w:t xml:space="preserve">, 386(12), pp. 1101–1103. Available at: </w:t>
      </w:r>
      <w:hyperlink r:id="rId21" w:history="1">
        <w:r w:rsidR="007F7D8D" w:rsidRPr="00710C1C">
          <w:rPr>
            <w:rStyle w:val="Hyperlink"/>
            <w:rFonts w:ascii="Arial" w:hAnsi="Arial" w:cs="Arial"/>
            <w:shd w:val="clear" w:color="auto" w:fill="F0F2F5"/>
          </w:rPr>
          <w:t>https://doi.org/10.1056/NEJMp2115646</w:t>
        </w:r>
      </w:hyperlink>
      <w:r w:rsidRPr="00710C1C">
        <w:rPr>
          <w:rFonts w:ascii="Arial" w:hAnsi="Arial" w:cs="Arial"/>
          <w:color w:val="0A0A0A"/>
          <w:shd w:val="clear" w:color="auto" w:fill="F0F2F5"/>
        </w:rPr>
        <w:t>.</w:t>
      </w:r>
      <w:r w:rsidR="007F7D8D" w:rsidRPr="00710C1C">
        <w:rPr>
          <w:rFonts w:ascii="Arial" w:hAnsi="Arial" w:cs="Arial"/>
          <w:color w:val="0A0A0A"/>
          <w:shd w:val="clear" w:color="auto" w:fill="F0F2F5"/>
        </w:rPr>
        <w:t xml:space="preserve"> Accessed: 24 Apr 2026.</w:t>
      </w:r>
    </w:p>
    <w:p w14:paraId="2B2EFCA7" w14:textId="43B28F7B" w:rsidR="0068527D" w:rsidRPr="00710C1C" w:rsidRDefault="00DD59B4" w:rsidP="00710C1C">
      <w:pPr>
        <w:rPr>
          <w:rFonts w:ascii="Arial" w:hAnsi="Arial" w:cs="Arial"/>
          <w:color w:val="0A0A0A"/>
          <w:shd w:val="clear" w:color="auto" w:fill="F0F2F5"/>
        </w:rPr>
      </w:pPr>
      <w:r w:rsidRPr="00710C1C">
        <w:rPr>
          <w:rFonts w:ascii="Arial" w:hAnsi="Arial" w:cs="Arial"/>
          <w:color w:val="0A0A0A"/>
          <w:shd w:val="clear" w:color="auto" w:fill="F0F2F5"/>
        </w:rPr>
        <w:t>RODRIGUES, D., KREIF, N., DARZI, A., BARAHONA, M. e MAYER, E. (2025). Digitalization of access to primary care: is there an equity-efficiency trade-off?</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Health Economics</w:t>
      </w:r>
      <w:r w:rsidRPr="00710C1C">
        <w:rPr>
          <w:rFonts w:ascii="Arial" w:hAnsi="Arial" w:cs="Arial"/>
          <w:color w:val="0A0A0A"/>
          <w:shd w:val="clear" w:color="auto" w:fill="F0F2F5"/>
        </w:rPr>
        <w:t>, 34(10), pp. 1943-1962. doi: 10.1002/hec.70014.</w:t>
      </w:r>
      <w:r w:rsidRPr="00710C1C">
        <w:rPr>
          <w:rFonts w:ascii="Arial" w:hAnsi="Arial" w:cs="Arial"/>
          <w:color w:val="0A0A0A"/>
          <w:shd w:val="clear" w:color="auto" w:fill="F0F2F5"/>
        </w:rPr>
        <w:t xml:space="preserve"> Accessed: </w:t>
      </w:r>
      <w:r w:rsidR="00BC0835" w:rsidRPr="00710C1C">
        <w:rPr>
          <w:rFonts w:ascii="Arial" w:hAnsi="Arial" w:cs="Arial"/>
          <w:color w:val="0A0A0A"/>
          <w:shd w:val="clear" w:color="auto" w:fill="F0F2F5"/>
        </w:rPr>
        <w:t>09 Apr 2025</w:t>
      </w:r>
    </w:p>
    <w:p w14:paraId="719073F3" w14:textId="01326721" w:rsidR="00C93022" w:rsidRPr="00710C1C" w:rsidRDefault="005D2B4C" w:rsidP="00710C1C">
      <w:pPr>
        <w:rPr>
          <w:rFonts w:ascii="Arial" w:hAnsi="Arial" w:cs="Arial"/>
          <w:color w:val="0A0A0A"/>
          <w:shd w:val="clear" w:color="auto" w:fill="F0F2F5"/>
        </w:rPr>
      </w:pPr>
      <w:r w:rsidRPr="00710C1C">
        <w:rPr>
          <w:rFonts w:ascii="Arial" w:hAnsi="Arial" w:cs="Arial"/>
          <w:color w:val="0A0A0A"/>
          <w:shd w:val="clear" w:color="auto" w:fill="F0F2F5"/>
        </w:rPr>
        <w:t xml:space="preserve"> Sussex, J. et al. (2024) “Supporting Patients’ Use of Digital Services in Primary Health Care in England: Synthesis of Evidence </w:t>
      </w:r>
      <w:r w:rsidR="00190147" w:rsidRPr="00710C1C">
        <w:rPr>
          <w:rFonts w:ascii="Arial" w:hAnsi="Arial" w:cs="Arial"/>
          <w:color w:val="0A0A0A"/>
          <w:shd w:val="clear" w:color="auto" w:fill="F0F2F5"/>
        </w:rPr>
        <w:t>from</w:t>
      </w:r>
      <w:r w:rsidRPr="00710C1C">
        <w:rPr>
          <w:rFonts w:ascii="Arial" w:hAnsi="Arial" w:cs="Arial"/>
          <w:color w:val="0A0A0A"/>
          <w:shd w:val="clear" w:color="auto" w:fill="F0F2F5"/>
        </w:rPr>
        <w:t xml:space="preserve"> a Mixed Methods Study of ‘Digital Facilitation,’” JMIR human factors, 11, pp. e52516–e52516. Available at: </w:t>
      </w:r>
      <w:hyperlink r:id="rId22" w:history="1">
        <w:r w:rsidR="00C93022" w:rsidRPr="00710C1C">
          <w:rPr>
            <w:rStyle w:val="Hyperlink"/>
            <w:rFonts w:ascii="Arial" w:hAnsi="Arial" w:cs="Arial"/>
            <w:shd w:val="clear" w:color="auto" w:fill="F0F2F5"/>
          </w:rPr>
          <w:t>https://doi.org/10.2196/52516</w:t>
        </w:r>
      </w:hyperlink>
      <w:r w:rsidRPr="00710C1C">
        <w:rPr>
          <w:rFonts w:ascii="Arial" w:hAnsi="Arial" w:cs="Arial"/>
          <w:color w:val="0A0A0A"/>
          <w:shd w:val="clear" w:color="auto" w:fill="F0F2F5"/>
        </w:rPr>
        <w:t>.</w:t>
      </w:r>
      <w:r w:rsidR="00A65836" w:rsidRPr="00710C1C">
        <w:rPr>
          <w:rFonts w:ascii="Arial" w:hAnsi="Arial" w:cs="Arial"/>
          <w:color w:val="0A0A0A"/>
          <w:shd w:val="clear" w:color="auto" w:fill="F0F2F5"/>
        </w:rPr>
        <w:t xml:space="preserve"> </w:t>
      </w:r>
      <w:hyperlink r:id="rId23" w:history="1">
        <w:r w:rsidR="00A65836" w:rsidRPr="00710C1C">
          <w:rPr>
            <w:rStyle w:val="Hyperlink"/>
            <w:rFonts w:ascii="Arial" w:hAnsi="Arial" w:cs="Arial"/>
            <w:shd w:val="clear" w:color="auto" w:fill="F0F2F5"/>
          </w:rPr>
          <w:t>https://librarysearch.uwtsd.ac.uk/permalink/44WHELF_UWTSD/lrq2gq/cdi_pubmed_primary_39630414</w:t>
        </w:r>
      </w:hyperlink>
      <w:r w:rsidR="00A65836" w:rsidRPr="00710C1C">
        <w:rPr>
          <w:rFonts w:ascii="Arial" w:hAnsi="Arial" w:cs="Arial"/>
          <w:color w:val="0A0A0A"/>
          <w:shd w:val="clear" w:color="auto" w:fill="F0F2F5"/>
        </w:rPr>
        <w:t xml:space="preserve">  Accessed: 08 Apr 2026.</w:t>
      </w:r>
    </w:p>
    <w:p w14:paraId="03FDAA10" w14:textId="77777777" w:rsidR="00E702F3" w:rsidRPr="00E702F3" w:rsidRDefault="00E702F3" w:rsidP="00710C1C">
      <w:pPr>
        <w:rPr>
          <w:rFonts w:ascii="Arial" w:hAnsi="Arial" w:cs="Arial"/>
          <w:color w:val="0A0A0A"/>
          <w:shd w:val="clear" w:color="auto" w:fill="F0F2F5"/>
        </w:rPr>
      </w:pPr>
    </w:p>
    <w:p w14:paraId="478E34C7" w14:textId="3A011686" w:rsidR="00893CBC" w:rsidRPr="00710C1C" w:rsidRDefault="002C0DA4" w:rsidP="00710C1C">
      <w:pPr>
        <w:rPr>
          <w:rFonts w:ascii="Arial" w:hAnsi="Arial" w:cs="Arial"/>
          <w:color w:val="0A0A0A"/>
          <w:shd w:val="clear" w:color="auto" w:fill="F0F2F5"/>
        </w:rPr>
      </w:pPr>
      <w:r w:rsidRPr="00710C1C">
        <w:rPr>
          <w:rFonts w:ascii="Arial" w:hAnsi="Arial" w:cs="Arial"/>
          <w:color w:val="0A0A0A"/>
          <w:shd w:val="clear" w:color="auto" w:fill="F0F2F5"/>
        </w:rPr>
        <w:t>THE HEALTH FOUNDATION (2024).</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Rethinking access to general practice: it’s not all about supply</w:t>
      </w:r>
      <w:r w:rsidRPr="00710C1C">
        <w:rPr>
          <w:rFonts w:ascii="Arial" w:hAnsi="Arial" w:cs="Arial"/>
          <w:color w:val="0A0A0A"/>
          <w:shd w:val="clear" w:color="auto" w:fill="F0F2F5"/>
        </w:rPr>
        <w:t xml:space="preserve">. Londres: The Health Foundation. </w:t>
      </w:r>
      <w:r w:rsidR="00951505" w:rsidRPr="00710C1C">
        <w:rPr>
          <w:rFonts w:ascii="Arial" w:hAnsi="Arial" w:cs="Arial"/>
          <w:color w:val="0A0A0A"/>
          <w:shd w:val="clear" w:color="auto" w:fill="F0F2F5"/>
        </w:rPr>
        <w:t>Available at</w:t>
      </w:r>
      <w:r w:rsidRPr="00710C1C">
        <w:rPr>
          <w:rFonts w:ascii="Arial" w:hAnsi="Arial" w:cs="Arial"/>
          <w:color w:val="0A0A0A"/>
          <w:shd w:val="clear" w:color="auto" w:fill="F0F2F5"/>
        </w:rPr>
        <w:t xml:space="preserve">: </w:t>
      </w:r>
      <w:hyperlink r:id="rId24" w:history="1">
        <w:r w:rsidR="00CE47D8" w:rsidRPr="00710C1C">
          <w:rPr>
            <w:rStyle w:val="Hyperlink"/>
            <w:rFonts w:ascii="Arial" w:hAnsi="Arial" w:cs="Arial"/>
            <w:shd w:val="clear" w:color="auto" w:fill="F0F2F5"/>
          </w:rPr>
          <w:t>https://www.health.org.u</w:t>
        </w:r>
        <w:r w:rsidR="00CE47D8" w:rsidRPr="00710C1C">
          <w:rPr>
            <w:rStyle w:val="Hyperlink"/>
            <w:rFonts w:ascii="Arial" w:hAnsi="Arial" w:cs="Arial"/>
            <w:shd w:val="clear" w:color="auto" w:fill="F0F2F5"/>
          </w:rPr>
          <w:t>k</w:t>
        </w:r>
        <w:r w:rsidR="00CE47D8" w:rsidRPr="00710C1C">
          <w:rPr>
            <w:rStyle w:val="Hyperlink"/>
            <w:rFonts w:ascii="Arial" w:hAnsi="Arial" w:cs="Arial"/>
            <w:shd w:val="clear" w:color="auto" w:fill="F0F2F5"/>
          </w:rPr>
          <w:t>/reports-and-analysis/briefings/rethinking-access-to-general-practice-it-s-not-all-about-supply</w:t>
        </w:r>
      </w:hyperlink>
      <w:r w:rsidR="00CE47D8" w:rsidRPr="00710C1C">
        <w:rPr>
          <w:rFonts w:ascii="Arial" w:hAnsi="Arial" w:cs="Arial"/>
          <w:color w:val="0A0A0A"/>
          <w:shd w:val="clear" w:color="auto" w:fill="F0F2F5"/>
        </w:rPr>
        <w:t xml:space="preserve"> </w:t>
      </w:r>
      <w:r w:rsidR="00F80978" w:rsidRPr="00710C1C">
        <w:rPr>
          <w:rFonts w:ascii="Arial" w:hAnsi="Arial" w:cs="Arial"/>
          <w:color w:val="0A0A0A"/>
          <w:shd w:val="clear" w:color="auto" w:fill="F0F2F5"/>
        </w:rPr>
        <w:t>Accessed: 09 Apr 2026.</w:t>
      </w:r>
    </w:p>
    <w:p w14:paraId="7EEB44FB" w14:textId="6D5CC5FC" w:rsidR="00DA4D15" w:rsidRPr="00710C1C" w:rsidRDefault="003A2139" w:rsidP="00710C1C">
      <w:pPr>
        <w:rPr>
          <w:rFonts w:ascii="Arial" w:hAnsi="Arial" w:cs="Arial"/>
          <w:color w:val="0A0A0A"/>
          <w:shd w:val="clear" w:color="auto" w:fill="F0F2F5"/>
        </w:rPr>
      </w:pPr>
      <w:r w:rsidRPr="00710C1C">
        <w:rPr>
          <w:rFonts w:ascii="Arial" w:hAnsi="Arial" w:cs="Arial"/>
          <w:color w:val="0A0A0A"/>
          <w:shd w:val="clear" w:color="auto" w:fill="F0F2F5"/>
        </w:rPr>
        <w:t>TURNBULL, J., PRICHARD, J., MACLELLAN, J. e POPE, C. (2024). eHealth Literacy and the Use of NHS 111 Online Urgent Care Service in England: Cross-Sectional Survey.</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Journal of Medical Internet Research</w:t>
      </w:r>
      <w:r w:rsidRPr="00710C1C">
        <w:rPr>
          <w:rFonts w:ascii="Arial" w:hAnsi="Arial" w:cs="Arial"/>
          <w:color w:val="0A0A0A"/>
          <w:shd w:val="clear" w:color="auto" w:fill="F0F2F5"/>
        </w:rPr>
        <w:t xml:space="preserve">, 26, p. e50376. </w:t>
      </w:r>
      <w:r w:rsidR="00AD17CA" w:rsidRPr="00710C1C">
        <w:rPr>
          <w:rFonts w:ascii="Arial" w:hAnsi="Arial" w:cs="Arial"/>
          <w:color w:val="0A0A0A"/>
          <w:shd w:val="clear" w:color="auto" w:fill="F0F2F5"/>
        </w:rPr>
        <w:t>d</w:t>
      </w:r>
      <w:r w:rsidRPr="00710C1C">
        <w:rPr>
          <w:rFonts w:ascii="Arial" w:hAnsi="Arial" w:cs="Arial"/>
          <w:color w:val="0A0A0A"/>
          <w:shd w:val="clear" w:color="auto" w:fill="F0F2F5"/>
        </w:rPr>
        <w:t>oi</w:t>
      </w:r>
      <w:r w:rsidRPr="00710C1C">
        <w:rPr>
          <w:rFonts w:ascii="Arial" w:hAnsi="Arial" w:cs="Arial"/>
          <w:color w:val="0A0A0A"/>
          <w:shd w:val="clear" w:color="auto" w:fill="F0F2F5"/>
        </w:rPr>
        <w:t>: 10.2196/50376.</w:t>
      </w:r>
      <w:r w:rsidR="0094636A" w:rsidRPr="00710C1C">
        <w:rPr>
          <w:rFonts w:ascii="Arial" w:hAnsi="Arial" w:cs="Arial"/>
          <w:color w:val="0A0A0A"/>
          <w:shd w:val="clear" w:color="auto" w:fill="F0F2F5"/>
        </w:rPr>
        <w:t xml:space="preserve"> </w:t>
      </w:r>
      <w:hyperlink r:id="rId25" w:history="1">
        <w:r w:rsidR="0093357F" w:rsidRPr="00710C1C">
          <w:rPr>
            <w:rStyle w:val="Hyperlink"/>
            <w:rFonts w:ascii="Arial" w:hAnsi="Arial" w:cs="Arial"/>
            <w:shd w:val="clear" w:color="auto" w:fill="F0F2F5"/>
          </w:rPr>
          <w:t>https://www.jmir.org/2024/1/e5037</w:t>
        </w:r>
        <w:r w:rsidR="0093357F" w:rsidRPr="00710C1C">
          <w:rPr>
            <w:rStyle w:val="Hyperlink"/>
            <w:rFonts w:ascii="Arial" w:hAnsi="Arial" w:cs="Arial"/>
            <w:shd w:val="clear" w:color="auto" w:fill="F0F2F5"/>
          </w:rPr>
          <w:t>6</w:t>
        </w:r>
        <w:r w:rsidR="0093357F" w:rsidRPr="00710C1C">
          <w:rPr>
            <w:rStyle w:val="Hyperlink"/>
            <w:rFonts w:ascii="Arial" w:hAnsi="Arial" w:cs="Arial"/>
            <w:shd w:val="clear" w:color="auto" w:fill="F0F2F5"/>
          </w:rPr>
          <w:t>/authors</w:t>
        </w:r>
      </w:hyperlink>
      <w:r w:rsidR="00893CBC" w:rsidRPr="00710C1C">
        <w:rPr>
          <w:rFonts w:ascii="Arial" w:hAnsi="Arial" w:cs="Arial"/>
          <w:color w:val="0A0A0A"/>
          <w:shd w:val="clear" w:color="auto" w:fill="F0F2F5"/>
        </w:rPr>
        <w:t xml:space="preserve"> Accessed: 15 Apr 2026</w:t>
      </w:r>
    </w:p>
    <w:p w14:paraId="10663AFF" w14:textId="0C0C0796" w:rsidR="00DA4D15" w:rsidRPr="00710C1C" w:rsidRDefault="00DA4D15" w:rsidP="00710C1C">
      <w:pPr>
        <w:rPr>
          <w:rFonts w:ascii="Arial" w:hAnsi="Arial" w:cs="Arial"/>
          <w:color w:val="0A0A0A"/>
          <w:shd w:val="clear" w:color="auto" w:fill="F0F2F5"/>
        </w:rPr>
      </w:pPr>
      <w:r w:rsidRPr="00710C1C">
        <w:rPr>
          <w:rFonts w:ascii="Arial" w:hAnsi="Arial" w:cs="Arial"/>
          <w:color w:val="0A0A0A"/>
          <w:shd w:val="clear" w:color="auto" w:fill="F0F2F5"/>
        </w:rPr>
        <w:t>VOORHEES, J., BAILEY, S., WATERMAN, H. e CHECKLAND, K. (2024). A paradox of problems in accessing general practice: a qualitative participatory case study.</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British Journal of General Practice</w:t>
      </w:r>
      <w:r w:rsidRPr="00710C1C">
        <w:rPr>
          <w:rFonts w:ascii="Arial" w:hAnsi="Arial" w:cs="Arial"/>
          <w:color w:val="0A0A0A"/>
          <w:shd w:val="clear" w:color="auto" w:fill="F0F2F5"/>
        </w:rPr>
        <w:t xml:space="preserve">, 74(739), pp. e104-e112. </w:t>
      </w:r>
      <w:r w:rsidRPr="00710C1C">
        <w:rPr>
          <w:rFonts w:ascii="Arial" w:hAnsi="Arial" w:cs="Arial"/>
          <w:color w:val="0A0A0A"/>
          <w:shd w:val="clear" w:color="auto" w:fill="F0F2F5"/>
        </w:rPr>
        <w:t>D</w:t>
      </w:r>
      <w:r w:rsidRPr="00710C1C">
        <w:rPr>
          <w:rFonts w:ascii="Arial" w:hAnsi="Arial" w:cs="Arial"/>
          <w:color w:val="0A0A0A"/>
          <w:shd w:val="clear" w:color="auto" w:fill="F0F2F5"/>
        </w:rPr>
        <w:t>oi: 10.3399/BJGP.2023.0276.</w:t>
      </w:r>
      <w:r w:rsidR="004508FA" w:rsidRPr="00710C1C">
        <w:rPr>
          <w:rFonts w:ascii="Arial" w:hAnsi="Arial" w:cs="Arial"/>
          <w:color w:val="0A0A0A"/>
          <w:shd w:val="clear" w:color="auto" w:fill="F0F2F5"/>
        </w:rPr>
        <w:t xml:space="preserve"> Accessed: 20 Apr 2026.</w:t>
      </w:r>
    </w:p>
    <w:p w14:paraId="729D5929" w14:textId="4FCF7AD6" w:rsidR="004640DC" w:rsidRPr="00710C1C" w:rsidRDefault="004640DC" w:rsidP="00710C1C">
      <w:pPr>
        <w:rPr>
          <w:rFonts w:ascii="Arial" w:hAnsi="Arial" w:cs="Arial"/>
          <w:color w:val="0A0A0A"/>
          <w:shd w:val="clear" w:color="auto" w:fill="F0F2F5"/>
        </w:rPr>
      </w:pPr>
      <w:r w:rsidRPr="00710C1C">
        <w:rPr>
          <w:rFonts w:ascii="Arial" w:hAnsi="Arial" w:cs="Arial"/>
          <w:color w:val="0A0A0A"/>
          <w:shd w:val="clear" w:color="auto" w:fill="F0F2F5"/>
        </w:rPr>
        <w:t>WARWICK-GILES, L., HUTCHINSON, J., CHECKLAND, K., HAMMOND, J., BRAMWELL, D., BAILEY, S. e SUTTON, M. (2024). Exploring whether primary care networks can contribute to the national goal of reducing health inequalities: a mixed-methods study.</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British Journal of General Practice</w:t>
      </w:r>
      <w:r w:rsidRPr="00710C1C">
        <w:rPr>
          <w:rFonts w:ascii="Arial" w:hAnsi="Arial" w:cs="Arial"/>
          <w:color w:val="0A0A0A"/>
          <w:shd w:val="clear" w:color="auto" w:fill="F0F2F5"/>
        </w:rPr>
        <w:t xml:space="preserve">, 74(742), pp. e290–e299. </w:t>
      </w:r>
      <w:r w:rsidR="00AD17CA" w:rsidRPr="00710C1C">
        <w:rPr>
          <w:rFonts w:ascii="Arial" w:hAnsi="Arial" w:cs="Arial"/>
          <w:color w:val="0A0A0A"/>
          <w:shd w:val="clear" w:color="auto" w:fill="F0F2F5"/>
        </w:rPr>
        <w:t>d</w:t>
      </w:r>
      <w:r w:rsidR="008E4286" w:rsidRPr="00710C1C">
        <w:rPr>
          <w:rFonts w:ascii="Arial" w:hAnsi="Arial" w:cs="Arial"/>
          <w:color w:val="0A0A0A"/>
          <w:shd w:val="clear" w:color="auto" w:fill="F0F2F5"/>
        </w:rPr>
        <w:t>oi</w:t>
      </w:r>
      <w:r w:rsidRPr="00710C1C">
        <w:rPr>
          <w:rFonts w:ascii="Arial" w:hAnsi="Arial" w:cs="Arial"/>
          <w:color w:val="0A0A0A"/>
          <w:shd w:val="clear" w:color="auto" w:fill="F0F2F5"/>
        </w:rPr>
        <w:t>: 10.3399/BJGP.2023.0258.</w:t>
      </w:r>
      <w:r w:rsidR="008E4286" w:rsidRPr="00710C1C">
        <w:rPr>
          <w:rFonts w:ascii="Arial" w:hAnsi="Arial" w:cs="Arial"/>
          <w:color w:val="0A0A0A"/>
          <w:shd w:val="clear" w:color="auto" w:fill="F0F2F5"/>
        </w:rPr>
        <w:t xml:space="preserve"> Accessed: 09 Apr 2026.</w:t>
      </w:r>
    </w:p>
    <w:p w14:paraId="29BFA52E" w14:textId="4B8FA573" w:rsidR="00EB210F" w:rsidRPr="00710C1C" w:rsidRDefault="00EC7382" w:rsidP="00710C1C">
      <w:pPr>
        <w:rPr>
          <w:rFonts w:ascii="Arial" w:hAnsi="Arial" w:cs="Arial"/>
          <w:color w:val="0A0A0A"/>
          <w:shd w:val="clear" w:color="auto" w:fill="F0F2F5"/>
        </w:rPr>
      </w:pPr>
      <w:r w:rsidRPr="00710C1C">
        <w:rPr>
          <w:rFonts w:ascii="Arial" w:hAnsi="Arial" w:cs="Arial"/>
          <w:color w:val="0A0A0A"/>
          <w:shd w:val="clear" w:color="auto" w:fill="F0F2F5"/>
        </w:rPr>
        <w:t>WATTANAPISIT, A., TEO, C. H., WATTANAPISIT, S., TEOH, E., WOO, W. J. e NG, C. J. (2020). Can mobile health apps replace GPs? A scoping review of comparisons between mobile apps and GP tasks.</w:t>
      </w:r>
      <w:r w:rsidRPr="00710C1C">
        <w:rPr>
          <w:rStyle w:val="apple-converted-space"/>
          <w:rFonts w:ascii="Arial" w:hAnsi="Arial" w:cs="Arial"/>
          <w:color w:val="0A0A0A"/>
          <w:shd w:val="clear" w:color="auto" w:fill="F0F2F5"/>
        </w:rPr>
        <w:t> </w:t>
      </w:r>
      <w:r w:rsidRPr="00710C1C">
        <w:rPr>
          <w:rStyle w:val="Emphasis"/>
          <w:rFonts w:ascii="Arial" w:hAnsi="Arial" w:cs="Arial"/>
          <w:color w:val="0A0A0A"/>
        </w:rPr>
        <w:t>BMC Medical Informatics and Decision Making</w:t>
      </w:r>
      <w:r w:rsidRPr="00710C1C">
        <w:rPr>
          <w:rFonts w:ascii="Arial" w:hAnsi="Arial" w:cs="Arial"/>
          <w:color w:val="0A0A0A"/>
          <w:shd w:val="clear" w:color="auto" w:fill="F0F2F5"/>
        </w:rPr>
        <w:t xml:space="preserve">, 20, art. </w:t>
      </w:r>
      <w:r w:rsidR="00190147" w:rsidRPr="00710C1C">
        <w:rPr>
          <w:rFonts w:ascii="Arial" w:hAnsi="Arial" w:cs="Arial"/>
          <w:color w:val="0A0A0A"/>
          <w:shd w:val="clear" w:color="auto" w:fill="F0F2F5"/>
        </w:rPr>
        <w:t>n. º</w:t>
      </w:r>
      <w:r w:rsidRPr="00710C1C">
        <w:rPr>
          <w:rFonts w:ascii="Arial" w:hAnsi="Arial" w:cs="Arial"/>
          <w:color w:val="0A0A0A"/>
          <w:shd w:val="clear" w:color="auto" w:fill="F0F2F5"/>
        </w:rPr>
        <w:t xml:space="preserve"> 5. doi: 10.1186/s12911-019-1016-4.</w:t>
      </w:r>
      <w:r w:rsidRPr="00710C1C">
        <w:rPr>
          <w:rFonts w:ascii="Arial" w:hAnsi="Arial" w:cs="Arial"/>
          <w:color w:val="0A0A0A"/>
          <w:shd w:val="clear" w:color="auto" w:fill="F0F2F5"/>
        </w:rPr>
        <w:t xml:space="preserve"> Accessed: 08 Apr 2026.</w:t>
      </w:r>
    </w:p>
    <w:p w14:paraId="3F839313" w14:textId="2A95E5B2" w:rsidR="00EB210F" w:rsidRPr="00710C1C" w:rsidRDefault="00EB210F" w:rsidP="00710C1C">
      <w:pPr>
        <w:rPr>
          <w:rFonts w:ascii="Arial" w:hAnsi="Arial" w:cs="Arial"/>
          <w:color w:val="0A0A0A"/>
          <w:shd w:val="clear" w:color="auto" w:fill="F0F2F5"/>
        </w:rPr>
      </w:pPr>
      <w:r w:rsidRPr="00710C1C">
        <w:rPr>
          <w:rFonts w:ascii="Arial" w:hAnsi="Arial" w:cs="Arial"/>
          <w:color w:val="0A0A0A"/>
          <w:shd w:val="clear" w:color="auto" w:fill="F0F2F5"/>
        </w:rPr>
        <w:t xml:space="preserve"> Ziemssen, T. and Haase, R. (2022) Digital innovation in Multiple Sclerosis Management. Basel: MDPI - Multidisciplinary Digital Publishing Institute. Available at: </w:t>
      </w:r>
      <w:hyperlink r:id="rId26" w:history="1">
        <w:r w:rsidRPr="00710C1C">
          <w:rPr>
            <w:rStyle w:val="Hyperlink"/>
            <w:rFonts w:ascii="Arial" w:hAnsi="Arial" w:cs="Arial"/>
            <w:shd w:val="clear" w:color="auto" w:fill="F0F2F5"/>
          </w:rPr>
          <w:t>https://doi.org/10.3390/books978-3-0365-2888-5</w:t>
        </w:r>
      </w:hyperlink>
      <w:r w:rsidRPr="00710C1C">
        <w:rPr>
          <w:rFonts w:ascii="Arial" w:hAnsi="Arial" w:cs="Arial"/>
          <w:color w:val="0A0A0A"/>
          <w:shd w:val="clear" w:color="auto" w:fill="F0F2F5"/>
        </w:rPr>
        <w:t>.</w:t>
      </w:r>
      <w:r w:rsidRPr="00710C1C">
        <w:rPr>
          <w:rFonts w:ascii="Arial" w:hAnsi="Arial" w:cs="Arial"/>
          <w:color w:val="0A0A0A"/>
          <w:shd w:val="clear" w:color="auto" w:fill="F0F2F5"/>
        </w:rPr>
        <w:t xml:space="preserve"> </w:t>
      </w:r>
      <w:hyperlink r:id="rId27" w:history="1">
        <w:r w:rsidRPr="00710C1C">
          <w:rPr>
            <w:rStyle w:val="Hyperlink"/>
            <w:rFonts w:ascii="Arial" w:hAnsi="Arial" w:cs="Arial"/>
            <w:shd w:val="clear" w:color="auto" w:fill="F0F2F5"/>
          </w:rPr>
          <w:t>https://librarysearch.uwtsd.ac.uk/permalink/44WHELF_UWTSD/lrq2gq/cdi_oapen_doabooks_78771</w:t>
        </w:r>
      </w:hyperlink>
      <w:r w:rsidRPr="00710C1C">
        <w:rPr>
          <w:rFonts w:ascii="Arial" w:hAnsi="Arial" w:cs="Arial"/>
          <w:color w:val="0A0A0A"/>
          <w:shd w:val="clear" w:color="auto" w:fill="F0F2F5"/>
        </w:rPr>
        <w:t xml:space="preserve"> Accessed: 23 Apr 2026.</w:t>
      </w:r>
    </w:p>
    <w:p w14:paraId="5BE81756" w14:textId="77777777" w:rsidR="008E4286" w:rsidRPr="0079543D" w:rsidRDefault="008E4286" w:rsidP="00710C1C">
      <w:pPr>
        <w:rPr>
          <w:rFonts w:ascii="Arial" w:hAnsi="Arial" w:cs="Arial"/>
          <w:color w:val="0A0A0A"/>
          <w:shd w:val="clear" w:color="auto" w:fill="F0F2F5"/>
        </w:rPr>
      </w:pPr>
    </w:p>
    <w:p w14:paraId="1425F4AC" w14:textId="6695D929" w:rsidR="001D7C03" w:rsidRPr="0079543D" w:rsidRDefault="001D7C03" w:rsidP="00710C1C">
      <w:pPr>
        <w:tabs>
          <w:tab w:val="left" w:pos="6540"/>
        </w:tabs>
        <w:spacing w:line="360" w:lineRule="auto"/>
        <w:rPr>
          <w:rFonts w:ascii="Arial" w:hAnsi="Arial" w:cs="Arial"/>
          <w:sz w:val="22"/>
        </w:rPr>
      </w:pPr>
    </w:p>
    <w:sectPr w:rsidR="001D7C03" w:rsidRPr="0079543D" w:rsidSect="00E620E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0ECDD" w14:textId="77777777" w:rsidR="00754754" w:rsidRDefault="00754754" w:rsidP="003E4ECF">
      <w:pPr>
        <w:spacing w:after="0" w:line="240" w:lineRule="auto"/>
      </w:pPr>
      <w:r>
        <w:separator/>
      </w:r>
    </w:p>
  </w:endnote>
  <w:endnote w:type="continuationSeparator" w:id="0">
    <w:p w14:paraId="3B195355" w14:textId="77777777" w:rsidR="00754754" w:rsidRDefault="0075475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59154" w14:textId="77777777" w:rsidR="00754754" w:rsidRDefault="00754754" w:rsidP="003E4ECF">
      <w:pPr>
        <w:spacing w:after="0" w:line="240" w:lineRule="auto"/>
      </w:pPr>
      <w:r>
        <w:separator/>
      </w:r>
    </w:p>
  </w:footnote>
  <w:footnote w:type="continuationSeparator" w:id="0">
    <w:p w14:paraId="626FF997" w14:textId="77777777" w:rsidR="00754754" w:rsidRDefault="0075475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8BC"/>
    <w:multiLevelType w:val="multilevel"/>
    <w:tmpl w:val="5762E272"/>
    <w:lvl w:ilvl="0">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870EC"/>
    <w:multiLevelType w:val="hybridMultilevel"/>
    <w:tmpl w:val="EBF808B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A9403F"/>
    <w:multiLevelType w:val="multilevel"/>
    <w:tmpl w:val="B1D6CE7A"/>
    <w:lvl w:ilvl="0">
      <w:start w:val="1"/>
      <w:numFmt w:val="bullet"/>
      <w:lvlText w:val=""/>
      <w:lvlJc w:val="left"/>
      <w:pPr>
        <w:ind w:left="144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8289C"/>
    <w:multiLevelType w:val="multilevel"/>
    <w:tmpl w:val="B1D6CE7A"/>
    <w:lvl w:ilvl="0">
      <w:start w:val="1"/>
      <w:numFmt w:val="bullet"/>
      <w:lvlText w:val=""/>
      <w:lvlJc w:val="left"/>
      <w:pPr>
        <w:ind w:left="144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B83F4C"/>
    <w:multiLevelType w:val="multilevel"/>
    <w:tmpl w:val="B1D6CE7A"/>
    <w:lvl w:ilvl="0">
      <w:start w:val="1"/>
      <w:numFmt w:val="bullet"/>
      <w:lvlText w:val=""/>
      <w:lvlJc w:val="left"/>
      <w:pPr>
        <w:ind w:left="144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551F9D"/>
    <w:multiLevelType w:val="multilevel"/>
    <w:tmpl w:val="5762E272"/>
    <w:lvl w:ilvl="0">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8047DA"/>
    <w:multiLevelType w:val="multilevel"/>
    <w:tmpl w:val="5582F682"/>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F6DC9"/>
    <w:multiLevelType w:val="hybridMultilevel"/>
    <w:tmpl w:val="E560233A"/>
    <w:lvl w:ilvl="0" w:tplc="59E41966">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4751A1"/>
    <w:multiLevelType w:val="multilevel"/>
    <w:tmpl w:val="9FD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473C9"/>
    <w:multiLevelType w:val="multilevel"/>
    <w:tmpl w:val="4B78C0E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61D99"/>
    <w:multiLevelType w:val="hybridMultilevel"/>
    <w:tmpl w:val="36A82FE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234B39E5"/>
    <w:multiLevelType w:val="multilevel"/>
    <w:tmpl w:val="7D7E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D6212"/>
    <w:multiLevelType w:val="multilevel"/>
    <w:tmpl w:val="5762E272"/>
    <w:lvl w:ilvl="0">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EA2F80"/>
    <w:multiLevelType w:val="multilevel"/>
    <w:tmpl w:val="142C2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F32C1"/>
    <w:multiLevelType w:val="hybridMultilevel"/>
    <w:tmpl w:val="AD5AFE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0106A2"/>
    <w:multiLevelType w:val="multilevel"/>
    <w:tmpl w:val="5096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7815F3"/>
    <w:multiLevelType w:val="multilevel"/>
    <w:tmpl w:val="70AE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077EDE"/>
    <w:multiLevelType w:val="hybridMultilevel"/>
    <w:tmpl w:val="A4C24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CB2403E"/>
    <w:multiLevelType w:val="hybridMultilevel"/>
    <w:tmpl w:val="A184D5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DEC58E7"/>
    <w:multiLevelType w:val="hybridMultilevel"/>
    <w:tmpl w:val="B57CF0F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B554D8"/>
    <w:multiLevelType w:val="hybridMultilevel"/>
    <w:tmpl w:val="6CAEDE1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1" w15:restartNumberingAfterBreak="0">
    <w:nsid w:val="45B31E05"/>
    <w:multiLevelType w:val="multilevel"/>
    <w:tmpl w:val="9B0A7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CA000D"/>
    <w:multiLevelType w:val="multilevel"/>
    <w:tmpl w:val="5762E272"/>
    <w:lvl w:ilvl="0">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921299"/>
    <w:multiLevelType w:val="multilevel"/>
    <w:tmpl w:val="B1D6CE7A"/>
    <w:lvl w:ilvl="0">
      <w:start w:val="1"/>
      <w:numFmt w:val="bullet"/>
      <w:lvlText w:val=""/>
      <w:lvlJc w:val="left"/>
      <w:pPr>
        <w:ind w:left="144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844FE9"/>
    <w:multiLevelType w:val="multilevel"/>
    <w:tmpl w:val="5762E272"/>
    <w:lvl w:ilvl="0">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632713"/>
    <w:multiLevelType w:val="hybridMultilevel"/>
    <w:tmpl w:val="699E4E18"/>
    <w:lvl w:ilvl="0" w:tplc="98A20C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8285171"/>
    <w:multiLevelType w:val="hybridMultilevel"/>
    <w:tmpl w:val="396ADED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5A4E30E6"/>
    <w:multiLevelType w:val="hybridMultilevel"/>
    <w:tmpl w:val="22A09D7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8" w15:restartNumberingAfterBreak="0">
    <w:nsid w:val="62720C5A"/>
    <w:multiLevelType w:val="multilevel"/>
    <w:tmpl w:val="088A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5C5973"/>
    <w:multiLevelType w:val="hybridMultilevel"/>
    <w:tmpl w:val="AF443FF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6BE74E46"/>
    <w:multiLevelType w:val="multilevel"/>
    <w:tmpl w:val="5762E272"/>
    <w:lvl w:ilvl="0">
      <w:start w:val="1"/>
      <w:numFmt w:val="bullet"/>
      <w:lvlText w:val=""/>
      <w:lvlJc w:val="left"/>
      <w:pPr>
        <w:ind w:left="144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F626A9"/>
    <w:multiLevelType w:val="hybridMultilevel"/>
    <w:tmpl w:val="6EECE540"/>
    <w:lvl w:ilvl="0" w:tplc="6AF0D53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0F27C2"/>
    <w:multiLevelType w:val="multilevel"/>
    <w:tmpl w:val="C96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7972826">
    <w:abstractNumId w:val="14"/>
  </w:num>
  <w:num w:numId="2" w16cid:durableId="466511302">
    <w:abstractNumId w:val="18"/>
  </w:num>
  <w:num w:numId="3" w16cid:durableId="306282007">
    <w:abstractNumId w:val="15"/>
  </w:num>
  <w:num w:numId="4" w16cid:durableId="1761488339">
    <w:abstractNumId w:val="9"/>
  </w:num>
  <w:num w:numId="5" w16cid:durableId="2100784645">
    <w:abstractNumId w:val="11"/>
  </w:num>
  <w:num w:numId="6" w16cid:durableId="1512649056">
    <w:abstractNumId w:val="32"/>
  </w:num>
  <w:num w:numId="7" w16cid:durableId="632323141">
    <w:abstractNumId w:val="28"/>
  </w:num>
  <w:num w:numId="8" w16cid:durableId="872612334">
    <w:abstractNumId w:val="16"/>
  </w:num>
  <w:num w:numId="9" w16cid:durableId="1638100587">
    <w:abstractNumId w:val="21"/>
  </w:num>
  <w:num w:numId="10" w16cid:durableId="522328370">
    <w:abstractNumId w:val="3"/>
  </w:num>
  <w:num w:numId="11" w16cid:durableId="1250193899">
    <w:abstractNumId w:val="4"/>
  </w:num>
  <w:num w:numId="12" w16cid:durableId="698553406">
    <w:abstractNumId w:val="23"/>
  </w:num>
  <w:num w:numId="13" w16cid:durableId="1021785591">
    <w:abstractNumId w:val="2"/>
  </w:num>
  <w:num w:numId="14" w16cid:durableId="624165962">
    <w:abstractNumId w:val="0"/>
  </w:num>
  <w:num w:numId="15" w16cid:durableId="1467702166">
    <w:abstractNumId w:val="25"/>
  </w:num>
  <w:num w:numId="16" w16cid:durableId="432164199">
    <w:abstractNumId w:val="19"/>
  </w:num>
  <w:num w:numId="17" w16cid:durableId="1284264954">
    <w:abstractNumId w:val="1"/>
  </w:num>
  <w:num w:numId="18" w16cid:durableId="858005464">
    <w:abstractNumId w:val="8"/>
  </w:num>
  <w:num w:numId="19" w16cid:durableId="2025205921">
    <w:abstractNumId w:val="13"/>
  </w:num>
  <w:num w:numId="20" w16cid:durableId="1502356736">
    <w:abstractNumId w:val="5"/>
  </w:num>
  <w:num w:numId="21" w16cid:durableId="1383405267">
    <w:abstractNumId w:val="22"/>
  </w:num>
  <w:num w:numId="22" w16cid:durableId="1870798151">
    <w:abstractNumId w:val="30"/>
  </w:num>
  <w:num w:numId="23" w16cid:durableId="1474374255">
    <w:abstractNumId w:val="12"/>
  </w:num>
  <w:num w:numId="24" w16cid:durableId="621375911">
    <w:abstractNumId w:val="24"/>
  </w:num>
  <w:num w:numId="25" w16cid:durableId="1790781266">
    <w:abstractNumId w:val="17"/>
  </w:num>
  <w:num w:numId="26" w16cid:durableId="2048333900">
    <w:abstractNumId w:val="20"/>
  </w:num>
  <w:num w:numId="27" w16cid:durableId="493495673">
    <w:abstractNumId w:val="27"/>
  </w:num>
  <w:num w:numId="28" w16cid:durableId="1045832713">
    <w:abstractNumId w:val="10"/>
  </w:num>
  <w:num w:numId="29" w16cid:durableId="9648530">
    <w:abstractNumId w:val="26"/>
  </w:num>
  <w:num w:numId="30" w16cid:durableId="1497499700">
    <w:abstractNumId w:val="29"/>
  </w:num>
  <w:num w:numId="31" w16cid:durableId="1538738668">
    <w:abstractNumId w:val="7"/>
  </w:num>
  <w:num w:numId="32" w16cid:durableId="261382795">
    <w:abstractNumId w:val="31"/>
  </w:num>
  <w:num w:numId="33" w16cid:durableId="9232222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64C"/>
    <w:rsid w:val="00016DDA"/>
    <w:rsid w:val="00020186"/>
    <w:rsid w:val="00022A66"/>
    <w:rsid w:val="00026F14"/>
    <w:rsid w:val="000503F1"/>
    <w:rsid w:val="000512DE"/>
    <w:rsid w:val="00052518"/>
    <w:rsid w:val="000564AA"/>
    <w:rsid w:val="000572BF"/>
    <w:rsid w:val="00064953"/>
    <w:rsid w:val="00073C60"/>
    <w:rsid w:val="00074402"/>
    <w:rsid w:val="0007686B"/>
    <w:rsid w:val="00082F15"/>
    <w:rsid w:val="000A0AF3"/>
    <w:rsid w:val="000A4F1D"/>
    <w:rsid w:val="000C417F"/>
    <w:rsid w:val="000C585F"/>
    <w:rsid w:val="000C7A89"/>
    <w:rsid w:val="000D2473"/>
    <w:rsid w:val="000E0F7C"/>
    <w:rsid w:val="000E62D7"/>
    <w:rsid w:val="000E74C7"/>
    <w:rsid w:val="000F395C"/>
    <w:rsid w:val="00102739"/>
    <w:rsid w:val="0011458A"/>
    <w:rsid w:val="00122FC8"/>
    <w:rsid w:val="0012395A"/>
    <w:rsid w:val="00140D9E"/>
    <w:rsid w:val="00143682"/>
    <w:rsid w:val="00143BAC"/>
    <w:rsid w:val="00144EBD"/>
    <w:rsid w:val="00146BD2"/>
    <w:rsid w:val="00152966"/>
    <w:rsid w:val="00156496"/>
    <w:rsid w:val="00157B5D"/>
    <w:rsid w:val="00164EA2"/>
    <w:rsid w:val="00167503"/>
    <w:rsid w:val="001715BA"/>
    <w:rsid w:val="00172C3C"/>
    <w:rsid w:val="00190147"/>
    <w:rsid w:val="00194388"/>
    <w:rsid w:val="001A531E"/>
    <w:rsid w:val="001C3EC9"/>
    <w:rsid w:val="001D049B"/>
    <w:rsid w:val="001D096E"/>
    <w:rsid w:val="001D2364"/>
    <w:rsid w:val="001D7C03"/>
    <w:rsid w:val="001E1D8E"/>
    <w:rsid w:val="001E333A"/>
    <w:rsid w:val="001E4021"/>
    <w:rsid w:val="001E4DEC"/>
    <w:rsid w:val="001E5BA6"/>
    <w:rsid w:val="001F2213"/>
    <w:rsid w:val="001F290F"/>
    <w:rsid w:val="00201A88"/>
    <w:rsid w:val="00202D4D"/>
    <w:rsid w:val="00204E49"/>
    <w:rsid w:val="00205834"/>
    <w:rsid w:val="00216C85"/>
    <w:rsid w:val="00217D3F"/>
    <w:rsid w:val="00217D82"/>
    <w:rsid w:val="00221BB4"/>
    <w:rsid w:val="00225174"/>
    <w:rsid w:val="002339C8"/>
    <w:rsid w:val="00234C3B"/>
    <w:rsid w:val="002376D8"/>
    <w:rsid w:val="0024581B"/>
    <w:rsid w:val="00251ED9"/>
    <w:rsid w:val="00257A98"/>
    <w:rsid w:val="0026354E"/>
    <w:rsid w:val="0026393A"/>
    <w:rsid w:val="00267B78"/>
    <w:rsid w:val="0027190C"/>
    <w:rsid w:val="00273EDD"/>
    <w:rsid w:val="002761E9"/>
    <w:rsid w:val="00280329"/>
    <w:rsid w:val="00282185"/>
    <w:rsid w:val="00287F37"/>
    <w:rsid w:val="00292BA3"/>
    <w:rsid w:val="002960EE"/>
    <w:rsid w:val="002A4245"/>
    <w:rsid w:val="002B258E"/>
    <w:rsid w:val="002C0DA4"/>
    <w:rsid w:val="002C12DC"/>
    <w:rsid w:val="002C3198"/>
    <w:rsid w:val="002C3965"/>
    <w:rsid w:val="002D1C53"/>
    <w:rsid w:val="002E0363"/>
    <w:rsid w:val="002E14EF"/>
    <w:rsid w:val="002E33B9"/>
    <w:rsid w:val="002F20DF"/>
    <w:rsid w:val="003103BF"/>
    <w:rsid w:val="00311E24"/>
    <w:rsid w:val="00321191"/>
    <w:rsid w:val="00321C4C"/>
    <w:rsid w:val="00340235"/>
    <w:rsid w:val="003410F4"/>
    <w:rsid w:val="00341611"/>
    <w:rsid w:val="003433DC"/>
    <w:rsid w:val="0034775A"/>
    <w:rsid w:val="00351FDD"/>
    <w:rsid w:val="00353329"/>
    <w:rsid w:val="00353894"/>
    <w:rsid w:val="003603C3"/>
    <w:rsid w:val="00362950"/>
    <w:rsid w:val="00363A85"/>
    <w:rsid w:val="003657BE"/>
    <w:rsid w:val="00371F66"/>
    <w:rsid w:val="00373DAA"/>
    <w:rsid w:val="00376310"/>
    <w:rsid w:val="003878F0"/>
    <w:rsid w:val="00392BBC"/>
    <w:rsid w:val="003935FD"/>
    <w:rsid w:val="00394200"/>
    <w:rsid w:val="003A00D4"/>
    <w:rsid w:val="003A2139"/>
    <w:rsid w:val="003A230A"/>
    <w:rsid w:val="003B2CAA"/>
    <w:rsid w:val="003B6F2E"/>
    <w:rsid w:val="003C17B3"/>
    <w:rsid w:val="003C4735"/>
    <w:rsid w:val="003C4B0E"/>
    <w:rsid w:val="003E4739"/>
    <w:rsid w:val="003E4ECF"/>
    <w:rsid w:val="003E7687"/>
    <w:rsid w:val="003F2950"/>
    <w:rsid w:val="003F61B7"/>
    <w:rsid w:val="00407948"/>
    <w:rsid w:val="004119B0"/>
    <w:rsid w:val="00414FA9"/>
    <w:rsid w:val="00432B86"/>
    <w:rsid w:val="004505B1"/>
    <w:rsid w:val="004508FA"/>
    <w:rsid w:val="004552EE"/>
    <w:rsid w:val="0045660F"/>
    <w:rsid w:val="004640DC"/>
    <w:rsid w:val="004723A0"/>
    <w:rsid w:val="00474AFD"/>
    <w:rsid w:val="00476866"/>
    <w:rsid w:val="00480BBE"/>
    <w:rsid w:val="0048117D"/>
    <w:rsid w:val="00485445"/>
    <w:rsid w:val="00485771"/>
    <w:rsid w:val="00491EE1"/>
    <w:rsid w:val="004A0754"/>
    <w:rsid w:val="004A0EA5"/>
    <w:rsid w:val="004A45D0"/>
    <w:rsid w:val="004A736E"/>
    <w:rsid w:val="004C6A07"/>
    <w:rsid w:val="004D5845"/>
    <w:rsid w:val="004F28CE"/>
    <w:rsid w:val="004F2B6F"/>
    <w:rsid w:val="004F665E"/>
    <w:rsid w:val="004F7709"/>
    <w:rsid w:val="0050038D"/>
    <w:rsid w:val="00502C6D"/>
    <w:rsid w:val="00505AA3"/>
    <w:rsid w:val="00512CE1"/>
    <w:rsid w:val="005259E3"/>
    <w:rsid w:val="005268EA"/>
    <w:rsid w:val="00527351"/>
    <w:rsid w:val="00531F7A"/>
    <w:rsid w:val="005338B3"/>
    <w:rsid w:val="00534024"/>
    <w:rsid w:val="0053679E"/>
    <w:rsid w:val="0055271C"/>
    <w:rsid w:val="005701C2"/>
    <w:rsid w:val="00587DAB"/>
    <w:rsid w:val="005951E3"/>
    <w:rsid w:val="005A0E59"/>
    <w:rsid w:val="005B6CE0"/>
    <w:rsid w:val="005C055C"/>
    <w:rsid w:val="005C3F43"/>
    <w:rsid w:val="005C6C66"/>
    <w:rsid w:val="005C7756"/>
    <w:rsid w:val="005D01FA"/>
    <w:rsid w:val="005D2B4C"/>
    <w:rsid w:val="005D41DA"/>
    <w:rsid w:val="005E0539"/>
    <w:rsid w:val="005F6915"/>
    <w:rsid w:val="00602E19"/>
    <w:rsid w:val="00611319"/>
    <w:rsid w:val="006116EC"/>
    <w:rsid w:val="0061600A"/>
    <w:rsid w:val="0062232D"/>
    <w:rsid w:val="0063038C"/>
    <w:rsid w:val="00632277"/>
    <w:rsid w:val="00634F5D"/>
    <w:rsid w:val="0064313F"/>
    <w:rsid w:val="00670873"/>
    <w:rsid w:val="0067699E"/>
    <w:rsid w:val="006778AF"/>
    <w:rsid w:val="00684B31"/>
    <w:rsid w:val="0068527D"/>
    <w:rsid w:val="0068760C"/>
    <w:rsid w:val="00687DBC"/>
    <w:rsid w:val="006925AA"/>
    <w:rsid w:val="00696E63"/>
    <w:rsid w:val="00696F81"/>
    <w:rsid w:val="006C3ADC"/>
    <w:rsid w:val="006D36A7"/>
    <w:rsid w:val="006E197F"/>
    <w:rsid w:val="006F0F83"/>
    <w:rsid w:val="006F4EC9"/>
    <w:rsid w:val="006F7120"/>
    <w:rsid w:val="00710C1C"/>
    <w:rsid w:val="00711078"/>
    <w:rsid w:val="00724AC2"/>
    <w:rsid w:val="00725177"/>
    <w:rsid w:val="00727CF0"/>
    <w:rsid w:val="007418C3"/>
    <w:rsid w:val="00754754"/>
    <w:rsid w:val="00757AF1"/>
    <w:rsid w:val="00761861"/>
    <w:rsid w:val="007779C1"/>
    <w:rsid w:val="007843A3"/>
    <w:rsid w:val="0079543D"/>
    <w:rsid w:val="00797621"/>
    <w:rsid w:val="007A52B6"/>
    <w:rsid w:val="007B0060"/>
    <w:rsid w:val="007D063C"/>
    <w:rsid w:val="007F7D8D"/>
    <w:rsid w:val="008124B4"/>
    <w:rsid w:val="00814A9E"/>
    <w:rsid w:val="00815162"/>
    <w:rsid w:val="00821388"/>
    <w:rsid w:val="00821A9C"/>
    <w:rsid w:val="008374E4"/>
    <w:rsid w:val="00837D93"/>
    <w:rsid w:val="008450B2"/>
    <w:rsid w:val="008518C3"/>
    <w:rsid w:val="00852630"/>
    <w:rsid w:val="00852986"/>
    <w:rsid w:val="008530E9"/>
    <w:rsid w:val="008535D6"/>
    <w:rsid w:val="00867387"/>
    <w:rsid w:val="00874CD3"/>
    <w:rsid w:val="00890152"/>
    <w:rsid w:val="00891E95"/>
    <w:rsid w:val="00893CBC"/>
    <w:rsid w:val="008A3E9A"/>
    <w:rsid w:val="008B06D2"/>
    <w:rsid w:val="008B41BF"/>
    <w:rsid w:val="008B4909"/>
    <w:rsid w:val="008C5579"/>
    <w:rsid w:val="008C611F"/>
    <w:rsid w:val="008C63C6"/>
    <w:rsid w:val="008E3CE7"/>
    <w:rsid w:val="008E4286"/>
    <w:rsid w:val="008E5A73"/>
    <w:rsid w:val="0090040D"/>
    <w:rsid w:val="00901E47"/>
    <w:rsid w:val="00902B37"/>
    <w:rsid w:val="009106C6"/>
    <w:rsid w:val="00920A96"/>
    <w:rsid w:val="0092139C"/>
    <w:rsid w:val="00922ED9"/>
    <w:rsid w:val="009234C1"/>
    <w:rsid w:val="009255D1"/>
    <w:rsid w:val="0093357F"/>
    <w:rsid w:val="0093389B"/>
    <w:rsid w:val="00942CFA"/>
    <w:rsid w:val="0094636A"/>
    <w:rsid w:val="00946FC1"/>
    <w:rsid w:val="00947215"/>
    <w:rsid w:val="00951505"/>
    <w:rsid w:val="009557EC"/>
    <w:rsid w:val="0098252D"/>
    <w:rsid w:val="00983DC2"/>
    <w:rsid w:val="00986209"/>
    <w:rsid w:val="0099520D"/>
    <w:rsid w:val="009A688A"/>
    <w:rsid w:val="009B385D"/>
    <w:rsid w:val="009C01D5"/>
    <w:rsid w:val="009C5302"/>
    <w:rsid w:val="009D052C"/>
    <w:rsid w:val="009D08AC"/>
    <w:rsid w:val="009D1D1E"/>
    <w:rsid w:val="009D3A19"/>
    <w:rsid w:val="009E2C7D"/>
    <w:rsid w:val="009E65B5"/>
    <w:rsid w:val="009F1A74"/>
    <w:rsid w:val="009F1B85"/>
    <w:rsid w:val="009F1D96"/>
    <w:rsid w:val="009F7689"/>
    <w:rsid w:val="00A035FD"/>
    <w:rsid w:val="00A065D4"/>
    <w:rsid w:val="00A2671B"/>
    <w:rsid w:val="00A303F2"/>
    <w:rsid w:val="00A3717E"/>
    <w:rsid w:val="00A465B7"/>
    <w:rsid w:val="00A512AD"/>
    <w:rsid w:val="00A56465"/>
    <w:rsid w:val="00A5649C"/>
    <w:rsid w:val="00A60214"/>
    <w:rsid w:val="00A65836"/>
    <w:rsid w:val="00A7098D"/>
    <w:rsid w:val="00A7424F"/>
    <w:rsid w:val="00A82A75"/>
    <w:rsid w:val="00A90ED3"/>
    <w:rsid w:val="00A939F3"/>
    <w:rsid w:val="00A9525D"/>
    <w:rsid w:val="00A952DB"/>
    <w:rsid w:val="00A9783E"/>
    <w:rsid w:val="00AB1852"/>
    <w:rsid w:val="00AB2A86"/>
    <w:rsid w:val="00AC3B79"/>
    <w:rsid w:val="00AC6185"/>
    <w:rsid w:val="00AD17CA"/>
    <w:rsid w:val="00AE2652"/>
    <w:rsid w:val="00AE4AD3"/>
    <w:rsid w:val="00AF7AB9"/>
    <w:rsid w:val="00B1345A"/>
    <w:rsid w:val="00B16ED3"/>
    <w:rsid w:val="00B170A9"/>
    <w:rsid w:val="00B245C7"/>
    <w:rsid w:val="00B33292"/>
    <w:rsid w:val="00B334AB"/>
    <w:rsid w:val="00B36BBF"/>
    <w:rsid w:val="00B43D50"/>
    <w:rsid w:val="00B518C1"/>
    <w:rsid w:val="00B62B97"/>
    <w:rsid w:val="00B744B9"/>
    <w:rsid w:val="00B74A28"/>
    <w:rsid w:val="00B8347A"/>
    <w:rsid w:val="00B87E75"/>
    <w:rsid w:val="00B90E56"/>
    <w:rsid w:val="00B91841"/>
    <w:rsid w:val="00B96EE6"/>
    <w:rsid w:val="00B97A47"/>
    <w:rsid w:val="00BA06F9"/>
    <w:rsid w:val="00BA645C"/>
    <w:rsid w:val="00BC0835"/>
    <w:rsid w:val="00BC5092"/>
    <w:rsid w:val="00BC515B"/>
    <w:rsid w:val="00BC5435"/>
    <w:rsid w:val="00BD2DBF"/>
    <w:rsid w:val="00BD7303"/>
    <w:rsid w:val="00BE57CF"/>
    <w:rsid w:val="00BF15AD"/>
    <w:rsid w:val="00BF40EF"/>
    <w:rsid w:val="00BF50F6"/>
    <w:rsid w:val="00C079F2"/>
    <w:rsid w:val="00C07B3F"/>
    <w:rsid w:val="00C16682"/>
    <w:rsid w:val="00C232C3"/>
    <w:rsid w:val="00C35BC2"/>
    <w:rsid w:val="00C36C0A"/>
    <w:rsid w:val="00C45961"/>
    <w:rsid w:val="00C5265E"/>
    <w:rsid w:val="00C53115"/>
    <w:rsid w:val="00C547F9"/>
    <w:rsid w:val="00C55844"/>
    <w:rsid w:val="00C57539"/>
    <w:rsid w:val="00C65B58"/>
    <w:rsid w:val="00C93022"/>
    <w:rsid w:val="00CA45CB"/>
    <w:rsid w:val="00CA71B0"/>
    <w:rsid w:val="00CB0048"/>
    <w:rsid w:val="00CC07EA"/>
    <w:rsid w:val="00CC3B45"/>
    <w:rsid w:val="00CC7C4B"/>
    <w:rsid w:val="00CD33A8"/>
    <w:rsid w:val="00CE0C34"/>
    <w:rsid w:val="00CE47D8"/>
    <w:rsid w:val="00CE5985"/>
    <w:rsid w:val="00CE77D5"/>
    <w:rsid w:val="00CF0416"/>
    <w:rsid w:val="00D0105E"/>
    <w:rsid w:val="00D11ADA"/>
    <w:rsid w:val="00D16B98"/>
    <w:rsid w:val="00D22587"/>
    <w:rsid w:val="00D24E91"/>
    <w:rsid w:val="00D25343"/>
    <w:rsid w:val="00D41517"/>
    <w:rsid w:val="00D46FCB"/>
    <w:rsid w:val="00D71E22"/>
    <w:rsid w:val="00D73CF9"/>
    <w:rsid w:val="00D819A4"/>
    <w:rsid w:val="00D8633C"/>
    <w:rsid w:val="00D86CA3"/>
    <w:rsid w:val="00DA4D15"/>
    <w:rsid w:val="00DB5252"/>
    <w:rsid w:val="00DD314E"/>
    <w:rsid w:val="00DD59B4"/>
    <w:rsid w:val="00DE6A81"/>
    <w:rsid w:val="00DF16D0"/>
    <w:rsid w:val="00E15D3F"/>
    <w:rsid w:val="00E230B0"/>
    <w:rsid w:val="00E25DD3"/>
    <w:rsid w:val="00E30F8B"/>
    <w:rsid w:val="00E43787"/>
    <w:rsid w:val="00E477D1"/>
    <w:rsid w:val="00E569FD"/>
    <w:rsid w:val="00E620E7"/>
    <w:rsid w:val="00E64635"/>
    <w:rsid w:val="00E64AA4"/>
    <w:rsid w:val="00E65932"/>
    <w:rsid w:val="00E702F3"/>
    <w:rsid w:val="00E85FB6"/>
    <w:rsid w:val="00E86983"/>
    <w:rsid w:val="00E97FBE"/>
    <w:rsid w:val="00EB210F"/>
    <w:rsid w:val="00EB66B2"/>
    <w:rsid w:val="00EC54DB"/>
    <w:rsid w:val="00EC7382"/>
    <w:rsid w:val="00ED24C3"/>
    <w:rsid w:val="00ED2A55"/>
    <w:rsid w:val="00ED7B57"/>
    <w:rsid w:val="00EE4379"/>
    <w:rsid w:val="00EE5CB5"/>
    <w:rsid w:val="00EF185A"/>
    <w:rsid w:val="00EF1CB5"/>
    <w:rsid w:val="00EF4D62"/>
    <w:rsid w:val="00EF64F0"/>
    <w:rsid w:val="00F0058A"/>
    <w:rsid w:val="00F02F0B"/>
    <w:rsid w:val="00F046BA"/>
    <w:rsid w:val="00F11DF5"/>
    <w:rsid w:val="00F13D2A"/>
    <w:rsid w:val="00F2205D"/>
    <w:rsid w:val="00F25CE8"/>
    <w:rsid w:val="00F26B74"/>
    <w:rsid w:val="00F375A4"/>
    <w:rsid w:val="00F408B6"/>
    <w:rsid w:val="00F66E1B"/>
    <w:rsid w:val="00F7008F"/>
    <w:rsid w:val="00F750BB"/>
    <w:rsid w:val="00F80978"/>
    <w:rsid w:val="00F8696F"/>
    <w:rsid w:val="00F8701D"/>
    <w:rsid w:val="00F90232"/>
    <w:rsid w:val="00F919C8"/>
    <w:rsid w:val="00FA1585"/>
    <w:rsid w:val="00FC1FF6"/>
    <w:rsid w:val="00FC4A04"/>
    <w:rsid w:val="00FD0588"/>
    <w:rsid w:val="00FD7C8E"/>
    <w:rsid w:val="00FE5C2D"/>
    <w:rsid w:val="00FF28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119B0"/>
    <w:pPr>
      <w:keepNext/>
      <w:keepLines/>
      <w:spacing w:before="240" w:after="0" w:line="360" w:lineRule="auto"/>
      <w:ind w:firstLine="720"/>
      <w:jc w:val="both"/>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9B0"/>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p1">
    <w:name w:val="p1"/>
    <w:basedOn w:val="Normal"/>
    <w:rsid w:val="00502C6D"/>
    <w:pPr>
      <w:spacing w:after="0" w:line="240" w:lineRule="auto"/>
    </w:pPr>
    <w:rPr>
      <w:rFonts w:ascii="Arial" w:eastAsia="Times New Roman" w:hAnsi="Arial" w:cs="Arial"/>
      <w:color w:val="000000"/>
      <w:sz w:val="17"/>
      <w:szCs w:val="17"/>
      <w:lang w:eastAsia="en-GB"/>
    </w:rPr>
  </w:style>
  <w:style w:type="paragraph" w:styleId="ListParagraph">
    <w:name w:val="List Paragraph"/>
    <w:basedOn w:val="Normal"/>
    <w:uiPriority w:val="34"/>
    <w:qFormat/>
    <w:rsid w:val="00F2205D"/>
    <w:pPr>
      <w:ind w:left="720"/>
      <w:contextualSpacing/>
    </w:pPr>
  </w:style>
  <w:style w:type="character" w:customStyle="1" w:styleId="apple-converted-space">
    <w:name w:val="apple-converted-space"/>
    <w:basedOn w:val="DefaultParagraphFont"/>
    <w:rsid w:val="00340235"/>
  </w:style>
  <w:style w:type="character" w:styleId="Emphasis">
    <w:name w:val="Emphasis"/>
    <w:basedOn w:val="DefaultParagraphFont"/>
    <w:uiPriority w:val="20"/>
    <w:qFormat/>
    <w:rsid w:val="00340235"/>
    <w:rPr>
      <w:i/>
      <w:iCs/>
    </w:rPr>
  </w:style>
  <w:style w:type="character" w:styleId="Hyperlink">
    <w:name w:val="Hyperlink"/>
    <w:basedOn w:val="DefaultParagraphFont"/>
    <w:uiPriority w:val="99"/>
    <w:unhideWhenUsed/>
    <w:rsid w:val="00797621"/>
    <w:rPr>
      <w:color w:val="0563C1" w:themeColor="hyperlink"/>
      <w:u w:val="single"/>
    </w:rPr>
  </w:style>
  <w:style w:type="character" w:styleId="UnresolvedMention">
    <w:name w:val="Unresolved Mention"/>
    <w:basedOn w:val="DefaultParagraphFont"/>
    <w:uiPriority w:val="99"/>
    <w:semiHidden/>
    <w:unhideWhenUsed/>
    <w:rsid w:val="00797621"/>
    <w:rPr>
      <w:color w:val="605E5C"/>
      <w:shd w:val="clear" w:color="auto" w:fill="E1DFDD"/>
    </w:rPr>
  </w:style>
  <w:style w:type="character" w:styleId="FollowedHyperlink">
    <w:name w:val="FollowedHyperlink"/>
    <w:basedOn w:val="DefaultParagraphFont"/>
    <w:uiPriority w:val="99"/>
    <w:semiHidden/>
    <w:unhideWhenUsed/>
    <w:rsid w:val="00893CBC"/>
    <w:rPr>
      <w:color w:val="954F72" w:themeColor="followedHyperlink"/>
      <w:u w:val="single"/>
    </w:rPr>
  </w:style>
  <w:style w:type="character" w:styleId="Strong">
    <w:name w:val="Strong"/>
    <w:basedOn w:val="DefaultParagraphFont"/>
    <w:uiPriority w:val="22"/>
    <w:qFormat/>
    <w:rsid w:val="003603C3"/>
    <w:rPr>
      <w:b/>
      <w:bCs/>
    </w:rPr>
  </w:style>
  <w:style w:type="paragraph" w:styleId="TOC1">
    <w:name w:val="toc 1"/>
    <w:basedOn w:val="Normal"/>
    <w:next w:val="Normal"/>
    <w:autoRedefine/>
    <w:uiPriority w:val="39"/>
    <w:unhideWhenUsed/>
    <w:rsid w:val="0067699E"/>
    <w:pPr>
      <w:spacing w:after="100"/>
    </w:pPr>
  </w:style>
  <w:style w:type="paragraph" w:styleId="TOC3">
    <w:name w:val="toc 3"/>
    <w:basedOn w:val="Normal"/>
    <w:next w:val="Normal"/>
    <w:autoRedefine/>
    <w:uiPriority w:val="39"/>
    <w:unhideWhenUsed/>
    <w:rsid w:val="0067699E"/>
    <w:pPr>
      <w:spacing w:after="100"/>
      <w:ind w:left="480"/>
    </w:pPr>
  </w:style>
  <w:style w:type="paragraph" w:styleId="TOC2">
    <w:name w:val="toc 2"/>
    <w:basedOn w:val="Normal"/>
    <w:next w:val="Normal"/>
    <w:autoRedefine/>
    <w:uiPriority w:val="39"/>
    <w:unhideWhenUsed/>
    <w:rsid w:val="0067699E"/>
    <w:pPr>
      <w:spacing w:after="100"/>
      <w:ind w:left="240"/>
    </w:pPr>
  </w:style>
  <w:style w:type="paragraph" w:styleId="NormalWeb">
    <w:name w:val="Normal (Web)"/>
    <w:basedOn w:val="Normal"/>
    <w:uiPriority w:val="99"/>
    <w:semiHidden/>
    <w:unhideWhenUsed/>
    <w:rsid w:val="0067699E"/>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2196/55158" TargetMode="External"/><Relationship Id="rId18" Type="http://schemas.openxmlformats.org/officeDocument/2006/relationships/hyperlink" Target="https://librarysearch.uwtsd.ac.uk/permalink/44WHELF_UWTSD/lrq2gq/cdi_crossref_citationtrail_10_2196_33911" TargetMode="External"/><Relationship Id="rId26" Type="http://schemas.openxmlformats.org/officeDocument/2006/relationships/hyperlink" Target="https://doi.org/10.3390/books978-3-0365-2888-5" TargetMode="External"/><Relationship Id="rId3" Type="http://schemas.openxmlformats.org/officeDocument/2006/relationships/settings" Target="settings.xml"/><Relationship Id="rId21" Type="http://schemas.openxmlformats.org/officeDocument/2006/relationships/hyperlink" Target="https://doi.org/10.1056/NEJMp2115646" TargetMode="External"/><Relationship Id="rId7" Type="http://schemas.openxmlformats.org/officeDocument/2006/relationships/image" Target="media/image1.png"/><Relationship Id="rId12" Type="http://schemas.openxmlformats.org/officeDocument/2006/relationships/hyperlink" Target="https://doi.org/10.2196/62761" TargetMode="External"/><Relationship Id="rId17" Type="http://schemas.openxmlformats.org/officeDocument/2006/relationships/hyperlink" Target="https://doi.org/10.2196/33911" TargetMode="External"/><Relationship Id="rId25" Type="http://schemas.openxmlformats.org/officeDocument/2006/relationships/hyperlink" Target="https://www.jmir.org/2024/1/e50376/authors" TargetMode="External"/><Relationship Id="rId2" Type="http://schemas.openxmlformats.org/officeDocument/2006/relationships/styles" Target="styles.xml"/><Relationship Id="rId16" Type="http://schemas.openxmlformats.org/officeDocument/2006/relationships/hyperlink" Target="https://librarysearch.uwtsd.ac.uk/permalink/44WHELF_UWTSD/lrq2gq/cdi_proquest_journals_2589745739" TargetMode="External"/><Relationship Id="rId20" Type="http://schemas.openxmlformats.org/officeDocument/2006/relationships/hyperlink" Target="https://doi.org/10.2196/6554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5248399261419105" TargetMode="External"/><Relationship Id="rId24" Type="http://schemas.openxmlformats.org/officeDocument/2006/relationships/hyperlink" Target="https://www.health.org.uk/reports-and-analysis/briefings/rethinking-access-to-general-practice-it-s-not-all-about-supply" TargetMode="External"/><Relationship Id="rId5" Type="http://schemas.openxmlformats.org/officeDocument/2006/relationships/footnotes" Target="footnotes.xml"/><Relationship Id="rId15" Type="http://schemas.openxmlformats.org/officeDocument/2006/relationships/hyperlink" Target="https://doi.org/10.1136/leader-2021-FMLM.42" TargetMode="External"/><Relationship Id="rId23" Type="http://schemas.openxmlformats.org/officeDocument/2006/relationships/hyperlink" Target="https://librarysearch.uwtsd.ac.uk/permalink/44WHELF_UWTSD/lrq2gq/cdi_pubmed_primary_39630414" TargetMode="External"/><Relationship Id="rId28" Type="http://schemas.openxmlformats.org/officeDocument/2006/relationships/footer" Target="footer1.xml"/><Relationship Id="rId10" Type="http://schemas.openxmlformats.org/officeDocument/2006/relationships/hyperlink" Target="https://doi.org/10.61093/hem.2024.3-09" TargetMode="External"/><Relationship Id="rId19" Type="http://schemas.openxmlformats.org/officeDocument/2006/relationships/hyperlink" Target="https://doi.org/10.1080/13814788.2022.2052041" TargetMode="External"/><Relationship Id="rId4" Type="http://schemas.openxmlformats.org/officeDocument/2006/relationships/webSettings" Target="webSettings.xml"/><Relationship Id="rId9" Type="http://schemas.openxmlformats.org/officeDocument/2006/relationships/hyperlink" Target="https://doi.org/10.2196/75591" TargetMode="External"/><Relationship Id="rId14" Type="http://schemas.openxmlformats.org/officeDocument/2006/relationships/hyperlink" Target="https://librarysearch.uwtsd.ac.uk/permalink/44WHELF_UWTSD/lrq2gq/cdi_gale_onefilemisc_PPNU_A822764873" TargetMode="External"/><Relationship Id="rId22" Type="http://schemas.openxmlformats.org/officeDocument/2006/relationships/hyperlink" Target="https://doi.org/10.2196/52516" TargetMode="External"/><Relationship Id="rId27" Type="http://schemas.openxmlformats.org/officeDocument/2006/relationships/hyperlink" Target="https://librarysearch.uwtsd.ac.uk/permalink/44WHELF_UWTSD/lrq2gq/cdi_oapen_doabooks_7877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B53424-AEC7-1848-A682-CDF1042A4501}">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TotalTime>
  <Pages>25</Pages>
  <Words>7158</Words>
  <Characters>40801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Kleber Morais Da Silva (2336879)</cp:lastModifiedBy>
  <cp:revision>8</cp:revision>
  <dcterms:created xsi:type="dcterms:W3CDTF">2026-04-24T12:42:00Z</dcterms:created>
  <dcterms:modified xsi:type="dcterms:W3CDTF">2026-04-24T12:52:00Z</dcterms:modified>
</cp:coreProperties>
</file>