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8303F" w14:textId="77777777" w:rsidR="00286553" w:rsidRPr="00A25326" w:rsidRDefault="00286553" w:rsidP="00D06A07">
      <w:pPr>
        <w:spacing w:line="360" w:lineRule="auto"/>
        <w:jc w:val="center"/>
        <w:rPr>
          <w:rFonts w:ascii="Times New Roman" w:eastAsia="Times New Roman" w:hAnsi="Times New Roman" w:cs="Times New Roman"/>
          <w:b/>
          <w:color w:val="000000" w:themeColor="text1"/>
          <w:sz w:val="32"/>
          <w:szCs w:val="32"/>
        </w:rPr>
      </w:pPr>
    </w:p>
    <w:p w14:paraId="514FCFB4" w14:textId="77777777" w:rsidR="00286553" w:rsidRPr="00A25326" w:rsidRDefault="00286553" w:rsidP="00D06A07">
      <w:pPr>
        <w:spacing w:line="360" w:lineRule="auto"/>
        <w:jc w:val="center"/>
        <w:rPr>
          <w:rFonts w:ascii="Times New Roman" w:eastAsia="Times New Roman" w:hAnsi="Times New Roman" w:cs="Times New Roman"/>
          <w:b/>
          <w:color w:val="000000" w:themeColor="text1"/>
          <w:sz w:val="32"/>
          <w:szCs w:val="32"/>
        </w:rPr>
      </w:pPr>
    </w:p>
    <w:p w14:paraId="7DE01F07" w14:textId="77777777" w:rsidR="00286553" w:rsidRPr="00A25326" w:rsidRDefault="00286553" w:rsidP="00D06A07">
      <w:pPr>
        <w:spacing w:line="360" w:lineRule="auto"/>
        <w:jc w:val="center"/>
        <w:rPr>
          <w:rFonts w:ascii="Times New Roman" w:eastAsia="Times New Roman" w:hAnsi="Times New Roman" w:cs="Times New Roman"/>
          <w:b/>
          <w:color w:val="000000" w:themeColor="text1"/>
          <w:sz w:val="32"/>
          <w:szCs w:val="32"/>
        </w:rPr>
      </w:pPr>
    </w:p>
    <w:p w14:paraId="1A134C4D" w14:textId="77777777" w:rsidR="00286553" w:rsidRPr="00A25326" w:rsidRDefault="00286553" w:rsidP="00D06A07">
      <w:pPr>
        <w:spacing w:line="360" w:lineRule="auto"/>
        <w:jc w:val="center"/>
        <w:rPr>
          <w:rFonts w:ascii="Times New Roman" w:eastAsia="Times New Roman" w:hAnsi="Times New Roman" w:cs="Times New Roman"/>
          <w:b/>
          <w:color w:val="000000" w:themeColor="text1"/>
          <w:sz w:val="32"/>
          <w:szCs w:val="32"/>
        </w:rPr>
      </w:pPr>
    </w:p>
    <w:p w14:paraId="7162EA14" w14:textId="77777777" w:rsidR="00286553" w:rsidRPr="00A25326" w:rsidRDefault="00286553" w:rsidP="00D06A07">
      <w:pPr>
        <w:spacing w:line="360" w:lineRule="auto"/>
        <w:jc w:val="center"/>
        <w:rPr>
          <w:rFonts w:ascii="Times New Roman" w:eastAsia="Times New Roman" w:hAnsi="Times New Roman" w:cs="Times New Roman"/>
          <w:b/>
          <w:color w:val="000000" w:themeColor="text1"/>
          <w:sz w:val="32"/>
          <w:szCs w:val="32"/>
        </w:rPr>
      </w:pPr>
    </w:p>
    <w:p w14:paraId="7ABB05BC" w14:textId="77777777" w:rsidR="00286553" w:rsidRPr="00A25326" w:rsidRDefault="00286553" w:rsidP="00D06A07">
      <w:pPr>
        <w:spacing w:line="360" w:lineRule="auto"/>
        <w:jc w:val="center"/>
        <w:rPr>
          <w:rFonts w:ascii="Times New Roman" w:eastAsia="Times New Roman" w:hAnsi="Times New Roman" w:cs="Times New Roman"/>
          <w:b/>
          <w:color w:val="000000" w:themeColor="text1"/>
          <w:sz w:val="32"/>
          <w:szCs w:val="32"/>
        </w:rPr>
      </w:pPr>
    </w:p>
    <w:p w14:paraId="73D802E4" w14:textId="77777777" w:rsidR="00286553" w:rsidRPr="00A25326" w:rsidRDefault="00286553" w:rsidP="00D06A07">
      <w:pPr>
        <w:spacing w:line="360" w:lineRule="auto"/>
        <w:jc w:val="center"/>
        <w:rPr>
          <w:rFonts w:ascii="Times New Roman" w:eastAsia="Times New Roman" w:hAnsi="Times New Roman" w:cs="Times New Roman"/>
          <w:b/>
          <w:color w:val="000000" w:themeColor="text1"/>
          <w:sz w:val="32"/>
          <w:szCs w:val="32"/>
        </w:rPr>
      </w:pPr>
    </w:p>
    <w:p w14:paraId="40F3DFF0" w14:textId="77777777" w:rsidR="00286553" w:rsidRPr="00A25326" w:rsidRDefault="0010610B" w:rsidP="00D06A07">
      <w:pPr>
        <w:spacing w:line="360" w:lineRule="auto"/>
        <w:jc w:val="center"/>
        <w:rPr>
          <w:rFonts w:ascii="Times New Roman" w:eastAsia="Times New Roman" w:hAnsi="Times New Roman" w:cs="Times New Roman"/>
          <w:b/>
          <w:color w:val="000000" w:themeColor="text1"/>
          <w:sz w:val="32"/>
          <w:szCs w:val="32"/>
        </w:rPr>
      </w:pPr>
      <w:r w:rsidRPr="00A25326">
        <w:rPr>
          <w:rFonts w:ascii="Times New Roman" w:eastAsia="Times New Roman" w:hAnsi="Times New Roman" w:cs="Times New Roman"/>
          <w:b/>
          <w:color w:val="000000" w:themeColor="text1"/>
          <w:sz w:val="32"/>
          <w:szCs w:val="32"/>
        </w:rPr>
        <w:t>REPORT CASE STUDY: THE SEACREST LODGE</w:t>
      </w:r>
    </w:p>
    <w:p w14:paraId="66E2BE72" w14:textId="77777777" w:rsidR="00286553" w:rsidRDefault="0010610B" w:rsidP="00D06A07">
      <w:pPr>
        <w:spacing w:line="360" w:lineRule="auto"/>
        <w:jc w:val="center"/>
        <w:rPr>
          <w:rFonts w:ascii="Times New Roman" w:eastAsia="Times New Roman" w:hAnsi="Times New Roman" w:cs="Times New Roman"/>
          <w:b/>
          <w:color w:val="000000" w:themeColor="text1"/>
          <w:sz w:val="32"/>
          <w:szCs w:val="32"/>
        </w:rPr>
      </w:pPr>
      <w:r w:rsidRPr="00A25326">
        <w:rPr>
          <w:rFonts w:ascii="Times New Roman" w:eastAsia="Times New Roman" w:hAnsi="Times New Roman" w:cs="Times New Roman"/>
          <w:b/>
          <w:color w:val="000000" w:themeColor="text1"/>
          <w:sz w:val="32"/>
          <w:szCs w:val="32"/>
        </w:rPr>
        <w:t>ASSIGNMENT 2</w:t>
      </w:r>
    </w:p>
    <w:p w14:paraId="2E77173D" w14:textId="00446DF7" w:rsidR="00FE71A8" w:rsidRDefault="00FE71A8" w:rsidP="00D06A07">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Name:</w:t>
      </w:r>
      <w:r w:rsidR="00AC7A53">
        <w:rPr>
          <w:rFonts w:ascii="Times New Roman" w:eastAsia="Times New Roman" w:hAnsi="Times New Roman" w:cs="Times New Roman"/>
          <w:b/>
          <w:color w:val="000000" w:themeColor="text1"/>
          <w:sz w:val="32"/>
          <w:szCs w:val="32"/>
        </w:rPr>
        <w:t>Baby Lima</w:t>
      </w:r>
    </w:p>
    <w:p w14:paraId="459C33A4" w14:textId="28B56A2C" w:rsidR="00FE71A8" w:rsidRDefault="00FE71A8" w:rsidP="00D06A07">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ID:</w:t>
      </w:r>
      <w:r w:rsidR="00AC7A53">
        <w:rPr>
          <w:rFonts w:ascii="Times New Roman" w:eastAsia="Times New Roman" w:hAnsi="Times New Roman" w:cs="Times New Roman"/>
          <w:b/>
          <w:color w:val="000000" w:themeColor="text1"/>
          <w:sz w:val="32"/>
          <w:szCs w:val="32"/>
        </w:rPr>
        <w:t xml:space="preserve"> 2133582</w:t>
      </w:r>
    </w:p>
    <w:p w14:paraId="4B9B8687" w14:textId="07FB39A1" w:rsidR="00AC7A53" w:rsidRDefault="00AC7A53" w:rsidP="00D06A07">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Teacher Name : T</w:t>
      </w:r>
      <w:r w:rsidR="00945582">
        <w:rPr>
          <w:rFonts w:ascii="Times New Roman" w:eastAsia="Times New Roman" w:hAnsi="Times New Roman" w:cs="Times New Roman"/>
          <w:b/>
          <w:color w:val="000000" w:themeColor="text1"/>
          <w:sz w:val="32"/>
          <w:szCs w:val="32"/>
        </w:rPr>
        <w:t>ristain Hawkins</w:t>
      </w:r>
    </w:p>
    <w:p w14:paraId="30F77766" w14:textId="0A649FE4" w:rsidR="00945582" w:rsidRPr="00A25326" w:rsidRDefault="00945582" w:rsidP="00D06A07">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Date : 25.02.24</w:t>
      </w:r>
    </w:p>
    <w:p w14:paraId="23B10776" w14:textId="77777777" w:rsidR="00286553" w:rsidRPr="00A25326" w:rsidRDefault="0010610B" w:rsidP="00D06A07">
      <w:pPr>
        <w:spacing w:line="360" w:lineRule="auto"/>
        <w:jc w:val="both"/>
        <w:rPr>
          <w:rFonts w:ascii="Times New Roman" w:eastAsia="Times New Roman" w:hAnsi="Times New Roman" w:cs="Times New Roman"/>
          <w:b/>
          <w:color w:val="000000" w:themeColor="text1"/>
          <w:sz w:val="24"/>
          <w:szCs w:val="24"/>
        </w:rPr>
      </w:pPr>
      <w:r w:rsidRPr="00A25326">
        <w:rPr>
          <w:rFonts w:ascii="Times New Roman" w:hAnsi="Times New Roman" w:cs="Times New Roman"/>
          <w:color w:val="000000" w:themeColor="text1"/>
        </w:rPr>
        <w:br w:type="page"/>
      </w:r>
    </w:p>
    <w:p w14:paraId="597810DC" w14:textId="0E6443C7" w:rsidR="00286553" w:rsidRPr="00A25326" w:rsidRDefault="0010610B" w:rsidP="00D06A07">
      <w:pPr>
        <w:spacing w:line="360" w:lineRule="auto"/>
        <w:jc w:val="center"/>
        <w:rPr>
          <w:rFonts w:ascii="Times New Roman" w:eastAsia="Times New Roman" w:hAnsi="Times New Roman" w:cs="Times New Roman"/>
          <w:b/>
          <w:color w:val="000000" w:themeColor="text1"/>
          <w:sz w:val="32"/>
          <w:szCs w:val="32"/>
        </w:rPr>
      </w:pPr>
      <w:r w:rsidRPr="00A25326">
        <w:rPr>
          <w:rFonts w:ascii="Times New Roman" w:eastAsia="Times New Roman" w:hAnsi="Times New Roman" w:cs="Times New Roman"/>
          <w:b/>
          <w:color w:val="000000" w:themeColor="text1"/>
          <w:sz w:val="32"/>
          <w:szCs w:val="32"/>
        </w:rPr>
        <w:lastRenderedPageBreak/>
        <w:t xml:space="preserve">Executive </w:t>
      </w:r>
      <w:r w:rsidR="0016162A" w:rsidRPr="00A25326">
        <w:rPr>
          <w:rFonts w:ascii="Times New Roman" w:eastAsia="Times New Roman" w:hAnsi="Times New Roman" w:cs="Times New Roman"/>
          <w:b/>
          <w:color w:val="000000" w:themeColor="text1"/>
          <w:sz w:val="32"/>
          <w:szCs w:val="32"/>
        </w:rPr>
        <w:t>S</w:t>
      </w:r>
      <w:r w:rsidRPr="00A25326">
        <w:rPr>
          <w:rFonts w:ascii="Times New Roman" w:eastAsia="Times New Roman" w:hAnsi="Times New Roman" w:cs="Times New Roman"/>
          <w:b/>
          <w:color w:val="000000" w:themeColor="text1"/>
          <w:sz w:val="32"/>
          <w:szCs w:val="32"/>
        </w:rPr>
        <w:t xml:space="preserve">ummary </w:t>
      </w:r>
    </w:p>
    <w:p w14:paraId="74765D23" w14:textId="0047C98F" w:rsidR="0016162A" w:rsidRPr="00A25326" w:rsidRDefault="0010610B" w:rsidP="0016162A">
      <w:pPr>
        <w:spacing w:line="360" w:lineRule="auto"/>
        <w:jc w:val="both"/>
        <w:rPr>
          <w:rFonts w:ascii="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Financial performance </w:t>
      </w:r>
      <w:r w:rsidR="00E376AD" w:rsidRPr="00A25326">
        <w:rPr>
          <w:rFonts w:ascii="Times New Roman" w:eastAsia="Times New Roman" w:hAnsi="Times New Roman" w:cs="Times New Roman"/>
          <w:color w:val="000000" w:themeColor="text1"/>
          <w:sz w:val="24"/>
          <w:szCs w:val="24"/>
        </w:rPr>
        <w:t>of The</w:t>
      </w:r>
      <w:r w:rsidRPr="00A25326">
        <w:rPr>
          <w:rFonts w:ascii="Times New Roman" w:eastAsia="Times New Roman" w:hAnsi="Times New Roman" w:cs="Times New Roman"/>
          <w:color w:val="000000" w:themeColor="text1"/>
          <w:sz w:val="24"/>
          <w:szCs w:val="24"/>
        </w:rPr>
        <w:t xml:space="preserve"> Seacrest Lodge is evaluated in the study by calculating financial ratios for the last 3 years. “Profitability ratios</w:t>
      </w:r>
      <w:r w:rsidR="00E376AD" w:rsidRPr="00A25326">
        <w:rPr>
          <w:rFonts w:ascii="Times New Roman" w:eastAsia="Times New Roman" w:hAnsi="Times New Roman" w:cs="Times New Roman"/>
          <w:color w:val="000000" w:themeColor="text1"/>
          <w:sz w:val="24"/>
          <w:szCs w:val="24"/>
        </w:rPr>
        <w:t>, leverage</w:t>
      </w:r>
      <w:r w:rsidRPr="00A25326">
        <w:rPr>
          <w:rFonts w:ascii="Times New Roman" w:eastAsia="Times New Roman" w:hAnsi="Times New Roman" w:cs="Times New Roman"/>
          <w:color w:val="000000" w:themeColor="text1"/>
          <w:sz w:val="24"/>
          <w:szCs w:val="24"/>
        </w:rPr>
        <w:t xml:space="preserve"> ratios</w:t>
      </w:r>
      <w:r w:rsidR="00E376AD" w:rsidRPr="00A25326">
        <w:rPr>
          <w:rFonts w:ascii="Times New Roman" w:eastAsia="Times New Roman" w:hAnsi="Times New Roman" w:cs="Times New Roman"/>
          <w:color w:val="000000" w:themeColor="text1"/>
          <w:sz w:val="24"/>
          <w:szCs w:val="24"/>
        </w:rPr>
        <w:t>, efficiency</w:t>
      </w:r>
      <w:r w:rsidRPr="00A25326">
        <w:rPr>
          <w:rFonts w:ascii="Times New Roman" w:eastAsia="Times New Roman" w:hAnsi="Times New Roman" w:cs="Times New Roman"/>
          <w:color w:val="000000" w:themeColor="text1"/>
          <w:sz w:val="24"/>
          <w:szCs w:val="24"/>
        </w:rPr>
        <w:t xml:space="preserve"> ratios and liquidity ratios” of the hotel are calculated in the study. Availability of cash or current assets to pay off short-term liabilities is determined by calculating liquidity ratios. Financial obligations payment capacity of a company from its capital such as debt and equity can be understood from leverage ratios.</w:t>
      </w:r>
      <w:r w:rsidR="00726163" w:rsidRPr="00A25326">
        <w:rPr>
          <w:rFonts w:ascii="Times New Roman" w:eastAsia="Times New Roman" w:hAnsi="Times New Roman" w:cs="Times New Roman"/>
          <w:color w:val="000000" w:themeColor="text1"/>
          <w:sz w:val="24"/>
          <w:szCs w:val="24"/>
        </w:rPr>
        <w:t xml:space="preserve"> Reason for reduction in performance and turnaround strategies has been also discussed in this work. </w:t>
      </w:r>
      <w:r w:rsidR="0016162A" w:rsidRPr="00A25326">
        <w:rPr>
          <w:rFonts w:ascii="Times New Roman" w:eastAsia="Times New Roman" w:hAnsi="Times New Roman" w:cs="Times New Roman"/>
          <w:color w:val="000000" w:themeColor="text1"/>
          <w:sz w:val="24"/>
          <w:szCs w:val="24"/>
        </w:rPr>
        <w:t xml:space="preserve">The work includes dealing with financial problems of Seacrest Lodge in the role of “Financial Advisor”. </w:t>
      </w:r>
      <w:r w:rsidR="0016162A" w:rsidRPr="00A25326">
        <w:rPr>
          <w:rFonts w:ascii="Times New Roman" w:hAnsi="Times New Roman" w:cs="Times New Roman"/>
          <w:color w:val="000000" w:themeColor="text1"/>
          <w:sz w:val="24"/>
          <w:szCs w:val="24"/>
        </w:rPr>
        <w:t xml:space="preserve">In past years, the company was popular as a vacation destination however currently it faces significant issues in generating revenue, improving occupancy rate, and maintaining sound customer satisfaction. The main reasons behind the declining performance of this company are shifts in customer preferences, increased competition from new resorts, deteriorating quality of services, and outdated amenities. It can be understood that net income has declined to loss from 2021 to 2023 and the lodge has reduced cash reserves and assets whereas liability remains unchanged. This vast amount of liability adversely impacted the liquidity position of the lodge. Based on the analysis, key findings of this study include a reduction in revenue in the past 3 years along with a reduction in average room rate and occupancy rate. The company has an increasing trend in operating expenses that is adversely impacting profitability. </w:t>
      </w:r>
    </w:p>
    <w:p w14:paraId="26A4956E" w14:textId="7BDFFDE0" w:rsidR="0016162A" w:rsidRPr="00A25326" w:rsidRDefault="0016162A" w:rsidP="0016162A">
      <w:pPr>
        <w:spacing w:line="360" w:lineRule="auto"/>
        <w:jc w:val="both"/>
        <w:rPr>
          <w:rFonts w:ascii="Times New Roman" w:eastAsia="Times New Roman" w:hAnsi="Times New Roman" w:cs="Times New Roman"/>
          <w:color w:val="000000" w:themeColor="text1"/>
          <w:sz w:val="24"/>
          <w:szCs w:val="24"/>
        </w:rPr>
      </w:pPr>
      <w:r w:rsidRPr="00A25326">
        <w:rPr>
          <w:rFonts w:ascii="Times New Roman" w:hAnsi="Times New Roman" w:cs="Times New Roman"/>
          <w:color w:val="000000" w:themeColor="text1"/>
          <w:sz w:val="24"/>
          <w:szCs w:val="24"/>
        </w:rPr>
        <w:t xml:space="preserve">The declining trend in cash reserves and assets is making the management concerned regarding the future viability of this lodge. Recommendations that can be provided to Seacrest Lodge are focusing on customer experience by improving amenities and adding modern facilities to the lodge. Management must evaluate Lodge’s pricing strategy to gain a competitive edge in the market. For completing new resorts and lodges, focusing on marketing and branding can help the company become a premier vacation destination. The company must focus on streamlining its operations by reducing costs without hampering the quality of services. Providing good quality services can help Seacrest Lodge attract more customers and boost performance. It requires negotiating with key stakeholders like vendors and suppliers for optimisation of the quality of products and services along with implementing cost-saving measures. As customer services are the main element in the hospitality business, focus should be provided on the quality of services provided by staff members. Providing adequate training and development sessions to staff can allow them to provide good quality customer service. The company needs financial restructuring to reduce the debt level in capital structure and improve liquidity. As the </w:t>
      </w:r>
      <w:r w:rsidRPr="00A25326">
        <w:rPr>
          <w:rFonts w:ascii="Times New Roman" w:hAnsi="Times New Roman" w:cs="Times New Roman"/>
          <w:color w:val="000000" w:themeColor="text1"/>
          <w:sz w:val="24"/>
          <w:szCs w:val="24"/>
        </w:rPr>
        <w:lastRenderedPageBreak/>
        <w:t>company has a high level of debt in capital structure, it hampers cash reserves of the company in the situation where it is incurring losses. Seacrest Lodge is currently facing significant financial and non-financial issues, but the adoption of a comprehensive turnaround strategy can help this venture enhance customer satisfaction and improve financial performance in optimising operations. Strategic decision-making is required from higher authorities of this lodge to acquire success in this highly competitive hospitality market. As a result, sound performance can be restored by Seacrest Lodge.</w:t>
      </w:r>
      <w:r w:rsidRPr="00A25326">
        <w:rPr>
          <w:color w:val="000000" w:themeColor="text1"/>
          <w:sz w:val="24"/>
          <w:szCs w:val="24"/>
        </w:rPr>
        <w:t>  </w:t>
      </w:r>
    </w:p>
    <w:p w14:paraId="03421020" w14:textId="77777777" w:rsidR="0016162A" w:rsidRPr="00A25326" w:rsidRDefault="0016162A" w:rsidP="00D06A07">
      <w:pPr>
        <w:spacing w:line="360" w:lineRule="auto"/>
        <w:jc w:val="both"/>
        <w:rPr>
          <w:rFonts w:ascii="Times New Roman" w:eastAsia="Times New Roman" w:hAnsi="Times New Roman" w:cs="Times New Roman"/>
          <w:color w:val="000000" w:themeColor="text1"/>
          <w:sz w:val="24"/>
          <w:szCs w:val="24"/>
        </w:rPr>
      </w:pPr>
    </w:p>
    <w:p w14:paraId="1A3FEF25" w14:textId="77777777" w:rsidR="009D188C" w:rsidRPr="00A25326" w:rsidRDefault="009D188C" w:rsidP="00D06A07">
      <w:pPr>
        <w:spacing w:line="360" w:lineRule="auto"/>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br w:type="page"/>
      </w:r>
    </w:p>
    <w:sdt>
      <w:sdtPr>
        <w:rPr>
          <w:rFonts w:ascii="Times New Roman" w:eastAsia="Arial" w:hAnsi="Times New Roman" w:cs="Times New Roman"/>
          <w:b/>
          <w:color w:val="000000" w:themeColor="text1"/>
          <w:sz w:val="22"/>
          <w:szCs w:val="22"/>
          <w:lang w:val="en-GB" w:eastAsia="en-GB"/>
        </w:rPr>
        <w:id w:val="560144525"/>
        <w:docPartObj>
          <w:docPartGallery w:val="Table of Contents"/>
          <w:docPartUnique/>
        </w:docPartObj>
      </w:sdtPr>
      <w:sdtEndPr>
        <w:rPr>
          <w:bCs/>
          <w:noProof/>
        </w:rPr>
      </w:sdtEndPr>
      <w:sdtContent>
        <w:p w14:paraId="21C61E82" w14:textId="77777777" w:rsidR="009D188C" w:rsidRPr="00A25326" w:rsidRDefault="009D188C" w:rsidP="00A25326">
          <w:pPr>
            <w:pStyle w:val="TOCHeading"/>
            <w:spacing w:line="360" w:lineRule="auto"/>
            <w:jc w:val="center"/>
            <w:rPr>
              <w:rFonts w:ascii="Times New Roman" w:hAnsi="Times New Roman" w:cs="Times New Roman"/>
              <w:b/>
              <w:color w:val="000000" w:themeColor="text1"/>
              <w:lang w:val="en-GB"/>
            </w:rPr>
          </w:pPr>
          <w:r w:rsidRPr="00A25326">
            <w:rPr>
              <w:rFonts w:ascii="Times New Roman" w:hAnsi="Times New Roman" w:cs="Times New Roman"/>
              <w:b/>
              <w:color w:val="000000" w:themeColor="text1"/>
              <w:lang w:val="en-GB"/>
            </w:rPr>
            <w:t>Table of Contents</w:t>
          </w:r>
        </w:p>
        <w:p w14:paraId="4E6C0122" w14:textId="7DB33A00" w:rsidR="00A25326" w:rsidRDefault="009D188C" w:rsidP="00A25326">
          <w:pPr>
            <w:pStyle w:val="TOC1"/>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r w:rsidRPr="00A25326">
            <w:rPr>
              <w:rFonts w:ascii="Times New Roman" w:hAnsi="Times New Roman" w:cs="Times New Roman"/>
              <w:color w:val="000000" w:themeColor="text1"/>
            </w:rPr>
            <w:fldChar w:fldCharType="begin"/>
          </w:r>
          <w:r w:rsidRPr="00A25326">
            <w:rPr>
              <w:rFonts w:ascii="Times New Roman" w:hAnsi="Times New Roman" w:cs="Times New Roman"/>
              <w:color w:val="000000" w:themeColor="text1"/>
            </w:rPr>
            <w:instrText xml:space="preserve"> TOC \o "1-3" \h \z \u </w:instrText>
          </w:r>
          <w:r w:rsidRPr="00A25326">
            <w:rPr>
              <w:rFonts w:ascii="Times New Roman" w:hAnsi="Times New Roman" w:cs="Times New Roman"/>
              <w:color w:val="000000" w:themeColor="text1"/>
            </w:rPr>
            <w:fldChar w:fldCharType="separate"/>
          </w:r>
          <w:hyperlink w:anchor="_Toc159715112" w:history="1">
            <w:r w:rsidR="00A25326" w:rsidRPr="0089630E">
              <w:rPr>
                <w:rStyle w:val="Hyperlink"/>
                <w:noProof/>
              </w:rPr>
              <w:t>Introduction</w:t>
            </w:r>
            <w:r w:rsidR="00A25326">
              <w:rPr>
                <w:noProof/>
                <w:webHidden/>
              </w:rPr>
              <w:tab/>
            </w:r>
            <w:r w:rsidR="00A25326">
              <w:rPr>
                <w:noProof/>
                <w:webHidden/>
              </w:rPr>
              <w:fldChar w:fldCharType="begin"/>
            </w:r>
            <w:r w:rsidR="00A25326">
              <w:rPr>
                <w:noProof/>
                <w:webHidden/>
              </w:rPr>
              <w:instrText xml:space="preserve"> PAGEREF _Toc159715112 \h </w:instrText>
            </w:r>
            <w:r w:rsidR="00A25326">
              <w:rPr>
                <w:noProof/>
                <w:webHidden/>
              </w:rPr>
            </w:r>
            <w:r w:rsidR="00A25326">
              <w:rPr>
                <w:noProof/>
                <w:webHidden/>
              </w:rPr>
              <w:fldChar w:fldCharType="separate"/>
            </w:r>
            <w:r w:rsidR="00A25326">
              <w:rPr>
                <w:noProof/>
                <w:webHidden/>
              </w:rPr>
              <w:t>1</w:t>
            </w:r>
            <w:r w:rsidR="00A25326">
              <w:rPr>
                <w:noProof/>
                <w:webHidden/>
              </w:rPr>
              <w:fldChar w:fldCharType="end"/>
            </w:r>
          </w:hyperlink>
        </w:p>
        <w:p w14:paraId="20746200" w14:textId="32AAF017" w:rsidR="00A25326" w:rsidRDefault="00945582" w:rsidP="00A25326">
          <w:pPr>
            <w:pStyle w:val="TOC1"/>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hyperlink w:anchor="_Toc159715113" w:history="1">
            <w:r w:rsidR="00A25326" w:rsidRPr="0089630E">
              <w:rPr>
                <w:rStyle w:val="Hyperlink"/>
                <w:noProof/>
              </w:rPr>
              <w:t>Analysis of the financial performance of Seacrest Lodge over the last 3 years</w:t>
            </w:r>
            <w:r w:rsidR="00A25326">
              <w:rPr>
                <w:noProof/>
                <w:webHidden/>
              </w:rPr>
              <w:tab/>
            </w:r>
            <w:r w:rsidR="00A25326">
              <w:rPr>
                <w:noProof/>
                <w:webHidden/>
              </w:rPr>
              <w:fldChar w:fldCharType="begin"/>
            </w:r>
            <w:r w:rsidR="00A25326">
              <w:rPr>
                <w:noProof/>
                <w:webHidden/>
              </w:rPr>
              <w:instrText xml:space="preserve"> PAGEREF _Toc159715113 \h </w:instrText>
            </w:r>
            <w:r w:rsidR="00A25326">
              <w:rPr>
                <w:noProof/>
                <w:webHidden/>
              </w:rPr>
            </w:r>
            <w:r w:rsidR="00A25326">
              <w:rPr>
                <w:noProof/>
                <w:webHidden/>
              </w:rPr>
              <w:fldChar w:fldCharType="separate"/>
            </w:r>
            <w:r w:rsidR="00A25326">
              <w:rPr>
                <w:noProof/>
                <w:webHidden/>
              </w:rPr>
              <w:t>1</w:t>
            </w:r>
            <w:r w:rsidR="00A25326">
              <w:rPr>
                <w:noProof/>
                <w:webHidden/>
              </w:rPr>
              <w:fldChar w:fldCharType="end"/>
            </w:r>
          </w:hyperlink>
        </w:p>
        <w:p w14:paraId="2BE05C03" w14:textId="75912B08" w:rsidR="00A25326" w:rsidRDefault="00945582" w:rsidP="00A25326">
          <w:pPr>
            <w:pStyle w:val="TOC2"/>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hyperlink w:anchor="_Toc159715114" w:history="1">
            <w:r w:rsidR="00A25326" w:rsidRPr="0089630E">
              <w:rPr>
                <w:rStyle w:val="Hyperlink"/>
                <w:noProof/>
              </w:rPr>
              <w:t>Financial ratios</w:t>
            </w:r>
            <w:r w:rsidR="00A25326">
              <w:rPr>
                <w:noProof/>
                <w:webHidden/>
              </w:rPr>
              <w:tab/>
            </w:r>
            <w:r w:rsidR="00A25326">
              <w:rPr>
                <w:noProof/>
                <w:webHidden/>
              </w:rPr>
              <w:fldChar w:fldCharType="begin"/>
            </w:r>
            <w:r w:rsidR="00A25326">
              <w:rPr>
                <w:noProof/>
                <w:webHidden/>
              </w:rPr>
              <w:instrText xml:space="preserve"> PAGEREF _Toc159715114 \h </w:instrText>
            </w:r>
            <w:r w:rsidR="00A25326">
              <w:rPr>
                <w:noProof/>
                <w:webHidden/>
              </w:rPr>
            </w:r>
            <w:r w:rsidR="00A25326">
              <w:rPr>
                <w:noProof/>
                <w:webHidden/>
              </w:rPr>
              <w:fldChar w:fldCharType="separate"/>
            </w:r>
            <w:r w:rsidR="00A25326">
              <w:rPr>
                <w:noProof/>
                <w:webHidden/>
              </w:rPr>
              <w:t>1</w:t>
            </w:r>
            <w:r w:rsidR="00A25326">
              <w:rPr>
                <w:noProof/>
                <w:webHidden/>
              </w:rPr>
              <w:fldChar w:fldCharType="end"/>
            </w:r>
          </w:hyperlink>
        </w:p>
        <w:p w14:paraId="5936B9E7" w14:textId="05F1D056" w:rsidR="00A25326" w:rsidRDefault="00945582" w:rsidP="00A25326">
          <w:pPr>
            <w:pStyle w:val="TOC3"/>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hyperlink w:anchor="_Toc159715115" w:history="1">
            <w:r w:rsidR="00A25326" w:rsidRPr="0089630E">
              <w:rPr>
                <w:rStyle w:val="Hyperlink"/>
                <w:noProof/>
              </w:rPr>
              <w:t>Profitability ratios:</w:t>
            </w:r>
            <w:r w:rsidR="00A25326">
              <w:rPr>
                <w:noProof/>
                <w:webHidden/>
              </w:rPr>
              <w:tab/>
            </w:r>
            <w:r w:rsidR="00A25326">
              <w:rPr>
                <w:noProof/>
                <w:webHidden/>
              </w:rPr>
              <w:fldChar w:fldCharType="begin"/>
            </w:r>
            <w:r w:rsidR="00A25326">
              <w:rPr>
                <w:noProof/>
                <w:webHidden/>
              </w:rPr>
              <w:instrText xml:space="preserve"> PAGEREF _Toc159715115 \h </w:instrText>
            </w:r>
            <w:r w:rsidR="00A25326">
              <w:rPr>
                <w:noProof/>
                <w:webHidden/>
              </w:rPr>
            </w:r>
            <w:r w:rsidR="00A25326">
              <w:rPr>
                <w:noProof/>
                <w:webHidden/>
              </w:rPr>
              <w:fldChar w:fldCharType="separate"/>
            </w:r>
            <w:r w:rsidR="00A25326">
              <w:rPr>
                <w:noProof/>
                <w:webHidden/>
              </w:rPr>
              <w:t>2</w:t>
            </w:r>
            <w:r w:rsidR="00A25326">
              <w:rPr>
                <w:noProof/>
                <w:webHidden/>
              </w:rPr>
              <w:fldChar w:fldCharType="end"/>
            </w:r>
          </w:hyperlink>
        </w:p>
        <w:p w14:paraId="2386B274" w14:textId="101C23BB" w:rsidR="00A25326" w:rsidRDefault="00945582" w:rsidP="00A25326">
          <w:pPr>
            <w:pStyle w:val="TOC3"/>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hyperlink w:anchor="_Toc159715116" w:history="1">
            <w:r w:rsidR="00A25326" w:rsidRPr="0089630E">
              <w:rPr>
                <w:rStyle w:val="Hyperlink"/>
                <w:noProof/>
              </w:rPr>
              <w:t>Liquidity ratios:</w:t>
            </w:r>
            <w:r w:rsidR="00A25326">
              <w:rPr>
                <w:noProof/>
                <w:webHidden/>
              </w:rPr>
              <w:tab/>
            </w:r>
            <w:r w:rsidR="00A25326">
              <w:rPr>
                <w:noProof/>
                <w:webHidden/>
              </w:rPr>
              <w:fldChar w:fldCharType="begin"/>
            </w:r>
            <w:r w:rsidR="00A25326">
              <w:rPr>
                <w:noProof/>
                <w:webHidden/>
              </w:rPr>
              <w:instrText xml:space="preserve"> PAGEREF _Toc159715116 \h </w:instrText>
            </w:r>
            <w:r w:rsidR="00A25326">
              <w:rPr>
                <w:noProof/>
                <w:webHidden/>
              </w:rPr>
            </w:r>
            <w:r w:rsidR="00A25326">
              <w:rPr>
                <w:noProof/>
                <w:webHidden/>
              </w:rPr>
              <w:fldChar w:fldCharType="separate"/>
            </w:r>
            <w:r w:rsidR="00A25326">
              <w:rPr>
                <w:noProof/>
                <w:webHidden/>
              </w:rPr>
              <w:t>3</w:t>
            </w:r>
            <w:r w:rsidR="00A25326">
              <w:rPr>
                <w:noProof/>
                <w:webHidden/>
              </w:rPr>
              <w:fldChar w:fldCharType="end"/>
            </w:r>
          </w:hyperlink>
        </w:p>
        <w:p w14:paraId="0178D653" w14:textId="1BB16124" w:rsidR="00A25326" w:rsidRDefault="00945582" w:rsidP="00A25326">
          <w:pPr>
            <w:pStyle w:val="TOC3"/>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hyperlink w:anchor="_Toc159715117" w:history="1">
            <w:r w:rsidR="00A25326" w:rsidRPr="0089630E">
              <w:rPr>
                <w:rStyle w:val="Hyperlink"/>
                <w:noProof/>
              </w:rPr>
              <w:t>Leverage ratios:</w:t>
            </w:r>
            <w:r w:rsidR="00A25326">
              <w:rPr>
                <w:noProof/>
                <w:webHidden/>
              </w:rPr>
              <w:tab/>
            </w:r>
            <w:r w:rsidR="00A25326">
              <w:rPr>
                <w:noProof/>
                <w:webHidden/>
              </w:rPr>
              <w:fldChar w:fldCharType="begin"/>
            </w:r>
            <w:r w:rsidR="00A25326">
              <w:rPr>
                <w:noProof/>
                <w:webHidden/>
              </w:rPr>
              <w:instrText xml:space="preserve"> PAGEREF _Toc159715117 \h </w:instrText>
            </w:r>
            <w:r w:rsidR="00A25326">
              <w:rPr>
                <w:noProof/>
                <w:webHidden/>
              </w:rPr>
            </w:r>
            <w:r w:rsidR="00A25326">
              <w:rPr>
                <w:noProof/>
                <w:webHidden/>
              </w:rPr>
              <w:fldChar w:fldCharType="separate"/>
            </w:r>
            <w:r w:rsidR="00A25326">
              <w:rPr>
                <w:noProof/>
                <w:webHidden/>
              </w:rPr>
              <w:t>3</w:t>
            </w:r>
            <w:r w:rsidR="00A25326">
              <w:rPr>
                <w:noProof/>
                <w:webHidden/>
              </w:rPr>
              <w:fldChar w:fldCharType="end"/>
            </w:r>
          </w:hyperlink>
        </w:p>
        <w:p w14:paraId="13C2DAE3" w14:textId="373A427A" w:rsidR="00A25326" w:rsidRDefault="00945582" w:rsidP="00A25326">
          <w:pPr>
            <w:pStyle w:val="TOC3"/>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hyperlink w:anchor="_Toc159715118" w:history="1">
            <w:r w:rsidR="00A25326" w:rsidRPr="0089630E">
              <w:rPr>
                <w:rStyle w:val="Hyperlink"/>
                <w:noProof/>
              </w:rPr>
              <w:t>Efficiency ratios:</w:t>
            </w:r>
            <w:r w:rsidR="00A25326">
              <w:rPr>
                <w:noProof/>
                <w:webHidden/>
              </w:rPr>
              <w:tab/>
            </w:r>
            <w:r w:rsidR="00A25326">
              <w:rPr>
                <w:noProof/>
                <w:webHidden/>
              </w:rPr>
              <w:fldChar w:fldCharType="begin"/>
            </w:r>
            <w:r w:rsidR="00A25326">
              <w:rPr>
                <w:noProof/>
                <w:webHidden/>
              </w:rPr>
              <w:instrText xml:space="preserve"> PAGEREF _Toc159715118 \h </w:instrText>
            </w:r>
            <w:r w:rsidR="00A25326">
              <w:rPr>
                <w:noProof/>
                <w:webHidden/>
              </w:rPr>
            </w:r>
            <w:r w:rsidR="00A25326">
              <w:rPr>
                <w:noProof/>
                <w:webHidden/>
              </w:rPr>
              <w:fldChar w:fldCharType="separate"/>
            </w:r>
            <w:r w:rsidR="00A25326">
              <w:rPr>
                <w:noProof/>
                <w:webHidden/>
              </w:rPr>
              <w:t>3</w:t>
            </w:r>
            <w:r w:rsidR="00A25326">
              <w:rPr>
                <w:noProof/>
                <w:webHidden/>
              </w:rPr>
              <w:fldChar w:fldCharType="end"/>
            </w:r>
          </w:hyperlink>
        </w:p>
        <w:p w14:paraId="3553FACD" w14:textId="73313079" w:rsidR="00A25326" w:rsidRDefault="00945582" w:rsidP="00A25326">
          <w:pPr>
            <w:pStyle w:val="TOC2"/>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hyperlink w:anchor="_Toc159715119" w:history="1">
            <w:r w:rsidR="00A25326" w:rsidRPr="0089630E">
              <w:rPr>
                <w:rStyle w:val="Hyperlink"/>
                <w:noProof/>
              </w:rPr>
              <w:t>Average room rate (ARR) and occupancy rate</w:t>
            </w:r>
            <w:r w:rsidR="00A25326">
              <w:rPr>
                <w:noProof/>
                <w:webHidden/>
              </w:rPr>
              <w:tab/>
            </w:r>
            <w:r w:rsidR="00A25326">
              <w:rPr>
                <w:noProof/>
                <w:webHidden/>
              </w:rPr>
              <w:fldChar w:fldCharType="begin"/>
            </w:r>
            <w:r w:rsidR="00A25326">
              <w:rPr>
                <w:noProof/>
                <w:webHidden/>
              </w:rPr>
              <w:instrText xml:space="preserve"> PAGEREF _Toc159715119 \h </w:instrText>
            </w:r>
            <w:r w:rsidR="00A25326">
              <w:rPr>
                <w:noProof/>
                <w:webHidden/>
              </w:rPr>
            </w:r>
            <w:r w:rsidR="00A25326">
              <w:rPr>
                <w:noProof/>
                <w:webHidden/>
              </w:rPr>
              <w:fldChar w:fldCharType="separate"/>
            </w:r>
            <w:r w:rsidR="00A25326">
              <w:rPr>
                <w:noProof/>
                <w:webHidden/>
              </w:rPr>
              <w:t>4</w:t>
            </w:r>
            <w:r w:rsidR="00A25326">
              <w:rPr>
                <w:noProof/>
                <w:webHidden/>
              </w:rPr>
              <w:fldChar w:fldCharType="end"/>
            </w:r>
          </w:hyperlink>
        </w:p>
        <w:p w14:paraId="71C962A0" w14:textId="4E70FAFD" w:rsidR="00A25326" w:rsidRDefault="00945582" w:rsidP="00A25326">
          <w:pPr>
            <w:pStyle w:val="TOC1"/>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hyperlink w:anchor="_Toc159715120" w:history="1">
            <w:r w:rsidR="00A25326" w:rsidRPr="0089630E">
              <w:rPr>
                <w:rStyle w:val="Hyperlink"/>
                <w:noProof/>
              </w:rPr>
              <w:t>Identification of reasons behind decline in profitability considering real-world events and the current economy</w:t>
            </w:r>
            <w:r w:rsidR="00A25326">
              <w:rPr>
                <w:noProof/>
                <w:webHidden/>
              </w:rPr>
              <w:tab/>
            </w:r>
            <w:r w:rsidR="00A25326">
              <w:rPr>
                <w:noProof/>
                <w:webHidden/>
              </w:rPr>
              <w:fldChar w:fldCharType="begin"/>
            </w:r>
            <w:r w:rsidR="00A25326">
              <w:rPr>
                <w:noProof/>
                <w:webHidden/>
              </w:rPr>
              <w:instrText xml:space="preserve"> PAGEREF _Toc159715120 \h </w:instrText>
            </w:r>
            <w:r w:rsidR="00A25326">
              <w:rPr>
                <w:noProof/>
                <w:webHidden/>
              </w:rPr>
            </w:r>
            <w:r w:rsidR="00A25326">
              <w:rPr>
                <w:noProof/>
                <w:webHidden/>
              </w:rPr>
              <w:fldChar w:fldCharType="separate"/>
            </w:r>
            <w:r w:rsidR="00A25326">
              <w:rPr>
                <w:noProof/>
                <w:webHidden/>
              </w:rPr>
              <w:t>4</w:t>
            </w:r>
            <w:r w:rsidR="00A25326">
              <w:rPr>
                <w:noProof/>
                <w:webHidden/>
              </w:rPr>
              <w:fldChar w:fldCharType="end"/>
            </w:r>
          </w:hyperlink>
        </w:p>
        <w:p w14:paraId="55D975A5" w14:textId="531EFEE7" w:rsidR="00A25326" w:rsidRDefault="00945582" w:rsidP="00A25326">
          <w:pPr>
            <w:pStyle w:val="TOC1"/>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hyperlink w:anchor="_Toc159715121" w:history="1">
            <w:r w:rsidR="00A25326" w:rsidRPr="0089630E">
              <w:rPr>
                <w:rStyle w:val="Hyperlink"/>
                <w:noProof/>
              </w:rPr>
              <w:t>Turnaround strategy to improve the financial health of Seacrest Lodge</w:t>
            </w:r>
            <w:r w:rsidR="00A25326">
              <w:rPr>
                <w:noProof/>
                <w:webHidden/>
              </w:rPr>
              <w:tab/>
            </w:r>
            <w:r w:rsidR="00A25326">
              <w:rPr>
                <w:noProof/>
                <w:webHidden/>
              </w:rPr>
              <w:fldChar w:fldCharType="begin"/>
            </w:r>
            <w:r w:rsidR="00A25326">
              <w:rPr>
                <w:noProof/>
                <w:webHidden/>
              </w:rPr>
              <w:instrText xml:space="preserve"> PAGEREF _Toc159715121 \h </w:instrText>
            </w:r>
            <w:r w:rsidR="00A25326">
              <w:rPr>
                <w:noProof/>
                <w:webHidden/>
              </w:rPr>
            </w:r>
            <w:r w:rsidR="00A25326">
              <w:rPr>
                <w:noProof/>
                <w:webHidden/>
              </w:rPr>
              <w:fldChar w:fldCharType="separate"/>
            </w:r>
            <w:r w:rsidR="00A25326">
              <w:rPr>
                <w:noProof/>
                <w:webHidden/>
              </w:rPr>
              <w:t>5</w:t>
            </w:r>
            <w:r w:rsidR="00A25326">
              <w:rPr>
                <w:noProof/>
                <w:webHidden/>
              </w:rPr>
              <w:fldChar w:fldCharType="end"/>
            </w:r>
          </w:hyperlink>
        </w:p>
        <w:p w14:paraId="12831130" w14:textId="6038068C" w:rsidR="00A25326" w:rsidRDefault="00945582" w:rsidP="00A25326">
          <w:pPr>
            <w:pStyle w:val="TOC1"/>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hyperlink w:anchor="_Toc159715122" w:history="1">
            <w:r w:rsidR="00A25326" w:rsidRPr="0089630E">
              <w:rPr>
                <w:rStyle w:val="Hyperlink"/>
                <w:noProof/>
              </w:rPr>
              <w:t>Performance monitoring and evaluation</w:t>
            </w:r>
            <w:r w:rsidR="00A25326">
              <w:rPr>
                <w:noProof/>
                <w:webHidden/>
              </w:rPr>
              <w:tab/>
            </w:r>
            <w:r w:rsidR="00A25326">
              <w:rPr>
                <w:noProof/>
                <w:webHidden/>
              </w:rPr>
              <w:fldChar w:fldCharType="begin"/>
            </w:r>
            <w:r w:rsidR="00A25326">
              <w:rPr>
                <w:noProof/>
                <w:webHidden/>
              </w:rPr>
              <w:instrText xml:space="preserve"> PAGEREF _Toc159715122 \h </w:instrText>
            </w:r>
            <w:r w:rsidR="00A25326">
              <w:rPr>
                <w:noProof/>
                <w:webHidden/>
              </w:rPr>
            </w:r>
            <w:r w:rsidR="00A25326">
              <w:rPr>
                <w:noProof/>
                <w:webHidden/>
              </w:rPr>
              <w:fldChar w:fldCharType="separate"/>
            </w:r>
            <w:r w:rsidR="00A25326">
              <w:rPr>
                <w:noProof/>
                <w:webHidden/>
              </w:rPr>
              <w:t>6</w:t>
            </w:r>
            <w:r w:rsidR="00A25326">
              <w:rPr>
                <w:noProof/>
                <w:webHidden/>
              </w:rPr>
              <w:fldChar w:fldCharType="end"/>
            </w:r>
          </w:hyperlink>
        </w:p>
        <w:p w14:paraId="49371489" w14:textId="595F912D" w:rsidR="00A25326" w:rsidRDefault="00945582" w:rsidP="00A25326">
          <w:pPr>
            <w:pStyle w:val="TOC1"/>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hyperlink w:anchor="_Toc159715123" w:history="1">
            <w:r w:rsidR="00A25326" w:rsidRPr="0089630E">
              <w:rPr>
                <w:rStyle w:val="Hyperlink"/>
                <w:noProof/>
              </w:rPr>
              <w:t>Recommendations</w:t>
            </w:r>
            <w:r w:rsidR="00A25326">
              <w:rPr>
                <w:noProof/>
                <w:webHidden/>
              </w:rPr>
              <w:tab/>
            </w:r>
            <w:r w:rsidR="00A25326">
              <w:rPr>
                <w:noProof/>
                <w:webHidden/>
              </w:rPr>
              <w:fldChar w:fldCharType="begin"/>
            </w:r>
            <w:r w:rsidR="00A25326">
              <w:rPr>
                <w:noProof/>
                <w:webHidden/>
              </w:rPr>
              <w:instrText xml:space="preserve"> PAGEREF _Toc159715123 \h </w:instrText>
            </w:r>
            <w:r w:rsidR="00A25326">
              <w:rPr>
                <w:noProof/>
                <w:webHidden/>
              </w:rPr>
            </w:r>
            <w:r w:rsidR="00A25326">
              <w:rPr>
                <w:noProof/>
                <w:webHidden/>
              </w:rPr>
              <w:fldChar w:fldCharType="separate"/>
            </w:r>
            <w:r w:rsidR="00A25326">
              <w:rPr>
                <w:noProof/>
                <w:webHidden/>
              </w:rPr>
              <w:t>6</w:t>
            </w:r>
            <w:r w:rsidR="00A25326">
              <w:rPr>
                <w:noProof/>
                <w:webHidden/>
              </w:rPr>
              <w:fldChar w:fldCharType="end"/>
            </w:r>
          </w:hyperlink>
        </w:p>
        <w:p w14:paraId="611BAB27" w14:textId="5A535C47" w:rsidR="00A25326" w:rsidRDefault="00945582" w:rsidP="00A25326">
          <w:pPr>
            <w:pStyle w:val="TOC1"/>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hyperlink w:anchor="_Toc159715124" w:history="1">
            <w:r w:rsidR="00A25326" w:rsidRPr="0089630E">
              <w:rPr>
                <w:rStyle w:val="Hyperlink"/>
                <w:noProof/>
              </w:rPr>
              <w:t>Conclusion</w:t>
            </w:r>
            <w:r w:rsidR="00A25326">
              <w:rPr>
                <w:noProof/>
                <w:webHidden/>
              </w:rPr>
              <w:tab/>
            </w:r>
            <w:r w:rsidR="00A25326">
              <w:rPr>
                <w:noProof/>
                <w:webHidden/>
              </w:rPr>
              <w:fldChar w:fldCharType="begin"/>
            </w:r>
            <w:r w:rsidR="00A25326">
              <w:rPr>
                <w:noProof/>
                <w:webHidden/>
              </w:rPr>
              <w:instrText xml:space="preserve"> PAGEREF _Toc159715124 \h </w:instrText>
            </w:r>
            <w:r w:rsidR="00A25326">
              <w:rPr>
                <w:noProof/>
                <w:webHidden/>
              </w:rPr>
            </w:r>
            <w:r w:rsidR="00A25326">
              <w:rPr>
                <w:noProof/>
                <w:webHidden/>
              </w:rPr>
              <w:fldChar w:fldCharType="separate"/>
            </w:r>
            <w:r w:rsidR="00A25326">
              <w:rPr>
                <w:noProof/>
                <w:webHidden/>
              </w:rPr>
              <w:t>7</w:t>
            </w:r>
            <w:r w:rsidR="00A25326">
              <w:rPr>
                <w:noProof/>
                <w:webHidden/>
              </w:rPr>
              <w:fldChar w:fldCharType="end"/>
            </w:r>
          </w:hyperlink>
        </w:p>
        <w:p w14:paraId="7D81D9C5" w14:textId="183F618B" w:rsidR="00A25326" w:rsidRDefault="00945582" w:rsidP="00A25326">
          <w:pPr>
            <w:pStyle w:val="TOC1"/>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hyperlink w:anchor="_Toc159715125" w:history="1">
            <w:r w:rsidR="00A25326" w:rsidRPr="0089630E">
              <w:rPr>
                <w:rStyle w:val="Hyperlink"/>
                <w:noProof/>
              </w:rPr>
              <w:t>References</w:t>
            </w:r>
            <w:r w:rsidR="00A25326">
              <w:rPr>
                <w:noProof/>
                <w:webHidden/>
              </w:rPr>
              <w:tab/>
            </w:r>
            <w:r w:rsidR="00A25326">
              <w:rPr>
                <w:noProof/>
                <w:webHidden/>
              </w:rPr>
              <w:fldChar w:fldCharType="begin"/>
            </w:r>
            <w:r w:rsidR="00A25326">
              <w:rPr>
                <w:noProof/>
                <w:webHidden/>
              </w:rPr>
              <w:instrText xml:space="preserve"> PAGEREF _Toc159715125 \h </w:instrText>
            </w:r>
            <w:r w:rsidR="00A25326">
              <w:rPr>
                <w:noProof/>
                <w:webHidden/>
              </w:rPr>
            </w:r>
            <w:r w:rsidR="00A25326">
              <w:rPr>
                <w:noProof/>
                <w:webHidden/>
              </w:rPr>
              <w:fldChar w:fldCharType="separate"/>
            </w:r>
            <w:r w:rsidR="00A25326">
              <w:rPr>
                <w:noProof/>
                <w:webHidden/>
              </w:rPr>
              <w:t>8</w:t>
            </w:r>
            <w:r w:rsidR="00A25326">
              <w:rPr>
                <w:noProof/>
                <w:webHidden/>
              </w:rPr>
              <w:fldChar w:fldCharType="end"/>
            </w:r>
          </w:hyperlink>
        </w:p>
        <w:p w14:paraId="798C5C44" w14:textId="06F5E0AD" w:rsidR="00A25326" w:rsidRDefault="00945582" w:rsidP="00A25326">
          <w:pPr>
            <w:pStyle w:val="TOC1"/>
            <w:tabs>
              <w:tab w:val="right" w:leader="dot" w:pos="9019"/>
            </w:tabs>
            <w:spacing w:line="360" w:lineRule="auto"/>
            <w:rPr>
              <w:rFonts w:asciiTheme="minorHAnsi" w:eastAsiaTheme="minorEastAsia" w:hAnsiTheme="minorHAnsi" w:cs="Vrinda"/>
              <w:noProof/>
              <w:kern w:val="2"/>
              <w:sz w:val="24"/>
              <w:szCs w:val="30"/>
              <w:lang w:bidi="bn-IN"/>
              <w14:ligatures w14:val="standardContextual"/>
            </w:rPr>
          </w:pPr>
          <w:hyperlink w:anchor="_Toc159715126" w:history="1">
            <w:r w:rsidR="00A25326" w:rsidRPr="0089630E">
              <w:rPr>
                <w:rStyle w:val="Hyperlink"/>
                <w:noProof/>
              </w:rPr>
              <w:t>Appendix</w:t>
            </w:r>
            <w:r w:rsidR="00A25326">
              <w:rPr>
                <w:noProof/>
                <w:webHidden/>
              </w:rPr>
              <w:tab/>
            </w:r>
            <w:r w:rsidR="00A25326">
              <w:rPr>
                <w:noProof/>
                <w:webHidden/>
              </w:rPr>
              <w:fldChar w:fldCharType="begin"/>
            </w:r>
            <w:r w:rsidR="00A25326">
              <w:rPr>
                <w:noProof/>
                <w:webHidden/>
              </w:rPr>
              <w:instrText xml:space="preserve"> PAGEREF _Toc159715126 \h </w:instrText>
            </w:r>
            <w:r w:rsidR="00A25326">
              <w:rPr>
                <w:noProof/>
                <w:webHidden/>
              </w:rPr>
            </w:r>
            <w:r w:rsidR="00A25326">
              <w:rPr>
                <w:noProof/>
                <w:webHidden/>
              </w:rPr>
              <w:fldChar w:fldCharType="separate"/>
            </w:r>
            <w:r w:rsidR="00A25326">
              <w:rPr>
                <w:noProof/>
                <w:webHidden/>
              </w:rPr>
              <w:t>10</w:t>
            </w:r>
            <w:r w:rsidR="00A25326">
              <w:rPr>
                <w:noProof/>
                <w:webHidden/>
              </w:rPr>
              <w:fldChar w:fldCharType="end"/>
            </w:r>
          </w:hyperlink>
        </w:p>
        <w:p w14:paraId="24AB1D33" w14:textId="18BC86BB" w:rsidR="009D188C" w:rsidRPr="00A25326" w:rsidRDefault="009D188C" w:rsidP="00A25326">
          <w:pPr>
            <w:spacing w:line="360" w:lineRule="auto"/>
            <w:rPr>
              <w:rFonts w:ascii="Times New Roman" w:hAnsi="Times New Roman" w:cs="Times New Roman"/>
              <w:color w:val="000000" w:themeColor="text1"/>
            </w:rPr>
          </w:pPr>
          <w:r w:rsidRPr="00A25326">
            <w:rPr>
              <w:rFonts w:ascii="Times New Roman" w:hAnsi="Times New Roman" w:cs="Times New Roman"/>
              <w:b/>
              <w:bCs/>
              <w:noProof/>
              <w:color w:val="000000" w:themeColor="text1"/>
            </w:rPr>
            <w:fldChar w:fldCharType="end"/>
          </w:r>
        </w:p>
      </w:sdtContent>
    </w:sdt>
    <w:p w14:paraId="538BE5CC" w14:textId="77777777" w:rsidR="00286553" w:rsidRPr="00A25326" w:rsidRDefault="00286553" w:rsidP="00A25326">
      <w:pPr>
        <w:spacing w:line="360" w:lineRule="auto"/>
        <w:jc w:val="both"/>
        <w:rPr>
          <w:rFonts w:ascii="Times New Roman" w:eastAsia="Times New Roman" w:hAnsi="Times New Roman" w:cs="Times New Roman"/>
          <w:b/>
          <w:color w:val="000000" w:themeColor="text1"/>
          <w:sz w:val="32"/>
          <w:szCs w:val="32"/>
        </w:rPr>
      </w:pPr>
    </w:p>
    <w:p w14:paraId="38FBACC2" w14:textId="77777777" w:rsidR="00286553" w:rsidRPr="00A25326" w:rsidRDefault="00286553" w:rsidP="00D06A07">
      <w:pPr>
        <w:spacing w:line="360" w:lineRule="auto"/>
        <w:jc w:val="both"/>
        <w:rPr>
          <w:rFonts w:ascii="Times New Roman" w:eastAsia="Times New Roman" w:hAnsi="Times New Roman" w:cs="Times New Roman"/>
          <w:b/>
          <w:color w:val="000000" w:themeColor="text1"/>
          <w:sz w:val="24"/>
          <w:szCs w:val="24"/>
        </w:rPr>
      </w:pPr>
    </w:p>
    <w:p w14:paraId="2A1F6CAA" w14:textId="77777777" w:rsidR="00286553" w:rsidRPr="00A25326" w:rsidRDefault="0010610B" w:rsidP="00D06A07">
      <w:pPr>
        <w:spacing w:line="360" w:lineRule="auto"/>
        <w:jc w:val="both"/>
        <w:rPr>
          <w:rFonts w:ascii="Times New Roman" w:eastAsia="Times New Roman" w:hAnsi="Times New Roman" w:cs="Times New Roman"/>
          <w:b/>
          <w:color w:val="000000" w:themeColor="text1"/>
          <w:sz w:val="24"/>
          <w:szCs w:val="24"/>
        </w:rPr>
      </w:pPr>
      <w:r w:rsidRPr="00A25326">
        <w:rPr>
          <w:rFonts w:ascii="Times New Roman" w:hAnsi="Times New Roman" w:cs="Times New Roman"/>
          <w:color w:val="000000" w:themeColor="text1"/>
        </w:rPr>
        <w:br w:type="page"/>
      </w:r>
    </w:p>
    <w:p w14:paraId="7DBB1CF7" w14:textId="77777777" w:rsidR="00A25326" w:rsidRDefault="00A25326" w:rsidP="00D06A07">
      <w:pPr>
        <w:pStyle w:val="Heading1"/>
        <w:rPr>
          <w:color w:val="000000" w:themeColor="text1"/>
        </w:rPr>
        <w:sectPr w:rsidR="00A25326" w:rsidSect="001B1785">
          <w:footerReference w:type="default" r:id="rId7"/>
          <w:pgSz w:w="11909" w:h="16834"/>
          <w:pgMar w:top="1440" w:right="1440" w:bottom="1440" w:left="1440" w:header="720" w:footer="720" w:gutter="0"/>
          <w:pgNumType w:start="0"/>
          <w:cols w:space="720"/>
          <w:titlePg/>
        </w:sectPr>
      </w:pPr>
      <w:bookmarkStart w:id="0" w:name="_t8k1lfhi2sxm" w:colFirst="0" w:colLast="0"/>
      <w:bookmarkEnd w:id="0"/>
    </w:p>
    <w:p w14:paraId="1298759A" w14:textId="77777777" w:rsidR="00286553" w:rsidRPr="00A25326" w:rsidRDefault="0010610B" w:rsidP="00D06A07">
      <w:pPr>
        <w:pStyle w:val="Heading1"/>
        <w:rPr>
          <w:color w:val="000000" w:themeColor="text1"/>
        </w:rPr>
      </w:pPr>
      <w:bookmarkStart w:id="1" w:name="_Toc159715112"/>
      <w:r w:rsidRPr="00A25326">
        <w:rPr>
          <w:color w:val="000000" w:themeColor="text1"/>
        </w:rPr>
        <w:lastRenderedPageBreak/>
        <w:t>Introduction</w:t>
      </w:r>
      <w:bookmarkEnd w:id="1"/>
      <w:r w:rsidRPr="00A25326">
        <w:rPr>
          <w:color w:val="000000" w:themeColor="text1"/>
        </w:rPr>
        <w:t xml:space="preserve"> </w:t>
      </w:r>
    </w:p>
    <w:p w14:paraId="7DE43F20" w14:textId="77777777" w:rsidR="00286553" w:rsidRPr="00A25326" w:rsidRDefault="0010610B" w:rsidP="00D06A07">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Financial Management is an important part of the hotel industry which helps to get valuable insights into financial information of a company such as revenue, profit or loss, cash flow and expenses evaluation. This report aims to increase understanding of financial performance evaluation of The Seacrest Lodge and identify the main reason behind decreasing profitability of the hotel. The Seacrest Lodge is a restaurant, bar and event service providing a hotel facing decreasing revenue, customer satisfaction and occupancy rates. Financial ratios are performed here to evaluate the financial performance of The Seacrest Lodge. The reason behind decreasing profitability and a turnaround strategy are also prepared here to improve financial help of the hotel. </w:t>
      </w:r>
    </w:p>
    <w:p w14:paraId="3856B8F2" w14:textId="77777777" w:rsidR="00286553" w:rsidRPr="00A25326" w:rsidRDefault="0010610B" w:rsidP="00D06A07">
      <w:pPr>
        <w:pStyle w:val="Heading1"/>
        <w:rPr>
          <w:color w:val="000000" w:themeColor="text1"/>
        </w:rPr>
      </w:pPr>
      <w:bookmarkStart w:id="2" w:name="_ub1j3erv4fg8" w:colFirst="0" w:colLast="0"/>
      <w:bookmarkStart w:id="3" w:name="_Toc159715113"/>
      <w:bookmarkEnd w:id="2"/>
      <w:r w:rsidRPr="00A25326">
        <w:rPr>
          <w:color w:val="000000" w:themeColor="text1"/>
        </w:rPr>
        <w:t>Analysis of the financial performance of Seacrest Lodge over the last 3 years</w:t>
      </w:r>
      <w:bookmarkEnd w:id="3"/>
    </w:p>
    <w:p w14:paraId="7201DB60" w14:textId="77777777" w:rsidR="00286553" w:rsidRPr="00A25326" w:rsidRDefault="0010610B" w:rsidP="00D06A07">
      <w:pPr>
        <w:pStyle w:val="Heading2"/>
        <w:rPr>
          <w:color w:val="000000" w:themeColor="text1"/>
        </w:rPr>
      </w:pPr>
      <w:bookmarkStart w:id="4" w:name="_fj16wlz7cy5k" w:colFirst="0" w:colLast="0"/>
      <w:bookmarkStart w:id="5" w:name="_Toc159715114"/>
      <w:bookmarkEnd w:id="4"/>
      <w:r w:rsidRPr="00A25326">
        <w:rPr>
          <w:color w:val="000000" w:themeColor="text1"/>
        </w:rPr>
        <w:t>Financial ratios</w:t>
      </w:r>
      <w:bookmarkEnd w:id="5"/>
      <w:r w:rsidRPr="00A25326">
        <w:rPr>
          <w:color w:val="000000" w:themeColor="text1"/>
        </w:rPr>
        <w:t xml:space="preserve"> </w:t>
      </w:r>
    </w:p>
    <w:p w14:paraId="4C49EC4F" w14:textId="0098B661" w:rsidR="007C0A0B" w:rsidRPr="00A25326" w:rsidRDefault="0010610B" w:rsidP="00D06A07">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Comparison of line items from a financial statement to get a detailed inside about “profitability, solvency, liquidity and operational efficiency” of an organisation is known as financial ratio analysis. Financial ratios are mainly categorised into four parts such as “profitability, liquidity, gearing and activity or efficiency” ratios (ACCA, 2024).</w:t>
      </w:r>
    </w:p>
    <w:p w14:paraId="2712D3EE" w14:textId="188A5519" w:rsidR="007C0A0B" w:rsidRPr="00A25326" w:rsidRDefault="007C0A0B" w:rsidP="007C0A0B">
      <w:pPr>
        <w:spacing w:line="360" w:lineRule="auto"/>
        <w:jc w:val="center"/>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noProof/>
          <w:color w:val="000000" w:themeColor="text1"/>
          <w:sz w:val="24"/>
          <w:szCs w:val="24"/>
          <w:lang w:val="en-US" w:eastAsia="en-US"/>
        </w:rPr>
        <w:lastRenderedPageBreak/>
        <w:drawing>
          <wp:inline distT="0" distB="0" distL="0" distR="0" wp14:anchorId="0DEF6399" wp14:editId="44A5338E">
            <wp:extent cx="3724275" cy="5338126"/>
            <wp:effectExtent l="0" t="0" r="0" b="0"/>
            <wp:docPr id="313474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474447" name=""/>
                    <pic:cNvPicPr/>
                  </pic:nvPicPr>
                  <pic:blipFill>
                    <a:blip r:embed="rId8"/>
                    <a:stretch>
                      <a:fillRect/>
                    </a:stretch>
                  </pic:blipFill>
                  <pic:spPr>
                    <a:xfrm>
                      <a:off x="0" y="0"/>
                      <a:ext cx="3728163" cy="5343699"/>
                    </a:xfrm>
                    <a:prstGeom prst="rect">
                      <a:avLst/>
                    </a:prstGeom>
                  </pic:spPr>
                </pic:pic>
              </a:graphicData>
            </a:graphic>
          </wp:inline>
        </w:drawing>
      </w:r>
    </w:p>
    <w:p w14:paraId="72BAE74A" w14:textId="0F6DD82C" w:rsidR="00286553" w:rsidRPr="00A25326" w:rsidRDefault="0010610B" w:rsidP="007C0A0B">
      <w:pPr>
        <w:jc w:val="center"/>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b/>
          <w:color w:val="000000" w:themeColor="text1"/>
          <w:sz w:val="24"/>
          <w:szCs w:val="24"/>
        </w:rPr>
        <w:t>Table 1: Financial ratios of The Seacrest Lodge in the past 3 years</w:t>
      </w:r>
    </w:p>
    <w:p w14:paraId="0747EED5" w14:textId="77777777" w:rsidR="00286553" w:rsidRPr="00A25326" w:rsidRDefault="0010610B" w:rsidP="00D06A07">
      <w:pPr>
        <w:spacing w:line="360" w:lineRule="auto"/>
        <w:jc w:val="center"/>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(Source: Spreadsheet) </w:t>
      </w:r>
    </w:p>
    <w:p w14:paraId="6DA2190C" w14:textId="77777777" w:rsidR="00286553" w:rsidRPr="00A25326" w:rsidRDefault="0010610B" w:rsidP="00D06A07">
      <w:pPr>
        <w:pStyle w:val="Heading3"/>
        <w:rPr>
          <w:color w:val="000000" w:themeColor="text1"/>
        </w:rPr>
      </w:pPr>
      <w:bookmarkStart w:id="6" w:name="_sfszcb9zgfh7" w:colFirst="0" w:colLast="0"/>
      <w:bookmarkStart w:id="7" w:name="_Toc159715115"/>
      <w:bookmarkEnd w:id="6"/>
      <w:r w:rsidRPr="00A25326">
        <w:rPr>
          <w:color w:val="000000" w:themeColor="text1"/>
        </w:rPr>
        <w:t>Profitability ratios:</w:t>
      </w:r>
      <w:bookmarkEnd w:id="7"/>
    </w:p>
    <w:p w14:paraId="7EA7DFFC" w14:textId="77777777" w:rsidR="00286553" w:rsidRPr="00A25326" w:rsidRDefault="0010610B" w:rsidP="00D06A07">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Profitability ratios measure the ability of an organisation to earn profit which is important for investors before making any decision to invest in a company. In contrast to Atrill and McLaney (2007), management accounting is important for making strategic decisions, forecasting financial performance, trend analysis and controlling financial performance. Net profit margin ratio of Seacrest Lodge is a part of the financial ratio which is 25% (2021), 14% (2022) and -16% (2023). A decreasing net profit margin ratio is observed for the hotel which reflects poor financial performance of the company in the last 3 years due to decreasing revenue value. </w:t>
      </w:r>
    </w:p>
    <w:p w14:paraId="0948C5DB" w14:textId="77777777" w:rsidR="00286553" w:rsidRPr="00A25326" w:rsidRDefault="0010610B" w:rsidP="00D06A07">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ROE is also calculated to measure income retained to distribute to equity shareholders. Seacrest Lodge has an ROE of 48% (2021), 26% (2022) and -50% (2023) which decreased in the last three years. The increasing and higher value of net profit margin and ROE is expected from a </w:t>
      </w:r>
      <w:r w:rsidRPr="00A25326">
        <w:rPr>
          <w:rFonts w:ascii="Times New Roman" w:eastAsia="Times New Roman" w:hAnsi="Times New Roman" w:cs="Times New Roman"/>
          <w:color w:val="000000" w:themeColor="text1"/>
          <w:sz w:val="24"/>
          <w:szCs w:val="24"/>
        </w:rPr>
        <w:lastRenderedPageBreak/>
        <w:t xml:space="preserve">company which reflects deterioration of profitability capacity of Seacrest Lodge. According to Saputra (2022), “return on asset (ROA)” measures the ability of a company to generate profit by using owned total assets. ROA of the business entity is calculated as 14% (2021), and 7% (2022) which is declined to - 8% (2023). Decreasing ROA reflects the company is not able to earn sufficient net income by using its total assets which reflects poor financial health and profitability capacity. However, a satisfactory value of net profit margin, ROE and ROA can be observed in 2021 and 2022 which declined in 2023. </w:t>
      </w:r>
    </w:p>
    <w:p w14:paraId="47DB070C" w14:textId="77777777" w:rsidR="00286553" w:rsidRPr="00A25326" w:rsidRDefault="0010610B" w:rsidP="00D06A07">
      <w:pPr>
        <w:pStyle w:val="Heading3"/>
        <w:rPr>
          <w:color w:val="000000" w:themeColor="text1"/>
        </w:rPr>
      </w:pPr>
      <w:bookmarkStart w:id="8" w:name="_x4oa675aa2g2" w:colFirst="0" w:colLast="0"/>
      <w:bookmarkStart w:id="9" w:name="_Toc159715116"/>
      <w:bookmarkEnd w:id="8"/>
      <w:r w:rsidRPr="00A25326">
        <w:rPr>
          <w:color w:val="000000" w:themeColor="text1"/>
        </w:rPr>
        <w:t>Liquidity ratios:</w:t>
      </w:r>
      <w:bookmarkEnd w:id="9"/>
    </w:p>
    <w:p w14:paraId="38AA42CF" w14:textId="77777777" w:rsidR="00286553" w:rsidRPr="00A25326" w:rsidRDefault="0010610B" w:rsidP="00D06A07">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Liquidity ratios are used to evaluate liquidity management of a company which are “current ratio, quick ratio and cash ratio” (Djohan, 2023). Current ratio is calculated to show the availability of current assets to pay current liabilities and Seacrest Lodge has a current ratio of 5.00 (2021), 3.00 (2022) and 1.00 (2023). Decreasing current ratio reflects poor liquidity position of Seacrest Lodge as they have lower current assets to pay off current liabilities. As described by Lubis (2023), cash ratio evaluates the ability of a company to meet short-term obligations by using cash owned. In addition, the cash ratio of the company is 3.33 (2021), 2.00 (2022) and 0.40 (2023). A lower current ratio indicates a poor liquidity position which means they do not have enough current assets to quickly pay current liabilities. However, in 2021 and 2022 cash ratio and current ratio were effectively maintained which deteriorated in 2023. </w:t>
      </w:r>
    </w:p>
    <w:p w14:paraId="76D1C4CE" w14:textId="77777777" w:rsidR="00286553" w:rsidRPr="00A25326" w:rsidRDefault="0010610B" w:rsidP="00D06A07">
      <w:pPr>
        <w:pStyle w:val="Heading3"/>
        <w:rPr>
          <w:color w:val="000000" w:themeColor="text1"/>
        </w:rPr>
      </w:pPr>
      <w:bookmarkStart w:id="10" w:name="_u56gpcxzelhl" w:colFirst="0" w:colLast="0"/>
      <w:bookmarkStart w:id="11" w:name="_Toc159715117"/>
      <w:bookmarkEnd w:id="10"/>
      <w:r w:rsidRPr="00A25326">
        <w:rPr>
          <w:color w:val="000000" w:themeColor="text1"/>
        </w:rPr>
        <w:t>Leverage ratios:</w:t>
      </w:r>
      <w:bookmarkEnd w:id="11"/>
    </w:p>
    <w:p w14:paraId="68780938" w14:textId="77777777" w:rsidR="00286553" w:rsidRPr="00A25326" w:rsidRDefault="0010610B" w:rsidP="00D06A07">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The debt-to-equity ratio is calculated which is a part of the leverage ratio that reflects the relation between total debt and total equity of a company (Colline, 2022). Seacrest Lodge has a debt-to-equity ratio of 2.47 (2021), 2.66 (2022) and 5.17 (2023). Increasing debt-to-equity ratio reflects the company lending more capital from external sources which reflects the higher risk of the business. Equity multiplier reflects</w:t>
      </w:r>
      <w:r w:rsidRPr="00A25326">
        <w:rPr>
          <w:rFonts w:ascii="Times New Roman" w:eastAsia="Times New Roman" w:hAnsi="Times New Roman" w:cs="Times New Roman"/>
          <w:b/>
          <w:i/>
          <w:color w:val="000000" w:themeColor="text1"/>
          <w:sz w:val="24"/>
          <w:szCs w:val="24"/>
        </w:rPr>
        <w:t xml:space="preserve"> </w:t>
      </w:r>
      <w:r w:rsidRPr="00A25326">
        <w:rPr>
          <w:rFonts w:ascii="Times New Roman" w:eastAsia="Times New Roman" w:hAnsi="Times New Roman" w:cs="Times New Roman"/>
          <w:color w:val="000000" w:themeColor="text1"/>
          <w:sz w:val="24"/>
          <w:szCs w:val="24"/>
        </w:rPr>
        <w:t xml:space="preserve">internal financial review of a company which is 3.47 (2021), 3.66 (2022) and 6.17 (2023). Increasing equity multiplier reflects high debt borrowing by Seacrest Lodge to finance its assets which also reflects the company has high risk in financial structure. </w:t>
      </w:r>
    </w:p>
    <w:p w14:paraId="6006A93F" w14:textId="77777777" w:rsidR="00286553" w:rsidRPr="00A25326" w:rsidRDefault="0010610B" w:rsidP="00D06A07">
      <w:pPr>
        <w:pStyle w:val="Heading3"/>
        <w:rPr>
          <w:color w:val="000000" w:themeColor="text1"/>
        </w:rPr>
      </w:pPr>
      <w:bookmarkStart w:id="12" w:name="_abl8r3yvgh5d" w:colFirst="0" w:colLast="0"/>
      <w:bookmarkStart w:id="13" w:name="_Toc159715118"/>
      <w:bookmarkEnd w:id="12"/>
      <w:r w:rsidRPr="00A25326">
        <w:rPr>
          <w:color w:val="000000" w:themeColor="text1"/>
        </w:rPr>
        <w:t>Efficiency ratios:</w:t>
      </w:r>
      <w:bookmarkEnd w:id="13"/>
      <w:r w:rsidRPr="00A25326">
        <w:rPr>
          <w:color w:val="000000" w:themeColor="text1"/>
        </w:rPr>
        <w:t xml:space="preserve"> </w:t>
      </w:r>
    </w:p>
    <w:p w14:paraId="7A97B20C" w14:textId="77777777" w:rsidR="00286553" w:rsidRPr="00A25326" w:rsidRDefault="0010610B" w:rsidP="00D06A07">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Efficiency ratio is useful to evaluate management of a company and measure efficiency in using resources for generating sales. Account receivable ratio helps to evaluate credit worthiness of a company and it is important to project future cash flow of a business (Fridson and Alvarez, 2022). Account receivable days of the company is 15.21 (2021), 13.27 (2022) and 11.53 (2023) which is expected to be lower. Asset turnover ratio calculates the ability to generate revenue by utilising total assets which are 0.56 (2021), 0.55 (2022) and 1.03 (2023). </w:t>
      </w:r>
      <w:r w:rsidRPr="00A25326">
        <w:rPr>
          <w:rFonts w:ascii="Times New Roman" w:eastAsia="Times New Roman" w:hAnsi="Times New Roman" w:cs="Times New Roman"/>
          <w:color w:val="000000" w:themeColor="text1"/>
          <w:sz w:val="24"/>
          <w:szCs w:val="24"/>
        </w:rPr>
        <w:lastRenderedPageBreak/>
        <w:t>Increasing asset turnover ratio reflects the fact that the company is efficient in generating sales by using its total assets. However, a negative sales value of GBP1</w:t>
      </w:r>
      <w:r w:rsidR="00E376AD" w:rsidRPr="00A25326">
        <w:rPr>
          <w:rFonts w:ascii="Times New Roman" w:eastAsia="Times New Roman" w:hAnsi="Times New Roman" w:cs="Times New Roman"/>
          <w:color w:val="000000" w:themeColor="text1"/>
          <w:sz w:val="24"/>
          <w:szCs w:val="24"/>
        </w:rPr>
        <w:t>, 50,000</w:t>
      </w:r>
      <w:r w:rsidRPr="00A25326">
        <w:rPr>
          <w:rFonts w:ascii="Times New Roman" w:eastAsia="Times New Roman" w:hAnsi="Times New Roman" w:cs="Times New Roman"/>
          <w:color w:val="000000" w:themeColor="text1"/>
          <w:sz w:val="24"/>
          <w:szCs w:val="24"/>
        </w:rPr>
        <w:t xml:space="preserve"> indicates poor revenue earning capacity.</w:t>
      </w:r>
    </w:p>
    <w:p w14:paraId="2896603C" w14:textId="77777777" w:rsidR="00286553" w:rsidRPr="00A25326" w:rsidRDefault="0010610B" w:rsidP="00D06A07">
      <w:pPr>
        <w:pStyle w:val="Heading2"/>
        <w:rPr>
          <w:color w:val="000000" w:themeColor="text1"/>
        </w:rPr>
      </w:pPr>
      <w:bookmarkStart w:id="14" w:name="_t2jy6oacqez" w:colFirst="0" w:colLast="0"/>
      <w:bookmarkStart w:id="15" w:name="_Toc159715119"/>
      <w:bookmarkEnd w:id="14"/>
      <w:r w:rsidRPr="00A25326">
        <w:rPr>
          <w:color w:val="000000" w:themeColor="text1"/>
        </w:rPr>
        <w:t>Average room rate (ARR) and occupancy rate</w:t>
      </w:r>
      <w:bookmarkEnd w:id="15"/>
      <w:r w:rsidRPr="00A25326">
        <w:rPr>
          <w:color w:val="000000" w:themeColor="text1"/>
        </w:rPr>
        <w:t xml:space="preserve"> </w:t>
      </w:r>
    </w:p>
    <w:p w14:paraId="1AB81F61" w14:textId="77777777" w:rsidR="00726163" w:rsidRPr="00A25326" w:rsidRDefault="0010610B" w:rsidP="00D06A07">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ARR of Seacrest Lodge in 2021 was £260 decreased to £240 in 2022 and £210 in 2023. ARR is used to find the average price of a room sold in a period which is calculated by dividing total room revenue by total room sold (Indrayono, 2022). Decreasing ARR reflects the company is not able to sell more rooms or customers are not visiting this hotel which reflects poor profitability capacity and revenue. Additionally, Seacrest Lodge has occupancy rates of 65% (2021), 60% (2022) and 50% (2023) which have declined in the last 3 years. It reflects the hotel has less rented space to the amount of available space which is the symbol of lower arrivals of customers in this hotel which results in lower sales generation capacity. </w:t>
      </w:r>
    </w:p>
    <w:p w14:paraId="249889D5" w14:textId="77777777" w:rsidR="00726163" w:rsidRPr="00A25326" w:rsidRDefault="00726163" w:rsidP="00E35FEC">
      <w:pPr>
        <w:pStyle w:val="Heading1"/>
        <w:rPr>
          <w:color w:val="000000" w:themeColor="text1"/>
        </w:rPr>
      </w:pPr>
      <w:bookmarkStart w:id="16" w:name="_Toc159715120"/>
      <w:r w:rsidRPr="00A25326">
        <w:rPr>
          <w:color w:val="000000" w:themeColor="text1"/>
        </w:rPr>
        <w:t>Identification of reasons behind decline in profitability considering real-world events and the current economy</w:t>
      </w:r>
      <w:bookmarkEnd w:id="16"/>
      <w:r w:rsidRPr="00A25326">
        <w:rPr>
          <w:color w:val="000000" w:themeColor="text1"/>
        </w:rPr>
        <w:t xml:space="preserve"> </w:t>
      </w:r>
    </w:p>
    <w:p w14:paraId="0AEC6FB2" w14:textId="77777777" w:rsidR="00726163" w:rsidRPr="00A25326" w:rsidRDefault="00726163" w:rsidP="00726163">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Seacrest Lodge operates in the global hospitality industry with restaurant, bar, and event facilities on a picturesque coastline. As stated by </w:t>
      </w:r>
      <w:r w:rsidRPr="00A25326">
        <w:rPr>
          <w:rFonts w:ascii="Times New Roman" w:eastAsia="Times New Roman" w:hAnsi="Times New Roman" w:cs="Times New Roman"/>
          <w:color w:val="000000" w:themeColor="text1"/>
          <w:sz w:val="24"/>
          <w:szCs w:val="24"/>
          <w:highlight w:val="white"/>
        </w:rPr>
        <w:t xml:space="preserve">Safaeva </w:t>
      </w:r>
      <w:r w:rsidRPr="00A25326">
        <w:rPr>
          <w:rFonts w:ascii="Times New Roman" w:eastAsia="Times New Roman" w:hAnsi="Times New Roman" w:cs="Times New Roman"/>
          <w:i/>
          <w:color w:val="000000" w:themeColor="text1"/>
          <w:sz w:val="24"/>
          <w:szCs w:val="24"/>
          <w:highlight w:val="white"/>
        </w:rPr>
        <w:t>et al.</w:t>
      </w:r>
      <w:r w:rsidRPr="00A25326">
        <w:rPr>
          <w:rFonts w:ascii="Times New Roman" w:eastAsia="Times New Roman" w:hAnsi="Times New Roman" w:cs="Times New Roman"/>
          <w:color w:val="000000" w:themeColor="text1"/>
          <w:sz w:val="24"/>
          <w:szCs w:val="24"/>
          <w:highlight w:val="white"/>
        </w:rPr>
        <w:t xml:space="preserve"> </w:t>
      </w:r>
      <w:r w:rsidRPr="00A25326">
        <w:rPr>
          <w:rFonts w:ascii="Times New Roman" w:eastAsia="Times New Roman" w:hAnsi="Times New Roman" w:cs="Times New Roman"/>
          <w:color w:val="000000" w:themeColor="text1"/>
          <w:sz w:val="24"/>
          <w:szCs w:val="24"/>
        </w:rPr>
        <w:t xml:space="preserve">(2019), the global hospitality industry comprises organisations that provide food, drink, and accommodation services to travellers. The global hotel and resort industry's market size was $1.5tn in 2023 (Ibisworld, 2024). Performance analysis of this company shows that there is a reduction in profitability and the main reasons behind such reduction were declining service quality and outdated amenities. This resulted in reduced customer satisfaction and occupancy rate. In last three years, a declining trend of occupancy rates has been found as occupancy rates were 65% in 2021, 60% in 2022, and 50% in 2023. </w:t>
      </w:r>
    </w:p>
    <w:p w14:paraId="2B85C5CC" w14:textId="77777777" w:rsidR="00726163" w:rsidRPr="00A25326" w:rsidRDefault="00726163" w:rsidP="00726163">
      <w:pPr>
        <w:spacing w:line="36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color w:val="000000" w:themeColor="text1"/>
          <w:sz w:val="24"/>
          <w:szCs w:val="24"/>
        </w:rPr>
        <w:t xml:space="preserve">Another reason behind decline in profitability of the company is inability to adapt to changing customer preferences dynamics. It contributed to reducing revenue and profitability of the company. In last three years, average room rent has been reduced to £260 in 2021, £240 in 2022, and £210 in 2023. Considering contemporary market events, it can be noted that during 2021, the hospitality industry was recovering from Covid situation. It is one of the industries that was highly affected by Covid situation. Thus, it can be one of the reasons behind decline in profitability of Seacrest Lodge. During 2022, the UK hotel industry had a market size of £16.42bn with a monthly occupancy rate of 81% (Statista, 2024). During this time, restaurant insolvencies jumped 64% as companies were struggling to maintain sound business performance in post-Covid times.            </w:t>
      </w:r>
    </w:p>
    <w:p w14:paraId="4601FD8C" w14:textId="77777777" w:rsidR="00726163" w:rsidRPr="00A25326" w:rsidRDefault="00726163" w:rsidP="00E35FEC">
      <w:pPr>
        <w:pStyle w:val="Heading1"/>
        <w:rPr>
          <w:color w:val="000000" w:themeColor="text1"/>
        </w:rPr>
      </w:pPr>
      <w:bookmarkStart w:id="17" w:name="_Toc159715121"/>
      <w:r w:rsidRPr="00A25326">
        <w:rPr>
          <w:color w:val="000000" w:themeColor="text1"/>
        </w:rPr>
        <w:lastRenderedPageBreak/>
        <w:t>Turnaround strategy to improve the financial health of Seacrest Lodge</w:t>
      </w:r>
      <w:bookmarkEnd w:id="17"/>
      <w:r w:rsidRPr="00A25326">
        <w:rPr>
          <w:color w:val="000000" w:themeColor="text1"/>
        </w:rPr>
        <w:t xml:space="preserve">  </w:t>
      </w:r>
    </w:p>
    <w:p w14:paraId="5568C6EA" w14:textId="77777777" w:rsidR="00726163" w:rsidRPr="00A25326" w:rsidRDefault="00726163" w:rsidP="00726163">
      <w:pPr>
        <w:spacing w:before="200" w:after="200"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A turnaround strategy can be defined as set of strategies that can be utilised to rescue failing businesses. Such strategies can be implemented when a business is going into a situation where there is risk of closing (</w:t>
      </w:r>
      <w:r w:rsidRPr="00A25326">
        <w:rPr>
          <w:rFonts w:ascii="Times New Roman" w:eastAsia="Times New Roman" w:hAnsi="Times New Roman" w:cs="Times New Roman"/>
          <w:color w:val="000000" w:themeColor="text1"/>
          <w:sz w:val="24"/>
          <w:szCs w:val="24"/>
          <w:highlight w:val="white"/>
        </w:rPr>
        <w:t xml:space="preserve">Rico </w:t>
      </w:r>
      <w:r w:rsidRPr="00A25326">
        <w:rPr>
          <w:rFonts w:ascii="Times New Roman" w:eastAsia="Times New Roman" w:hAnsi="Times New Roman" w:cs="Times New Roman"/>
          <w:i/>
          <w:color w:val="000000" w:themeColor="text1"/>
          <w:sz w:val="24"/>
          <w:szCs w:val="24"/>
          <w:highlight w:val="white"/>
        </w:rPr>
        <w:t>et al.</w:t>
      </w:r>
      <w:r w:rsidRPr="00A25326">
        <w:rPr>
          <w:rFonts w:ascii="Times New Roman" w:eastAsia="Times New Roman" w:hAnsi="Times New Roman" w:cs="Times New Roman"/>
          <w:color w:val="000000" w:themeColor="text1"/>
          <w:sz w:val="24"/>
          <w:szCs w:val="24"/>
          <w:highlight w:val="white"/>
        </w:rPr>
        <w:t xml:space="preserve"> 2021</w:t>
      </w:r>
      <w:r w:rsidRPr="00A25326">
        <w:rPr>
          <w:rFonts w:ascii="Times New Roman" w:eastAsia="Times New Roman" w:hAnsi="Times New Roman" w:cs="Times New Roman"/>
          <w:color w:val="000000" w:themeColor="text1"/>
          <w:sz w:val="24"/>
          <w:szCs w:val="24"/>
        </w:rPr>
        <w:t>). Such strategies are efficient for leading a business back to profitability and resilience. However, some of the common challenges associated with turnaround strategy include cash flow problems, persistent decreases in sales, and mounting losses. In case of Seacrest Lodge, turnaround strategy that can be used is financial restructuring. It comprises consideration of refinancing existing debt capital, repayment terms with debtholders for dealing with financial difficulties, and gradually improving liquidity. The company can take assistance from equity capital to include more capital in capital structure and supporting operations.</w:t>
      </w:r>
    </w:p>
    <w:p w14:paraId="2FA3DDCB" w14:textId="77777777" w:rsidR="00726163" w:rsidRPr="00A25326" w:rsidRDefault="00726163" w:rsidP="00726163">
      <w:pPr>
        <w:spacing w:before="200" w:after="200"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Another turnaround strategy that can be used by this company is upgrading and modernising. It comprises making investments in renovating the lodge facilities. This can help the company in adjusting as per changing market conditions. To attract more customers, the lodge can ensure technological advancement, refurbishing rooms, and improving recreational facilities. Another thing on which the company should focus is cost optimisation. The company must ensure conducting detailed assessments of operating expenses and identifying areas where cost reductions can take place. Ensuring usage of energy-saving measures, streamlining operations, and renegotiating with suppliers can be helpful.</w:t>
      </w:r>
    </w:p>
    <w:p w14:paraId="3C8085F8" w14:textId="77777777" w:rsidR="00726163" w:rsidRPr="00A25326" w:rsidRDefault="00726163" w:rsidP="00726163">
      <w:pPr>
        <w:spacing w:before="200" w:after="200"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One of the turnaround strategies that can be used by this company is improving customer experience. The company needs to focus on customer service quality by providing sufficient training to staff members. The lodge can use a guest feedback system and focus on personalised experience for each customer. This can help in boosting the satisfaction level of each customer and gaining positive reviews. Another thing is revenue diversification. As per </w:t>
      </w:r>
      <w:r w:rsidRPr="00A25326">
        <w:rPr>
          <w:rFonts w:ascii="Times New Roman" w:eastAsia="Times New Roman" w:hAnsi="Times New Roman" w:cs="Times New Roman"/>
          <w:color w:val="000000" w:themeColor="text1"/>
          <w:sz w:val="24"/>
          <w:szCs w:val="24"/>
          <w:highlight w:val="white"/>
        </w:rPr>
        <w:t xml:space="preserve">Kenney </w:t>
      </w:r>
      <w:r w:rsidRPr="00A25326">
        <w:rPr>
          <w:rFonts w:ascii="Times New Roman" w:eastAsia="Times New Roman" w:hAnsi="Times New Roman" w:cs="Times New Roman"/>
          <w:i/>
          <w:color w:val="000000" w:themeColor="text1"/>
          <w:sz w:val="24"/>
          <w:szCs w:val="24"/>
          <w:highlight w:val="white"/>
        </w:rPr>
        <w:t>et al.</w:t>
      </w:r>
      <w:r w:rsidRPr="00A25326">
        <w:rPr>
          <w:rFonts w:ascii="Times New Roman" w:eastAsia="Times New Roman" w:hAnsi="Times New Roman" w:cs="Times New Roman"/>
          <w:color w:val="000000" w:themeColor="text1"/>
          <w:sz w:val="24"/>
          <w:szCs w:val="24"/>
          <w:highlight w:val="white"/>
        </w:rPr>
        <w:t xml:space="preserve"> </w:t>
      </w:r>
      <w:r w:rsidRPr="00A25326">
        <w:rPr>
          <w:rFonts w:ascii="Times New Roman" w:eastAsia="Times New Roman" w:hAnsi="Times New Roman" w:cs="Times New Roman"/>
          <w:color w:val="000000" w:themeColor="text1"/>
          <w:sz w:val="24"/>
          <w:szCs w:val="24"/>
        </w:rPr>
        <w:t xml:space="preserve">(2021), revenue diversification is capitalising on full potential by expanding in new markets, adding to product catalogues, and providing additional services to customers. </w:t>
      </w:r>
    </w:p>
    <w:p w14:paraId="29A0510A" w14:textId="77777777" w:rsidR="00726163" w:rsidRPr="00A25326" w:rsidRDefault="00726163" w:rsidP="00726163">
      <w:pPr>
        <w:spacing w:before="200" w:after="200"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A turnaround strategy that can be used by Seacrest Lodge is focusing on additional revenue streams such as hosting corporate events, wedding parties, or wellness retreats for using lodge's event facilities and generating more revenue from it. While focusing on revenue diversification, Seacrest Lodge can also focus on marketing and branding. This may include launching target </w:t>
      </w:r>
      <w:r w:rsidRPr="00A25326">
        <w:rPr>
          <w:rFonts w:ascii="Times New Roman" w:eastAsia="Times New Roman" w:hAnsi="Times New Roman" w:cs="Times New Roman"/>
          <w:color w:val="000000" w:themeColor="text1"/>
          <w:sz w:val="24"/>
          <w:szCs w:val="24"/>
        </w:rPr>
        <w:lastRenderedPageBreak/>
        <w:t xml:space="preserve">market campaigns to reposition the lodge to highlight its key offerings, features, and services. It can be repositioned as a premier vacation destination with a serene ambience and picturesque coastline. Thus, it can help in attracting modern customers and increasing market share.           </w:t>
      </w:r>
    </w:p>
    <w:p w14:paraId="0651AD3A" w14:textId="77777777" w:rsidR="00726163" w:rsidRPr="00A25326" w:rsidRDefault="00726163" w:rsidP="00E35FEC">
      <w:pPr>
        <w:pStyle w:val="Heading1"/>
        <w:rPr>
          <w:color w:val="000000" w:themeColor="text1"/>
        </w:rPr>
      </w:pPr>
      <w:bookmarkStart w:id="18" w:name="_Toc159715122"/>
      <w:r w:rsidRPr="00A25326">
        <w:rPr>
          <w:color w:val="000000" w:themeColor="text1"/>
        </w:rPr>
        <w:t>Performance monitoring and evaluation</w:t>
      </w:r>
      <w:bookmarkEnd w:id="18"/>
      <w:r w:rsidRPr="00A25326">
        <w:rPr>
          <w:color w:val="000000" w:themeColor="text1"/>
        </w:rPr>
        <w:t xml:space="preserve"> </w:t>
      </w:r>
    </w:p>
    <w:p w14:paraId="066F2D37" w14:textId="77777777" w:rsidR="00726163" w:rsidRPr="00A25326" w:rsidRDefault="00726163" w:rsidP="00726163">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After incorporation of a turnaround strategy, performance of the company must be thoroughly reviewed. It can help in understanding whether the turnaround strategies are working as per plans or not. As a result, Seacrest Lodge can use KPIs to track effectiveness of turnover strategies. As per </w:t>
      </w:r>
      <w:r w:rsidRPr="00A25326">
        <w:rPr>
          <w:rFonts w:ascii="Times New Roman" w:eastAsia="Times New Roman" w:hAnsi="Times New Roman" w:cs="Times New Roman"/>
          <w:color w:val="000000" w:themeColor="text1"/>
          <w:sz w:val="24"/>
          <w:szCs w:val="24"/>
          <w:highlight w:val="white"/>
        </w:rPr>
        <w:t xml:space="preserve">Cruz Villazón </w:t>
      </w:r>
      <w:r w:rsidRPr="00A25326">
        <w:rPr>
          <w:rFonts w:ascii="Times New Roman" w:eastAsia="Times New Roman" w:hAnsi="Times New Roman" w:cs="Times New Roman"/>
          <w:i/>
          <w:color w:val="000000" w:themeColor="text1"/>
          <w:sz w:val="24"/>
          <w:szCs w:val="24"/>
          <w:highlight w:val="white"/>
        </w:rPr>
        <w:t>et al.</w:t>
      </w:r>
      <w:r w:rsidRPr="00A25326">
        <w:rPr>
          <w:rFonts w:ascii="Times New Roman" w:eastAsia="Times New Roman" w:hAnsi="Times New Roman" w:cs="Times New Roman"/>
          <w:color w:val="000000" w:themeColor="text1"/>
          <w:sz w:val="24"/>
          <w:szCs w:val="24"/>
          <w:highlight w:val="white"/>
        </w:rPr>
        <w:t xml:space="preserve"> </w:t>
      </w:r>
      <w:r w:rsidRPr="00A25326">
        <w:rPr>
          <w:rFonts w:ascii="Times New Roman" w:eastAsia="Times New Roman" w:hAnsi="Times New Roman" w:cs="Times New Roman"/>
          <w:color w:val="000000" w:themeColor="text1"/>
          <w:sz w:val="24"/>
          <w:szCs w:val="24"/>
        </w:rPr>
        <w:t xml:space="preserve">(2020), key performance indicators or KPIs are types of performance measurements that allow understanding the success of organisations. It helps in consideration of both financial and non-financial elements for understanding business performance. In the case of Seacrest Lodge, KPIs can be used for tracking customer satisfaction rate, occupancy rate, average room rate, and overall profitability of the lodge. The performance of the lodge must be regularly reviewed and updated as per results of KPIs. Thus, even if there is slight variation in actual results as per turnaround strategy, corrective measures can be taken to boost overall organisational performance. The company can take assistance from a budget plan for controlling expenses and resource waste. As opined by </w:t>
      </w:r>
      <w:r w:rsidRPr="00A25326">
        <w:rPr>
          <w:rFonts w:ascii="Times New Roman" w:eastAsia="Times New Roman" w:hAnsi="Times New Roman" w:cs="Times New Roman"/>
          <w:color w:val="000000" w:themeColor="text1"/>
          <w:sz w:val="24"/>
          <w:szCs w:val="24"/>
          <w:highlight w:val="white"/>
        </w:rPr>
        <w:t xml:space="preserve">Valle-Cruz </w:t>
      </w:r>
      <w:r w:rsidRPr="00A25326">
        <w:rPr>
          <w:rFonts w:ascii="Times New Roman" w:eastAsia="Times New Roman" w:hAnsi="Times New Roman" w:cs="Times New Roman"/>
          <w:i/>
          <w:color w:val="000000" w:themeColor="text1"/>
          <w:sz w:val="24"/>
          <w:szCs w:val="24"/>
          <w:highlight w:val="white"/>
        </w:rPr>
        <w:t>et al.</w:t>
      </w:r>
      <w:r w:rsidRPr="00A25326">
        <w:rPr>
          <w:rFonts w:ascii="Times New Roman" w:eastAsia="Times New Roman" w:hAnsi="Times New Roman" w:cs="Times New Roman"/>
          <w:color w:val="000000" w:themeColor="text1"/>
          <w:sz w:val="24"/>
          <w:szCs w:val="24"/>
          <w:highlight w:val="white"/>
        </w:rPr>
        <w:t xml:space="preserve"> </w:t>
      </w:r>
      <w:r w:rsidRPr="00A25326">
        <w:rPr>
          <w:rFonts w:ascii="Times New Roman" w:eastAsia="Times New Roman" w:hAnsi="Times New Roman" w:cs="Times New Roman"/>
          <w:color w:val="000000" w:themeColor="text1"/>
          <w:sz w:val="24"/>
          <w:szCs w:val="24"/>
        </w:rPr>
        <w:t xml:space="preserve">(2022), a budget is a financial plan that helps in making an estimation of incomes and expenses for future periods and making resource allocations accordingly. Thus, if such a financial plan is being used in Seacrest Lodge, excessive spending can be avoided along with over or repurchasing of resources that can help boost profitability and liquidity.     </w:t>
      </w:r>
    </w:p>
    <w:p w14:paraId="19CED15E" w14:textId="5FC233F9" w:rsidR="004A68C8" w:rsidRPr="00A25326" w:rsidRDefault="004A68C8" w:rsidP="00902E4E">
      <w:pPr>
        <w:pStyle w:val="Heading1"/>
        <w:rPr>
          <w:color w:val="000000" w:themeColor="text1"/>
        </w:rPr>
      </w:pPr>
      <w:bookmarkStart w:id="19" w:name="_Toc159715123"/>
      <w:r w:rsidRPr="00A25326">
        <w:rPr>
          <w:color w:val="000000" w:themeColor="text1"/>
        </w:rPr>
        <w:t>Recommendations</w:t>
      </w:r>
      <w:bookmarkEnd w:id="19"/>
      <w:r w:rsidRPr="00A25326">
        <w:rPr>
          <w:color w:val="000000" w:themeColor="text1"/>
        </w:rPr>
        <w:t xml:space="preserve"> </w:t>
      </w:r>
    </w:p>
    <w:p w14:paraId="1ACB53C3" w14:textId="77777777" w:rsidR="00414B38" w:rsidRPr="00A25326" w:rsidRDefault="004A68C8" w:rsidP="00726163">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As per the overall analysis, it can be recommended that risk management can take place by Seacrest Lodge with help of financial monitoring.</w:t>
      </w:r>
    </w:p>
    <w:p w14:paraId="528B30C3" w14:textId="2334B975" w:rsidR="00414B38" w:rsidRPr="00A25326" w:rsidRDefault="004A68C8" w:rsidP="00726163">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The </w:t>
      </w:r>
      <w:r w:rsidR="00902E4E" w:rsidRPr="00A25326">
        <w:rPr>
          <w:rFonts w:ascii="Times New Roman" w:eastAsia="Times New Roman" w:hAnsi="Times New Roman" w:cs="Times New Roman"/>
          <w:color w:val="000000" w:themeColor="text1"/>
          <w:sz w:val="24"/>
          <w:szCs w:val="24"/>
        </w:rPr>
        <w:t>company</w:t>
      </w:r>
      <w:r w:rsidRPr="00A25326">
        <w:rPr>
          <w:rFonts w:ascii="Times New Roman" w:eastAsia="Times New Roman" w:hAnsi="Times New Roman" w:cs="Times New Roman"/>
          <w:color w:val="000000" w:themeColor="text1"/>
          <w:sz w:val="24"/>
          <w:szCs w:val="24"/>
        </w:rPr>
        <w:t xml:space="preserve"> need to </w:t>
      </w:r>
      <w:r w:rsidR="00902E4E" w:rsidRPr="00A25326">
        <w:rPr>
          <w:rFonts w:ascii="Times New Roman" w:eastAsia="Times New Roman" w:hAnsi="Times New Roman" w:cs="Times New Roman"/>
          <w:color w:val="000000" w:themeColor="text1"/>
          <w:sz w:val="24"/>
          <w:szCs w:val="24"/>
        </w:rPr>
        <w:t>keep</w:t>
      </w:r>
      <w:r w:rsidRPr="00A25326">
        <w:rPr>
          <w:rFonts w:ascii="Times New Roman" w:eastAsia="Times New Roman" w:hAnsi="Times New Roman" w:cs="Times New Roman"/>
          <w:color w:val="000000" w:themeColor="text1"/>
          <w:sz w:val="24"/>
          <w:szCs w:val="24"/>
        </w:rPr>
        <w:t xml:space="preserve"> robust financial monitoring system for tracking revenue, </w:t>
      </w:r>
      <w:r w:rsidR="00902E4E" w:rsidRPr="00A25326">
        <w:rPr>
          <w:rFonts w:ascii="Times New Roman" w:eastAsia="Times New Roman" w:hAnsi="Times New Roman" w:cs="Times New Roman"/>
          <w:color w:val="000000" w:themeColor="text1"/>
          <w:sz w:val="24"/>
          <w:szCs w:val="24"/>
        </w:rPr>
        <w:t>profit</w:t>
      </w:r>
      <w:r w:rsidRPr="00A25326">
        <w:rPr>
          <w:rFonts w:ascii="Times New Roman" w:eastAsia="Times New Roman" w:hAnsi="Times New Roman" w:cs="Times New Roman"/>
          <w:color w:val="000000" w:themeColor="text1"/>
          <w:sz w:val="24"/>
          <w:szCs w:val="24"/>
        </w:rPr>
        <w:t xml:space="preserve"> margins, and expenditure. Risk can be associated with turnaround </w:t>
      </w:r>
      <w:r w:rsidR="00902E4E" w:rsidRPr="00A25326">
        <w:rPr>
          <w:rFonts w:ascii="Times New Roman" w:eastAsia="Times New Roman" w:hAnsi="Times New Roman" w:cs="Times New Roman"/>
          <w:color w:val="000000" w:themeColor="text1"/>
          <w:sz w:val="24"/>
          <w:szCs w:val="24"/>
        </w:rPr>
        <w:t>strategy</w:t>
      </w:r>
      <w:r w:rsidRPr="00A25326">
        <w:rPr>
          <w:rFonts w:ascii="Times New Roman" w:eastAsia="Times New Roman" w:hAnsi="Times New Roman" w:cs="Times New Roman"/>
          <w:color w:val="000000" w:themeColor="text1"/>
          <w:sz w:val="24"/>
          <w:szCs w:val="24"/>
        </w:rPr>
        <w:t xml:space="preserve"> used by Seacrest Lodge. </w:t>
      </w:r>
    </w:p>
    <w:p w14:paraId="34155A7D" w14:textId="77777777" w:rsidR="00414B38" w:rsidRPr="00A25326" w:rsidRDefault="004A68C8" w:rsidP="00726163">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It </w:t>
      </w:r>
      <w:r w:rsidR="00902E4E" w:rsidRPr="00A25326">
        <w:rPr>
          <w:rFonts w:ascii="Times New Roman" w:eastAsia="Times New Roman" w:hAnsi="Times New Roman" w:cs="Times New Roman"/>
          <w:color w:val="000000" w:themeColor="text1"/>
          <w:sz w:val="24"/>
          <w:szCs w:val="24"/>
        </w:rPr>
        <w:t>is</w:t>
      </w:r>
      <w:r w:rsidRPr="00A25326">
        <w:rPr>
          <w:rFonts w:ascii="Times New Roman" w:eastAsia="Times New Roman" w:hAnsi="Times New Roman" w:cs="Times New Roman"/>
          <w:color w:val="000000" w:themeColor="text1"/>
          <w:sz w:val="24"/>
          <w:szCs w:val="24"/>
        </w:rPr>
        <w:t xml:space="preserve"> </w:t>
      </w:r>
      <w:r w:rsidR="00902E4E" w:rsidRPr="00A25326">
        <w:rPr>
          <w:rFonts w:ascii="Times New Roman" w:eastAsia="Times New Roman" w:hAnsi="Times New Roman" w:cs="Times New Roman"/>
          <w:color w:val="000000" w:themeColor="text1"/>
          <w:sz w:val="24"/>
          <w:szCs w:val="24"/>
        </w:rPr>
        <w:t>recommended</w:t>
      </w:r>
      <w:r w:rsidRPr="00A25326">
        <w:rPr>
          <w:rFonts w:ascii="Times New Roman" w:eastAsia="Times New Roman" w:hAnsi="Times New Roman" w:cs="Times New Roman"/>
          <w:color w:val="000000" w:themeColor="text1"/>
          <w:sz w:val="24"/>
          <w:szCs w:val="24"/>
        </w:rPr>
        <w:t xml:space="preserve"> to use benchmarks for adjusting the strategies based on their performance. For profit generation, it is </w:t>
      </w:r>
      <w:r w:rsidR="00902E4E" w:rsidRPr="00A25326">
        <w:rPr>
          <w:rFonts w:ascii="Times New Roman" w:eastAsia="Times New Roman" w:hAnsi="Times New Roman" w:cs="Times New Roman"/>
          <w:color w:val="000000" w:themeColor="text1"/>
          <w:sz w:val="24"/>
          <w:szCs w:val="24"/>
        </w:rPr>
        <w:t>recommended</w:t>
      </w:r>
      <w:r w:rsidRPr="00A25326">
        <w:rPr>
          <w:rFonts w:ascii="Times New Roman" w:eastAsia="Times New Roman" w:hAnsi="Times New Roman" w:cs="Times New Roman"/>
          <w:color w:val="000000" w:themeColor="text1"/>
          <w:sz w:val="24"/>
          <w:szCs w:val="24"/>
        </w:rPr>
        <w:t xml:space="preserve"> that ensuring revenue </w:t>
      </w:r>
      <w:r w:rsidR="00902E4E" w:rsidRPr="00A25326">
        <w:rPr>
          <w:rFonts w:ascii="Times New Roman" w:eastAsia="Times New Roman" w:hAnsi="Times New Roman" w:cs="Times New Roman"/>
          <w:color w:val="000000" w:themeColor="text1"/>
          <w:sz w:val="24"/>
          <w:szCs w:val="24"/>
        </w:rPr>
        <w:t>diversification</w:t>
      </w:r>
      <w:r w:rsidRPr="00A25326">
        <w:rPr>
          <w:rFonts w:ascii="Times New Roman" w:eastAsia="Times New Roman" w:hAnsi="Times New Roman" w:cs="Times New Roman"/>
          <w:color w:val="000000" w:themeColor="text1"/>
          <w:sz w:val="24"/>
          <w:szCs w:val="24"/>
        </w:rPr>
        <w:t xml:space="preserve"> can be </w:t>
      </w:r>
      <w:r w:rsidR="00902E4E" w:rsidRPr="00A25326">
        <w:rPr>
          <w:rFonts w:ascii="Times New Roman" w:eastAsia="Times New Roman" w:hAnsi="Times New Roman" w:cs="Times New Roman"/>
          <w:color w:val="000000" w:themeColor="text1"/>
          <w:sz w:val="24"/>
          <w:szCs w:val="24"/>
        </w:rPr>
        <w:t>helpful</w:t>
      </w:r>
      <w:r w:rsidRPr="00A25326">
        <w:rPr>
          <w:rFonts w:ascii="Times New Roman" w:eastAsia="Times New Roman" w:hAnsi="Times New Roman" w:cs="Times New Roman"/>
          <w:color w:val="000000" w:themeColor="text1"/>
          <w:sz w:val="24"/>
          <w:szCs w:val="24"/>
        </w:rPr>
        <w:t xml:space="preserve">. Apart from accommodation, </w:t>
      </w:r>
    </w:p>
    <w:p w14:paraId="0B01F58A" w14:textId="323D320C" w:rsidR="004A68C8" w:rsidRPr="00A25326" w:rsidRDefault="004A68C8" w:rsidP="00726163">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Seacrest Lodge can offer </w:t>
      </w:r>
      <w:r w:rsidR="00902E4E" w:rsidRPr="00A25326">
        <w:rPr>
          <w:rFonts w:ascii="Times New Roman" w:eastAsia="Times New Roman" w:hAnsi="Times New Roman" w:cs="Times New Roman"/>
          <w:color w:val="000000" w:themeColor="text1"/>
          <w:sz w:val="24"/>
          <w:szCs w:val="24"/>
        </w:rPr>
        <w:t>dining</w:t>
      </w:r>
      <w:r w:rsidRPr="00A25326">
        <w:rPr>
          <w:rFonts w:ascii="Times New Roman" w:eastAsia="Times New Roman" w:hAnsi="Times New Roman" w:cs="Times New Roman"/>
          <w:color w:val="000000" w:themeColor="text1"/>
          <w:sz w:val="24"/>
          <w:szCs w:val="24"/>
        </w:rPr>
        <w:t xml:space="preserve"> experience, recreational </w:t>
      </w:r>
      <w:r w:rsidR="00902E4E" w:rsidRPr="00A25326">
        <w:rPr>
          <w:rFonts w:ascii="Times New Roman" w:eastAsia="Times New Roman" w:hAnsi="Times New Roman" w:cs="Times New Roman"/>
          <w:color w:val="000000" w:themeColor="text1"/>
          <w:sz w:val="24"/>
          <w:szCs w:val="24"/>
        </w:rPr>
        <w:t>activities,</w:t>
      </w:r>
      <w:r w:rsidRPr="00A25326">
        <w:rPr>
          <w:rFonts w:ascii="Times New Roman" w:eastAsia="Times New Roman" w:hAnsi="Times New Roman" w:cs="Times New Roman"/>
          <w:color w:val="000000" w:themeColor="text1"/>
          <w:sz w:val="24"/>
          <w:szCs w:val="24"/>
        </w:rPr>
        <w:t xml:space="preserve"> and spa treatment for attracting customers. Focus can be made on </w:t>
      </w:r>
      <w:r w:rsidR="00902E4E" w:rsidRPr="00A25326">
        <w:rPr>
          <w:rFonts w:ascii="Times New Roman" w:eastAsia="Times New Roman" w:hAnsi="Times New Roman" w:cs="Times New Roman"/>
          <w:color w:val="000000" w:themeColor="text1"/>
          <w:sz w:val="24"/>
          <w:szCs w:val="24"/>
        </w:rPr>
        <w:t xml:space="preserve">enhancing occupancy rate, betters revuces at affordable prices, and improved guest satisfaction through turnaround strategy. </w:t>
      </w:r>
    </w:p>
    <w:p w14:paraId="722651B9" w14:textId="77777777" w:rsidR="00726163" w:rsidRPr="00A25326" w:rsidRDefault="00726163" w:rsidP="00E35FEC">
      <w:pPr>
        <w:pStyle w:val="Heading1"/>
        <w:rPr>
          <w:color w:val="000000" w:themeColor="text1"/>
        </w:rPr>
      </w:pPr>
      <w:bookmarkStart w:id="20" w:name="_Toc159715124"/>
      <w:r w:rsidRPr="00A25326">
        <w:rPr>
          <w:color w:val="000000" w:themeColor="text1"/>
        </w:rPr>
        <w:lastRenderedPageBreak/>
        <w:t>Conclusion</w:t>
      </w:r>
      <w:bookmarkEnd w:id="20"/>
      <w:r w:rsidRPr="00A25326">
        <w:rPr>
          <w:color w:val="000000" w:themeColor="text1"/>
        </w:rPr>
        <w:t xml:space="preserve">  </w:t>
      </w:r>
    </w:p>
    <w:p w14:paraId="431A0FA2" w14:textId="77777777" w:rsidR="00726163" w:rsidRPr="00A25326" w:rsidRDefault="00726163" w:rsidP="00726163">
      <w:pPr>
        <w:spacing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As per the overall analysis, Seacrest Lodge has increased debt capital along with declining profitability in the last three years. The declining trend in profitability and liquidity ratio of this company has been found with a high risk of insolvency. Main reason for the declining performance of the company was its inability to perform well in post-Covid situation, and its inability to meet market demand and services as per modern customers' needs. The turnaround strategy that can be used by this company is revenue diversification, focusing on marketing, modernising services, technological advancement, and focusing on customer experience. </w:t>
      </w:r>
    </w:p>
    <w:p w14:paraId="2BF6AA9A" w14:textId="165374E4" w:rsidR="00286553" w:rsidRPr="00A25326" w:rsidRDefault="0010610B" w:rsidP="00D06A07">
      <w:pPr>
        <w:spacing w:line="360" w:lineRule="auto"/>
        <w:jc w:val="both"/>
        <w:rPr>
          <w:rFonts w:ascii="Times New Roman" w:eastAsia="Times New Roman" w:hAnsi="Times New Roman" w:cs="Times New Roman"/>
          <w:color w:val="000000" w:themeColor="text1"/>
          <w:sz w:val="24"/>
          <w:szCs w:val="24"/>
        </w:rPr>
      </w:pPr>
      <w:r w:rsidRPr="00A25326">
        <w:rPr>
          <w:rFonts w:ascii="Times New Roman" w:hAnsi="Times New Roman" w:cs="Times New Roman"/>
          <w:color w:val="000000" w:themeColor="text1"/>
        </w:rPr>
        <w:br w:type="page"/>
      </w:r>
    </w:p>
    <w:p w14:paraId="30FB9064" w14:textId="77777777" w:rsidR="00286553" w:rsidRPr="00A25326" w:rsidRDefault="0010610B" w:rsidP="00D06A07">
      <w:pPr>
        <w:pStyle w:val="Heading1"/>
        <w:spacing w:before="240" w:after="240"/>
        <w:rPr>
          <w:color w:val="000000" w:themeColor="text1"/>
        </w:rPr>
      </w:pPr>
      <w:bookmarkStart w:id="21" w:name="_ocvxvregxi1u" w:colFirst="0" w:colLast="0"/>
      <w:bookmarkStart w:id="22" w:name="_Toc159715125"/>
      <w:bookmarkEnd w:id="21"/>
      <w:r w:rsidRPr="00A25326">
        <w:rPr>
          <w:color w:val="000000" w:themeColor="text1"/>
        </w:rPr>
        <w:lastRenderedPageBreak/>
        <w:t>References</w:t>
      </w:r>
      <w:bookmarkEnd w:id="22"/>
    </w:p>
    <w:p w14:paraId="31A42759" w14:textId="77777777" w:rsidR="00A25326" w:rsidRPr="00A25326" w:rsidRDefault="00A25326" w:rsidP="00D06A07">
      <w:pPr>
        <w:spacing w:before="240" w:after="240"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ACCA, (2024). </w:t>
      </w:r>
      <w:r w:rsidRPr="00A25326">
        <w:rPr>
          <w:rFonts w:ascii="Times New Roman" w:eastAsia="Times New Roman" w:hAnsi="Times New Roman" w:cs="Times New Roman"/>
          <w:i/>
          <w:color w:val="000000" w:themeColor="text1"/>
          <w:sz w:val="24"/>
          <w:szCs w:val="24"/>
        </w:rPr>
        <w:t>Ratio analysis</w:t>
      </w:r>
      <w:r w:rsidRPr="00A25326">
        <w:rPr>
          <w:rFonts w:ascii="Times New Roman" w:eastAsia="Times New Roman" w:hAnsi="Times New Roman" w:cs="Times New Roman"/>
          <w:color w:val="000000" w:themeColor="text1"/>
          <w:sz w:val="24"/>
          <w:szCs w:val="24"/>
        </w:rPr>
        <w:t>. Available at: https://www.accaglobal.com/gb/en/student/exam-support-resources/fundamentals-exams-study-resources/f2/technical-articles/ratio-analysis.html#:~:text=FMA%2FMA%20candidates%20are%20expected,activity%20(efficiency)%20and%20gearing. [Accessed on: 10th February 2024].</w:t>
      </w:r>
    </w:p>
    <w:p w14:paraId="018657BA" w14:textId="77777777" w:rsidR="00A25326" w:rsidRPr="00A25326" w:rsidRDefault="00A25326" w:rsidP="00D06A07">
      <w:pPr>
        <w:spacing w:before="240" w:after="240"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Atrill, P. and McLaney, E., (2007). Management Accounting for Decision Makers, FT Prentice Hall. </w:t>
      </w:r>
      <w:r w:rsidRPr="00A25326">
        <w:rPr>
          <w:rFonts w:ascii="Times New Roman" w:eastAsia="Times New Roman" w:hAnsi="Times New Roman" w:cs="Times New Roman"/>
          <w:i/>
          <w:color w:val="000000" w:themeColor="text1"/>
          <w:sz w:val="24"/>
          <w:szCs w:val="24"/>
        </w:rPr>
        <w:t>Financial times, Pearson Education London, New York, Boston</w:t>
      </w:r>
      <w:r w:rsidRPr="00A25326">
        <w:rPr>
          <w:rFonts w:ascii="Times New Roman" w:eastAsia="Times New Roman" w:hAnsi="Times New Roman" w:cs="Times New Roman"/>
          <w:color w:val="000000" w:themeColor="text1"/>
          <w:sz w:val="24"/>
          <w:szCs w:val="24"/>
        </w:rPr>
        <w:t>.</w:t>
      </w:r>
    </w:p>
    <w:p w14:paraId="19E03E9C" w14:textId="77777777" w:rsidR="00A25326" w:rsidRPr="00A25326" w:rsidRDefault="00A25326" w:rsidP="00D06A07">
      <w:pPr>
        <w:spacing w:before="240" w:after="240"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Colline, F., (2022). The Mediating Effect of Debt Equity Ratio on The Effect of current ratio, return on equity and total asset turnover on price to book value. </w:t>
      </w:r>
      <w:r w:rsidRPr="00A25326">
        <w:rPr>
          <w:rFonts w:ascii="Times New Roman" w:eastAsia="Times New Roman" w:hAnsi="Times New Roman" w:cs="Times New Roman"/>
          <w:i/>
          <w:color w:val="000000" w:themeColor="text1"/>
          <w:sz w:val="24"/>
          <w:szCs w:val="24"/>
        </w:rPr>
        <w:t>Jurnal Keuangan dan Perbankan</w:t>
      </w: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i/>
          <w:color w:val="000000" w:themeColor="text1"/>
          <w:sz w:val="24"/>
          <w:szCs w:val="24"/>
        </w:rPr>
        <w:t>26</w:t>
      </w:r>
      <w:r w:rsidRPr="00A25326">
        <w:rPr>
          <w:rFonts w:ascii="Times New Roman" w:eastAsia="Times New Roman" w:hAnsi="Times New Roman" w:cs="Times New Roman"/>
          <w:color w:val="000000" w:themeColor="text1"/>
          <w:sz w:val="24"/>
          <w:szCs w:val="24"/>
        </w:rPr>
        <w:t>(1), pp.75-90.</w:t>
      </w:r>
    </w:p>
    <w:p w14:paraId="4ACE9773" w14:textId="77777777" w:rsidR="00A25326" w:rsidRPr="00A25326" w:rsidRDefault="00A25326" w:rsidP="00E35FEC">
      <w:pPr>
        <w:spacing w:before="240" w:line="360" w:lineRule="auto"/>
        <w:jc w:val="both"/>
        <w:rPr>
          <w:rFonts w:ascii="Times New Roman" w:hAnsi="Times New Roman" w:cs="Times New Roman"/>
          <w:color w:val="000000" w:themeColor="text1"/>
          <w:sz w:val="24"/>
          <w:szCs w:val="24"/>
          <w:shd w:val="clear" w:color="auto" w:fill="FFFFFF"/>
        </w:rPr>
      </w:pPr>
      <w:r w:rsidRPr="00A25326">
        <w:rPr>
          <w:rFonts w:ascii="Times New Roman" w:hAnsi="Times New Roman" w:cs="Times New Roman"/>
          <w:color w:val="000000" w:themeColor="text1"/>
          <w:sz w:val="24"/>
          <w:szCs w:val="24"/>
          <w:shd w:val="clear" w:color="auto" w:fill="FFFFFF"/>
        </w:rPr>
        <w:t>Cruz Villazón, C., Sastoque Pinilla, L., Otegi Olaso, J.R., Toledo Gandarias, N. and López de Lacalle, N., (2020). Identification of key performance indicators in project-based organisations through the lean approach. </w:t>
      </w:r>
      <w:r w:rsidRPr="00A25326">
        <w:rPr>
          <w:rFonts w:ascii="Times New Roman" w:hAnsi="Times New Roman" w:cs="Times New Roman"/>
          <w:i/>
          <w:iCs/>
          <w:color w:val="000000" w:themeColor="text1"/>
          <w:sz w:val="24"/>
          <w:szCs w:val="24"/>
          <w:shd w:val="clear" w:color="auto" w:fill="FFFFFF"/>
        </w:rPr>
        <w:t>Sustainability</w:t>
      </w:r>
      <w:r w:rsidRPr="00A25326">
        <w:rPr>
          <w:rFonts w:ascii="Times New Roman" w:hAnsi="Times New Roman" w:cs="Times New Roman"/>
          <w:color w:val="000000" w:themeColor="text1"/>
          <w:sz w:val="24"/>
          <w:szCs w:val="24"/>
          <w:shd w:val="clear" w:color="auto" w:fill="FFFFFF"/>
        </w:rPr>
        <w:t>, </w:t>
      </w:r>
      <w:r w:rsidRPr="00A25326">
        <w:rPr>
          <w:rFonts w:ascii="Times New Roman" w:hAnsi="Times New Roman" w:cs="Times New Roman"/>
          <w:i/>
          <w:iCs/>
          <w:color w:val="000000" w:themeColor="text1"/>
          <w:sz w:val="24"/>
          <w:szCs w:val="24"/>
          <w:shd w:val="clear" w:color="auto" w:fill="FFFFFF"/>
        </w:rPr>
        <w:t>12</w:t>
      </w:r>
      <w:r w:rsidRPr="00A25326">
        <w:rPr>
          <w:rFonts w:ascii="Times New Roman" w:hAnsi="Times New Roman" w:cs="Times New Roman"/>
          <w:color w:val="000000" w:themeColor="text1"/>
          <w:sz w:val="24"/>
          <w:szCs w:val="24"/>
          <w:shd w:val="clear" w:color="auto" w:fill="FFFFFF"/>
        </w:rPr>
        <w:t>(15), pp.59-77.</w:t>
      </w:r>
    </w:p>
    <w:p w14:paraId="729505A2" w14:textId="77777777" w:rsidR="00A25326" w:rsidRPr="00A25326" w:rsidRDefault="00A25326" w:rsidP="00D06A07">
      <w:pPr>
        <w:spacing w:before="240" w:after="240"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Djohan, D., (2023). The Analysis of Liquidity Ratio as Tool to Measure Financial Position in PT. Iplug Indonesia at Medan. </w:t>
      </w:r>
      <w:r w:rsidRPr="00A25326">
        <w:rPr>
          <w:rFonts w:ascii="Times New Roman" w:eastAsia="Times New Roman" w:hAnsi="Times New Roman" w:cs="Times New Roman"/>
          <w:i/>
          <w:color w:val="000000" w:themeColor="text1"/>
          <w:sz w:val="24"/>
          <w:szCs w:val="24"/>
        </w:rPr>
        <w:t>International Journal of Health, Economics, and Social Sciences (IJHESS)</w:t>
      </w: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i/>
          <w:color w:val="000000" w:themeColor="text1"/>
          <w:sz w:val="24"/>
          <w:szCs w:val="24"/>
        </w:rPr>
        <w:t>5</w:t>
      </w:r>
      <w:r w:rsidRPr="00A25326">
        <w:rPr>
          <w:rFonts w:ascii="Times New Roman" w:eastAsia="Times New Roman" w:hAnsi="Times New Roman" w:cs="Times New Roman"/>
          <w:color w:val="000000" w:themeColor="text1"/>
          <w:sz w:val="24"/>
          <w:szCs w:val="24"/>
        </w:rPr>
        <w:t>(3), pp.322-327.</w:t>
      </w:r>
    </w:p>
    <w:p w14:paraId="5A05FAD5" w14:textId="77777777" w:rsidR="00A25326" w:rsidRPr="00A25326" w:rsidRDefault="00A25326" w:rsidP="00D06A07">
      <w:pPr>
        <w:spacing w:before="240" w:after="240"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Fridson, M.S. and Alvarez, F., (2022). </w:t>
      </w:r>
      <w:r w:rsidRPr="00A25326">
        <w:rPr>
          <w:rFonts w:ascii="Times New Roman" w:eastAsia="Times New Roman" w:hAnsi="Times New Roman" w:cs="Times New Roman"/>
          <w:i/>
          <w:color w:val="000000" w:themeColor="text1"/>
          <w:sz w:val="24"/>
          <w:szCs w:val="24"/>
        </w:rPr>
        <w:t>Financial statement analysis: a practitioner's guide</w:t>
      </w:r>
      <w:r w:rsidRPr="00A25326">
        <w:rPr>
          <w:rFonts w:ascii="Times New Roman" w:eastAsia="Times New Roman" w:hAnsi="Times New Roman" w:cs="Times New Roman"/>
          <w:color w:val="000000" w:themeColor="text1"/>
          <w:sz w:val="24"/>
          <w:szCs w:val="24"/>
        </w:rPr>
        <w:t>. John Wiley &amp; Sons.</w:t>
      </w:r>
    </w:p>
    <w:p w14:paraId="32749545" w14:textId="77777777" w:rsidR="00A25326" w:rsidRPr="00A25326" w:rsidRDefault="00A25326" w:rsidP="00E35FEC">
      <w:pPr>
        <w:spacing w:before="240" w:line="360" w:lineRule="auto"/>
        <w:jc w:val="both"/>
        <w:rPr>
          <w:rFonts w:ascii="Times New Roman" w:hAnsi="Times New Roman" w:cs="Times New Roman"/>
          <w:color w:val="000000" w:themeColor="text1"/>
          <w:sz w:val="24"/>
          <w:szCs w:val="24"/>
        </w:rPr>
      </w:pPr>
      <w:r w:rsidRPr="00A25326">
        <w:rPr>
          <w:rFonts w:ascii="Times New Roman" w:hAnsi="Times New Roman" w:cs="Times New Roman"/>
          <w:color w:val="000000" w:themeColor="text1"/>
          <w:sz w:val="24"/>
          <w:szCs w:val="24"/>
        </w:rPr>
        <w:t xml:space="preserve">Ibisworld (2024). </w:t>
      </w:r>
      <w:r w:rsidRPr="00A25326">
        <w:rPr>
          <w:rFonts w:ascii="Times New Roman" w:hAnsi="Times New Roman" w:cs="Times New Roman"/>
          <w:i/>
          <w:iCs/>
          <w:color w:val="000000" w:themeColor="text1"/>
          <w:sz w:val="24"/>
          <w:szCs w:val="24"/>
        </w:rPr>
        <w:t>About global hospitality industry.</w:t>
      </w:r>
      <w:r w:rsidRPr="00A25326">
        <w:rPr>
          <w:rFonts w:ascii="Times New Roman" w:hAnsi="Times New Roman" w:cs="Times New Roman"/>
          <w:color w:val="000000" w:themeColor="text1"/>
          <w:sz w:val="24"/>
          <w:szCs w:val="24"/>
        </w:rPr>
        <w:t xml:space="preserve"> Available at: https://www.ibisworld.com/global/market-size/global-hotels-resorts/[Accessed on 20</w:t>
      </w:r>
      <w:r w:rsidRPr="00A25326">
        <w:rPr>
          <w:rFonts w:ascii="Times New Roman" w:hAnsi="Times New Roman" w:cs="Times New Roman"/>
          <w:color w:val="000000" w:themeColor="text1"/>
          <w:sz w:val="24"/>
          <w:szCs w:val="24"/>
          <w:vertAlign w:val="superscript"/>
        </w:rPr>
        <w:t>th</w:t>
      </w:r>
      <w:r w:rsidRPr="00A25326">
        <w:rPr>
          <w:rFonts w:ascii="Times New Roman" w:hAnsi="Times New Roman" w:cs="Times New Roman"/>
          <w:color w:val="000000" w:themeColor="text1"/>
          <w:sz w:val="24"/>
          <w:szCs w:val="24"/>
        </w:rPr>
        <w:t xml:space="preserve"> January 2024]</w:t>
      </w:r>
    </w:p>
    <w:p w14:paraId="3D8F5461" w14:textId="77777777" w:rsidR="00A25326" w:rsidRPr="00A25326" w:rsidRDefault="00A25326" w:rsidP="00D06A07">
      <w:pPr>
        <w:spacing w:before="240" w:after="240"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Indrayono, Y., (2022). Improper Uses of Stock Price Variables in Empirical Research: A Review Article. </w:t>
      </w:r>
      <w:r w:rsidRPr="00A25326">
        <w:rPr>
          <w:rFonts w:ascii="Times New Roman" w:eastAsia="Times New Roman" w:hAnsi="Times New Roman" w:cs="Times New Roman"/>
          <w:i/>
          <w:color w:val="000000" w:themeColor="text1"/>
          <w:sz w:val="24"/>
          <w:szCs w:val="24"/>
        </w:rPr>
        <w:t>Journal of Business and Management Studies</w:t>
      </w: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i/>
          <w:color w:val="000000" w:themeColor="text1"/>
          <w:sz w:val="24"/>
          <w:szCs w:val="24"/>
        </w:rPr>
        <w:t>4</w:t>
      </w:r>
      <w:r w:rsidRPr="00A25326">
        <w:rPr>
          <w:rFonts w:ascii="Times New Roman" w:eastAsia="Times New Roman" w:hAnsi="Times New Roman" w:cs="Times New Roman"/>
          <w:color w:val="000000" w:themeColor="text1"/>
          <w:sz w:val="24"/>
          <w:szCs w:val="24"/>
        </w:rPr>
        <w:t>(3), pp.91-103.</w:t>
      </w:r>
    </w:p>
    <w:p w14:paraId="3EA4DEB0" w14:textId="77777777" w:rsidR="00A25326" w:rsidRPr="00A25326" w:rsidRDefault="00A25326" w:rsidP="00E35FEC">
      <w:pPr>
        <w:spacing w:before="240" w:line="360" w:lineRule="auto"/>
        <w:jc w:val="both"/>
        <w:rPr>
          <w:rFonts w:ascii="Times New Roman" w:hAnsi="Times New Roman" w:cs="Times New Roman"/>
          <w:color w:val="000000" w:themeColor="text1"/>
          <w:sz w:val="24"/>
          <w:szCs w:val="24"/>
          <w:shd w:val="clear" w:color="auto" w:fill="FFFFFF"/>
        </w:rPr>
      </w:pPr>
      <w:r w:rsidRPr="00A25326">
        <w:rPr>
          <w:rFonts w:ascii="Times New Roman" w:hAnsi="Times New Roman" w:cs="Times New Roman"/>
          <w:color w:val="000000" w:themeColor="text1"/>
          <w:sz w:val="24"/>
          <w:szCs w:val="24"/>
          <w:shd w:val="clear" w:color="auto" w:fill="FFFFFF"/>
        </w:rPr>
        <w:t>Kenney, M., Bearson, D. and Zysman, J., (2021). The platform economy matures: measuring pervasiveness and exploring power. </w:t>
      </w:r>
      <w:r w:rsidRPr="00A25326">
        <w:rPr>
          <w:rFonts w:ascii="Times New Roman" w:hAnsi="Times New Roman" w:cs="Times New Roman"/>
          <w:i/>
          <w:iCs/>
          <w:color w:val="000000" w:themeColor="text1"/>
          <w:sz w:val="24"/>
          <w:szCs w:val="24"/>
          <w:shd w:val="clear" w:color="auto" w:fill="FFFFFF"/>
        </w:rPr>
        <w:t>Socio-economic review</w:t>
      </w:r>
      <w:r w:rsidRPr="00A25326">
        <w:rPr>
          <w:rFonts w:ascii="Times New Roman" w:hAnsi="Times New Roman" w:cs="Times New Roman"/>
          <w:color w:val="000000" w:themeColor="text1"/>
          <w:sz w:val="24"/>
          <w:szCs w:val="24"/>
          <w:shd w:val="clear" w:color="auto" w:fill="FFFFFF"/>
        </w:rPr>
        <w:t>, </w:t>
      </w:r>
      <w:r w:rsidRPr="00A25326">
        <w:rPr>
          <w:rFonts w:ascii="Times New Roman" w:hAnsi="Times New Roman" w:cs="Times New Roman"/>
          <w:i/>
          <w:iCs/>
          <w:color w:val="000000" w:themeColor="text1"/>
          <w:sz w:val="24"/>
          <w:szCs w:val="24"/>
          <w:shd w:val="clear" w:color="auto" w:fill="FFFFFF"/>
        </w:rPr>
        <w:t>19</w:t>
      </w:r>
      <w:r w:rsidRPr="00A25326">
        <w:rPr>
          <w:rFonts w:ascii="Times New Roman" w:hAnsi="Times New Roman" w:cs="Times New Roman"/>
          <w:color w:val="000000" w:themeColor="text1"/>
          <w:sz w:val="24"/>
          <w:szCs w:val="24"/>
          <w:shd w:val="clear" w:color="auto" w:fill="FFFFFF"/>
        </w:rPr>
        <w:t>(4), pp.1451-1483.</w:t>
      </w:r>
    </w:p>
    <w:p w14:paraId="55FFCA6C" w14:textId="77777777" w:rsidR="00A25326" w:rsidRPr="00A25326" w:rsidRDefault="00A25326" w:rsidP="00D06A07">
      <w:pPr>
        <w:spacing w:before="240" w:after="240"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Lubis, S.S., (2023). Identify Financial Ratios to Measure The Company's Financial Performance. </w:t>
      </w:r>
      <w:r w:rsidRPr="00A25326">
        <w:rPr>
          <w:rFonts w:ascii="Times New Roman" w:eastAsia="Times New Roman" w:hAnsi="Times New Roman" w:cs="Times New Roman"/>
          <w:i/>
          <w:color w:val="000000" w:themeColor="text1"/>
          <w:sz w:val="24"/>
          <w:szCs w:val="24"/>
        </w:rPr>
        <w:t>Journal of Economics Business Industry</w:t>
      </w: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i/>
          <w:color w:val="000000" w:themeColor="text1"/>
          <w:sz w:val="24"/>
          <w:szCs w:val="24"/>
        </w:rPr>
        <w:t>1</w:t>
      </w:r>
      <w:r w:rsidRPr="00A25326">
        <w:rPr>
          <w:rFonts w:ascii="Times New Roman" w:eastAsia="Times New Roman" w:hAnsi="Times New Roman" w:cs="Times New Roman"/>
          <w:color w:val="000000" w:themeColor="text1"/>
          <w:sz w:val="24"/>
          <w:szCs w:val="24"/>
        </w:rPr>
        <w:t>(1), pp.1-9.</w:t>
      </w:r>
    </w:p>
    <w:p w14:paraId="51056BD2" w14:textId="77777777" w:rsidR="00A25326" w:rsidRPr="00A25326" w:rsidRDefault="00A25326" w:rsidP="00E35FEC">
      <w:pPr>
        <w:spacing w:before="240" w:line="360" w:lineRule="auto"/>
        <w:jc w:val="both"/>
        <w:rPr>
          <w:rFonts w:ascii="Times New Roman" w:hAnsi="Times New Roman" w:cs="Times New Roman"/>
          <w:color w:val="000000" w:themeColor="text1"/>
          <w:sz w:val="24"/>
          <w:szCs w:val="24"/>
          <w:shd w:val="clear" w:color="auto" w:fill="FFFFFF"/>
        </w:rPr>
      </w:pPr>
      <w:r w:rsidRPr="00A25326">
        <w:rPr>
          <w:rFonts w:ascii="Times New Roman" w:hAnsi="Times New Roman" w:cs="Times New Roman"/>
          <w:color w:val="000000" w:themeColor="text1"/>
          <w:sz w:val="24"/>
          <w:szCs w:val="24"/>
          <w:shd w:val="clear" w:color="auto" w:fill="FFFFFF"/>
        </w:rPr>
        <w:lastRenderedPageBreak/>
        <w:t>Rico, M., Pandit, N.R. and Puig, F., (2021). SME insolvency, bankruptcy, and survival: An examination of retrenchment strategies. </w:t>
      </w:r>
      <w:r w:rsidRPr="00A25326">
        <w:rPr>
          <w:rFonts w:ascii="Times New Roman" w:hAnsi="Times New Roman" w:cs="Times New Roman"/>
          <w:i/>
          <w:iCs/>
          <w:color w:val="000000" w:themeColor="text1"/>
          <w:sz w:val="24"/>
          <w:szCs w:val="24"/>
          <w:shd w:val="clear" w:color="auto" w:fill="FFFFFF"/>
        </w:rPr>
        <w:t>Small Business Economics</w:t>
      </w:r>
      <w:r w:rsidRPr="00A25326">
        <w:rPr>
          <w:rFonts w:ascii="Times New Roman" w:hAnsi="Times New Roman" w:cs="Times New Roman"/>
          <w:color w:val="000000" w:themeColor="text1"/>
          <w:sz w:val="24"/>
          <w:szCs w:val="24"/>
          <w:shd w:val="clear" w:color="auto" w:fill="FFFFFF"/>
        </w:rPr>
        <w:t>, </w:t>
      </w:r>
      <w:r w:rsidRPr="00A25326">
        <w:rPr>
          <w:rFonts w:ascii="Times New Roman" w:hAnsi="Times New Roman" w:cs="Times New Roman"/>
          <w:i/>
          <w:iCs/>
          <w:color w:val="000000" w:themeColor="text1"/>
          <w:sz w:val="24"/>
          <w:szCs w:val="24"/>
          <w:shd w:val="clear" w:color="auto" w:fill="FFFFFF"/>
        </w:rPr>
        <w:t>57</w:t>
      </w:r>
      <w:r w:rsidRPr="00A25326">
        <w:rPr>
          <w:rFonts w:ascii="Times New Roman" w:hAnsi="Times New Roman" w:cs="Times New Roman"/>
          <w:color w:val="000000" w:themeColor="text1"/>
          <w:sz w:val="24"/>
          <w:szCs w:val="24"/>
          <w:shd w:val="clear" w:color="auto" w:fill="FFFFFF"/>
        </w:rPr>
        <w:t>, pp.111-126.</w:t>
      </w:r>
    </w:p>
    <w:p w14:paraId="58064848" w14:textId="77777777" w:rsidR="00A25326" w:rsidRPr="00A25326" w:rsidRDefault="00A25326" w:rsidP="00E35FEC">
      <w:pPr>
        <w:spacing w:before="240" w:line="360" w:lineRule="auto"/>
        <w:jc w:val="both"/>
        <w:rPr>
          <w:rFonts w:ascii="Times New Roman" w:hAnsi="Times New Roman" w:cs="Times New Roman"/>
          <w:color w:val="000000" w:themeColor="text1"/>
          <w:sz w:val="24"/>
          <w:szCs w:val="24"/>
          <w:shd w:val="clear" w:color="auto" w:fill="FFFFFF"/>
        </w:rPr>
      </w:pPr>
      <w:r w:rsidRPr="00A25326">
        <w:rPr>
          <w:rFonts w:ascii="Times New Roman" w:hAnsi="Times New Roman" w:cs="Times New Roman"/>
          <w:color w:val="000000" w:themeColor="text1"/>
          <w:sz w:val="24"/>
          <w:szCs w:val="24"/>
          <w:shd w:val="clear" w:color="auto" w:fill="FFFFFF"/>
        </w:rPr>
        <w:t>Safaeva, S.R., Alieva, M.T., Abdukhalilova, L.T., Alimkhodjaeva, N.E. and Konovalova, E.E., (2020). Organizational and economic aspects of the development of the international tourism and hospitality industry. </w:t>
      </w:r>
      <w:r w:rsidRPr="00A25326">
        <w:rPr>
          <w:rFonts w:ascii="Times New Roman" w:hAnsi="Times New Roman" w:cs="Times New Roman"/>
          <w:i/>
          <w:iCs/>
          <w:color w:val="000000" w:themeColor="text1"/>
          <w:sz w:val="24"/>
          <w:szCs w:val="24"/>
          <w:shd w:val="clear" w:color="auto" w:fill="FFFFFF"/>
        </w:rPr>
        <w:t>Journal of Environmental Management and Tourism</w:t>
      </w:r>
      <w:r w:rsidRPr="00A25326">
        <w:rPr>
          <w:rFonts w:ascii="Times New Roman" w:hAnsi="Times New Roman" w:cs="Times New Roman"/>
          <w:color w:val="000000" w:themeColor="text1"/>
          <w:sz w:val="24"/>
          <w:szCs w:val="24"/>
          <w:shd w:val="clear" w:color="auto" w:fill="FFFFFF"/>
        </w:rPr>
        <w:t>, </w:t>
      </w:r>
      <w:r w:rsidRPr="00A25326">
        <w:rPr>
          <w:rFonts w:ascii="Times New Roman" w:hAnsi="Times New Roman" w:cs="Times New Roman"/>
          <w:i/>
          <w:iCs/>
          <w:color w:val="000000" w:themeColor="text1"/>
          <w:sz w:val="24"/>
          <w:szCs w:val="24"/>
          <w:shd w:val="clear" w:color="auto" w:fill="FFFFFF"/>
        </w:rPr>
        <w:t>11</w:t>
      </w:r>
      <w:r w:rsidRPr="00A25326">
        <w:rPr>
          <w:rFonts w:ascii="Times New Roman" w:hAnsi="Times New Roman" w:cs="Times New Roman"/>
          <w:color w:val="000000" w:themeColor="text1"/>
          <w:sz w:val="24"/>
          <w:szCs w:val="24"/>
          <w:shd w:val="clear" w:color="auto" w:fill="FFFFFF"/>
        </w:rPr>
        <w:t>(4), pp.913-919.</w:t>
      </w:r>
    </w:p>
    <w:p w14:paraId="040FC8B4" w14:textId="77777777" w:rsidR="00A25326" w:rsidRPr="00A25326" w:rsidRDefault="00A25326" w:rsidP="00D06A07">
      <w:pPr>
        <w:spacing w:before="240" w:after="240" w:line="36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Saputra, F., (2022). Analysis Effect Return on Assets (ROA), Return on Equity (ROE) and Price Earning Ratio (PER) on Stock Prices of Coal Companies in the Indonesia Stock Exchange (IDX) Period 2018-2021. </w:t>
      </w:r>
      <w:r w:rsidRPr="00A25326">
        <w:rPr>
          <w:rFonts w:ascii="Times New Roman" w:eastAsia="Times New Roman" w:hAnsi="Times New Roman" w:cs="Times New Roman"/>
          <w:i/>
          <w:color w:val="000000" w:themeColor="text1"/>
          <w:sz w:val="24"/>
          <w:szCs w:val="24"/>
        </w:rPr>
        <w:t>Dinasti International Journal of Economics, Finance &amp; Accounting</w:t>
      </w: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i/>
          <w:color w:val="000000" w:themeColor="text1"/>
          <w:sz w:val="24"/>
          <w:szCs w:val="24"/>
        </w:rPr>
        <w:t>3</w:t>
      </w:r>
      <w:r w:rsidRPr="00A25326">
        <w:rPr>
          <w:rFonts w:ascii="Times New Roman" w:eastAsia="Times New Roman" w:hAnsi="Times New Roman" w:cs="Times New Roman"/>
          <w:color w:val="000000" w:themeColor="text1"/>
          <w:sz w:val="24"/>
          <w:szCs w:val="24"/>
        </w:rPr>
        <w:t>(1), pp.82-94.</w:t>
      </w:r>
    </w:p>
    <w:p w14:paraId="6C934CFF" w14:textId="77777777" w:rsidR="00A25326" w:rsidRPr="00A25326" w:rsidRDefault="00A25326" w:rsidP="00E35FEC">
      <w:pPr>
        <w:spacing w:before="240" w:line="360" w:lineRule="auto"/>
        <w:jc w:val="both"/>
        <w:rPr>
          <w:rFonts w:ascii="Times New Roman" w:hAnsi="Times New Roman" w:cs="Times New Roman"/>
          <w:color w:val="000000" w:themeColor="text1"/>
          <w:sz w:val="24"/>
          <w:szCs w:val="24"/>
        </w:rPr>
      </w:pPr>
      <w:r w:rsidRPr="00A25326">
        <w:rPr>
          <w:rFonts w:ascii="Times New Roman" w:hAnsi="Times New Roman" w:cs="Times New Roman"/>
          <w:color w:val="000000" w:themeColor="text1"/>
          <w:sz w:val="24"/>
          <w:szCs w:val="24"/>
        </w:rPr>
        <w:t xml:space="preserve">Statista (2024). </w:t>
      </w:r>
      <w:r w:rsidRPr="00A25326">
        <w:rPr>
          <w:rFonts w:ascii="Times New Roman" w:hAnsi="Times New Roman" w:cs="Times New Roman"/>
          <w:i/>
          <w:iCs/>
          <w:color w:val="000000" w:themeColor="text1"/>
          <w:sz w:val="24"/>
          <w:szCs w:val="24"/>
        </w:rPr>
        <w:t>About UK hospitality industry.</w:t>
      </w:r>
      <w:r w:rsidRPr="00A25326">
        <w:rPr>
          <w:rFonts w:ascii="Times New Roman" w:hAnsi="Times New Roman" w:cs="Times New Roman"/>
          <w:color w:val="000000" w:themeColor="text1"/>
          <w:sz w:val="24"/>
          <w:szCs w:val="24"/>
        </w:rPr>
        <w:t xml:space="preserve"> Available at: https://www.statista.com/topics/3146/hotel-industry-in-the-united-kingdom-uk/#topicOverview[Accessed on 19</w:t>
      </w:r>
      <w:r w:rsidRPr="00A25326">
        <w:rPr>
          <w:rFonts w:ascii="Times New Roman" w:hAnsi="Times New Roman" w:cs="Times New Roman"/>
          <w:color w:val="000000" w:themeColor="text1"/>
          <w:sz w:val="24"/>
          <w:szCs w:val="24"/>
          <w:vertAlign w:val="superscript"/>
        </w:rPr>
        <w:t>th</w:t>
      </w:r>
      <w:r w:rsidRPr="00A25326">
        <w:rPr>
          <w:rFonts w:ascii="Times New Roman" w:hAnsi="Times New Roman" w:cs="Times New Roman"/>
          <w:color w:val="000000" w:themeColor="text1"/>
          <w:sz w:val="24"/>
          <w:szCs w:val="24"/>
        </w:rPr>
        <w:t xml:space="preserve"> January 2024]</w:t>
      </w:r>
    </w:p>
    <w:p w14:paraId="69FDC7E6" w14:textId="77777777" w:rsidR="00A25326" w:rsidRPr="00A25326" w:rsidRDefault="00A25326" w:rsidP="00E35FEC">
      <w:pPr>
        <w:spacing w:before="240" w:line="360" w:lineRule="auto"/>
        <w:jc w:val="both"/>
        <w:rPr>
          <w:rFonts w:ascii="Times New Roman" w:hAnsi="Times New Roman" w:cs="Times New Roman"/>
          <w:color w:val="000000" w:themeColor="text1"/>
          <w:sz w:val="24"/>
          <w:szCs w:val="24"/>
          <w:shd w:val="clear" w:color="auto" w:fill="FFFFFF"/>
        </w:rPr>
      </w:pPr>
      <w:r w:rsidRPr="00A25326">
        <w:rPr>
          <w:rFonts w:ascii="Times New Roman" w:hAnsi="Times New Roman" w:cs="Times New Roman"/>
          <w:color w:val="000000" w:themeColor="text1"/>
          <w:sz w:val="24"/>
          <w:szCs w:val="24"/>
          <w:shd w:val="clear" w:color="auto" w:fill="FFFFFF"/>
        </w:rPr>
        <w:t>Valle-Cruz, D., Fernandez-Cortez, V. and Gil-Garcia, J.R., (2022). From E-budgeting to smart budgeting: Exploring the potential of artificial intelligence in government decision-making for resource allocation. </w:t>
      </w:r>
      <w:r w:rsidRPr="00A25326">
        <w:rPr>
          <w:rFonts w:ascii="Times New Roman" w:hAnsi="Times New Roman" w:cs="Times New Roman"/>
          <w:i/>
          <w:iCs/>
          <w:color w:val="000000" w:themeColor="text1"/>
          <w:sz w:val="24"/>
          <w:szCs w:val="24"/>
          <w:shd w:val="clear" w:color="auto" w:fill="FFFFFF"/>
        </w:rPr>
        <w:t>Government Information Quarterly</w:t>
      </w:r>
      <w:r w:rsidRPr="00A25326">
        <w:rPr>
          <w:rFonts w:ascii="Times New Roman" w:hAnsi="Times New Roman" w:cs="Times New Roman"/>
          <w:color w:val="000000" w:themeColor="text1"/>
          <w:sz w:val="24"/>
          <w:szCs w:val="24"/>
          <w:shd w:val="clear" w:color="auto" w:fill="FFFFFF"/>
        </w:rPr>
        <w:t>, </w:t>
      </w:r>
      <w:r w:rsidRPr="00A25326">
        <w:rPr>
          <w:rFonts w:ascii="Times New Roman" w:hAnsi="Times New Roman" w:cs="Times New Roman"/>
          <w:i/>
          <w:iCs/>
          <w:color w:val="000000" w:themeColor="text1"/>
          <w:sz w:val="24"/>
          <w:szCs w:val="24"/>
          <w:shd w:val="clear" w:color="auto" w:fill="FFFFFF"/>
        </w:rPr>
        <w:t>39</w:t>
      </w:r>
      <w:r w:rsidRPr="00A25326">
        <w:rPr>
          <w:rFonts w:ascii="Times New Roman" w:hAnsi="Times New Roman" w:cs="Times New Roman"/>
          <w:color w:val="000000" w:themeColor="text1"/>
          <w:sz w:val="24"/>
          <w:szCs w:val="24"/>
          <w:shd w:val="clear" w:color="auto" w:fill="FFFFFF"/>
        </w:rPr>
        <w:t>(2), pp.101-144.</w:t>
      </w:r>
    </w:p>
    <w:p w14:paraId="0F1B869F" w14:textId="77777777" w:rsidR="007C0A0B" w:rsidRPr="00A25326" w:rsidRDefault="007C0A0B">
      <w:pPr>
        <w:rPr>
          <w:rFonts w:ascii="Times New Roman" w:hAnsi="Times New Roman" w:cs="Times New Roman"/>
          <w:color w:val="000000" w:themeColor="text1"/>
          <w:sz w:val="24"/>
          <w:szCs w:val="24"/>
          <w:shd w:val="clear" w:color="auto" w:fill="FFFFFF"/>
        </w:rPr>
      </w:pPr>
      <w:r w:rsidRPr="00A25326">
        <w:rPr>
          <w:rFonts w:ascii="Times New Roman" w:hAnsi="Times New Roman" w:cs="Times New Roman"/>
          <w:color w:val="000000" w:themeColor="text1"/>
          <w:sz w:val="24"/>
          <w:szCs w:val="24"/>
          <w:shd w:val="clear" w:color="auto" w:fill="FFFFFF"/>
        </w:rPr>
        <w:br w:type="page"/>
      </w:r>
    </w:p>
    <w:p w14:paraId="2BA03B8D" w14:textId="65D72CD9" w:rsidR="00E35FEC" w:rsidRPr="00A25326" w:rsidRDefault="007C0A0B" w:rsidP="007C0A0B">
      <w:pPr>
        <w:pStyle w:val="Heading1"/>
        <w:rPr>
          <w:color w:val="000000" w:themeColor="text1"/>
        </w:rPr>
      </w:pPr>
      <w:bookmarkStart w:id="23" w:name="_Toc159715126"/>
      <w:r w:rsidRPr="00A25326">
        <w:rPr>
          <w:color w:val="000000" w:themeColor="text1"/>
        </w:rPr>
        <w:lastRenderedPageBreak/>
        <w:t>Appendix</w:t>
      </w:r>
      <w:bookmarkEnd w:id="23"/>
    </w:p>
    <w:tbl>
      <w:tblPr>
        <w:tblStyle w:val="a"/>
        <w:tblW w:w="9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043"/>
        <w:gridCol w:w="2024"/>
        <w:gridCol w:w="2023"/>
        <w:gridCol w:w="1880"/>
      </w:tblGrid>
      <w:tr w:rsidR="00A25326" w:rsidRPr="00A25326" w14:paraId="4370D331" w14:textId="77777777" w:rsidTr="00793D46">
        <w:trPr>
          <w:trHeight w:val="166"/>
          <w:jc w:val="center"/>
        </w:trPr>
        <w:tc>
          <w:tcPr>
            <w:tcW w:w="9970" w:type="dxa"/>
            <w:gridSpan w:val="4"/>
            <w:shd w:val="clear" w:color="auto" w:fill="FCE4D6"/>
            <w:tcMar>
              <w:top w:w="0" w:type="dxa"/>
              <w:left w:w="100" w:type="dxa"/>
              <w:bottom w:w="0" w:type="dxa"/>
              <w:right w:w="100" w:type="dxa"/>
            </w:tcMar>
          </w:tcPr>
          <w:p w14:paraId="424746B8" w14:textId="77777777" w:rsidR="007C0A0B" w:rsidRPr="00A25326" w:rsidRDefault="007C0A0B" w:rsidP="00793D46">
            <w:pPr>
              <w:spacing w:line="240" w:lineRule="auto"/>
              <w:jc w:val="center"/>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Financial ratio analysis of The Seacrest Lodge for 2021-2023</w:t>
            </w:r>
          </w:p>
        </w:tc>
      </w:tr>
      <w:tr w:rsidR="00A25326" w:rsidRPr="00A25326" w14:paraId="776ECA72" w14:textId="77777777" w:rsidTr="00793D46">
        <w:trPr>
          <w:trHeight w:val="166"/>
          <w:jc w:val="center"/>
        </w:trPr>
        <w:tc>
          <w:tcPr>
            <w:tcW w:w="4043" w:type="dxa"/>
            <w:shd w:val="clear" w:color="auto" w:fill="FCE4D6"/>
            <w:tcMar>
              <w:top w:w="0" w:type="dxa"/>
              <w:left w:w="100" w:type="dxa"/>
              <w:bottom w:w="0" w:type="dxa"/>
              <w:right w:w="100" w:type="dxa"/>
            </w:tcMar>
          </w:tcPr>
          <w:p w14:paraId="5A62CA2D" w14:textId="77777777" w:rsidR="007C0A0B" w:rsidRPr="00A25326" w:rsidRDefault="007C0A0B" w:rsidP="00793D46">
            <w:pPr>
              <w:spacing w:line="24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FINANCIAL RATIOS INPUT (GBP)</w:t>
            </w:r>
          </w:p>
        </w:tc>
        <w:tc>
          <w:tcPr>
            <w:tcW w:w="2024" w:type="dxa"/>
            <w:shd w:val="clear" w:color="auto" w:fill="auto"/>
            <w:tcMar>
              <w:top w:w="0" w:type="dxa"/>
              <w:left w:w="100" w:type="dxa"/>
              <w:bottom w:w="0" w:type="dxa"/>
              <w:right w:w="100" w:type="dxa"/>
            </w:tcMar>
          </w:tcPr>
          <w:p w14:paraId="1AF31636" w14:textId="77777777" w:rsidR="007C0A0B" w:rsidRPr="00A25326" w:rsidRDefault="007C0A0B" w:rsidP="00793D46">
            <w:pPr>
              <w:spacing w:line="240" w:lineRule="auto"/>
              <w:jc w:val="center"/>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2021</w:t>
            </w:r>
          </w:p>
        </w:tc>
        <w:tc>
          <w:tcPr>
            <w:tcW w:w="2023" w:type="dxa"/>
            <w:shd w:val="clear" w:color="auto" w:fill="auto"/>
            <w:tcMar>
              <w:top w:w="0" w:type="dxa"/>
              <w:left w:w="100" w:type="dxa"/>
              <w:bottom w:w="0" w:type="dxa"/>
              <w:right w:w="100" w:type="dxa"/>
            </w:tcMar>
          </w:tcPr>
          <w:p w14:paraId="7AA7E4BD" w14:textId="77777777" w:rsidR="007C0A0B" w:rsidRPr="00A25326" w:rsidRDefault="007C0A0B" w:rsidP="00793D46">
            <w:pPr>
              <w:spacing w:line="240" w:lineRule="auto"/>
              <w:jc w:val="center"/>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2022</w:t>
            </w:r>
          </w:p>
        </w:tc>
        <w:tc>
          <w:tcPr>
            <w:tcW w:w="1880" w:type="dxa"/>
            <w:shd w:val="clear" w:color="auto" w:fill="auto"/>
            <w:tcMar>
              <w:top w:w="0" w:type="dxa"/>
              <w:left w:w="100" w:type="dxa"/>
              <w:bottom w:w="0" w:type="dxa"/>
              <w:right w:w="100" w:type="dxa"/>
            </w:tcMar>
          </w:tcPr>
          <w:p w14:paraId="15FF1FAC" w14:textId="77777777" w:rsidR="007C0A0B" w:rsidRPr="00A25326" w:rsidRDefault="007C0A0B" w:rsidP="00793D46">
            <w:pPr>
              <w:spacing w:line="240" w:lineRule="auto"/>
              <w:jc w:val="center"/>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2023</w:t>
            </w:r>
          </w:p>
        </w:tc>
      </w:tr>
      <w:tr w:rsidR="00A25326" w:rsidRPr="00A25326" w14:paraId="039FA235" w14:textId="77777777" w:rsidTr="00793D46">
        <w:trPr>
          <w:trHeight w:val="166"/>
          <w:jc w:val="center"/>
        </w:trPr>
        <w:tc>
          <w:tcPr>
            <w:tcW w:w="4043" w:type="dxa"/>
            <w:shd w:val="clear" w:color="auto" w:fill="auto"/>
            <w:tcMar>
              <w:top w:w="0" w:type="dxa"/>
              <w:left w:w="100" w:type="dxa"/>
              <w:bottom w:w="0" w:type="dxa"/>
              <w:right w:w="100" w:type="dxa"/>
            </w:tcMar>
          </w:tcPr>
          <w:p w14:paraId="705963C2"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Net Income</w:t>
            </w:r>
          </w:p>
        </w:tc>
        <w:tc>
          <w:tcPr>
            <w:tcW w:w="2024" w:type="dxa"/>
            <w:shd w:val="clear" w:color="auto" w:fill="auto"/>
            <w:tcMar>
              <w:top w:w="0" w:type="dxa"/>
              <w:left w:w="100" w:type="dxa"/>
              <w:bottom w:w="0" w:type="dxa"/>
              <w:right w:w="100" w:type="dxa"/>
            </w:tcMar>
          </w:tcPr>
          <w:p w14:paraId="3054FC7E"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3,00,000</w:t>
            </w:r>
          </w:p>
        </w:tc>
        <w:tc>
          <w:tcPr>
            <w:tcW w:w="2023" w:type="dxa"/>
            <w:shd w:val="clear" w:color="auto" w:fill="auto"/>
            <w:tcMar>
              <w:top w:w="0" w:type="dxa"/>
              <w:left w:w="100" w:type="dxa"/>
              <w:bottom w:w="0" w:type="dxa"/>
              <w:right w:w="100" w:type="dxa"/>
            </w:tcMar>
          </w:tcPr>
          <w:p w14:paraId="476740B8"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1,50,000</w:t>
            </w:r>
          </w:p>
        </w:tc>
        <w:tc>
          <w:tcPr>
            <w:tcW w:w="1880" w:type="dxa"/>
            <w:shd w:val="clear" w:color="auto" w:fill="auto"/>
            <w:tcMar>
              <w:top w:w="0" w:type="dxa"/>
              <w:left w:w="100" w:type="dxa"/>
              <w:bottom w:w="0" w:type="dxa"/>
              <w:right w:w="100" w:type="dxa"/>
            </w:tcMar>
          </w:tcPr>
          <w:p w14:paraId="5F2AAF9A"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-1,50,000</w:t>
            </w:r>
          </w:p>
        </w:tc>
      </w:tr>
      <w:tr w:rsidR="00A25326" w:rsidRPr="00A25326" w14:paraId="0E605B5D" w14:textId="77777777" w:rsidTr="00793D46">
        <w:trPr>
          <w:trHeight w:val="166"/>
          <w:jc w:val="center"/>
        </w:trPr>
        <w:tc>
          <w:tcPr>
            <w:tcW w:w="4043" w:type="dxa"/>
            <w:shd w:val="clear" w:color="auto" w:fill="auto"/>
            <w:tcMar>
              <w:top w:w="0" w:type="dxa"/>
              <w:left w:w="100" w:type="dxa"/>
              <w:bottom w:w="0" w:type="dxa"/>
              <w:right w:w="100" w:type="dxa"/>
            </w:tcMar>
          </w:tcPr>
          <w:p w14:paraId="1E1E7704"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Sales or revenue</w:t>
            </w:r>
          </w:p>
        </w:tc>
        <w:tc>
          <w:tcPr>
            <w:tcW w:w="2024" w:type="dxa"/>
            <w:shd w:val="clear" w:color="auto" w:fill="auto"/>
            <w:tcMar>
              <w:top w:w="0" w:type="dxa"/>
              <w:left w:w="100" w:type="dxa"/>
              <w:bottom w:w="0" w:type="dxa"/>
              <w:right w:w="100" w:type="dxa"/>
            </w:tcMar>
          </w:tcPr>
          <w:p w14:paraId="11C88AEE"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12,00,000</w:t>
            </w:r>
          </w:p>
        </w:tc>
        <w:tc>
          <w:tcPr>
            <w:tcW w:w="2023" w:type="dxa"/>
            <w:shd w:val="clear" w:color="auto" w:fill="auto"/>
            <w:tcMar>
              <w:top w:w="0" w:type="dxa"/>
              <w:left w:w="100" w:type="dxa"/>
              <w:bottom w:w="0" w:type="dxa"/>
              <w:right w:w="100" w:type="dxa"/>
            </w:tcMar>
          </w:tcPr>
          <w:p w14:paraId="558681F5"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11,00,000</w:t>
            </w:r>
          </w:p>
        </w:tc>
        <w:tc>
          <w:tcPr>
            <w:tcW w:w="1880" w:type="dxa"/>
            <w:shd w:val="clear" w:color="auto" w:fill="auto"/>
            <w:tcMar>
              <w:top w:w="0" w:type="dxa"/>
              <w:left w:w="100" w:type="dxa"/>
              <w:bottom w:w="0" w:type="dxa"/>
              <w:right w:w="100" w:type="dxa"/>
            </w:tcMar>
          </w:tcPr>
          <w:p w14:paraId="2434885F"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9,50,000</w:t>
            </w:r>
          </w:p>
        </w:tc>
      </w:tr>
      <w:tr w:rsidR="00A25326" w:rsidRPr="00A25326" w14:paraId="321AF905" w14:textId="77777777" w:rsidTr="00793D46">
        <w:trPr>
          <w:trHeight w:val="166"/>
          <w:jc w:val="center"/>
        </w:trPr>
        <w:tc>
          <w:tcPr>
            <w:tcW w:w="4043" w:type="dxa"/>
            <w:shd w:val="clear" w:color="auto" w:fill="auto"/>
            <w:tcMar>
              <w:top w:w="0" w:type="dxa"/>
              <w:left w:w="100" w:type="dxa"/>
              <w:bottom w:w="0" w:type="dxa"/>
              <w:right w:w="100" w:type="dxa"/>
            </w:tcMar>
          </w:tcPr>
          <w:p w14:paraId="219DB0C4"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Total Equity</w:t>
            </w:r>
          </w:p>
        </w:tc>
        <w:tc>
          <w:tcPr>
            <w:tcW w:w="2024" w:type="dxa"/>
            <w:shd w:val="clear" w:color="auto" w:fill="auto"/>
            <w:tcMar>
              <w:top w:w="0" w:type="dxa"/>
              <w:left w:w="100" w:type="dxa"/>
              <w:bottom w:w="0" w:type="dxa"/>
              <w:right w:w="100" w:type="dxa"/>
            </w:tcMar>
          </w:tcPr>
          <w:p w14:paraId="39930899"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6,20,000</w:t>
            </w:r>
          </w:p>
        </w:tc>
        <w:tc>
          <w:tcPr>
            <w:tcW w:w="2023" w:type="dxa"/>
            <w:shd w:val="clear" w:color="auto" w:fill="auto"/>
            <w:tcMar>
              <w:top w:w="0" w:type="dxa"/>
              <w:left w:w="100" w:type="dxa"/>
              <w:bottom w:w="0" w:type="dxa"/>
              <w:right w:w="100" w:type="dxa"/>
            </w:tcMar>
          </w:tcPr>
          <w:p w14:paraId="58BDB4AA"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5,80,000</w:t>
            </w:r>
          </w:p>
        </w:tc>
        <w:tc>
          <w:tcPr>
            <w:tcW w:w="1880" w:type="dxa"/>
            <w:shd w:val="clear" w:color="auto" w:fill="auto"/>
            <w:tcMar>
              <w:top w:w="0" w:type="dxa"/>
              <w:left w:w="100" w:type="dxa"/>
              <w:bottom w:w="0" w:type="dxa"/>
              <w:right w:w="100" w:type="dxa"/>
            </w:tcMar>
          </w:tcPr>
          <w:p w14:paraId="00C8CADC"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3,00,000</w:t>
            </w:r>
          </w:p>
        </w:tc>
      </w:tr>
      <w:tr w:rsidR="00A25326" w:rsidRPr="00A25326" w14:paraId="245079F4" w14:textId="77777777" w:rsidTr="00793D46">
        <w:trPr>
          <w:trHeight w:val="166"/>
          <w:jc w:val="center"/>
        </w:trPr>
        <w:tc>
          <w:tcPr>
            <w:tcW w:w="4043" w:type="dxa"/>
            <w:shd w:val="clear" w:color="auto" w:fill="auto"/>
            <w:tcMar>
              <w:top w:w="0" w:type="dxa"/>
              <w:left w:w="100" w:type="dxa"/>
              <w:bottom w:w="0" w:type="dxa"/>
              <w:right w:w="100" w:type="dxa"/>
            </w:tcMar>
          </w:tcPr>
          <w:p w14:paraId="4FCFF6E7"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Total Assets</w:t>
            </w:r>
          </w:p>
        </w:tc>
        <w:tc>
          <w:tcPr>
            <w:tcW w:w="2024" w:type="dxa"/>
            <w:shd w:val="clear" w:color="auto" w:fill="auto"/>
            <w:tcMar>
              <w:top w:w="0" w:type="dxa"/>
              <w:left w:w="100" w:type="dxa"/>
              <w:bottom w:w="0" w:type="dxa"/>
              <w:right w:w="100" w:type="dxa"/>
            </w:tcMar>
          </w:tcPr>
          <w:p w14:paraId="783FE933"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21,50,000</w:t>
            </w:r>
          </w:p>
        </w:tc>
        <w:tc>
          <w:tcPr>
            <w:tcW w:w="2023" w:type="dxa"/>
            <w:shd w:val="clear" w:color="auto" w:fill="auto"/>
            <w:tcMar>
              <w:top w:w="0" w:type="dxa"/>
              <w:left w:w="100" w:type="dxa"/>
              <w:bottom w:w="0" w:type="dxa"/>
              <w:right w:w="100" w:type="dxa"/>
            </w:tcMar>
          </w:tcPr>
          <w:p w14:paraId="46E233A0"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21,20,000</w:t>
            </w:r>
          </w:p>
        </w:tc>
        <w:tc>
          <w:tcPr>
            <w:tcW w:w="1880" w:type="dxa"/>
            <w:shd w:val="clear" w:color="auto" w:fill="auto"/>
            <w:tcMar>
              <w:top w:w="0" w:type="dxa"/>
              <w:left w:w="100" w:type="dxa"/>
              <w:bottom w:w="0" w:type="dxa"/>
              <w:right w:w="100" w:type="dxa"/>
            </w:tcMar>
          </w:tcPr>
          <w:p w14:paraId="6EE362C1"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18,50,000</w:t>
            </w:r>
          </w:p>
        </w:tc>
      </w:tr>
      <w:tr w:rsidR="00A25326" w:rsidRPr="00A25326" w14:paraId="5DF2592B" w14:textId="77777777" w:rsidTr="00793D46">
        <w:trPr>
          <w:trHeight w:val="166"/>
          <w:jc w:val="center"/>
        </w:trPr>
        <w:tc>
          <w:tcPr>
            <w:tcW w:w="4043" w:type="dxa"/>
            <w:shd w:val="clear" w:color="auto" w:fill="auto"/>
            <w:tcMar>
              <w:top w:w="0" w:type="dxa"/>
              <w:left w:w="100" w:type="dxa"/>
              <w:bottom w:w="0" w:type="dxa"/>
              <w:right w:w="100" w:type="dxa"/>
            </w:tcMar>
          </w:tcPr>
          <w:p w14:paraId="3E635896"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Current Assets</w:t>
            </w:r>
          </w:p>
        </w:tc>
        <w:tc>
          <w:tcPr>
            <w:tcW w:w="2024" w:type="dxa"/>
            <w:shd w:val="clear" w:color="auto" w:fill="auto"/>
            <w:tcMar>
              <w:top w:w="0" w:type="dxa"/>
              <w:left w:w="100" w:type="dxa"/>
              <w:bottom w:w="0" w:type="dxa"/>
              <w:right w:w="100" w:type="dxa"/>
            </w:tcMar>
          </w:tcPr>
          <w:p w14:paraId="044A4F42"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1,50,000</w:t>
            </w:r>
          </w:p>
        </w:tc>
        <w:tc>
          <w:tcPr>
            <w:tcW w:w="2023" w:type="dxa"/>
            <w:shd w:val="clear" w:color="auto" w:fill="auto"/>
            <w:tcMar>
              <w:top w:w="0" w:type="dxa"/>
              <w:left w:w="100" w:type="dxa"/>
              <w:bottom w:w="0" w:type="dxa"/>
              <w:right w:w="100" w:type="dxa"/>
            </w:tcMar>
          </w:tcPr>
          <w:p w14:paraId="31CF4582"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1,20,000</w:t>
            </w:r>
          </w:p>
        </w:tc>
        <w:tc>
          <w:tcPr>
            <w:tcW w:w="1880" w:type="dxa"/>
            <w:shd w:val="clear" w:color="auto" w:fill="auto"/>
            <w:tcMar>
              <w:top w:w="0" w:type="dxa"/>
              <w:left w:w="100" w:type="dxa"/>
              <w:bottom w:w="0" w:type="dxa"/>
              <w:right w:w="100" w:type="dxa"/>
            </w:tcMar>
          </w:tcPr>
          <w:p w14:paraId="77AA5E58"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50,000</w:t>
            </w:r>
          </w:p>
        </w:tc>
      </w:tr>
      <w:tr w:rsidR="00A25326" w:rsidRPr="00A25326" w14:paraId="6281575D" w14:textId="77777777" w:rsidTr="00793D46">
        <w:trPr>
          <w:trHeight w:val="166"/>
          <w:jc w:val="center"/>
        </w:trPr>
        <w:tc>
          <w:tcPr>
            <w:tcW w:w="4043" w:type="dxa"/>
            <w:shd w:val="clear" w:color="auto" w:fill="auto"/>
            <w:tcMar>
              <w:top w:w="0" w:type="dxa"/>
              <w:left w:w="100" w:type="dxa"/>
              <w:bottom w:w="0" w:type="dxa"/>
              <w:right w:w="100" w:type="dxa"/>
            </w:tcMar>
          </w:tcPr>
          <w:p w14:paraId="3553A28F" w14:textId="77777777" w:rsidR="007C0A0B" w:rsidRPr="00A25326" w:rsidRDefault="007C0A0B" w:rsidP="00793D46">
            <w:pPr>
              <w:spacing w:line="240" w:lineRule="auto"/>
              <w:jc w:val="both"/>
              <w:rPr>
                <w:rFonts w:ascii="Times New Roman" w:eastAsia="Times New Roman" w:hAnsi="Times New Roman" w:cs="Times New Roman"/>
                <w:i/>
                <w:color w:val="000000" w:themeColor="text1"/>
                <w:sz w:val="24"/>
                <w:szCs w:val="24"/>
              </w:rPr>
            </w:pPr>
            <w:r w:rsidRPr="00A25326">
              <w:rPr>
                <w:rFonts w:ascii="Times New Roman" w:eastAsia="Times New Roman" w:hAnsi="Times New Roman" w:cs="Times New Roman"/>
                <w:i/>
                <w:color w:val="000000" w:themeColor="text1"/>
                <w:sz w:val="24"/>
                <w:szCs w:val="24"/>
              </w:rPr>
              <w:t>Cash and Equivalents</w:t>
            </w:r>
          </w:p>
        </w:tc>
        <w:tc>
          <w:tcPr>
            <w:tcW w:w="2024" w:type="dxa"/>
            <w:shd w:val="clear" w:color="auto" w:fill="auto"/>
            <w:tcMar>
              <w:top w:w="0" w:type="dxa"/>
              <w:left w:w="100" w:type="dxa"/>
              <w:bottom w:w="0" w:type="dxa"/>
              <w:right w:w="100" w:type="dxa"/>
            </w:tcMar>
          </w:tcPr>
          <w:p w14:paraId="64901CEA" w14:textId="77777777" w:rsidR="007C0A0B" w:rsidRPr="00A25326" w:rsidRDefault="007C0A0B" w:rsidP="00793D46">
            <w:pPr>
              <w:spacing w:line="240" w:lineRule="auto"/>
              <w:jc w:val="both"/>
              <w:rPr>
                <w:rFonts w:ascii="Times New Roman" w:eastAsia="Times New Roman" w:hAnsi="Times New Roman" w:cs="Times New Roman"/>
                <w:i/>
                <w:color w:val="000000" w:themeColor="text1"/>
                <w:sz w:val="24"/>
                <w:szCs w:val="24"/>
              </w:rPr>
            </w:pPr>
            <w:r w:rsidRPr="00A25326">
              <w:rPr>
                <w:rFonts w:ascii="Times New Roman" w:eastAsia="Times New Roman" w:hAnsi="Times New Roman" w:cs="Times New Roman"/>
                <w:i/>
                <w:color w:val="000000" w:themeColor="text1"/>
                <w:sz w:val="24"/>
                <w:szCs w:val="24"/>
              </w:rPr>
              <w:t xml:space="preserve"> </w:t>
            </w:r>
            <w:r w:rsidRPr="00A25326">
              <w:rPr>
                <w:rFonts w:ascii="Times New Roman" w:eastAsia="Times New Roman" w:hAnsi="Times New Roman" w:cs="Times New Roman"/>
                <w:i/>
                <w:color w:val="000000" w:themeColor="text1"/>
                <w:sz w:val="24"/>
                <w:szCs w:val="24"/>
              </w:rPr>
              <w:tab/>
              <w:t>1,00,000</w:t>
            </w:r>
          </w:p>
        </w:tc>
        <w:tc>
          <w:tcPr>
            <w:tcW w:w="2023" w:type="dxa"/>
            <w:shd w:val="clear" w:color="auto" w:fill="auto"/>
            <w:tcMar>
              <w:top w:w="0" w:type="dxa"/>
              <w:left w:w="100" w:type="dxa"/>
              <w:bottom w:w="0" w:type="dxa"/>
              <w:right w:w="100" w:type="dxa"/>
            </w:tcMar>
          </w:tcPr>
          <w:p w14:paraId="07B23C77" w14:textId="77777777" w:rsidR="007C0A0B" w:rsidRPr="00A25326" w:rsidRDefault="007C0A0B" w:rsidP="00793D46">
            <w:pPr>
              <w:spacing w:line="240" w:lineRule="auto"/>
              <w:jc w:val="both"/>
              <w:rPr>
                <w:rFonts w:ascii="Times New Roman" w:eastAsia="Times New Roman" w:hAnsi="Times New Roman" w:cs="Times New Roman"/>
                <w:i/>
                <w:color w:val="000000" w:themeColor="text1"/>
                <w:sz w:val="24"/>
                <w:szCs w:val="24"/>
              </w:rPr>
            </w:pPr>
            <w:r w:rsidRPr="00A25326">
              <w:rPr>
                <w:rFonts w:ascii="Times New Roman" w:eastAsia="Times New Roman" w:hAnsi="Times New Roman" w:cs="Times New Roman"/>
                <w:i/>
                <w:color w:val="000000" w:themeColor="text1"/>
                <w:sz w:val="24"/>
                <w:szCs w:val="24"/>
              </w:rPr>
              <w:t xml:space="preserve"> </w:t>
            </w:r>
            <w:r w:rsidRPr="00A25326">
              <w:rPr>
                <w:rFonts w:ascii="Times New Roman" w:eastAsia="Times New Roman" w:hAnsi="Times New Roman" w:cs="Times New Roman"/>
                <w:i/>
                <w:color w:val="000000" w:themeColor="text1"/>
                <w:sz w:val="24"/>
                <w:szCs w:val="24"/>
              </w:rPr>
              <w:tab/>
              <w:t>80,000</w:t>
            </w:r>
          </w:p>
        </w:tc>
        <w:tc>
          <w:tcPr>
            <w:tcW w:w="1880" w:type="dxa"/>
            <w:shd w:val="clear" w:color="auto" w:fill="auto"/>
            <w:tcMar>
              <w:top w:w="0" w:type="dxa"/>
              <w:left w:w="100" w:type="dxa"/>
              <w:bottom w:w="0" w:type="dxa"/>
              <w:right w:w="100" w:type="dxa"/>
            </w:tcMar>
          </w:tcPr>
          <w:p w14:paraId="5BC65395" w14:textId="77777777" w:rsidR="007C0A0B" w:rsidRPr="00A25326" w:rsidRDefault="007C0A0B" w:rsidP="00793D46">
            <w:pPr>
              <w:spacing w:line="240" w:lineRule="auto"/>
              <w:jc w:val="both"/>
              <w:rPr>
                <w:rFonts w:ascii="Times New Roman" w:eastAsia="Times New Roman" w:hAnsi="Times New Roman" w:cs="Times New Roman"/>
                <w:i/>
                <w:color w:val="000000" w:themeColor="text1"/>
                <w:sz w:val="24"/>
                <w:szCs w:val="24"/>
              </w:rPr>
            </w:pPr>
            <w:r w:rsidRPr="00A25326">
              <w:rPr>
                <w:rFonts w:ascii="Times New Roman" w:eastAsia="Times New Roman" w:hAnsi="Times New Roman" w:cs="Times New Roman"/>
                <w:i/>
                <w:color w:val="000000" w:themeColor="text1"/>
                <w:sz w:val="24"/>
                <w:szCs w:val="24"/>
              </w:rPr>
              <w:t xml:space="preserve"> </w:t>
            </w:r>
            <w:r w:rsidRPr="00A25326">
              <w:rPr>
                <w:rFonts w:ascii="Times New Roman" w:eastAsia="Times New Roman" w:hAnsi="Times New Roman" w:cs="Times New Roman"/>
                <w:i/>
                <w:color w:val="000000" w:themeColor="text1"/>
                <w:sz w:val="24"/>
                <w:szCs w:val="24"/>
              </w:rPr>
              <w:tab/>
              <w:t>20,000</w:t>
            </w:r>
          </w:p>
        </w:tc>
      </w:tr>
      <w:tr w:rsidR="00A25326" w:rsidRPr="00A25326" w14:paraId="4ED61B9B" w14:textId="77777777" w:rsidTr="00793D46">
        <w:trPr>
          <w:trHeight w:val="166"/>
          <w:jc w:val="center"/>
        </w:trPr>
        <w:tc>
          <w:tcPr>
            <w:tcW w:w="4043" w:type="dxa"/>
            <w:shd w:val="clear" w:color="auto" w:fill="auto"/>
            <w:tcMar>
              <w:top w:w="0" w:type="dxa"/>
              <w:left w:w="100" w:type="dxa"/>
              <w:bottom w:w="0" w:type="dxa"/>
              <w:right w:w="100" w:type="dxa"/>
            </w:tcMar>
          </w:tcPr>
          <w:p w14:paraId="17017BA1" w14:textId="77777777" w:rsidR="007C0A0B" w:rsidRPr="00A25326" w:rsidRDefault="007C0A0B" w:rsidP="00793D46">
            <w:pPr>
              <w:spacing w:line="240" w:lineRule="auto"/>
              <w:jc w:val="both"/>
              <w:rPr>
                <w:rFonts w:ascii="Times New Roman" w:eastAsia="Times New Roman" w:hAnsi="Times New Roman" w:cs="Times New Roman"/>
                <w:i/>
                <w:color w:val="000000" w:themeColor="text1"/>
                <w:sz w:val="24"/>
                <w:szCs w:val="24"/>
              </w:rPr>
            </w:pPr>
            <w:r w:rsidRPr="00A25326">
              <w:rPr>
                <w:rFonts w:ascii="Times New Roman" w:eastAsia="Times New Roman" w:hAnsi="Times New Roman" w:cs="Times New Roman"/>
                <w:i/>
                <w:color w:val="000000" w:themeColor="text1"/>
                <w:sz w:val="24"/>
                <w:szCs w:val="24"/>
              </w:rPr>
              <w:t>Accounts Receivable</w:t>
            </w:r>
          </w:p>
        </w:tc>
        <w:tc>
          <w:tcPr>
            <w:tcW w:w="2024" w:type="dxa"/>
            <w:shd w:val="clear" w:color="auto" w:fill="auto"/>
            <w:tcMar>
              <w:top w:w="0" w:type="dxa"/>
              <w:left w:w="100" w:type="dxa"/>
              <w:bottom w:w="0" w:type="dxa"/>
              <w:right w:w="100" w:type="dxa"/>
            </w:tcMar>
          </w:tcPr>
          <w:p w14:paraId="2EF09818" w14:textId="77777777" w:rsidR="007C0A0B" w:rsidRPr="00A25326" w:rsidRDefault="007C0A0B" w:rsidP="00793D46">
            <w:pPr>
              <w:spacing w:line="240" w:lineRule="auto"/>
              <w:jc w:val="both"/>
              <w:rPr>
                <w:rFonts w:ascii="Times New Roman" w:eastAsia="Times New Roman" w:hAnsi="Times New Roman" w:cs="Times New Roman"/>
                <w:i/>
                <w:color w:val="000000" w:themeColor="text1"/>
                <w:sz w:val="24"/>
                <w:szCs w:val="24"/>
              </w:rPr>
            </w:pPr>
            <w:r w:rsidRPr="00A25326">
              <w:rPr>
                <w:rFonts w:ascii="Times New Roman" w:eastAsia="Times New Roman" w:hAnsi="Times New Roman" w:cs="Times New Roman"/>
                <w:i/>
                <w:color w:val="000000" w:themeColor="text1"/>
                <w:sz w:val="24"/>
                <w:szCs w:val="24"/>
              </w:rPr>
              <w:t xml:space="preserve"> </w:t>
            </w:r>
            <w:r w:rsidRPr="00A25326">
              <w:rPr>
                <w:rFonts w:ascii="Times New Roman" w:eastAsia="Times New Roman" w:hAnsi="Times New Roman" w:cs="Times New Roman"/>
                <w:i/>
                <w:color w:val="000000" w:themeColor="text1"/>
                <w:sz w:val="24"/>
                <w:szCs w:val="24"/>
              </w:rPr>
              <w:tab/>
              <w:t>50,000</w:t>
            </w:r>
          </w:p>
        </w:tc>
        <w:tc>
          <w:tcPr>
            <w:tcW w:w="2023" w:type="dxa"/>
            <w:shd w:val="clear" w:color="auto" w:fill="auto"/>
            <w:tcMar>
              <w:top w:w="0" w:type="dxa"/>
              <w:left w:w="100" w:type="dxa"/>
              <w:bottom w:w="0" w:type="dxa"/>
              <w:right w:w="100" w:type="dxa"/>
            </w:tcMar>
          </w:tcPr>
          <w:p w14:paraId="5F07AAEE" w14:textId="77777777" w:rsidR="007C0A0B" w:rsidRPr="00A25326" w:rsidRDefault="007C0A0B" w:rsidP="00793D46">
            <w:pPr>
              <w:spacing w:line="240" w:lineRule="auto"/>
              <w:jc w:val="both"/>
              <w:rPr>
                <w:rFonts w:ascii="Times New Roman" w:eastAsia="Times New Roman" w:hAnsi="Times New Roman" w:cs="Times New Roman"/>
                <w:i/>
                <w:color w:val="000000" w:themeColor="text1"/>
                <w:sz w:val="24"/>
                <w:szCs w:val="24"/>
              </w:rPr>
            </w:pPr>
            <w:r w:rsidRPr="00A25326">
              <w:rPr>
                <w:rFonts w:ascii="Times New Roman" w:eastAsia="Times New Roman" w:hAnsi="Times New Roman" w:cs="Times New Roman"/>
                <w:i/>
                <w:color w:val="000000" w:themeColor="text1"/>
                <w:sz w:val="24"/>
                <w:szCs w:val="24"/>
              </w:rPr>
              <w:t xml:space="preserve"> </w:t>
            </w:r>
            <w:r w:rsidRPr="00A25326">
              <w:rPr>
                <w:rFonts w:ascii="Times New Roman" w:eastAsia="Times New Roman" w:hAnsi="Times New Roman" w:cs="Times New Roman"/>
                <w:i/>
                <w:color w:val="000000" w:themeColor="text1"/>
                <w:sz w:val="24"/>
                <w:szCs w:val="24"/>
              </w:rPr>
              <w:tab/>
              <w:t>40,000</w:t>
            </w:r>
          </w:p>
        </w:tc>
        <w:tc>
          <w:tcPr>
            <w:tcW w:w="1880" w:type="dxa"/>
            <w:shd w:val="clear" w:color="auto" w:fill="auto"/>
            <w:tcMar>
              <w:top w:w="0" w:type="dxa"/>
              <w:left w:w="100" w:type="dxa"/>
              <w:bottom w:w="0" w:type="dxa"/>
              <w:right w:w="100" w:type="dxa"/>
            </w:tcMar>
          </w:tcPr>
          <w:p w14:paraId="443560F9" w14:textId="77777777" w:rsidR="007C0A0B" w:rsidRPr="00A25326" w:rsidRDefault="007C0A0B" w:rsidP="00793D46">
            <w:pPr>
              <w:spacing w:line="240" w:lineRule="auto"/>
              <w:jc w:val="both"/>
              <w:rPr>
                <w:rFonts w:ascii="Times New Roman" w:eastAsia="Times New Roman" w:hAnsi="Times New Roman" w:cs="Times New Roman"/>
                <w:i/>
                <w:color w:val="000000" w:themeColor="text1"/>
                <w:sz w:val="24"/>
                <w:szCs w:val="24"/>
              </w:rPr>
            </w:pPr>
            <w:r w:rsidRPr="00A25326">
              <w:rPr>
                <w:rFonts w:ascii="Times New Roman" w:eastAsia="Times New Roman" w:hAnsi="Times New Roman" w:cs="Times New Roman"/>
                <w:i/>
                <w:color w:val="000000" w:themeColor="text1"/>
                <w:sz w:val="24"/>
                <w:szCs w:val="24"/>
              </w:rPr>
              <w:t xml:space="preserve"> </w:t>
            </w:r>
            <w:r w:rsidRPr="00A25326">
              <w:rPr>
                <w:rFonts w:ascii="Times New Roman" w:eastAsia="Times New Roman" w:hAnsi="Times New Roman" w:cs="Times New Roman"/>
                <w:i/>
                <w:color w:val="000000" w:themeColor="text1"/>
                <w:sz w:val="24"/>
                <w:szCs w:val="24"/>
              </w:rPr>
              <w:tab/>
              <w:t>30,000</w:t>
            </w:r>
          </w:p>
        </w:tc>
      </w:tr>
      <w:tr w:rsidR="00A25326" w:rsidRPr="00A25326" w14:paraId="29048CA0" w14:textId="77777777" w:rsidTr="00793D46">
        <w:trPr>
          <w:trHeight w:val="166"/>
          <w:jc w:val="center"/>
        </w:trPr>
        <w:tc>
          <w:tcPr>
            <w:tcW w:w="4043" w:type="dxa"/>
            <w:shd w:val="clear" w:color="auto" w:fill="auto"/>
            <w:tcMar>
              <w:top w:w="0" w:type="dxa"/>
              <w:left w:w="100" w:type="dxa"/>
              <w:bottom w:w="0" w:type="dxa"/>
              <w:right w:w="100" w:type="dxa"/>
            </w:tcMar>
          </w:tcPr>
          <w:p w14:paraId="06EDD969"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Current Liabilities (Accounts Payable)</w:t>
            </w:r>
          </w:p>
        </w:tc>
        <w:tc>
          <w:tcPr>
            <w:tcW w:w="2024" w:type="dxa"/>
            <w:shd w:val="clear" w:color="auto" w:fill="auto"/>
            <w:tcMar>
              <w:top w:w="0" w:type="dxa"/>
              <w:left w:w="100" w:type="dxa"/>
              <w:bottom w:w="0" w:type="dxa"/>
              <w:right w:w="100" w:type="dxa"/>
            </w:tcMar>
          </w:tcPr>
          <w:p w14:paraId="6DBA4B49"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30,000</w:t>
            </w:r>
          </w:p>
        </w:tc>
        <w:tc>
          <w:tcPr>
            <w:tcW w:w="2023" w:type="dxa"/>
            <w:shd w:val="clear" w:color="auto" w:fill="auto"/>
            <w:tcMar>
              <w:top w:w="0" w:type="dxa"/>
              <w:left w:w="100" w:type="dxa"/>
              <w:bottom w:w="0" w:type="dxa"/>
              <w:right w:w="100" w:type="dxa"/>
            </w:tcMar>
          </w:tcPr>
          <w:p w14:paraId="1EE72DED"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40,000</w:t>
            </w:r>
          </w:p>
        </w:tc>
        <w:tc>
          <w:tcPr>
            <w:tcW w:w="1880" w:type="dxa"/>
            <w:shd w:val="clear" w:color="auto" w:fill="auto"/>
            <w:tcMar>
              <w:top w:w="0" w:type="dxa"/>
              <w:left w:w="100" w:type="dxa"/>
              <w:bottom w:w="0" w:type="dxa"/>
              <w:right w:w="100" w:type="dxa"/>
            </w:tcMar>
          </w:tcPr>
          <w:p w14:paraId="25D9A10F"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50,000</w:t>
            </w:r>
          </w:p>
        </w:tc>
      </w:tr>
      <w:tr w:rsidR="00A25326" w:rsidRPr="00A25326" w14:paraId="29C09874" w14:textId="77777777" w:rsidTr="00793D46">
        <w:trPr>
          <w:trHeight w:val="166"/>
          <w:jc w:val="center"/>
        </w:trPr>
        <w:tc>
          <w:tcPr>
            <w:tcW w:w="4043" w:type="dxa"/>
            <w:shd w:val="clear" w:color="auto" w:fill="auto"/>
            <w:tcMar>
              <w:top w:w="0" w:type="dxa"/>
              <w:left w:w="100" w:type="dxa"/>
              <w:bottom w:w="0" w:type="dxa"/>
              <w:right w:w="100" w:type="dxa"/>
            </w:tcMar>
          </w:tcPr>
          <w:p w14:paraId="2E93973D"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Total Debt</w:t>
            </w:r>
          </w:p>
        </w:tc>
        <w:tc>
          <w:tcPr>
            <w:tcW w:w="2024" w:type="dxa"/>
            <w:shd w:val="clear" w:color="auto" w:fill="auto"/>
            <w:tcMar>
              <w:top w:w="0" w:type="dxa"/>
              <w:left w:w="100" w:type="dxa"/>
              <w:bottom w:w="0" w:type="dxa"/>
              <w:right w:w="100" w:type="dxa"/>
            </w:tcMar>
          </w:tcPr>
          <w:p w14:paraId="6F1DD314"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15,30,000</w:t>
            </w:r>
          </w:p>
        </w:tc>
        <w:tc>
          <w:tcPr>
            <w:tcW w:w="2023" w:type="dxa"/>
            <w:shd w:val="clear" w:color="auto" w:fill="auto"/>
            <w:tcMar>
              <w:top w:w="0" w:type="dxa"/>
              <w:left w:w="100" w:type="dxa"/>
              <w:bottom w:w="0" w:type="dxa"/>
              <w:right w:w="100" w:type="dxa"/>
            </w:tcMar>
          </w:tcPr>
          <w:p w14:paraId="663790E3"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15,40,000</w:t>
            </w:r>
          </w:p>
        </w:tc>
        <w:tc>
          <w:tcPr>
            <w:tcW w:w="1880" w:type="dxa"/>
            <w:shd w:val="clear" w:color="auto" w:fill="auto"/>
            <w:tcMar>
              <w:top w:w="0" w:type="dxa"/>
              <w:left w:w="100" w:type="dxa"/>
              <w:bottom w:w="0" w:type="dxa"/>
              <w:right w:w="100" w:type="dxa"/>
            </w:tcMar>
          </w:tcPr>
          <w:p w14:paraId="7CBE4095"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r w:rsidRPr="00A25326">
              <w:rPr>
                <w:rFonts w:ascii="Times New Roman" w:eastAsia="Times New Roman" w:hAnsi="Times New Roman" w:cs="Times New Roman"/>
                <w:color w:val="000000" w:themeColor="text1"/>
                <w:sz w:val="24"/>
                <w:szCs w:val="24"/>
              </w:rPr>
              <w:tab/>
              <w:t>15,50,000</w:t>
            </w:r>
          </w:p>
        </w:tc>
      </w:tr>
      <w:tr w:rsidR="00A25326" w:rsidRPr="00A25326" w14:paraId="7393C249" w14:textId="77777777" w:rsidTr="00793D46">
        <w:trPr>
          <w:trHeight w:val="166"/>
          <w:jc w:val="center"/>
        </w:trPr>
        <w:tc>
          <w:tcPr>
            <w:tcW w:w="4043" w:type="dxa"/>
            <w:shd w:val="clear" w:color="auto" w:fill="FCE4D6"/>
            <w:tcMar>
              <w:top w:w="0" w:type="dxa"/>
              <w:left w:w="100" w:type="dxa"/>
              <w:bottom w:w="0" w:type="dxa"/>
              <w:right w:w="100" w:type="dxa"/>
            </w:tcMar>
          </w:tcPr>
          <w:p w14:paraId="5CA56B96" w14:textId="77777777" w:rsidR="007C0A0B" w:rsidRPr="00A25326" w:rsidRDefault="007C0A0B" w:rsidP="00793D46">
            <w:pPr>
              <w:spacing w:line="24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PROFITABILITY RATIOS:</w:t>
            </w:r>
          </w:p>
        </w:tc>
        <w:tc>
          <w:tcPr>
            <w:tcW w:w="2024" w:type="dxa"/>
            <w:shd w:val="clear" w:color="auto" w:fill="auto"/>
            <w:tcMar>
              <w:top w:w="0" w:type="dxa"/>
              <w:left w:w="100" w:type="dxa"/>
              <w:bottom w:w="0" w:type="dxa"/>
              <w:right w:w="100" w:type="dxa"/>
            </w:tcMar>
          </w:tcPr>
          <w:p w14:paraId="511D4457" w14:textId="77777777" w:rsidR="007C0A0B" w:rsidRPr="00A25326" w:rsidRDefault="007C0A0B" w:rsidP="00793D46">
            <w:pPr>
              <w:spacing w:line="240" w:lineRule="auto"/>
              <w:jc w:val="center"/>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2021</w:t>
            </w:r>
          </w:p>
        </w:tc>
        <w:tc>
          <w:tcPr>
            <w:tcW w:w="2023" w:type="dxa"/>
            <w:shd w:val="clear" w:color="auto" w:fill="auto"/>
            <w:tcMar>
              <w:top w:w="0" w:type="dxa"/>
              <w:left w:w="100" w:type="dxa"/>
              <w:bottom w:w="0" w:type="dxa"/>
              <w:right w:w="100" w:type="dxa"/>
            </w:tcMar>
          </w:tcPr>
          <w:p w14:paraId="6AD39831" w14:textId="77777777" w:rsidR="007C0A0B" w:rsidRPr="00A25326" w:rsidRDefault="007C0A0B" w:rsidP="00793D46">
            <w:pPr>
              <w:spacing w:line="240" w:lineRule="auto"/>
              <w:jc w:val="center"/>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2022</w:t>
            </w:r>
          </w:p>
        </w:tc>
        <w:tc>
          <w:tcPr>
            <w:tcW w:w="1880" w:type="dxa"/>
            <w:shd w:val="clear" w:color="auto" w:fill="auto"/>
            <w:tcMar>
              <w:top w:w="0" w:type="dxa"/>
              <w:left w:w="100" w:type="dxa"/>
              <w:bottom w:w="0" w:type="dxa"/>
              <w:right w:w="100" w:type="dxa"/>
            </w:tcMar>
          </w:tcPr>
          <w:p w14:paraId="528280CB" w14:textId="77777777" w:rsidR="007C0A0B" w:rsidRPr="00A25326" w:rsidRDefault="007C0A0B" w:rsidP="00793D46">
            <w:pPr>
              <w:spacing w:line="240" w:lineRule="auto"/>
              <w:jc w:val="center"/>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2023</w:t>
            </w:r>
          </w:p>
        </w:tc>
      </w:tr>
      <w:tr w:rsidR="00A25326" w:rsidRPr="00A25326" w14:paraId="593D2965" w14:textId="77777777" w:rsidTr="00793D46">
        <w:trPr>
          <w:trHeight w:val="166"/>
          <w:jc w:val="center"/>
        </w:trPr>
        <w:tc>
          <w:tcPr>
            <w:tcW w:w="4043" w:type="dxa"/>
            <w:shd w:val="clear" w:color="auto" w:fill="auto"/>
            <w:tcMar>
              <w:top w:w="0" w:type="dxa"/>
              <w:left w:w="100" w:type="dxa"/>
              <w:bottom w:w="0" w:type="dxa"/>
              <w:right w:w="100" w:type="dxa"/>
            </w:tcMar>
          </w:tcPr>
          <w:p w14:paraId="069162DC" w14:textId="77777777" w:rsidR="007C0A0B" w:rsidRPr="00A25326" w:rsidRDefault="007C0A0B" w:rsidP="00793D46">
            <w:pPr>
              <w:spacing w:line="24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Net Profit Margin</w:t>
            </w:r>
          </w:p>
        </w:tc>
        <w:tc>
          <w:tcPr>
            <w:tcW w:w="2024" w:type="dxa"/>
            <w:shd w:val="clear" w:color="auto" w:fill="auto"/>
            <w:tcMar>
              <w:top w:w="0" w:type="dxa"/>
              <w:left w:w="100" w:type="dxa"/>
              <w:bottom w:w="0" w:type="dxa"/>
              <w:right w:w="100" w:type="dxa"/>
            </w:tcMar>
          </w:tcPr>
          <w:p w14:paraId="128A3A9C"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25%</w:t>
            </w:r>
          </w:p>
        </w:tc>
        <w:tc>
          <w:tcPr>
            <w:tcW w:w="2023" w:type="dxa"/>
            <w:shd w:val="clear" w:color="auto" w:fill="auto"/>
            <w:tcMar>
              <w:top w:w="0" w:type="dxa"/>
              <w:left w:w="100" w:type="dxa"/>
              <w:bottom w:w="0" w:type="dxa"/>
              <w:right w:w="100" w:type="dxa"/>
            </w:tcMar>
          </w:tcPr>
          <w:p w14:paraId="5BF73E59"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14%</w:t>
            </w:r>
          </w:p>
        </w:tc>
        <w:tc>
          <w:tcPr>
            <w:tcW w:w="1880" w:type="dxa"/>
            <w:shd w:val="clear" w:color="auto" w:fill="auto"/>
            <w:tcMar>
              <w:top w:w="0" w:type="dxa"/>
              <w:left w:w="100" w:type="dxa"/>
              <w:bottom w:w="0" w:type="dxa"/>
              <w:right w:w="100" w:type="dxa"/>
            </w:tcMar>
          </w:tcPr>
          <w:p w14:paraId="371FC7B5"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-16%</w:t>
            </w:r>
          </w:p>
        </w:tc>
      </w:tr>
      <w:tr w:rsidR="00A25326" w:rsidRPr="00A25326" w14:paraId="07C336B0" w14:textId="77777777" w:rsidTr="00793D46">
        <w:trPr>
          <w:trHeight w:val="166"/>
          <w:jc w:val="center"/>
        </w:trPr>
        <w:tc>
          <w:tcPr>
            <w:tcW w:w="4043" w:type="dxa"/>
            <w:shd w:val="clear" w:color="auto" w:fill="auto"/>
            <w:tcMar>
              <w:top w:w="0" w:type="dxa"/>
              <w:left w:w="100" w:type="dxa"/>
              <w:bottom w:w="0" w:type="dxa"/>
              <w:right w:w="100" w:type="dxa"/>
            </w:tcMar>
          </w:tcPr>
          <w:p w14:paraId="1A69DBD7"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"Net Income/Sales"</w:t>
            </w:r>
          </w:p>
        </w:tc>
        <w:tc>
          <w:tcPr>
            <w:tcW w:w="2024" w:type="dxa"/>
            <w:shd w:val="clear" w:color="auto" w:fill="auto"/>
            <w:tcMar>
              <w:top w:w="0" w:type="dxa"/>
              <w:left w:w="100" w:type="dxa"/>
              <w:bottom w:w="0" w:type="dxa"/>
              <w:right w:w="100" w:type="dxa"/>
            </w:tcMar>
          </w:tcPr>
          <w:p w14:paraId="6A2379E8"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2023" w:type="dxa"/>
            <w:shd w:val="clear" w:color="auto" w:fill="auto"/>
            <w:tcMar>
              <w:top w:w="0" w:type="dxa"/>
              <w:left w:w="100" w:type="dxa"/>
              <w:bottom w:w="0" w:type="dxa"/>
              <w:right w:w="100" w:type="dxa"/>
            </w:tcMar>
          </w:tcPr>
          <w:p w14:paraId="6E0898F6"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1880" w:type="dxa"/>
            <w:shd w:val="clear" w:color="auto" w:fill="auto"/>
            <w:tcMar>
              <w:top w:w="0" w:type="dxa"/>
              <w:left w:w="100" w:type="dxa"/>
              <w:bottom w:w="0" w:type="dxa"/>
              <w:right w:w="100" w:type="dxa"/>
            </w:tcMar>
          </w:tcPr>
          <w:p w14:paraId="5AE113D8"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r>
      <w:tr w:rsidR="00A25326" w:rsidRPr="00A25326" w14:paraId="6B518006" w14:textId="77777777" w:rsidTr="00793D46">
        <w:trPr>
          <w:trHeight w:val="166"/>
          <w:jc w:val="center"/>
        </w:trPr>
        <w:tc>
          <w:tcPr>
            <w:tcW w:w="4043" w:type="dxa"/>
            <w:shd w:val="clear" w:color="auto" w:fill="auto"/>
            <w:tcMar>
              <w:top w:w="0" w:type="dxa"/>
              <w:left w:w="100" w:type="dxa"/>
              <w:bottom w:w="0" w:type="dxa"/>
              <w:right w:w="100" w:type="dxa"/>
            </w:tcMar>
          </w:tcPr>
          <w:p w14:paraId="6715C305" w14:textId="77777777" w:rsidR="007C0A0B" w:rsidRPr="00A25326" w:rsidRDefault="007C0A0B" w:rsidP="00793D46">
            <w:pPr>
              <w:spacing w:line="24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"Return on Equity (ROE)"</w:t>
            </w:r>
          </w:p>
        </w:tc>
        <w:tc>
          <w:tcPr>
            <w:tcW w:w="2024" w:type="dxa"/>
            <w:shd w:val="clear" w:color="auto" w:fill="auto"/>
            <w:tcMar>
              <w:top w:w="0" w:type="dxa"/>
              <w:left w:w="100" w:type="dxa"/>
              <w:bottom w:w="0" w:type="dxa"/>
              <w:right w:w="100" w:type="dxa"/>
            </w:tcMar>
          </w:tcPr>
          <w:p w14:paraId="48E782CA"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48%</w:t>
            </w:r>
          </w:p>
        </w:tc>
        <w:tc>
          <w:tcPr>
            <w:tcW w:w="2023" w:type="dxa"/>
            <w:shd w:val="clear" w:color="auto" w:fill="auto"/>
            <w:tcMar>
              <w:top w:w="0" w:type="dxa"/>
              <w:left w:w="100" w:type="dxa"/>
              <w:bottom w:w="0" w:type="dxa"/>
              <w:right w:w="100" w:type="dxa"/>
            </w:tcMar>
          </w:tcPr>
          <w:p w14:paraId="74914F67"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26%</w:t>
            </w:r>
          </w:p>
        </w:tc>
        <w:tc>
          <w:tcPr>
            <w:tcW w:w="1880" w:type="dxa"/>
            <w:shd w:val="clear" w:color="auto" w:fill="auto"/>
            <w:tcMar>
              <w:top w:w="0" w:type="dxa"/>
              <w:left w:w="100" w:type="dxa"/>
              <w:bottom w:w="0" w:type="dxa"/>
              <w:right w:w="100" w:type="dxa"/>
            </w:tcMar>
          </w:tcPr>
          <w:p w14:paraId="05A02253"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-50%</w:t>
            </w:r>
          </w:p>
        </w:tc>
      </w:tr>
      <w:tr w:rsidR="00A25326" w:rsidRPr="00A25326" w14:paraId="67E43C35" w14:textId="77777777" w:rsidTr="00793D46">
        <w:trPr>
          <w:trHeight w:val="166"/>
          <w:jc w:val="center"/>
        </w:trPr>
        <w:tc>
          <w:tcPr>
            <w:tcW w:w="4043" w:type="dxa"/>
            <w:shd w:val="clear" w:color="auto" w:fill="auto"/>
            <w:tcMar>
              <w:top w:w="0" w:type="dxa"/>
              <w:left w:w="100" w:type="dxa"/>
              <w:bottom w:w="0" w:type="dxa"/>
              <w:right w:w="100" w:type="dxa"/>
            </w:tcMar>
          </w:tcPr>
          <w:p w14:paraId="30A95706"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"Net Income/Tot. Equity"</w:t>
            </w:r>
          </w:p>
        </w:tc>
        <w:tc>
          <w:tcPr>
            <w:tcW w:w="2024" w:type="dxa"/>
            <w:shd w:val="clear" w:color="auto" w:fill="auto"/>
            <w:tcMar>
              <w:top w:w="0" w:type="dxa"/>
              <w:left w:w="100" w:type="dxa"/>
              <w:bottom w:w="0" w:type="dxa"/>
              <w:right w:w="100" w:type="dxa"/>
            </w:tcMar>
          </w:tcPr>
          <w:p w14:paraId="6B7C49EF"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2023" w:type="dxa"/>
            <w:shd w:val="clear" w:color="auto" w:fill="auto"/>
            <w:tcMar>
              <w:top w:w="0" w:type="dxa"/>
              <w:left w:w="100" w:type="dxa"/>
              <w:bottom w:w="0" w:type="dxa"/>
              <w:right w:w="100" w:type="dxa"/>
            </w:tcMar>
          </w:tcPr>
          <w:p w14:paraId="1A2D3DFA"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1880" w:type="dxa"/>
            <w:shd w:val="clear" w:color="auto" w:fill="auto"/>
            <w:tcMar>
              <w:top w:w="0" w:type="dxa"/>
              <w:left w:w="100" w:type="dxa"/>
              <w:bottom w:w="0" w:type="dxa"/>
              <w:right w:w="100" w:type="dxa"/>
            </w:tcMar>
          </w:tcPr>
          <w:p w14:paraId="54AF65E1"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r>
      <w:tr w:rsidR="00A25326" w:rsidRPr="00A25326" w14:paraId="773610F8" w14:textId="77777777" w:rsidTr="00793D46">
        <w:trPr>
          <w:trHeight w:val="166"/>
          <w:jc w:val="center"/>
        </w:trPr>
        <w:tc>
          <w:tcPr>
            <w:tcW w:w="4043" w:type="dxa"/>
            <w:shd w:val="clear" w:color="auto" w:fill="auto"/>
            <w:tcMar>
              <w:top w:w="0" w:type="dxa"/>
              <w:left w:w="100" w:type="dxa"/>
              <w:bottom w:w="0" w:type="dxa"/>
              <w:right w:w="100" w:type="dxa"/>
            </w:tcMar>
          </w:tcPr>
          <w:p w14:paraId="39E6A46E" w14:textId="77777777" w:rsidR="007C0A0B" w:rsidRPr="00A25326" w:rsidRDefault="007C0A0B" w:rsidP="00793D46">
            <w:pPr>
              <w:spacing w:line="24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"Return on Assets (ROA)"</w:t>
            </w:r>
          </w:p>
        </w:tc>
        <w:tc>
          <w:tcPr>
            <w:tcW w:w="2024" w:type="dxa"/>
            <w:shd w:val="clear" w:color="auto" w:fill="auto"/>
            <w:tcMar>
              <w:top w:w="0" w:type="dxa"/>
              <w:left w:w="100" w:type="dxa"/>
              <w:bottom w:w="0" w:type="dxa"/>
              <w:right w:w="100" w:type="dxa"/>
            </w:tcMar>
          </w:tcPr>
          <w:p w14:paraId="603EEE5E"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14%</w:t>
            </w:r>
          </w:p>
        </w:tc>
        <w:tc>
          <w:tcPr>
            <w:tcW w:w="2023" w:type="dxa"/>
            <w:shd w:val="clear" w:color="auto" w:fill="auto"/>
            <w:tcMar>
              <w:top w:w="0" w:type="dxa"/>
              <w:left w:w="100" w:type="dxa"/>
              <w:bottom w:w="0" w:type="dxa"/>
              <w:right w:w="100" w:type="dxa"/>
            </w:tcMar>
          </w:tcPr>
          <w:p w14:paraId="694B8741"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7%</w:t>
            </w:r>
          </w:p>
        </w:tc>
        <w:tc>
          <w:tcPr>
            <w:tcW w:w="1880" w:type="dxa"/>
            <w:shd w:val="clear" w:color="auto" w:fill="auto"/>
            <w:tcMar>
              <w:top w:w="0" w:type="dxa"/>
              <w:left w:w="100" w:type="dxa"/>
              <w:bottom w:w="0" w:type="dxa"/>
              <w:right w:w="100" w:type="dxa"/>
            </w:tcMar>
          </w:tcPr>
          <w:p w14:paraId="1190B32A"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-8%</w:t>
            </w:r>
          </w:p>
        </w:tc>
      </w:tr>
      <w:tr w:rsidR="00A25326" w:rsidRPr="00A25326" w14:paraId="628EF1E8" w14:textId="77777777" w:rsidTr="00793D46">
        <w:trPr>
          <w:trHeight w:val="166"/>
          <w:jc w:val="center"/>
        </w:trPr>
        <w:tc>
          <w:tcPr>
            <w:tcW w:w="4043" w:type="dxa"/>
            <w:shd w:val="clear" w:color="auto" w:fill="auto"/>
            <w:tcMar>
              <w:top w:w="0" w:type="dxa"/>
              <w:left w:w="100" w:type="dxa"/>
              <w:bottom w:w="0" w:type="dxa"/>
              <w:right w:w="100" w:type="dxa"/>
            </w:tcMar>
          </w:tcPr>
          <w:p w14:paraId="7035FB91"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"Net Income/Total. Assets"</w:t>
            </w:r>
          </w:p>
        </w:tc>
        <w:tc>
          <w:tcPr>
            <w:tcW w:w="2024" w:type="dxa"/>
            <w:shd w:val="clear" w:color="auto" w:fill="auto"/>
            <w:tcMar>
              <w:top w:w="0" w:type="dxa"/>
              <w:left w:w="100" w:type="dxa"/>
              <w:bottom w:w="0" w:type="dxa"/>
              <w:right w:w="100" w:type="dxa"/>
            </w:tcMar>
          </w:tcPr>
          <w:p w14:paraId="6200E515"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2023" w:type="dxa"/>
            <w:shd w:val="clear" w:color="auto" w:fill="auto"/>
            <w:tcMar>
              <w:top w:w="0" w:type="dxa"/>
              <w:left w:w="100" w:type="dxa"/>
              <w:bottom w:w="0" w:type="dxa"/>
              <w:right w:w="100" w:type="dxa"/>
            </w:tcMar>
          </w:tcPr>
          <w:p w14:paraId="576136C3"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1880" w:type="dxa"/>
            <w:shd w:val="clear" w:color="auto" w:fill="auto"/>
            <w:tcMar>
              <w:top w:w="0" w:type="dxa"/>
              <w:left w:w="100" w:type="dxa"/>
              <w:bottom w:w="0" w:type="dxa"/>
              <w:right w:w="100" w:type="dxa"/>
            </w:tcMar>
          </w:tcPr>
          <w:p w14:paraId="477EB267"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r>
      <w:tr w:rsidR="00A25326" w:rsidRPr="00A25326" w14:paraId="1802ECCB" w14:textId="77777777" w:rsidTr="00793D46">
        <w:trPr>
          <w:trHeight w:val="166"/>
          <w:jc w:val="center"/>
        </w:trPr>
        <w:tc>
          <w:tcPr>
            <w:tcW w:w="4043" w:type="dxa"/>
            <w:shd w:val="clear" w:color="auto" w:fill="FCE4D6"/>
            <w:tcMar>
              <w:top w:w="0" w:type="dxa"/>
              <w:left w:w="100" w:type="dxa"/>
              <w:bottom w:w="0" w:type="dxa"/>
              <w:right w:w="100" w:type="dxa"/>
            </w:tcMar>
          </w:tcPr>
          <w:p w14:paraId="20E33EFA" w14:textId="77777777" w:rsidR="007C0A0B" w:rsidRPr="00A25326" w:rsidRDefault="007C0A0B" w:rsidP="00793D46">
            <w:pPr>
              <w:spacing w:line="24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LIQUIDITY RATIOS:</w:t>
            </w:r>
          </w:p>
        </w:tc>
        <w:tc>
          <w:tcPr>
            <w:tcW w:w="2024" w:type="dxa"/>
            <w:shd w:val="clear" w:color="auto" w:fill="auto"/>
            <w:tcMar>
              <w:top w:w="0" w:type="dxa"/>
              <w:left w:w="100" w:type="dxa"/>
              <w:bottom w:w="0" w:type="dxa"/>
              <w:right w:w="100" w:type="dxa"/>
            </w:tcMar>
          </w:tcPr>
          <w:p w14:paraId="48F3D3A9"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2023" w:type="dxa"/>
            <w:shd w:val="clear" w:color="auto" w:fill="auto"/>
            <w:tcMar>
              <w:top w:w="0" w:type="dxa"/>
              <w:left w:w="100" w:type="dxa"/>
              <w:bottom w:w="0" w:type="dxa"/>
              <w:right w:w="100" w:type="dxa"/>
            </w:tcMar>
          </w:tcPr>
          <w:p w14:paraId="4D0BE83D"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1880" w:type="dxa"/>
            <w:shd w:val="clear" w:color="auto" w:fill="auto"/>
            <w:tcMar>
              <w:top w:w="0" w:type="dxa"/>
              <w:left w:w="100" w:type="dxa"/>
              <w:bottom w:w="0" w:type="dxa"/>
              <w:right w:w="100" w:type="dxa"/>
            </w:tcMar>
          </w:tcPr>
          <w:p w14:paraId="5CD950F0"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r>
      <w:tr w:rsidR="00A25326" w:rsidRPr="00A25326" w14:paraId="55C354AA" w14:textId="77777777" w:rsidTr="00793D46">
        <w:trPr>
          <w:trHeight w:val="166"/>
          <w:jc w:val="center"/>
        </w:trPr>
        <w:tc>
          <w:tcPr>
            <w:tcW w:w="4043" w:type="dxa"/>
            <w:shd w:val="clear" w:color="auto" w:fill="auto"/>
            <w:tcMar>
              <w:top w:w="0" w:type="dxa"/>
              <w:left w:w="100" w:type="dxa"/>
              <w:bottom w:w="0" w:type="dxa"/>
              <w:right w:w="100" w:type="dxa"/>
            </w:tcMar>
          </w:tcPr>
          <w:p w14:paraId="4342E6E9" w14:textId="77777777" w:rsidR="007C0A0B" w:rsidRPr="00A25326" w:rsidRDefault="007C0A0B" w:rsidP="00793D46">
            <w:pPr>
              <w:spacing w:line="24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Current Ratio</w:t>
            </w:r>
          </w:p>
        </w:tc>
        <w:tc>
          <w:tcPr>
            <w:tcW w:w="2024" w:type="dxa"/>
            <w:shd w:val="clear" w:color="auto" w:fill="auto"/>
            <w:tcMar>
              <w:top w:w="0" w:type="dxa"/>
              <w:left w:w="100" w:type="dxa"/>
              <w:bottom w:w="0" w:type="dxa"/>
              <w:right w:w="100" w:type="dxa"/>
            </w:tcMar>
          </w:tcPr>
          <w:p w14:paraId="78A15733"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5.00</w:t>
            </w:r>
          </w:p>
        </w:tc>
        <w:tc>
          <w:tcPr>
            <w:tcW w:w="2023" w:type="dxa"/>
            <w:shd w:val="clear" w:color="auto" w:fill="auto"/>
            <w:tcMar>
              <w:top w:w="0" w:type="dxa"/>
              <w:left w:w="100" w:type="dxa"/>
              <w:bottom w:w="0" w:type="dxa"/>
              <w:right w:w="100" w:type="dxa"/>
            </w:tcMar>
          </w:tcPr>
          <w:p w14:paraId="609B4892"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3.00</w:t>
            </w:r>
          </w:p>
        </w:tc>
        <w:tc>
          <w:tcPr>
            <w:tcW w:w="1880" w:type="dxa"/>
            <w:shd w:val="clear" w:color="auto" w:fill="auto"/>
            <w:tcMar>
              <w:top w:w="0" w:type="dxa"/>
              <w:left w:w="100" w:type="dxa"/>
              <w:bottom w:w="0" w:type="dxa"/>
              <w:right w:w="100" w:type="dxa"/>
            </w:tcMar>
          </w:tcPr>
          <w:p w14:paraId="403BEB6C"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1.00</w:t>
            </w:r>
          </w:p>
        </w:tc>
      </w:tr>
      <w:tr w:rsidR="00A25326" w:rsidRPr="00A25326" w14:paraId="142591D5" w14:textId="77777777" w:rsidTr="00793D46">
        <w:trPr>
          <w:trHeight w:val="166"/>
          <w:jc w:val="center"/>
        </w:trPr>
        <w:tc>
          <w:tcPr>
            <w:tcW w:w="4043" w:type="dxa"/>
            <w:shd w:val="clear" w:color="auto" w:fill="auto"/>
            <w:tcMar>
              <w:top w:w="0" w:type="dxa"/>
              <w:left w:w="100" w:type="dxa"/>
              <w:bottom w:w="0" w:type="dxa"/>
              <w:right w:w="100" w:type="dxa"/>
            </w:tcMar>
          </w:tcPr>
          <w:p w14:paraId="4193F412"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"Current Assets/Current Liabilities"</w:t>
            </w:r>
          </w:p>
        </w:tc>
        <w:tc>
          <w:tcPr>
            <w:tcW w:w="2024" w:type="dxa"/>
            <w:shd w:val="clear" w:color="auto" w:fill="auto"/>
            <w:tcMar>
              <w:top w:w="0" w:type="dxa"/>
              <w:left w:w="100" w:type="dxa"/>
              <w:bottom w:w="0" w:type="dxa"/>
              <w:right w:w="100" w:type="dxa"/>
            </w:tcMar>
          </w:tcPr>
          <w:p w14:paraId="6407291C"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2023" w:type="dxa"/>
            <w:shd w:val="clear" w:color="auto" w:fill="auto"/>
            <w:tcMar>
              <w:top w:w="0" w:type="dxa"/>
              <w:left w:w="100" w:type="dxa"/>
              <w:bottom w:w="0" w:type="dxa"/>
              <w:right w:w="100" w:type="dxa"/>
            </w:tcMar>
          </w:tcPr>
          <w:p w14:paraId="01C0F775"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1880" w:type="dxa"/>
            <w:shd w:val="clear" w:color="auto" w:fill="auto"/>
            <w:tcMar>
              <w:top w:w="0" w:type="dxa"/>
              <w:left w:w="100" w:type="dxa"/>
              <w:bottom w:w="0" w:type="dxa"/>
              <w:right w:w="100" w:type="dxa"/>
            </w:tcMar>
          </w:tcPr>
          <w:p w14:paraId="62E206A3"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r>
      <w:tr w:rsidR="00A25326" w:rsidRPr="00A25326" w14:paraId="31F2247E" w14:textId="77777777" w:rsidTr="00793D46">
        <w:trPr>
          <w:trHeight w:val="166"/>
          <w:jc w:val="center"/>
        </w:trPr>
        <w:tc>
          <w:tcPr>
            <w:tcW w:w="4043" w:type="dxa"/>
            <w:shd w:val="clear" w:color="auto" w:fill="auto"/>
            <w:tcMar>
              <w:top w:w="0" w:type="dxa"/>
              <w:left w:w="100" w:type="dxa"/>
              <w:bottom w:w="0" w:type="dxa"/>
              <w:right w:w="100" w:type="dxa"/>
            </w:tcMar>
          </w:tcPr>
          <w:p w14:paraId="0058511B" w14:textId="77777777" w:rsidR="007C0A0B" w:rsidRPr="00A25326" w:rsidRDefault="007C0A0B" w:rsidP="00793D46">
            <w:pPr>
              <w:spacing w:line="24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Cash Ratio</w:t>
            </w:r>
          </w:p>
        </w:tc>
        <w:tc>
          <w:tcPr>
            <w:tcW w:w="2024" w:type="dxa"/>
            <w:shd w:val="clear" w:color="auto" w:fill="auto"/>
            <w:tcMar>
              <w:top w:w="0" w:type="dxa"/>
              <w:left w:w="100" w:type="dxa"/>
              <w:bottom w:w="0" w:type="dxa"/>
              <w:right w:w="100" w:type="dxa"/>
            </w:tcMar>
          </w:tcPr>
          <w:p w14:paraId="572C192D"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3.33</w:t>
            </w:r>
          </w:p>
        </w:tc>
        <w:tc>
          <w:tcPr>
            <w:tcW w:w="2023" w:type="dxa"/>
            <w:shd w:val="clear" w:color="auto" w:fill="auto"/>
            <w:tcMar>
              <w:top w:w="0" w:type="dxa"/>
              <w:left w:w="100" w:type="dxa"/>
              <w:bottom w:w="0" w:type="dxa"/>
              <w:right w:w="100" w:type="dxa"/>
            </w:tcMar>
          </w:tcPr>
          <w:p w14:paraId="51CEBF2C"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2.00</w:t>
            </w:r>
          </w:p>
        </w:tc>
        <w:tc>
          <w:tcPr>
            <w:tcW w:w="1880" w:type="dxa"/>
            <w:shd w:val="clear" w:color="auto" w:fill="auto"/>
            <w:tcMar>
              <w:top w:w="0" w:type="dxa"/>
              <w:left w:w="100" w:type="dxa"/>
              <w:bottom w:w="0" w:type="dxa"/>
              <w:right w:w="100" w:type="dxa"/>
            </w:tcMar>
          </w:tcPr>
          <w:p w14:paraId="0388CB76"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0.40</w:t>
            </w:r>
          </w:p>
        </w:tc>
      </w:tr>
      <w:tr w:rsidR="00A25326" w:rsidRPr="00A25326" w14:paraId="4D9E2D49" w14:textId="77777777" w:rsidTr="00793D46">
        <w:trPr>
          <w:trHeight w:val="166"/>
          <w:jc w:val="center"/>
        </w:trPr>
        <w:tc>
          <w:tcPr>
            <w:tcW w:w="4043" w:type="dxa"/>
            <w:shd w:val="clear" w:color="auto" w:fill="auto"/>
            <w:tcMar>
              <w:top w:w="0" w:type="dxa"/>
              <w:left w:w="100" w:type="dxa"/>
              <w:bottom w:w="0" w:type="dxa"/>
              <w:right w:w="100" w:type="dxa"/>
            </w:tcMar>
          </w:tcPr>
          <w:p w14:paraId="316EB936"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"Cash/Current Liabilities"</w:t>
            </w:r>
          </w:p>
        </w:tc>
        <w:tc>
          <w:tcPr>
            <w:tcW w:w="2024" w:type="dxa"/>
            <w:shd w:val="clear" w:color="auto" w:fill="auto"/>
            <w:tcMar>
              <w:top w:w="0" w:type="dxa"/>
              <w:left w:w="100" w:type="dxa"/>
              <w:bottom w:w="0" w:type="dxa"/>
              <w:right w:w="100" w:type="dxa"/>
            </w:tcMar>
          </w:tcPr>
          <w:p w14:paraId="7FC4125F"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2023" w:type="dxa"/>
            <w:shd w:val="clear" w:color="auto" w:fill="auto"/>
            <w:tcMar>
              <w:top w:w="0" w:type="dxa"/>
              <w:left w:w="100" w:type="dxa"/>
              <w:bottom w:w="0" w:type="dxa"/>
              <w:right w:w="100" w:type="dxa"/>
            </w:tcMar>
          </w:tcPr>
          <w:p w14:paraId="2001CAD6"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1880" w:type="dxa"/>
            <w:shd w:val="clear" w:color="auto" w:fill="auto"/>
            <w:tcMar>
              <w:top w:w="0" w:type="dxa"/>
              <w:left w:w="100" w:type="dxa"/>
              <w:bottom w:w="0" w:type="dxa"/>
              <w:right w:w="100" w:type="dxa"/>
            </w:tcMar>
          </w:tcPr>
          <w:p w14:paraId="7FCF4530"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r>
      <w:tr w:rsidR="00A25326" w:rsidRPr="00A25326" w14:paraId="54B1493C" w14:textId="77777777" w:rsidTr="00793D46">
        <w:trPr>
          <w:trHeight w:val="166"/>
          <w:jc w:val="center"/>
        </w:trPr>
        <w:tc>
          <w:tcPr>
            <w:tcW w:w="4043" w:type="dxa"/>
            <w:shd w:val="clear" w:color="auto" w:fill="FCE4D6"/>
            <w:tcMar>
              <w:top w:w="0" w:type="dxa"/>
              <w:left w:w="100" w:type="dxa"/>
              <w:bottom w:w="0" w:type="dxa"/>
              <w:right w:w="100" w:type="dxa"/>
            </w:tcMar>
          </w:tcPr>
          <w:p w14:paraId="483C2442" w14:textId="77777777" w:rsidR="007C0A0B" w:rsidRPr="00A25326" w:rsidRDefault="007C0A0B" w:rsidP="00793D46">
            <w:pPr>
              <w:spacing w:line="24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LEVERAGE RATIOS:</w:t>
            </w:r>
          </w:p>
        </w:tc>
        <w:tc>
          <w:tcPr>
            <w:tcW w:w="2024" w:type="dxa"/>
            <w:shd w:val="clear" w:color="auto" w:fill="auto"/>
            <w:tcMar>
              <w:top w:w="0" w:type="dxa"/>
              <w:left w:w="100" w:type="dxa"/>
              <w:bottom w:w="0" w:type="dxa"/>
              <w:right w:w="100" w:type="dxa"/>
            </w:tcMar>
          </w:tcPr>
          <w:p w14:paraId="4647D08B"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2023" w:type="dxa"/>
            <w:shd w:val="clear" w:color="auto" w:fill="auto"/>
            <w:tcMar>
              <w:top w:w="0" w:type="dxa"/>
              <w:left w:w="100" w:type="dxa"/>
              <w:bottom w:w="0" w:type="dxa"/>
              <w:right w:w="100" w:type="dxa"/>
            </w:tcMar>
          </w:tcPr>
          <w:p w14:paraId="4C1832CC"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1880" w:type="dxa"/>
            <w:shd w:val="clear" w:color="auto" w:fill="auto"/>
            <w:tcMar>
              <w:top w:w="0" w:type="dxa"/>
              <w:left w:w="100" w:type="dxa"/>
              <w:bottom w:w="0" w:type="dxa"/>
              <w:right w:w="100" w:type="dxa"/>
            </w:tcMar>
          </w:tcPr>
          <w:p w14:paraId="57618ED4"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r>
      <w:tr w:rsidR="00A25326" w:rsidRPr="00A25326" w14:paraId="5CBBCE4D" w14:textId="77777777" w:rsidTr="00793D46">
        <w:trPr>
          <w:trHeight w:val="166"/>
          <w:jc w:val="center"/>
        </w:trPr>
        <w:tc>
          <w:tcPr>
            <w:tcW w:w="4043" w:type="dxa"/>
            <w:shd w:val="clear" w:color="auto" w:fill="auto"/>
            <w:tcMar>
              <w:top w:w="0" w:type="dxa"/>
              <w:left w:w="100" w:type="dxa"/>
              <w:bottom w:w="0" w:type="dxa"/>
              <w:right w:w="100" w:type="dxa"/>
            </w:tcMar>
          </w:tcPr>
          <w:p w14:paraId="3053640E" w14:textId="77777777" w:rsidR="007C0A0B" w:rsidRPr="00A25326" w:rsidRDefault="007C0A0B" w:rsidP="00793D46">
            <w:pPr>
              <w:spacing w:line="24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Debt/Equity Ratio</w:t>
            </w:r>
          </w:p>
        </w:tc>
        <w:tc>
          <w:tcPr>
            <w:tcW w:w="2024" w:type="dxa"/>
            <w:shd w:val="clear" w:color="auto" w:fill="auto"/>
            <w:tcMar>
              <w:top w:w="0" w:type="dxa"/>
              <w:left w:w="100" w:type="dxa"/>
              <w:bottom w:w="0" w:type="dxa"/>
              <w:right w:w="100" w:type="dxa"/>
            </w:tcMar>
          </w:tcPr>
          <w:p w14:paraId="0A323E16"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2.47</w:t>
            </w:r>
          </w:p>
        </w:tc>
        <w:tc>
          <w:tcPr>
            <w:tcW w:w="2023" w:type="dxa"/>
            <w:shd w:val="clear" w:color="auto" w:fill="auto"/>
            <w:tcMar>
              <w:top w:w="0" w:type="dxa"/>
              <w:left w:w="100" w:type="dxa"/>
              <w:bottom w:w="0" w:type="dxa"/>
              <w:right w:w="100" w:type="dxa"/>
            </w:tcMar>
          </w:tcPr>
          <w:p w14:paraId="44849308"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2.66</w:t>
            </w:r>
          </w:p>
        </w:tc>
        <w:tc>
          <w:tcPr>
            <w:tcW w:w="1880" w:type="dxa"/>
            <w:shd w:val="clear" w:color="auto" w:fill="auto"/>
            <w:tcMar>
              <w:top w:w="0" w:type="dxa"/>
              <w:left w:w="100" w:type="dxa"/>
              <w:bottom w:w="0" w:type="dxa"/>
              <w:right w:w="100" w:type="dxa"/>
            </w:tcMar>
          </w:tcPr>
          <w:p w14:paraId="2D0966DC"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5.17</w:t>
            </w:r>
          </w:p>
        </w:tc>
      </w:tr>
      <w:tr w:rsidR="00A25326" w:rsidRPr="00A25326" w14:paraId="64146B7B" w14:textId="77777777" w:rsidTr="00793D46">
        <w:trPr>
          <w:trHeight w:val="166"/>
          <w:jc w:val="center"/>
        </w:trPr>
        <w:tc>
          <w:tcPr>
            <w:tcW w:w="4043" w:type="dxa"/>
            <w:shd w:val="clear" w:color="auto" w:fill="auto"/>
            <w:tcMar>
              <w:top w:w="0" w:type="dxa"/>
              <w:left w:w="100" w:type="dxa"/>
              <w:bottom w:w="0" w:type="dxa"/>
              <w:right w:w="100" w:type="dxa"/>
            </w:tcMar>
          </w:tcPr>
          <w:p w14:paraId="2BE64BA5"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"Total Debt/Total Equity"</w:t>
            </w:r>
          </w:p>
        </w:tc>
        <w:tc>
          <w:tcPr>
            <w:tcW w:w="2024" w:type="dxa"/>
            <w:shd w:val="clear" w:color="auto" w:fill="auto"/>
            <w:tcMar>
              <w:top w:w="0" w:type="dxa"/>
              <w:left w:w="100" w:type="dxa"/>
              <w:bottom w:w="0" w:type="dxa"/>
              <w:right w:w="100" w:type="dxa"/>
            </w:tcMar>
          </w:tcPr>
          <w:p w14:paraId="3CF0D375"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2023" w:type="dxa"/>
            <w:shd w:val="clear" w:color="auto" w:fill="auto"/>
            <w:tcMar>
              <w:top w:w="0" w:type="dxa"/>
              <w:left w:w="100" w:type="dxa"/>
              <w:bottom w:w="0" w:type="dxa"/>
              <w:right w:w="100" w:type="dxa"/>
            </w:tcMar>
          </w:tcPr>
          <w:p w14:paraId="7DECF329"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1880" w:type="dxa"/>
            <w:shd w:val="clear" w:color="auto" w:fill="auto"/>
            <w:tcMar>
              <w:top w:w="0" w:type="dxa"/>
              <w:left w:w="100" w:type="dxa"/>
              <w:bottom w:w="0" w:type="dxa"/>
              <w:right w:w="100" w:type="dxa"/>
            </w:tcMar>
          </w:tcPr>
          <w:p w14:paraId="06396CED"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r>
      <w:tr w:rsidR="00A25326" w:rsidRPr="00A25326" w14:paraId="4D371817" w14:textId="77777777" w:rsidTr="00793D46">
        <w:trPr>
          <w:trHeight w:val="166"/>
          <w:jc w:val="center"/>
        </w:trPr>
        <w:tc>
          <w:tcPr>
            <w:tcW w:w="4043" w:type="dxa"/>
            <w:shd w:val="clear" w:color="auto" w:fill="auto"/>
            <w:tcMar>
              <w:top w:w="0" w:type="dxa"/>
              <w:left w:w="100" w:type="dxa"/>
              <w:bottom w:w="0" w:type="dxa"/>
              <w:right w:w="100" w:type="dxa"/>
            </w:tcMar>
          </w:tcPr>
          <w:p w14:paraId="7E6C2E0A" w14:textId="77777777" w:rsidR="007C0A0B" w:rsidRPr="00A25326" w:rsidRDefault="007C0A0B" w:rsidP="00793D46">
            <w:pPr>
              <w:spacing w:line="24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Equity Multiplier</w:t>
            </w:r>
          </w:p>
        </w:tc>
        <w:tc>
          <w:tcPr>
            <w:tcW w:w="2024" w:type="dxa"/>
            <w:shd w:val="clear" w:color="auto" w:fill="auto"/>
            <w:tcMar>
              <w:top w:w="0" w:type="dxa"/>
              <w:left w:w="100" w:type="dxa"/>
              <w:bottom w:w="0" w:type="dxa"/>
              <w:right w:w="100" w:type="dxa"/>
            </w:tcMar>
          </w:tcPr>
          <w:p w14:paraId="172F261A"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3.47</w:t>
            </w:r>
          </w:p>
        </w:tc>
        <w:tc>
          <w:tcPr>
            <w:tcW w:w="2023" w:type="dxa"/>
            <w:shd w:val="clear" w:color="auto" w:fill="auto"/>
            <w:tcMar>
              <w:top w:w="0" w:type="dxa"/>
              <w:left w:w="100" w:type="dxa"/>
              <w:bottom w:w="0" w:type="dxa"/>
              <w:right w:w="100" w:type="dxa"/>
            </w:tcMar>
          </w:tcPr>
          <w:p w14:paraId="06D57FA7"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3.66</w:t>
            </w:r>
          </w:p>
        </w:tc>
        <w:tc>
          <w:tcPr>
            <w:tcW w:w="1880" w:type="dxa"/>
            <w:shd w:val="clear" w:color="auto" w:fill="auto"/>
            <w:tcMar>
              <w:top w:w="0" w:type="dxa"/>
              <w:left w:w="100" w:type="dxa"/>
              <w:bottom w:w="0" w:type="dxa"/>
              <w:right w:w="100" w:type="dxa"/>
            </w:tcMar>
          </w:tcPr>
          <w:p w14:paraId="478ED2BB"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6.17</w:t>
            </w:r>
          </w:p>
        </w:tc>
      </w:tr>
      <w:tr w:rsidR="00A25326" w:rsidRPr="00A25326" w14:paraId="48695B64" w14:textId="77777777" w:rsidTr="00793D46">
        <w:trPr>
          <w:trHeight w:val="166"/>
          <w:jc w:val="center"/>
        </w:trPr>
        <w:tc>
          <w:tcPr>
            <w:tcW w:w="4043" w:type="dxa"/>
            <w:shd w:val="clear" w:color="auto" w:fill="auto"/>
            <w:tcMar>
              <w:top w:w="0" w:type="dxa"/>
              <w:left w:w="100" w:type="dxa"/>
              <w:bottom w:w="0" w:type="dxa"/>
              <w:right w:w="100" w:type="dxa"/>
            </w:tcMar>
          </w:tcPr>
          <w:p w14:paraId="55A4011F"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"Total Assets/Total Equity"</w:t>
            </w:r>
          </w:p>
        </w:tc>
        <w:tc>
          <w:tcPr>
            <w:tcW w:w="2024" w:type="dxa"/>
            <w:shd w:val="clear" w:color="auto" w:fill="auto"/>
            <w:tcMar>
              <w:top w:w="0" w:type="dxa"/>
              <w:left w:w="100" w:type="dxa"/>
              <w:bottom w:w="0" w:type="dxa"/>
              <w:right w:w="100" w:type="dxa"/>
            </w:tcMar>
          </w:tcPr>
          <w:p w14:paraId="0FCBE924"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2023" w:type="dxa"/>
            <w:shd w:val="clear" w:color="auto" w:fill="auto"/>
            <w:tcMar>
              <w:top w:w="0" w:type="dxa"/>
              <w:left w:w="100" w:type="dxa"/>
              <w:bottom w:w="0" w:type="dxa"/>
              <w:right w:w="100" w:type="dxa"/>
            </w:tcMar>
          </w:tcPr>
          <w:p w14:paraId="1CBBCC9E"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1880" w:type="dxa"/>
            <w:shd w:val="clear" w:color="auto" w:fill="auto"/>
            <w:tcMar>
              <w:top w:w="0" w:type="dxa"/>
              <w:left w:w="100" w:type="dxa"/>
              <w:bottom w:w="0" w:type="dxa"/>
              <w:right w:w="100" w:type="dxa"/>
            </w:tcMar>
          </w:tcPr>
          <w:p w14:paraId="6BA58843"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r>
      <w:tr w:rsidR="00A25326" w:rsidRPr="00A25326" w14:paraId="26660057" w14:textId="77777777" w:rsidTr="00793D46">
        <w:trPr>
          <w:trHeight w:val="166"/>
          <w:jc w:val="center"/>
        </w:trPr>
        <w:tc>
          <w:tcPr>
            <w:tcW w:w="4043" w:type="dxa"/>
            <w:shd w:val="clear" w:color="auto" w:fill="FCE4D6"/>
            <w:tcMar>
              <w:top w:w="0" w:type="dxa"/>
              <w:left w:w="100" w:type="dxa"/>
              <w:bottom w:w="0" w:type="dxa"/>
              <w:right w:w="100" w:type="dxa"/>
            </w:tcMar>
          </w:tcPr>
          <w:p w14:paraId="0CE3D848" w14:textId="77777777" w:rsidR="007C0A0B" w:rsidRPr="00A25326" w:rsidRDefault="007C0A0B" w:rsidP="00793D46">
            <w:pPr>
              <w:spacing w:line="24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EFFICIENCY RATIOS:</w:t>
            </w:r>
          </w:p>
        </w:tc>
        <w:tc>
          <w:tcPr>
            <w:tcW w:w="2024" w:type="dxa"/>
            <w:shd w:val="clear" w:color="auto" w:fill="auto"/>
            <w:tcMar>
              <w:top w:w="0" w:type="dxa"/>
              <w:left w:w="100" w:type="dxa"/>
              <w:bottom w:w="0" w:type="dxa"/>
              <w:right w:w="100" w:type="dxa"/>
            </w:tcMar>
          </w:tcPr>
          <w:p w14:paraId="1BED0A8A"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2023" w:type="dxa"/>
            <w:shd w:val="clear" w:color="auto" w:fill="auto"/>
            <w:tcMar>
              <w:top w:w="0" w:type="dxa"/>
              <w:left w:w="100" w:type="dxa"/>
              <w:bottom w:w="0" w:type="dxa"/>
              <w:right w:w="100" w:type="dxa"/>
            </w:tcMar>
          </w:tcPr>
          <w:p w14:paraId="6FBA1570"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1880" w:type="dxa"/>
            <w:shd w:val="clear" w:color="auto" w:fill="auto"/>
            <w:tcMar>
              <w:top w:w="0" w:type="dxa"/>
              <w:left w:w="100" w:type="dxa"/>
              <w:bottom w:w="0" w:type="dxa"/>
              <w:right w:w="100" w:type="dxa"/>
            </w:tcMar>
          </w:tcPr>
          <w:p w14:paraId="50D56A90"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r>
      <w:tr w:rsidR="00A25326" w:rsidRPr="00A25326" w14:paraId="7DE260E6" w14:textId="77777777" w:rsidTr="00793D46">
        <w:trPr>
          <w:trHeight w:val="166"/>
          <w:jc w:val="center"/>
        </w:trPr>
        <w:tc>
          <w:tcPr>
            <w:tcW w:w="4043" w:type="dxa"/>
            <w:shd w:val="clear" w:color="auto" w:fill="auto"/>
            <w:tcMar>
              <w:top w:w="0" w:type="dxa"/>
              <w:left w:w="100" w:type="dxa"/>
              <w:bottom w:w="0" w:type="dxa"/>
              <w:right w:w="100" w:type="dxa"/>
            </w:tcMar>
          </w:tcPr>
          <w:p w14:paraId="3227BDE8" w14:textId="77777777" w:rsidR="007C0A0B" w:rsidRPr="00A25326" w:rsidRDefault="007C0A0B" w:rsidP="00793D46">
            <w:pPr>
              <w:spacing w:line="24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Account Receivable Days</w:t>
            </w:r>
          </w:p>
        </w:tc>
        <w:tc>
          <w:tcPr>
            <w:tcW w:w="2024" w:type="dxa"/>
            <w:shd w:val="clear" w:color="auto" w:fill="auto"/>
            <w:tcMar>
              <w:top w:w="0" w:type="dxa"/>
              <w:left w:w="100" w:type="dxa"/>
              <w:bottom w:w="0" w:type="dxa"/>
              <w:right w:w="100" w:type="dxa"/>
            </w:tcMar>
          </w:tcPr>
          <w:p w14:paraId="39AD3EE1"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15.21</w:t>
            </w:r>
          </w:p>
        </w:tc>
        <w:tc>
          <w:tcPr>
            <w:tcW w:w="2023" w:type="dxa"/>
            <w:shd w:val="clear" w:color="auto" w:fill="auto"/>
            <w:tcMar>
              <w:top w:w="0" w:type="dxa"/>
              <w:left w:w="100" w:type="dxa"/>
              <w:bottom w:w="0" w:type="dxa"/>
              <w:right w:w="100" w:type="dxa"/>
            </w:tcMar>
          </w:tcPr>
          <w:p w14:paraId="46521029"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13.27</w:t>
            </w:r>
          </w:p>
        </w:tc>
        <w:tc>
          <w:tcPr>
            <w:tcW w:w="1880" w:type="dxa"/>
            <w:shd w:val="clear" w:color="auto" w:fill="auto"/>
            <w:tcMar>
              <w:top w:w="0" w:type="dxa"/>
              <w:left w:w="100" w:type="dxa"/>
              <w:bottom w:w="0" w:type="dxa"/>
              <w:right w:w="100" w:type="dxa"/>
            </w:tcMar>
          </w:tcPr>
          <w:p w14:paraId="5542C73D"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11.53</w:t>
            </w:r>
          </w:p>
        </w:tc>
      </w:tr>
      <w:tr w:rsidR="00A25326" w:rsidRPr="00A25326" w14:paraId="5C75A340" w14:textId="77777777" w:rsidTr="00793D46">
        <w:trPr>
          <w:trHeight w:val="166"/>
          <w:jc w:val="center"/>
        </w:trPr>
        <w:tc>
          <w:tcPr>
            <w:tcW w:w="4043" w:type="dxa"/>
            <w:shd w:val="clear" w:color="auto" w:fill="auto"/>
            <w:tcMar>
              <w:top w:w="0" w:type="dxa"/>
              <w:left w:w="100" w:type="dxa"/>
              <w:bottom w:w="0" w:type="dxa"/>
              <w:right w:w="100" w:type="dxa"/>
            </w:tcMar>
          </w:tcPr>
          <w:p w14:paraId="70AC4D6A"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"(Account Receivable/Sales) x 365"</w:t>
            </w:r>
          </w:p>
        </w:tc>
        <w:tc>
          <w:tcPr>
            <w:tcW w:w="2024" w:type="dxa"/>
            <w:shd w:val="clear" w:color="auto" w:fill="auto"/>
            <w:tcMar>
              <w:top w:w="0" w:type="dxa"/>
              <w:left w:w="100" w:type="dxa"/>
              <w:bottom w:w="0" w:type="dxa"/>
              <w:right w:w="100" w:type="dxa"/>
            </w:tcMar>
          </w:tcPr>
          <w:p w14:paraId="1D22D113"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2023" w:type="dxa"/>
            <w:shd w:val="clear" w:color="auto" w:fill="auto"/>
            <w:tcMar>
              <w:top w:w="0" w:type="dxa"/>
              <w:left w:w="100" w:type="dxa"/>
              <w:bottom w:w="0" w:type="dxa"/>
              <w:right w:w="100" w:type="dxa"/>
            </w:tcMar>
          </w:tcPr>
          <w:p w14:paraId="5BBB793A"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1880" w:type="dxa"/>
            <w:shd w:val="clear" w:color="auto" w:fill="auto"/>
            <w:tcMar>
              <w:top w:w="0" w:type="dxa"/>
              <w:left w:w="100" w:type="dxa"/>
              <w:bottom w:w="0" w:type="dxa"/>
              <w:right w:w="100" w:type="dxa"/>
            </w:tcMar>
          </w:tcPr>
          <w:p w14:paraId="4226902B"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r>
      <w:tr w:rsidR="00A25326" w:rsidRPr="00A25326" w14:paraId="5E26B784" w14:textId="77777777" w:rsidTr="00793D46">
        <w:trPr>
          <w:trHeight w:val="166"/>
          <w:jc w:val="center"/>
        </w:trPr>
        <w:tc>
          <w:tcPr>
            <w:tcW w:w="4043" w:type="dxa"/>
            <w:shd w:val="clear" w:color="auto" w:fill="auto"/>
            <w:tcMar>
              <w:top w:w="0" w:type="dxa"/>
              <w:left w:w="100" w:type="dxa"/>
              <w:bottom w:w="0" w:type="dxa"/>
              <w:right w:w="100" w:type="dxa"/>
            </w:tcMar>
          </w:tcPr>
          <w:p w14:paraId="2804C217" w14:textId="77777777" w:rsidR="007C0A0B" w:rsidRPr="00A25326" w:rsidRDefault="007C0A0B" w:rsidP="00793D46">
            <w:pPr>
              <w:spacing w:line="240" w:lineRule="auto"/>
              <w:jc w:val="both"/>
              <w:rPr>
                <w:rFonts w:ascii="Times New Roman" w:eastAsia="Times New Roman" w:hAnsi="Times New Roman" w:cs="Times New Roman"/>
                <w:b/>
                <w:color w:val="000000" w:themeColor="text1"/>
                <w:sz w:val="24"/>
                <w:szCs w:val="24"/>
              </w:rPr>
            </w:pPr>
            <w:r w:rsidRPr="00A25326">
              <w:rPr>
                <w:rFonts w:ascii="Times New Roman" w:eastAsia="Times New Roman" w:hAnsi="Times New Roman" w:cs="Times New Roman"/>
                <w:b/>
                <w:color w:val="000000" w:themeColor="text1"/>
                <w:sz w:val="24"/>
                <w:szCs w:val="24"/>
              </w:rPr>
              <w:t>Asset turnover ratio</w:t>
            </w:r>
          </w:p>
        </w:tc>
        <w:tc>
          <w:tcPr>
            <w:tcW w:w="2024" w:type="dxa"/>
            <w:shd w:val="clear" w:color="auto" w:fill="auto"/>
            <w:tcMar>
              <w:top w:w="0" w:type="dxa"/>
              <w:left w:w="100" w:type="dxa"/>
              <w:bottom w:w="0" w:type="dxa"/>
              <w:right w:w="100" w:type="dxa"/>
            </w:tcMar>
          </w:tcPr>
          <w:p w14:paraId="5996BF26"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0.56</w:t>
            </w:r>
          </w:p>
        </w:tc>
        <w:tc>
          <w:tcPr>
            <w:tcW w:w="2023" w:type="dxa"/>
            <w:shd w:val="clear" w:color="auto" w:fill="auto"/>
            <w:tcMar>
              <w:top w:w="0" w:type="dxa"/>
              <w:left w:w="100" w:type="dxa"/>
              <w:bottom w:w="0" w:type="dxa"/>
              <w:right w:w="100" w:type="dxa"/>
            </w:tcMar>
          </w:tcPr>
          <w:p w14:paraId="073009FF"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0.55</w:t>
            </w:r>
          </w:p>
        </w:tc>
        <w:tc>
          <w:tcPr>
            <w:tcW w:w="1880" w:type="dxa"/>
            <w:shd w:val="clear" w:color="auto" w:fill="auto"/>
            <w:tcMar>
              <w:top w:w="0" w:type="dxa"/>
              <w:left w:w="100" w:type="dxa"/>
              <w:bottom w:w="0" w:type="dxa"/>
              <w:right w:w="100" w:type="dxa"/>
            </w:tcMar>
          </w:tcPr>
          <w:p w14:paraId="58FC3268" w14:textId="77777777" w:rsidR="007C0A0B" w:rsidRPr="00A25326" w:rsidRDefault="007C0A0B" w:rsidP="00793D46">
            <w:pPr>
              <w:spacing w:line="240" w:lineRule="auto"/>
              <w:jc w:val="right"/>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1.03</w:t>
            </w:r>
          </w:p>
        </w:tc>
      </w:tr>
      <w:tr w:rsidR="00A25326" w:rsidRPr="00A25326" w14:paraId="005D38E1" w14:textId="77777777" w:rsidTr="00793D46">
        <w:trPr>
          <w:trHeight w:val="202"/>
          <w:jc w:val="center"/>
        </w:trPr>
        <w:tc>
          <w:tcPr>
            <w:tcW w:w="4043" w:type="dxa"/>
            <w:shd w:val="clear" w:color="auto" w:fill="auto"/>
            <w:tcMar>
              <w:top w:w="0" w:type="dxa"/>
              <w:left w:w="100" w:type="dxa"/>
              <w:bottom w:w="0" w:type="dxa"/>
              <w:right w:w="100" w:type="dxa"/>
            </w:tcMar>
          </w:tcPr>
          <w:p w14:paraId="0E5B26D6"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"Net sales/ average total assets"</w:t>
            </w:r>
          </w:p>
        </w:tc>
        <w:tc>
          <w:tcPr>
            <w:tcW w:w="2024" w:type="dxa"/>
            <w:shd w:val="clear" w:color="auto" w:fill="auto"/>
            <w:tcMar>
              <w:top w:w="0" w:type="dxa"/>
              <w:left w:w="100" w:type="dxa"/>
              <w:bottom w:w="0" w:type="dxa"/>
              <w:right w:w="100" w:type="dxa"/>
            </w:tcMar>
          </w:tcPr>
          <w:p w14:paraId="59ED9816"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2023" w:type="dxa"/>
            <w:shd w:val="clear" w:color="auto" w:fill="auto"/>
            <w:tcMar>
              <w:top w:w="0" w:type="dxa"/>
              <w:left w:w="100" w:type="dxa"/>
              <w:bottom w:w="0" w:type="dxa"/>
              <w:right w:w="100" w:type="dxa"/>
            </w:tcMar>
          </w:tcPr>
          <w:p w14:paraId="0AF0749D"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c>
          <w:tcPr>
            <w:tcW w:w="1880" w:type="dxa"/>
            <w:shd w:val="clear" w:color="auto" w:fill="auto"/>
            <w:tcMar>
              <w:top w:w="0" w:type="dxa"/>
              <w:left w:w="100" w:type="dxa"/>
              <w:bottom w:w="0" w:type="dxa"/>
              <w:right w:w="100" w:type="dxa"/>
            </w:tcMar>
          </w:tcPr>
          <w:p w14:paraId="45B65EBC" w14:textId="77777777" w:rsidR="007C0A0B" w:rsidRPr="00A25326" w:rsidRDefault="007C0A0B" w:rsidP="00793D46">
            <w:pPr>
              <w:spacing w:line="240" w:lineRule="auto"/>
              <w:jc w:val="both"/>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 </w:t>
            </w:r>
          </w:p>
        </w:tc>
      </w:tr>
    </w:tbl>
    <w:p w14:paraId="7EE8D342" w14:textId="77777777" w:rsidR="007C0A0B" w:rsidRPr="00A25326" w:rsidRDefault="007C0A0B" w:rsidP="007C0A0B">
      <w:pPr>
        <w:jc w:val="center"/>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b/>
          <w:color w:val="000000" w:themeColor="text1"/>
          <w:sz w:val="24"/>
          <w:szCs w:val="24"/>
        </w:rPr>
        <w:t>Table 1: Financial ratios of The Seacrest Lodge in the past 3 years</w:t>
      </w:r>
    </w:p>
    <w:p w14:paraId="44FD7B38" w14:textId="77777777" w:rsidR="007C0A0B" w:rsidRPr="00A25326" w:rsidRDefault="007C0A0B" w:rsidP="007C0A0B">
      <w:pPr>
        <w:spacing w:line="360" w:lineRule="auto"/>
        <w:jc w:val="center"/>
        <w:rPr>
          <w:rFonts w:ascii="Times New Roman" w:eastAsia="Times New Roman" w:hAnsi="Times New Roman" w:cs="Times New Roman"/>
          <w:color w:val="000000" w:themeColor="text1"/>
          <w:sz w:val="24"/>
          <w:szCs w:val="24"/>
        </w:rPr>
      </w:pPr>
      <w:r w:rsidRPr="00A25326">
        <w:rPr>
          <w:rFonts w:ascii="Times New Roman" w:eastAsia="Times New Roman" w:hAnsi="Times New Roman" w:cs="Times New Roman"/>
          <w:color w:val="000000" w:themeColor="text1"/>
          <w:sz w:val="24"/>
          <w:szCs w:val="24"/>
        </w:rPr>
        <w:t xml:space="preserve">(Source: Spreadsheet) </w:t>
      </w:r>
    </w:p>
    <w:p w14:paraId="5C22E8BB" w14:textId="77777777" w:rsidR="007C0A0B" w:rsidRPr="00A25326" w:rsidRDefault="007C0A0B" w:rsidP="007C0A0B">
      <w:pPr>
        <w:spacing w:before="240" w:line="360" w:lineRule="auto"/>
        <w:jc w:val="center"/>
        <w:rPr>
          <w:rFonts w:ascii="Times New Roman" w:hAnsi="Times New Roman" w:cs="Times New Roman"/>
          <w:color w:val="000000" w:themeColor="text1"/>
          <w:sz w:val="24"/>
          <w:szCs w:val="24"/>
        </w:rPr>
      </w:pPr>
    </w:p>
    <w:p w14:paraId="2221D931" w14:textId="77777777" w:rsidR="00E35FEC" w:rsidRPr="00A25326" w:rsidRDefault="00E35FEC" w:rsidP="00D06A07">
      <w:pPr>
        <w:spacing w:before="240" w:after="240" w:line="360" w:lineRule="auto"/>
        <w:jc w:val="both"/>
        <w:rPr>
          <w:rFonts w:ascii="Times New Roman" w:eastAsia="Times New Roman" w:hAnsi="Times New Roman" w:cs="Times New Roman"/>
          <w:color w:val="000000" w:themeColor="text1"/>
          <w:sz w:val="24"/>
          <w:szCs w:val="24"/>
        </w:rPr>
      </w:pPr>
    </w:p>
    <w:p w14:paraId="7E08B67E" w14:textId="77777777" w:rsidR="00286553" w:rsidRPr="00A25326" w:rsidRDefault="00286553" w:rsidP="00D06A07">
      <w:pPr>
        <w:spacing w:line="360" w:lineRule="auto"/>
        <w:jc w:val="both"/>
        <w:rPr>
          <w:rFonts w:ascii="Times New Roman" w:eastAsia="Times New Roman" w:hAnsi="Times New Roman" w:cs="Times New Roman"/>
          <w:color w:val="000000" w:themeColor="text1"/>
          <w:sz w:val="24"/>
          <w:szCs w:val="24"/>
        </w:rPr>
      </w:pPr>
    </w:p>
    <w:p w14:paraId="2F4DEB99" w14:textId="77777777" w:rsidR="00286553" w:rsidRPr="00A25326" w:rsidRDefault="00286553" w:rsidP="00D06A07">
      <w:pPr>
        <w:spacing w:line="360" w:lineRule="auto"/>
        <w:rPr>
          <w:rFonts w:ascii="Times New Roman" w:hAnsi="Times New Roman" w:cs="Times New Roman"/>
          <w:color w:val="000000" w:themeColor="text1"/>
        </w:rPr>
      </w:pPr>
    </w:p>
    <w:sectPr w:rsidR="00286553" w:rsidRPr="00A25326" w:rsidSect="001B1785">
      <w:footerReference w:type="firs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C910D" w14:textId="77777777" w:rsidR="001B1785" w:rsidRDefault="001B1785">
      <w:pPr>
        <w:spacing w:line="240" w:lineRule="auto"/>
      </w:pPr>
      <w:r>
        <w:separator/>
      </w:r>
    </w:p>
  </w:endnote>
  <w:endnote w:type="continuationSeparator" w:id="0">
    <w:p w14:paraId="4C36B52A" w14:textId="77777777" w:rsidR="001B1785" w:rsidRDefault="001B17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59E04" w14:textId="77777777" w:rsidR="00286553" w:rsidRDefault="0010610B">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414B38">
      <w:rPr>
        <w:rFonts w:ascii="Times New Roman" w:eastAsia="Times New Roman" w:hAnsi="Times New Roman" w:cs="Times New Roman"/>
        <w:noProof/>
        <w:sz w:val="20"/>
        <w:szCs w:val="20"/>
      </w:rPr>
      <w:t>10</w:t>
    </w:r>
    <w:r>
      <w:rPr>
        <w:rFonts w:ascii="Times New Roman" w:eastAsia="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5727423"/>
      <w:docPartObj>
        <w:docPartGallery w:val="Page Numbers (Bottom of Page)"/>
        <w:docPartUnique/>
      </w:docPartObj>
    </w:sdtPr>
    <w:sdtEndPr>
      <w:rPr>
        <w:rStyle w:val="PageNumber"/>
      </w:rPr>
    </w:sdtEndPr>
    <w:sdtContent>
      <w:p w14:paraId="7A438FC0" w14:textId="7AA24795" w:rsidR="00A25326" w:rsidRDefault="00A25326" w:rsidP="008F7A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0F2170" w14:textId="77777777" w:rsidR="00A25326" w:rsidRDefault="00A25326" w:rsidP="00A25326">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5AAB2" w14:textId="77777777" w:rsidR="001B1785" w:rsidRDefault="001B1785">
      <w:pPr>
        <w:spacing w:line="240" w:lineRule="auto"/>
      </w:pPr>
      <w:r>
        <w:separator/>
      </w:r>
    </w:p>
  </w:footnote>
  <w:footnote w:type="continuationSeparator" w:id="0">
    <w:p w14:paraId="17ABF9A5" w14:textId="77777777" w:rsidR="001B1785" w:rsidRDefault="001B178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553"/>
    <w:rsid w:val="00073B6C"/>
    <w:rsid w:val="000B3887"/>
    <w:rsid w:val="000D237B"/>
    <w:rsid w:val="0010610B"/>
    <w:rsid w:val="0016162A"/>
    <w:rsid w:val="0016639A"/>
    <w:rsid w:val="001B1785"/>
    <w:rsid w:val="00200F9A"/>
    <w:rsid w:val="00286553"/>
    <w:rsid w:val="00414B38"/>
    <w:rsid w:val="004A68C8"/>
    <w:rsid w:val="005604C5"/>
    <w:rsid w:val="006A589A"/>
    <w:rsid w:val="00726163"/>
    <w:rsid w:val="007C0A0B"/>
    <w:rsid w:val="008C789B"/>
    <w:rsid w:val="00902E4E"/>
    <w:rsid w:val="00945582"/>
    <w:rsid w:val="009D188C"/>
    <w:rsid w:val="009E2EB6"/>
    <w:rsid w:val="00A25326"/>
    <w:rsid w:val="00A409F2"/>
    <w:rsid w:val="00AC7A53"/>
    <w:rsid w:val="00C93C8F"/>
    <w:rsid w:val="00D06A07"/>
    <w:rsid w:val="00DF20DF"/>
    <w:rsid w:val="00E35FEC"/>
    <w:rsid w:val="00E376AD"/>
    <w:rsid w:val="00FE6AE0"/>
    <w:rsid w:val="00FE71A8"/>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C8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32"/>
      <w:szCs w:val="32"/>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sz w:val="28"/>
      <w:szCs w:val="28"/>
    </w:rPr>
  </w:style>
  <w:style w:type="paragraph" w:styleId="Heading3">
    <w:name w:val="heading 3"/>
    <w:basedOn w:val="Normal"/>
    <w:next w:val="Normal"/>
    <w:pPr>
      <w:keepNext/>
      <w:keepLines/>
      <w:spacing w:line="360" w:lineRule="auto"/>
      <w:jc w:val="both"/>
      <w:outlineLvl w:val="2"/>
    </w:pPr>
    <w:rPr>
      <w:rFonts w:ascii="Times New Roman" w:eastAsia="Times New Roman" w:hAnsi="Times New Roman" w:cs="Times New Roman"/>
      <w:b/>
      <w:i/>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9D188C"/>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9D188C"/>
    <w:pPr>
      <w:spacing w:after="100"/>
    </w:pPr>
  </w:style>
  <w:style w:type="paragraph" w:styleId="TOC2">
    <w:name w:val="toc 2"/>
    <w:basedOn w:val="Normal"/>
    <w:next w:val="Normal"/>
    <w:autoRedefine/>
    <w:uiPriority w:val="39"/>
    <w:unhideWhenUsed/>
    <w:rsid w:val="009D188C"/>
    <w:pPr>
      <w:spacing w:after="100"/>
      <w:ind w:left="220"/>
    </w:pPr>
  </w:style>
  <w:style w:type="paragraph" w:styleId="TOC3">
    <w:name w:val="toc 3"/>
    <w:basedOn w:val="Normal"/>
    <w:next w:val="Normal"/>
    <w:autoRedefine/>
    <w:uiPriority w:val="39"/>
    <w:unhideWhenUsed/>
    <w:rsid w:val="009D188C"/>
    <w:pPr>
      <w:spacing w:after="100"/>
      <w:ind w:left="440"/>
    </w:pPr>
  </w:style>
  <w:style w:type="character" w:styleId="Hyperlink">
    <w:name w:val="Hyperlink"/>
    <w:basedOn w:val="DefaultParagraphFont"/>
    <w:uiPriority w:val="99"/>
    <w:unhideWhenUsed/>
    <w:rsid w:val="009D188C"/>
    <w:rPr>
      <w:color w:val="0000FF" w:themeColor="hyperlink"/>
      <w:u w:val="single"/>
    </w:rPr>
  </w:style>
  <w:style w:type="paragraph" w:styleId="Header">
    <w:name w:val="header"/>
    <w:basedOn w:val="Normal"/>
    <w:link w:val="HeaderChar"/>
    <w:uiPriority w:val="99"/>
    <w:unhideWhenUsed/>
    <w:rsid w:val="00DF20DF"/>
    <w:pPr>
      <w:tabs>
        <w:tab w:val="center" w:pos="4513"/>
        <w:tab w:val="right" w:pos="9026"/>
      </w:tabs>
      <w:spacing w:line="240" w:lineRule="auto"/>
    </w:pPr>
  </w:style>
  <w:style w:type="character" w:customStyle="1" w:styleId="HeaderChar">
    <w:name w:val="Header Char"/>
    <w:basedOn w:val="DefaultParagraphFont"/>
    <w:link w:val="Header"/>
    <w:uiPriority w:val="99"/>
    <w:rsid w:val="00DF20DF"/>
  </w:style>
  <w:style w:type="paragraph" w:styleId="Footer">
    <w:name w:val="footer"/>
    <w:basedOn w:val="Normal"/>
    <w:link w:val="FooterChar"/>
    <w:uiPriority w:val="99"/>
    <w:unhideWhenUsed/>
    <w:rsid w:val="00DF20DF"/>
    <w:pPr>
      <w:tabs>
        <w:tab w:val="center" w:pos="4513"/>
        <w:tab w:val="right" w:pos="9026"/>
      </w:tabs>
      <w:spacing w:line="240" w:lineRule="auto"/>
    </w:pPr>
  </w:style>
  <w:style w:type="character" w:customStyle="1" w:styleId="FooterChar">
    <w:name w:val="Footer Char"/>
    <w:basedOn w:val="DefaultParagraphFont"/>
    <w:link w:val="Footer"/>
    <w:uiPriority w:val="99"/>
    <w:rsid w:val="00DF20DF"/>
  </w:style>
  <w:style w:type="paragraph" w:styleId="NormalWeb">
    <w:name w:val="Normal (Web)"/>
    <w:basedOn w:val="Normal"/>
    <w:uiPriority w:val="99"/>
    <w:semiHidden/>
    <w:unhideWhenUsed/>
    <w:rsid w:val="0016162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PageNumber">
    <w:name w:val="page number"/>
    <w:basedOn w:val="DefaultParagraphFont"/>
    <w:uiPriority w:val="99"/>
    <w:semiHidden/>
    <w:unhideWhenUsed/>
    <w:rsid w:val="00A25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0297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4ABF0-D46E-48D5-8D8E-1451C6FF3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3506</Words>
  <Characters>19989</Characters>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dcterms:created xsi:type="dcterms:W3CDTF">2024-02-19T08:53:00Z</dcterms:created>
  <dcterms:modified xsi:type="dcterms:W3CDTF">2024-02-27T20:31:00Z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2024-02-19T09:04:06Z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ef0df8de-d6ea-4562-a1ca-595fbdab7267</vt:lpwstr>
  </property>
  <property fmtid="{D5CDD505-2E9C-101B-9397-08002B2CF9AE}" pid="7" name="MSIP_Label_defa4170-0d19-0005-0004-bc88714345d2_ActionId">
    <vt:lpwstr>aa6d2aff-ca10-4788-bc7c-8ee12a8bb509</vt:lpwstr>
  </property>
  <property fmtid="{D5CDD505-2E9C-101B-9397-08002B2CF9AE}" pid="8" name="MSIP_Label_defa4170-0d19-0005-0004-bc88714345d2_ContentBits">
    <vt:lpwstr>0</vt:lpwstr>
  </property>
</Properties>
</file>