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42342"/>
        <w:docPartObj>
          <w:docPartGallery w:val="Cover Pages"/>
          <w:docPartUnique/>
        </w:docPartObj>
      </w:sdtPr>
      <w:sdtContent>
        <w:p w14:paraId="3D9AD6CB" w14:textId="39760603" w:rsidR="003665BD" w:rsidRDefault="003665BD">
          <w:r>
            <w:rPr>
              <w:noProof/>
            </w:rPr>
            <mc:AlternateContent>
              <mc:Choice Requires="wpg">
                <w:drawing>
                  <wp:anchor distT="0" distB="0" distL="114300" distR="114300" simplePos="0" relativeHeight="251665408" behindDoc="0" locked="0" layoutInCell="1" allowOverlap="1" wp14:anchorId="782EF246" wp14:editId="3C11610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A85D66" id="Group 157"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01C48EFC" wp14:editId="6CADFE8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4"/>
                                    <w:szCs w:val="3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E75E4E" w14:textId="6ED6F153" w:rsidR="003665BD" w:rsidRPr="003665BD" w:rsidRDefault="003665BD" w:rsidP="003665BD">
                                    <w:pPr>
                                      <w:pStyle w:val="NoSpacing"/>
                                      <w:spacing w:line="360" w:lineRule="auto"/>
                                      <w:jc w:val="right"/>
                                      <w:rPr>
                                        <w:color w:val="595959" w:themeColor="text1" w:themeTint="A6"/>
                                        <w:sz w:val="34"/>
                                        <w:szCs w:val="34"/>
                                      </w:rPr>
                                    </w:pPr>
                                    <w:r w:rsidRPr="003665BD">
                                      <w:rPr>
                                        <w:color w:val="595959" w:themeColor="text1" w:themeTint="A6"/>
                                        <w:sz w:val="34"/>
                                        <w:szCs w:val="34"/>
                                      </w:rPr>
                                      <w:t>Iftekhar Rashid</w:t>
                                    </w:r>
                                  </w:p>
                                </w:sdtContent>
                              </w:sdt>
                              <w:p w14:paraId="7A19C7ED" w14:textId="378F4110" w:rsidR="003665BD" w:rsidRPr="003665BD" w:rsidRDefault="003665BD" w:rsidP="003665BD">
                                <w:pPr>
                                  <w:pStyle w:val="NoSpacing"/>
                                  <w:spacing w:line="360" w:lineRule="auto"/>
                                  <w:jc w:val="right"/>
                                  <w:rPr>
                                    <w:color w:val="595959" w:themeColor="text1" w:themeTint="A6"/>
                                    <w:sz w:val="24"/>
                                    <w:szCs w:val="24"/>
                                  </w:rPr>
                                </w:pPr>
                                <w:r w:rsidRPr="003665BD">
                                  <w:rPr>
                                    <w:color w:val="595959" w:themeColor="text1" w:themeTint="A6"/>
                                    <w:sz w:val="24"/>
                                    <w:szCs w:val="24"/>
                                  </w:rPr>
                                  <w:t>Student Code: 2215602</w:t>
                                </w:r>
                              </w:p>
                              <w:p w14:paraId="15529AE7" w14:textId="07A7A21F" w:rsidR="003665BD" w:rsidRPr="003665BD" w:rsidRDefault="003665BD" w:rsidP="003665BD">
                                <w:pPr>
                                  <w:pStyle w:val="NoSpacing"/>
                                  <w:spacing w:line="360" w:lineRule="auto"/>
                                  <w:jc w:val="right"/>
                                  <w:rPr>
                                    <w:color w:val="595959" w:themeColor="text1" w:themeTint="A6"/>
                                    <w:sz w:val="24"/>
                                    <w:szCs w:val="24"/>
                                  </w:rPr>
                                </w:pPr>
                                <w:r w:rsidRPr="003665BD">
                                  <w:rPr>
                                    <w:color w:val="595959" w:themeColor="text1" w:themeTint="A6"/>
                                    <w:sz w:val="24"/>
                                    <w:szCs w:val="24"/>
                                  </w:rPr>
                                  <w:t xml:space="preserve">Lecturer: </w:t>
                                </w:r>
                                <w:r w:rsidRPr="003665BD">
                                  <w:rPr>
                                    <w:color w:val="595959" w:themeColor="text1" w:themeTint="A6"/>
                                    <w:sz w:val="24"/>
                                    <w:szCs w:val="24"/>
                                    <w:lang w:val="en-GB"/>
                                  </w:rPr>
                                  <w:t> Vijeyananthan Thayananthan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C48EFC" id="_x0000_t202" coordsize="21600,21600" o:spt="202" path="m,l,21600r21600,l21600,xe">
                    <v:stroke joinstyle="miter"/>
                    <v:path gradientshapeok="t" o:connecttype="rect"/>
                  </v:shapetype>
                  <v:shape id="Text Box 159"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4"/>
                              <w:szCs w:val="3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E75E4E" w14:textId="6ED6F153" w:rsidR="003665BD" w:rsidRPr="003665BD" w:rsidRDefault="003665BD" w:rsidP="003665BD">
                              <w:pPr>
                                <w:pStyle w:val="NoSpacing"/>
                                <w:spacing w:line="360" w:lineRule="auto"/>
                                <w:jc w:val="right"/>
                                <w:rPr>
                                  <w:color w:val="595959" w:themeColor="text1" w:themeTint="A6"/>
                                  <w:sz w:val="34"/>
                                  <w:szCs w:val="34"/>
                                </w:rPr>
                              </w:pPr>
                              <w:r w:rsidRPr="003665BD">
                                <w:rPr>
                                  <w:color w:val="595959" w:themeColor="text1" w:themeTint="A6"/>
                                  <w:sz w:val="34"/>
                                  <w:szCs w:val="34"/>
                                </w:rPr>
                                <w:t>Iftekhar Rashid</w:t>
                              </w:r>
                            </w:p>
                          </w:sdtContent>
                        </w:sdt>
                        <w:p w14:paraId="7A19C7ED" w14:textId="378F4110" w:rsidR="003665BD" w:rsidRPr="003665BD" w:rsidRDefault="003665BD" w:rsidP="003665BD">
                          <w:pPr>
                            <w:pStyle w:val="NoSpacing"/>
                            <w:spacing w:line="360" w:lineRule="auto"/>
                            <w:jc w:val="right"/>
                            <w:rPr>
                              <w:color w:val="595959" w:themeColor="text1" w:themeTint="A6"/>
                              <w:sz w:val="24"/>
                              <w:szCs w:val="24"/>
                            </w:rPr>
                          </w:pPr>
                          <w:r w:rsidRPr="003665BD">
                            <w:rPr>
                              <w:color w:val="595959" w:themeColor="text1" w:themeTint="A6"/>
                              <w:sz w:val="24"/>
                              <w:szCs w:val="24"/>
                            </w:rPr>
                            <w:t>Student Code: 2215602</w:t>
                          </w:r>
                        </w:p>
                        <w:p w14:paraId="15529AE7" w14:textId="07A7A21F" w:rsidR="003665BD" w:rsidRPr="003665BD" w:rsidRDefault="003665BD" w:rsidP="003665BD">
                          <w:pPr>
                            <w:pStyle w:val="NoSpacing"/>
                            <w:spacing w:line="360" w:lineRule="auto"/>
                            <w:jc w:val="right"/>
                            <w:rPr>
                              <w:color w:val="595959" w:themeColor="text1" w:themeTint="A6"/>
                              <w:sz w:val="24"/>
                              <w:szCs w:val="24"/>
                            </w:rPr>
                          </w:pPr>
                          <w:r w:rsidRPr="003665BD">
                            <w:rPr>
                              <w:color w:val="595959" w:themeColor="text1" w:themeTint="A6"/>
                              <w:sz w:val="24"/>
                              <w:szCs w:val="24"/>
                            </w:rPr>
                            <w:t xml:space="preserve">Lecturer: </w:t>
                          </w:r>
                          <w:r w:rsidRPr="003665BD">
                            <w:rPr>
                              <w:color w:val="595959" w:themeColor="text1" w:themeTint="A6"/>
                              <w:sz w:val="24"/>
                              <w:szCs w:val="24"/>
                              <w:lang w:val="en-GB"/>
                            </w:rPr>
                            <w:t> Vijeyananthan Thayananthan</w:t>
                          </w:r>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6A0BA9D0" wp14:editId="5C7E76B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D538A0" w14:textId="66483C69" w:rsidR="003665BD" w:rsidRPr="003665BD" w:rsidRDefault="003665BD">
                                <w:pPr>
                                  <w:pStyle w:val="NoSpacing"/>
                                  <w:jc w:val="right"/>
                                  <w:rPr>
                                    <w:sz w:val="28"/>
                                    <w:szCs w:val="28"/>
                                  </w:rPr>
                                </w:pPr>
                                <w:r w:rsidRPr="003665BD">
                                  <w:rPr>
                                    <w:sz w:val="28"/>
                                    <w:szCs w:val="28"/>
                                  </w:rPr>
                                  <w:t>Module Code: ACCA7028</w:t>
                                </w:r>
                              </w:p>
                              <w:p w14:paraId="30EA04A1" w14:textId="76B096C0" w:rsidR="003665BD" w:rsidRDefault="003665B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A0BA9D0" id="Text Box 161" o:spid="_x0000_s1027"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AD538A0" w14:textId="66483C69" w:rsidR="003665BD" w:rsidRPr="003665BD" w:rsidRDefault="003665BD">
                          <w:pPr>
                            <w:pStyle w:val="NoSpacing"/>
                            <w:jc w:val="right"/>
                            <w:rPr>
                              <w:sz w:val="28"/>
                              <w:szCs w:val="28"/>
                            </w:rPr>
                          </w:pPr>
                          <w:r w:rsidRPr="003665BD">
                            <w:rPr>
                              <w:sz w:val="28"/>
                              <w:szCs w:val="28"/>
                            </w:rPr>
                            <w:t>Module Code: ACCA7028</w:t>
                          </w:r>
                        </w:p>
                        <w:p w14:paraId="30EA04A1" w14:textId="76B096C0" w:rsidR="003665BD" w:rsidRDefault="003665BD">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7A9C2DE1" wp14:editId="5498F8D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084436" w14:textId="3161E1E4" w:rsidR="003665BD"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665BD" w:rsidRPr="003665BD">
                                      <w:rPr>
                                        <w:caps/>
                                        <w:color w:val="156082" w:themeColor="accent1"/>
                                        <w:sz w:val="64"/>
                                        <w:szCs w:val="64"/>
                                      </w:rPr>
                                      <w:t>Data Security, Governance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2D94F9" w14:textId="77806EF7" w:rsidR="003665BD" w:rsidRDefault="003665BD">
                                    <w:pPr>
                                      <w:jc w:val="right"/>
                                      <w:rPr>
                                        <w:smallCaps/>
                                        <w:color w:val="404040" w:themeColor="text1" w:themeTint="BF"/>
                                        <w:sz w:val="36"/>
                                        <w:szCs w:val="36"/>
                                      </w:rPr>
                                    </w:pPr>
                                    <w:r w:rsidRPr="003665BD">
                                      <w:rPr>
                                        <w:color w:val="404040" w:themeColor="text1" w:themeTint="BF"/>
                                        <w:sz w:val="36"/>
                                        <w:szCs w:val="36"/>
                                      </w:rPr>
                                      <w:t>MSc Data and Artificial Intelligence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9C2DE1" id="Text Box 163" o:spid="_x0000_s1028"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A084436" w14:textId="3161E1E4" w:rsidR="003665BD"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665BD" w:rsidRPr="003665BD">
                                <w:rPr>
                                  <w:caps/>
                                  <w:color w:val="156082" w:themeColor="accent1"/>
                                  <w:sz w:val="64"/>
                                  <w:szCs w:val="64"/>
                                </w:rPr>
                                <w:t>Data Security, Governance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2D94F9" w14:textId="77806EF7" w:rsidR="003665BD" w:rsidRDefault="003665BD">
                              <w:pPr>
                                <w:jc w:val="right"/>
                                <w:rPr>
                                  <w:smallCaps/>
                                  <w:color w:val="404040" w:themeColor="text1" w:themeTint="BF"/>
                                  <w:sz w:val="36"/>
                                  <w:szCs w:val="36"/>
                                </w:rPr>
                              </w:pPr>
                              <w:r w:rsidRPr="003665BD">
                                <w:rPr>
                                  <w:color w:val="404040" w:themeColor="text1" w:themeTint="BF"/>
                                  <w:sz w:val="36"/>
                                  <w:szCs w:val="36"/>
                                </w:rPr>
                                <w:t>MSc Data and Artificial Intelligence</w:t>
                              </w:r>
                            </w:p>
                          </w:sdtContent>
                        </w:sdt>
                      </w:txbxContent>
                    </v:textbox>
                    <w10:wrap type="square" anchorx="page" anchory="page"/>
                  </v:shape>
                </w:pict>
              </mc:Fallback>
            </mc:AlternateContent>
          </w:r>
        </w:p>
        <w:p w14:paraId="3EDD6E90" w14:textId="72F349F0" w:rsidR="003665BD" w:rsidRDefault="003665BD">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4"/>
          <w:szCs w:val="24"/>
          <w:lang w:val="en-GB"/>
          <w14:ligatures w14:val="standardContextual"/>
        </w:rPr>
        <w:id w:val="245153856"/>
        <w:docPartObj>
          <w:docPartGallery w:val="Table of Contents"/>
          <w:docPartUnique/>
        </w:docPartObj>
      </w:sdtPr>
      <w:sdtEndPr>
        <w:rPr>
          <w:b/>
          <w:bCs/>
          <w:noProof/>
        </w:rPr>
      </w:sdtEndPr>
      <w:sdtContent>
        <w:p w14:paraId="184CB600" w14:textId="4AAF36FD" w:rsidR="006721A5" w:rsidRDefault="006721A5" w:rsidP="007F1EB3">
          <w:pPr>
            <w:pStyle w:val="TOCHeading"/>
            <w:spacing w:line="360" w:lineRule="auto"/>
          </w:pPr>
          <w:r>
            <w:t>Contents</w:t>
          </w:r>
        </w:p>
        <w:p w14:paraId="7298D4A8" w14:textId="2B3C8AA7" w:rsidR="007F1EB3" w:rsidRDefault="006721A5" w:rsidP="007F1EB3">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5550802" w:history="1">
            <w:r w:rsidR="007F1EB3" w:rsidRPr="00245A5A">
              <w:rPr>
                <w:rStyle w:val="Hyperlink"/>
                <w:noProof/>
              </w:rPr>
              <w:t>Abstract</w:t>
            </w:r>
            <w:r w:rsidR="007F1EB3">
              <w:rPr>
                <w:noProof/>
                <w:webHidden/>
              </w:rPr>
              <w:tab/>
            </w:r>
            <w:r w:rsidR="007F1EB3">
              <w:rPr>
                <w:noProof/>
                <w:webHidden/>
              </w:rPr>
              <w:fldChar w:fldCharType="begin"/>
            </w:r>
            <w:r w:rsidR="007F1EB3">
              <w:rPr>
                <w:noProof/>
                <w:webHidden/>
              </w:rPr>
              <w:instrText xml:space="preserve"> PAGEREF _Toc225550802 \h </w:instrText>
            </w:r>
            <w:r w:rsidR="007F1EB3">
              <w:rPr>
                <w:noProof/>
                <w:webHidden/>
              </w:rPr>
            </w:r>
            <w:r w:rsidR="007F1EB3">
              <w:rPr>
                <w:noProof/>
                <w:webHidden/>
              </w:rPr>
              <w:fldChar w:fldCharType="separate"/>
            </w:r>
            <w:r w:rsidR="007F1EB3">
              <w:rPr>
                <w:noProof/>
                <w:webHidden/>
              </w:rPr>
              <w:t>2</w:t>
            </w:r>
            <w:r w:rsidR="007F1EB3">
              <w:rPr>
                <w:noProof/>
                <w:webHidden/>
              </w:rPr>
              <w:fldChar w:fldCharType="end"/>
            </w:r>
          </w:hyperlink>
        </w:p>
        <w:p w14:paraId="6C2327A4" w14:textId="2DE9B0CD" w:rsidR="007F1EB3" w:rsidRDefault="007F1EB3" w:rsidP="007F1EB3">
          <w:pPr>
            <w:pStyle w:val="TOC1"/>
            <w:tabs>
              <w:tab w:val="right" w:leader="dot" w:pos="9016"/>
            </w:tabs>
            <w:spacing w:line="360" w:lineRule="auto"/>
            <w:rPr>
              <w:rFonts w:eastAsiaTheme="minorEastAsia"/>
              <w:noProof/>
              <w:lang w:eastAsia="en-GB"/>
            </w:rPr>
          </w:pPr>
          <w:hyperlink w:anchor="_Toc225550803" w:history="1">
            <w:r w:rsidRPr="00245A5A">
              <w:rPr>
                <w:rStyle w:val="Hyperlink"/>
                <w:noProof/>
              </w:rPr>
              <w:t>Introduction</w:t>
            </w:r>
            <w:r>
              <w:rPr>
                <w:noProof/>
                <w:webHidden/>
              </w:rPr>
              <w:tab/>
            </w:r>
            <w:r>
              <w:rPr>
                <w:noProof/>
                <w:webHidden/>
              </w:rPr>
              <w:fldChar w:fldCharType="begin"/>
            </w:r>
            <w:r>
              <w:rPr>
                <w:noProof/>
                <w:webHidden/>
              </w:rPr>
              <w:instrText xml:space="preserve"> PAGEREF _Toc225550803 \h </w:instrText>
            </w:r>
            <w:r>
              <w:rPr>
                <w:noProof/>
                <w:webHidden/>
              </w:rPr>
            </w:r>
            <w:r>
              <w:rPr>
                <w:noProof/>
                <w:webHidden/>
              </w:rPr>
              <w:fldChar w:fldCharType="separate"/>
            </w:r>
            <w:r>
              <w:rPr>
                <w:noProof/>
                <w:webHidden/>
              </w:rPr>
              <w:t>2</w:t>
            </w:r>
            <w:r>
              <w:rPr>
                <w:noProof/>
                <w:webHidden/>
              </w:rPr>
              <w:fldChar w:fldCharType="end"/>
            </w:r>
          </w:hyperlink>
        </w:p>
        <w:p w14:paraId="1BB4AD1A" w14:textId="53D35671" w:rsidR="007F1EB3" w:rsidRDefault="007F1EB3" w:rsidP="007F1EB3">
          <w:pPr>
            <w:pStyle w:val="TOC1"/>
            <w:tabs>
              <w:tab w:val="right" w:leader="dot" w:pos="9016"/>
            </w:tabs>
            <w:spacing w:line="360" w:lineRule="auto"/>
            <w:rPr>
              <w:rFonts w:eastAsiaTheme="minorEastAsia"/>
              <w:noProof/>
              <w:lang w:eastAsia="en-GB"/>
            </w:rPr>
          </w:pPr>
          <w:hyperlink w:anchor="_Toc225550804" w:history="1">
            <w:r w:rsidRPr="00245A5A">
              <w:rPr>
                <w:rStyle w:val="Hyperlink"/>
                <w:noProof/>
              </w:rPr>
              <w:t>FinSure Bank Scenario Analysis</w:t>
            </w:r>
            <w:r>
              <w:rPr>
                <w:noProof/>
                <w:webHidden/>
              </w:rPr>
              <w:tab/>
            </w:r>
            <w:r>
              <w:rPr>
                <w:noProof/>
                <w:webHidden/>
              </w:rPr>
              <w:fldChar w:fldCharType="begin"/>
            </w:r>
            <w:r>
              <w:rPr>
                <w:noProof/>
                <w:webHidden/>
              </w:rPr>
              <w:instrText xml:space="preserve"> PAGEREF _Toc225550804 \h </w:instrText>
            </w:r>
            <w:r>
              <w:rPr>
                <w:noProof/>
                <w:webHidden/>
              </w:rPr>
            </w:r>
            <w:r>
              <w:rPr>
                <w:noProof/>
                <w:webHidden/>
              </w:rPr>
              <w:fldChar w:fldCharType="separate"/>
            </w:r>
            <w:r>
              <w:rPr>
                <w:noProof/>
                <w:webHidden/>
              </w:rPr>
              <w:t>3</w:t>
            </w:r>
            <w:r>
              <w:rPr>
                <w:noProof/>
                <w:webHidden/>
              </w:rPr>
              <w:fldChar w:fldCharType="end"/>
            </w:r>
          </w:hyperlink>
        </w:p>
        <w:p w14:paraId="7D616EEC" w14:textId="644511AB" w:rsidR="007F1EB3" w:rsidRDefault="007F1EB3" w:rsidP="007F1EB3">
          <w:pPr>
            <w:pStyle w:val="TOC1"/>
            <w:tabs>
              <w:tab w:val="right" w:leader="dot" w:pos="9016"/>
            </w:tabs>
            <w:spacing w:line="360" w:lineRule="auto"/>
            <w:rPr>
              <w:rFonts w:eastAsiaTheme="minorEastAsia"/>
              <w:noProof/>
              <w:lang w:eastAsia="en-GB"/>
            </w:rPr>
          </w:pPr>
          <w:hyperlink w:anchor="_Toc225550805" w:history="1">
            <w:r w:rsidRPr="00245A5A">
              <w:rPr>
                <w:rStyle w:val="Hyperlink"/>
                <w:noProof/>
              </w:rPr>
              <w:t>Security Framework Research</w:t>
            </w:r>
            <w:r>
              <w:rPr>
                <w:noProof/>
                <w:webHidden/>
              </w:rPr>
              <w:tab/>
            </w:r>
            <w:r>
              <w:rPr>
                <w:noProof/>
                <w:webHidden/>
              </w:rPr>
              <w:fldChar w:fldCharType="begin"/>
            </w:r>
            <w:r>
              <w:rPr>
                <w:noProof/>
                <w:webHidden/>
              </w:rPr>
              <w:instrText xml:space="preserve"> PAGEREF _Toc225550805 \h </w:instrText>
            </w:r>
            <w:r>
              <w:rPr>
                <w:noProof/>
                <w:webHidden/>
              </w:rPr>
            </w:r>
            <w:r>
              <w:rPr>
                <w:noProof/>
                <w:webHidden/>
              </w:rPr>
              <w:fldChar w:fldCharType="separate"/>
            </w:r>
            <w:r>
              <w:rPr>
                <w:noProof/>
                <w:webHidden/>
              </w:rPr>
              <w:t>4</w:t>
            </w:r>
            <w:r>
              <w:rPr>
                <w:noProof/>
                <w:webHidden/>
              </w:rPr>
              <w:fldChar w:fldCharType="end"/>
            </w:r>
          </w:hyperlink>
        </w:p>
        <w:p w14:paraId="1DE94195" w14:textId="170564BB" w:rsidR="007F1EB3" w:rsidRDefault="007F1EB3" w:rsidP="007F1EB3">
          <w:pPr>
            <w:pStyle w:val="TOC2"/>
            <w:tabs>
              <w:tab w:val="right" w:leader="dot" w:pos="9016"/>
            </w:tabs>
            <w:spacing w:line="360" w:lineRule="auto"/>
            <w:rPr>
              <w:rFonts w:eastAsiaTheme="minorEastAsia"/>
              <w:noProof/>
              <w:lang w:eastAsia="en-GB"/>
            </w:rPr>
          </w:pPr>
          <w:hyperlink w:anchor="_Toc225550806" w:history="1">
            <w:r w:rsidRPr="00245A5A">
              <w:rPr>
                <w:rStyle w:val="Hyperlink"/>
                <w:noProof/>
              </w:rPr>
              <w:t>ISO 27001</w:t>
            </w:r>
            <w:r>
              <w:rPr>
                <w:noProof/>
                <w:webHidden/>
              </w:rPr>
              <w:tab/>
            </w:r>
            <w:r>
              <w:rPr>
                <w:noProof/>
                <w:webHidden/>
              </w:rPr>
              <w:fldChar w:fldCharType="begin"/>
            </w:r>
            <w:r>
              <w:rPr>
                <w:noProof/>
                <w:webHidden/>
              </w:rPr>
              <w:instrText xml:space="preserve"> PAGEREF _Toc225550806 \h </w:instrText>
            </w:r>
            <w:r>
              <w:rPr>
                <w:noProof/>
                <w:webHidden/>
              </w:rPr>
            </w:r>
            <w:r>
              <w:rPr>
                <w:noProof/>
                <w:webHidden/>
              </w:rPr>
              <w:fldChar w:fldCharType="separate"/>
            </w:r>
            <w:r>
              <w:rPr>
                <w:noProof/>
                <w:webHidden/>
              </w:rPr>
              <w:t>5</w:t>
            </w:r>
            <w:r>
              <w:rPr>
                <w:noProof/>
                <w:webHidden/>
              </w:rPr>
              <w:fldChar w:fldCharType="end"/>
            </w:r>
          </w:hyperlink>
        </w:p>
        <w:p w14:paraId="1885AFB2" w14:textId="2D3C9487" w:rsidR="007F1EB3" w:rsidRDefault="007F1EB3" w:rsidP="007F1EB3">
          <w:pPr>
            <w:pStyle w:val="TOC2"/>
            <w:tabs>
              <w:tab w:val="right" w:leader="dot" w:pos="9016"/>
            </w:tabs>
            <w:spacing w:line="360" w:lineRule="auto"/>
            <w:rPr>
              <w:rFonts w:eastAsiaTheme="minorEastAsia"/>
              <w:noProof/>
              <w:lang w:eastAsia="en-GB"/>
            </w:rPr>
          </w:pPr>
          <w:hyperlink w:anchor="_Toc225550807" w:history="1">
            <w:r w:rsidRPr="00245A5A">
              <w:rPr>
                <w:rStyle w:val="Hyperlink"/>
                <w:noProof/>
              </w:rPr>
              <w:t>NIST Cybersecurity Framework</w:t>
            </w:r>
            <w:r>
              <w:rPr>
                <w:noProof/>
                <w:webHidden/>
              </w:rPr>
              <w:tab/>
            </w:r>
            <w:r>
              <w:rPr>
                <w:noProof/>
                <w:webHidden/>
              </w:rPr>
              <w:fldChar w:fldCharType="begin"/>
            </w:r>
            <w:r>
              <w:rPr>
                <w:noProof/>
                <w:webHidden/>
              </w:rPr>
              <w:instrText xml:space="preserve"> PAGEREF _Toc225550807 \h </w:instrText>
            </w:r>
            <w:r>
              <w:rPr>
                <w:noProof/>
                <w:webHidden/>
              </w:rPr>
            </w:r>
            <w:r>
              <w:rPr>
                <w:noProof/>
                <w:webHidden/>
              </w:rPr>
              <w:fldChar w:fldCharType="separate"/>
            </w:r>
            <w:r>
              <w:rPr>
                <w:noProof/>
                <w:webHidden/>
              </w:rPr>
              <w:t>6</w:t>
            </w:r>
            <w:r>
              <w:rPr>
                <w:noProof/>
                <w:webHidden/>
              </w:rPr>
              <w:fldChar w:fldCharType="end"/>
            </w:r>
          </w:hyperlink>
        </w:p>
        <w:p w14:paraId="5BB20CD7" w14:textId="05675129" w:rsidR="007F1EB3" w:rsidRDefault="007F1EB3" w:rsidP="007F1EB3">
          <w:pPr>
            <w:pStyle w:val="TOC2"/>
            <w:tabs>
              <w:tab w:val="right" w:leader="dot" w:pos="9016"/>
            </w:tabs>
            <w:spacing w:line="360" w:lineRule="auto"/>
            <w:rPr>
              <w:rFonts w:eastAsiaTheme="minorEastAsia"/>
              <w:noProof/>
              <w:lang w:eastAsia="en-GB"/>
            </w:rPr>
          </w:pPr>
          <w:hyperlink w:anchor="_Toc225550808" w:history="1">
            <w:r w:rsidRPr="00245A5A">
              <w:rPr>
                <w:rStyle w:val="Hyperlink"/>
                <w:noProof/>
              </w:rPr>
              <w:t>ITIL</w:t>
            </w:r>
            <w:r>
              <w:rPr>
                <w:noProof/>
                <w:webHidden/>
              </w:rPr>
              <w:tab/>
            </w:r>
            <w:r>
              <w:rPr>
                <w:noProof/>
                <w:webHidden/>
              </w:rPr>
              <w:fldChar w:fldCharType="begin"/>
            </w:r>
            <w:r>
              <w:rPr>
                <w:noProof/>
                <w:webHidden/>
              </w:rPr>
              <w:instrText xml:space="preserve"> PAGEREF _Toc225550808 \h </w:instrText>
            </w:r>
            <w:r>
              <w:rPr>
                <w:noProof/>
                <w:webHidden/>
              </w:rPr>
            </w:r>
            <w:r>
              <w:rPr>
                <w:noProof/>
                <w:webHidden/>
              </w:rPr>
              <w:fldChar w:fldCharType="separate"/>
            </w:r>
            <w:r>
              <w:rPr>
                <w:noProof/>
                <w:webHidden/>
              </w:rPr>
              <w:t>7</w:t>
            </w:r>
            <w:r>
              <w:rPr>
                <w:noProof/>
                <w:webHidden/>
              </w:rPr>
              <w:fldChar w:fldCharType="end"/>
            </w:r>
          </w:hyperlink>
        </w:p>
        <w:p w14:paraId="58A37164" w14:textId="3305C721" w:rsidR="007F1EB3" w:rsidRDefault="007F1EB3" w:rsidP="007F1EB3">
          <w:pPr>
            <w:pStyle w:val="TOC2"/>
            <w:tabs>
              <w:tab w:val="right" w:leader="dot" w:pos="9016"/>
            </w:tabs>
            <w:spacing w:line="360" w:lineRule="auto"/>
            <w:rPr>
              <w:rFonts w:eastAsiaTheme="minorEastAsia"/>
              <w:noProof/>
              <w:lang w:eastAsia="en-GB"/>
            </w:rPr>
          </w:pPr>
          <w:hyperlink w:anchor="_Toc225550809" w:history="1">
            <w:r w:rsidRPr="00245A5A">
              <w:rPr>
                <w:rStyle w:val="Hyperlink"/>
                <w:noProof/>
              </w:rPr>
              <w:t>COBIT</w:t>
            </w:r>
            <w:r>
              <w:rPr>
                <w:noProof/>
                <w:webHidden/>
              </w:rPr>
              <w:tab/>
            </w:r>
            <w:r>
              <w:rPr>
                <w:noProof/>
                <w:webHidden/>
              </w:rPr>
              <w:fldChar w:fldCharType="begin"/>
            </w:r>
            <w:r>
              <w:rPr>
                <w:noProof/>
                <w:webHidden/>
              </w:rPr>
              <w:instrText xml:space="preserve"> PAGEREF _Toc225550809 \h </w:instrText>
            </w:r>
            <w:r>
              <w:rPr>
                <w:noProof/>
                <w:webHidden/>
              </w:rPr>
            </w:r>
            <w:r>
              <w:rPr>
                <w:noProof/>
                <w:webHidden/>
              </w:rPr>
              <w:fldChar w:fldCharType="separate"/>
            </w:r>
            <w:r>
              <w:rPr>
                <w:noProof/>
                <w:webHidden/>
              </w:rPr>
              <w:t>8</w:t>
            </w:r>
            <w:r>
              <w:rPr>
                <w:noProof/>
                <w:webHidden/>
              </w:rPr>
              <w:fldChar w:fldCharType="end"/>
            </w:r>
          </w:hyperlink>
        </w:p>
        <w:p w14:paraId="1141E8A4" w14:textId="6145142B" w:rsidR="007F1EB3" w:rsidRDefault="007F1EB3" w:rsidP="007F1EB3">
          <w:pPr>
            <w:pStyle w:val="TOC1"/>
            <w:tabs>
              <w:tab w:val="right" w:leader="dot" w:pos="9016"/>
            </w:tabs>
            <w:spacing w:line="360" w:lineRule="auto"/>
            <w:rPr>
              <w:rFonts w:eastAsiaTheme="minorEastAsia"/>
              <w:noProof/>
              <w:lang w:eastAsia="en-GB"/>
            </w:rPr>
          </w:pPr>
          <w:hyperlink w:anchor="_Toc225550810" w:history="1">
            <w:r w:rsidRPr="00245A5A">
              <w:rPr>
                <w:rStyle w:val="Hyperlink"/>
                <w:noProof/>
              </w:rPr>
              <w:t>Risk Assessment &amp; Threat Analysis</w:t>
            </w:r>
            <w:r>
              <w:rPr>
                <w:noProof/>
                <w:webHidden/>
              </w:rPr>
              <w:tab/>
            </w:r>
            <w:r>
              <w:rPr>
                <w:noProof/>
                <w:webHidden/>
              </w:rPr>
              <w:fldChar w:fldCharType="begin"/>
            </w:r>
            <w:r>
              <w:rPr>
                <w:noProof/>
                <w:webHidden/>
              </w:rPr>
              <w:instrText xml:space="preserve"> PAGEREF _Toc225550810 \h </w:instrText>
            </w:r>
            <w:r>
              <w:rPr>
                <w:noProof/>
                <w:webHidden/>
              </w:rPr>
            </w:r>
            <w:r>
              <w:rPr>
                <w:noProof/>
                <w:webHidden/>
              </w:rPr>
              <w:fldChar w:fldCharType="separate"/>
            </w:r>
            <w:r>
              <w:rPr>
                <w:noProof/>
                <w:webHidden/>
              </w:rPr>
              <w:t>9</w:t>
            </w:r>
            <w:r>
              <w:rPr>
                <w:noProof/>
                <w:webHidden/>
              </w:rPr>
              <w:fldChar w:fldCharType="end"/>
            </w:r>
          </w:hyperlink>
        </w:p>
        <w:p w14:paraId="288690DB" w14:textId="1C7F4E4C" w:rsidR="007F1EB3" w:rsidRDefault="007F1EB3" w:rsidP="007F1EB3">
          <w:pPr>
            <w:pStyle w:val="TOC1"/>
            <w:tabs>
              <w:tab w:val="right" w:leader="dot" w:pos="9016"/>
            </w:tabs>
            <w:spacing w:line="360" w:lineRule="auto"/>
            <w:rPr>
              <w:rFonts w:eastAsiaTheme="minorEastAsia"/>
              <w:noProof/>
              <w:lang w:eastAsia="en-GB"/>
            </w:rPr>
          </w:pPr>
          <w:hyperlink w:anchor="_Toc225550811" w:history="1">
            <w:r w:rsidRPr="00245A5A">
              <w:rPr>
                <w:rStyle w:val="Hyperlink"/>
                <w:noProof/>
              </w:rPr>
              <w:t>Proposed Security Governance Model</w:t>
            </w:r>
            <w:r>
              <w:rPr>
                <w:noProof/>
                <w:webHidden/>
              </w:rPr>
              <w:tab/>
            </w:r>
            <w:r>
              <w:rPr>
                <w:noProof/>
                <w:webHidden/>
              </w:rPr>
              <w:fldChar w:fldCharType="begin"/>
            </w:r>
            <w:r>
              <w:rPr>
                <w:noProof/>
                <w:webHidden/>
              </w:rPr>
              <w:instrText xml:space="preserve"> PAGEREF _Toc225550811 \h </w:instrText>
            </w:r>
            <w:r>
              <w:rPr>
                <w:noProof/>
                <w:webHidden/>
              </w:rPr>
            </w:r>
            <w:r>
              <w:rPr>
                <w:noProof/>
                <w:webHidden/>
              </w:rPr>
              <w:fldChar w:fldCharType="separate"/>
            </w:r>
            <w:r>
              <w:rPr>
                <w:noProof/>
                <w:webHidden/>
              </w:rPr>
              <w:t>11</w:t>
            </w:r>
            <w:r>
              <w:rPr>
                <w:noProof/>
                <w:webHidden/>
              </w:rPr>
              <w:fldChar w:fldCharType="end"/>
            </w:r>
          </w:hyperlink>
        </w:p>
        <w:p w14:paraId="4D6FDAA7" w14:textId="150F734E" w:rsidR="007F1EB3" w:rsidRDefault="007F1EB3" w:rsidP="007F1EB3">
          <w:pPr>
            <w:pStyle w:val="TOC1"/>
            <w:tabs>
              <w:tab w:val="right" w:leader="dot" w:pos="9016"/>
            </w:tabs>
            <w:spacing w:line="360" w:lineRule="auto"/>
            <w:rPr>
              <w:rFonts w:eastAsiaTheme="minorEastAsia"/>
              <w:noProof/>
              <w:lang w:eastAsia="en-GB"/>
            </w:rPr>
          </w:pPr>
          <w:hyperlink w:anchor="_Toc225550812" w:history="1">
            <w:r w:rsidRPr="00245A5A">
              <w:rPr>
                <w:rStyle w:val="Hyperlink"/>
                <w:noProof/>
              </w:rPr>
              <w:t>Compliance &amp; Regulations</w:t>
            </w:r>
            <w:r>
              <w:rPr>
                <w:noProof/>
                <w:webHidden/>
              </w:rPr>
              <w:tab/>
            </w:r>
            <w:r>
              <w:rPr>
                <w:noProof/>
                <w:webHidden/>
              </w:rPr>
              <w:fldChar w:fldCharType="begin"/>
            </w:r>
            <w:r>
              <w:rPr>
                <w:noProof/>
                <w:webHidden/>
              </w:rPr>
              <w:instrText xml:space="preserve"> PAGEREF _Toc225550812 \h </w:instrText>
            </w:r>
            <w:r>
              <w:rPr>
                <w:noProof/>
                <w:webHidden/>
              </w:rPr>
            </w:r>
            <w:r>
              <w:rPr>
                <w:noProof/>
                <w:webHidden/>
              </w:rPr>
              <w:fldChar w:fldCharType="separate"/>
            </w:r>
            <w:r>
              <w:rPr>
                <w:noProof/>
                <w:webHidden/>
              </w:rPr>
              <w:t>13</w:t>
            </w:r>
            <w:r>
              <w:rPr>
                <w:noProof/>
                <w:webHidden/>
              </w:rPr>
              <w:fldChar w:fldCharType="end"/>
            </w:r>
          </w:hyperlink>
        </w:p>
        <w:p w14:paraId="5724223E" w14:textId="50E1B24D" w:rsidR="007F1EB3" w:rsidRDefault="007F1EB3" w:rsidP="007F1EB3">
          <w:pPr>
            <w:pStyle w:val="TOC1"/>
            <w:tabs>
              <w:tab w:val="right" w:leader="dot" w:pos="9016"/>
            </w:tabs>
            <w:spacing w:line="360" w:lineRule="auto"/>
            <w:rPr>
              <w:rFonts w:eastAsiaTheme="minorEastAsia"/>
              <w:noProof/>
              <w:lang w:eastAsia="en-GB"/>
            </w:rPr>
          </w:pPr>
          <w:hyperlink w:anchor="_Toc225550813" w:history="1">
            <w:r w:rsidRPr="00245A5A">
              <w:rPr>
                <w:rStyle w:val="Hyperlink"/>
                <w:noProof/>
              </w:rPr>
              <w:t>Security Controls &amp; Protection Mechanisms</w:t>
            </w:r>
            <w:r>
              <w:rPr>
                <w:noProof/>
                <w:webHidden/>
              </w:rPr>
              <w:tab/>
            </w:r>
            <w:r>
              <w:rPr>
                <w:noProof/>
                <w:webHidden/>
              </w:rPr>
              <w:fldChar w:fldCharType="begin"/>
            </w:r>
            <w:r>
              <w:rPr>
                <w:noProof/>
                <w:webHidden/>
              </w:rPr>
              <w:instrText xml:space="preserve"> PAGEREF _Toc225550813 \h </w:instrText>
            </w:r>
            <w:r>
              <w:rPr>
                <w:noProof/>
                <w:webHidden/>
              </w:rPr>
            </w:r>
            <w:r>
              <w:rPr>
                <w:noProof/>
                <w:webHidden/>
              </w:rPr>
              <w:fldChar w:fldCharType="separate"/>
            </w:r>
            <w:r>
              <w:rPr>
                <w:noProof/>
                <w:webHidden/>
              </w:rPr>
              <w:t>14</w:t>
            </w:r>
            <w:r>
              <w:rPr>
                <w:noProof/>
                <w:webHidden/>
              </w:rPr>
              <w:fldChar w:fldCharType="end"/>
            </w:r>
          </w:hyperlink>
        </w:p>
        <w:p w14:paraId="20427BBE" w14:textId="02C2E5F1" w:rsidR="007F1EB3" w:rsidRDefault="007F1EB3" w:rsidP="007F1EB3">
          <w:pPr>
            <w:pStyle w:val="TOC1"/>
            <w:tabs>
              <w:tab w:val="right" w:leader="dot" w:pos="9016"/>
            </w:tabs>
            <w:spacing w:line="360" w:lineRule="auto"/>
            <w:rPr>
              <w:rFonts w:eastAsiaTheme="minorEastAsia"/>
              <w:noProof/>
              <w:lang w:eastAsia="en-GB"/>
            </w:rPr>
          </w:pPr>
          <w:hyperlink w:anchor="_Toc225550814" w:history="1">
            <w:r w:rsidRPr="00245A5A">
              <w:rPr>
                <w:rStyle w:val="Hyperlink"/>
                <w:noProof/>
              </w:rPr>
              <w:t>Contingency Planning &amp; Service Level Agreement</w:t>
            </w:r>
            <w:r>
              <w:rPr>
                <w:noProof/>
                <w:webHidden/>
              </w:rPr>
              <w:tab/>
            </w:r>
            <w:r>
              <w:rPr>
                <w:noProof/>
                <w:webHidden/>
              </w:rPr>
              <w:fldChar w:fldCharType="begin"/>
            </w:r>
            <w:r>
              <w:rPr>
                <w:noProof/>
                <w:webHidden/>
              </w:rPr>
              <w:instrText xml:space="preserve"> PAGEREF _Toc225550814 \h </w:instrText>
            </w:r>
            <w:r>
              <w:rPr>
                <w:noProof/>
                <w:webHidden/>
              </w:rPr>
            </w:r>
            <w:r>
              <w:rPr>
                <w:noProof/>
                <w:webHidden/>
              </w:rPr>
              <w:fldChar w:fldCharType="separate"/>
            </w:r>
            <w:r>
              <w:rPr>
                <w:noProof/>
                <w:webHidden/>
              </w:rPr>
              <w:t>15</w:t>
            </w:r>
            <w:r>
              <w:rPr>
                <w:noProof/>
                <w:webHidden/>
              </w:rPr>
              <w:fldChar w:fldCharType="end"/>
            </w:r>
          </w:hyperlink>
        </w:p>
        <w:p w14:paraId="3191EBFC" w14:textId="26817A37" w:rsidR="007F1EB3" w:rsidRDefault="007F1EB3" w:rsidP="007F1EB3">
          <w:pPr>
            <w:pStyle w:val="TOC1"/>
            <w:tabs>
              <w:tab w:val="right" w:leader="dot" w:pos="9016"/>
            </w:tabs>
            <w:spacing w:line="360" w:lineRule="auto"/>
            <w:rPr>
              <w:rFonts w:eastAsiaTheme="minorEastAsia"/>
              <w:noProof/>
              <w:lang w:eastAsia="en-GB"/>
            </w:rPr>
          </w:pPr>
          <w:hyperlink w:anchor="_Toc225550815" w:history="1">
            <w:r w:rsidRPr="00245A5A">
              <w:rPr>
                <w:rStyle w:val="Hyperlink"/>
                <w:noProof/>
              </w:rPr>
              <w:t>Critical Discussion</w:t>
            </w:r>
            <w:r>
              <w:rPr>
                <w:noProof/>
                <w:webHidden/>
              </w:rPr>
              <w:tab/>
            </w:r>
            <w:r>
              <w:rPr>
                <w:noProof/>
                <w:webHidden/>
              </w:rPr>
              <w:fldChar w:fldCharType="begin"/>
            </w:r>
            <w:r>
              <w:rPr>
                <w:noProof/>
                <w:webHidden/>
              </w:rPr>
              <w:instrText xml:space="preserve"> PAGEREF _Toc225550815 \h </w:instrText>
            </w:r>
            <w:r>
              <w:rPr>
                <w:noProof/>
                <w:webHidden/>
              </w:rPr>
            </w:r>
            <w:r>
              <w:rPr>
                <w:noProof/>
                <w:webHidden/>
              </w:rPr>
              <w:fldChar w:fldCharType="separate"/>
            </w:r>
            <w:r>
              <w:rPr>
                <w:noProof/>
                <w:webHidden/>
              </w:rPr>
              <w:t>15</w:t>
            </w:r>
            <w:r>
              <w:rPr>
                <w:noProof/>
                <w:webHidden/>
              </w:rPr>
              <w:fldChar w:fldCharType="end"/>
            </w:r>
          </w:hyperlink>
        </w:p>
        <w:p w14:paraId="4616F2B8" w14:textId="6A0E8919" w:rsidR="007F1EB3" w:rsidRDefault="007F1EB3" w:rsidP="007F1EB3">
          <w:pPr>
            <w:pStyle w:val="TOC1"/>
            <w:tabs>
              <w:tab w:val="right" w:leader="dot" w:pos="9016"/>
            </w:tabs>
            <w:spacing w:line="360" w:lineRule="auto"/>
            <w:rPr>
              <w:rFonts w:eastAsiaTheme="minorEastAsia"/>
              <w:noProof/>
              <w:lang w:eastAsia="en-GB"/>
            </w:rPr>
          </w:pPr>
          <w:hyperlink w:anchor="_Toc225550816" w:history="1">
            <w:r w:rsidRPr="00245A5A">
              <w:rPr>
                <w:rStyle w:val="Hyperlink"/>
                <w:noProof/>
              </w:rPr>
              <w:t>Assumptions</w:t>
            </w:r>
            <w:r>
              <w:rPr>
                <w:noProof/>
                <w:webHidden/>
              </w:rPr>
              <w:tab/>
            </w:r>
            <w:r>
              <w:rPr>
                <w:noProof/>
                <w:webHidden/>
              </w:rPr>
              <w:fldChar w:fldCharType="begin"/>
            </w:r>
            <w:r>
              <w:rPr>
                <w:noProof/>
                <w:webHidden/>
              </w:rPr>
              <w:instrText xml:space="preserve"> PAGEREF _Toc225550816 \h </w:instrText>
            </w:r>
            <w:r>
              <w:rPr>
                <w:noProof/>
                <w:webHidden/>
              </w:rPr>
            </w:r>
            <w:r>
              <w:rPr>
                <w:noProof/>
                <w:webHidden/>
              </w:rPr>
              <w:fldChar w:fldCharType="separate"/>
            </w:r>
            <w:r>
              <w:rPr>
                <w:noProof/>
                <w:webHidden/>
              </w:rPr>
              <w:t>16</w:t>
            </w:r>
            <w:r>
              <w:rPr>
                <w:noProof/>
                <w:webHidden/>
              </w:rPr>
              <w:fldChar w:fldCharType="end"/>
            </w:r>
          </w:hyperlink>
        </w:p>
        <w:p w14:paraId="796A6451" w14:textId="23779D4E" w:rsidR="007F1EB3" w:rsidRDefault="007F1EB3" w:rsidP="007F1EB3">
          <w:pPr>
            <w:pStyle w:val="TOC1"/>
            <w:tabs>
              <w:tab w:val="right" w:leader="dot" w:pos="9016"/>
            </w:tabs>
            <w:spacing w:line="360" w:lineRule="auto"/>
            <w:rPr>
              <w:rFonts w:eastAsiaTheme="minorEastAsia"/>
              <w:noProof/>
              <w:lang w:eastAsia="en-GB"/>
            </w:rPr>
          </w:pPr>
          <w:hyperlink w:anchor="_Toc225550817" w:history="1">
            <w:r w:rsidRPr="00245A5A">
              <w:rPr>
                <w:rStyle w:val="Hyperlink"/>
                <w:noProof/>
              </w:rPr>
              <w:t>Recommendations</w:t>
            </w:r>
            <w:r>
              <w:rPr>
                <w:noProof/>
                <w:webHidden/>
              </w:rPr>
              <w:tab/>
            </w:r>
            <w:r>
              <w:rPr>
                <w:noProof/>
                <w:webHidden/>
              </w:rPr>
              <w:fldChar w:fldCharType="begin"/>
            </w:r>
            <w:r>
              <w:rPr>
                <w:noProof/>
                <w:webHidden/>
              </w:rPr>
              <w:instrText xml:space="preserve"> PAGEREF _Toc225550817 \h </w:instrText>
            </w:r>
            <w:r>
              <w:rPr>
                <w:noProof/>
                <w:webHidden/>
              </w:rPr>
            </w:r>
            <w:r>
              <w:rPr>
                <w:noProof/>
                <w:webHidden/>
              </w:rPr>
              <w:fldChar w:fldCharType="separate"/>
            </w:r>
            <w:r>
              <w:rPr>
                <w:noProof/>
                <w:webHidden/>
              </w:rPr>
              <w:t>17</w:t>
            </w:r>
            <w:r>
              <w:rPr>
                <w:noProof/>
                <w:webHidden/>
              </w:rPr>
              <w:fldChar w:fldCharType="end"/>
            </w:r>
          </w:hyperlink>
        </w:p>
        <w:p w14:paraId="019771B6" w14:textId="61B49DDF" w:rsidR="007F1EB3" w:rsidRDefault="007F1EB3" w:rsidP="007F1EB3">
          <w:pPr>
            <w:pStyle w:val="TOC1"/>
            <w:tabs>
              <w:tab w:val="right" w:leader="dot" w:pos="9016"/>
            </w:tabs>
            <w:spacing w:line="360" w:lineRule="auto"/>
            <w:rPr>
              <w:rFonts w:eastAsiaTheme="minorEastAsia"/>
              <w:noProof/>
              <w:lang w:eastAsia="en-GB"/>
            </w:rPr>
          </w:pPr>
          <w:hyperlink w:anchor="_Toc225550818" w:history="1">
            <w:r w:rsidRPr="00245A5A">
              <w:rPr>
                <w:rStyle w:val="Hyperlink"/>
                <w:noProof/>
              </w:rPr>
              <w:t>Conclusion</w:t>
            </w:r>
            <w:r>
              <w:rPr>
                <w:noProof/>
                <w:webHidden/>
              </w:rPr>
              <w:tab/>
            </w:r>
            <w:r>
              <w:rPr>
                <w:noProof/>
                <w:webHidden/>
              </w:rPr>
              <w:fldChar w:fldCharType="begin"/>
            </w:r>
            <w:r>
              <w:rPr>
                <w:noProof/>
                <w:webHidden/>
              </w:rPr>
              <w:instrText xml:space="preserve"> PAGEREF _Toc225550818 \h </w:instrText>
            </w:r>
            <w:r>
              <w:rPr>
                <w:noProof/>
                <w:webHidden/>
              </w:rPr>
            </w:r>
            <w:r>
              <w:rPr>
                <w:noProof/>
                <w:webHidden/>
              </w:rPr>
              <w:fldChar w:fldCharType="separate"/>
            </w:r>
            <w:r>
              <w:rPr>
                <w:noProof/>
                <w:webHidden/>
              </w:rPr>
              <w:t>17</w:t>
            </w:r>
            <w:r>
              <w:rPr>
                <w:noProof/>
                <w:webHidden/>
              </w:rPr>
              <w:fldChar w:fldCharType="end"/>
            </w:r>
          </w:hyperlink>
        </w:p>
        <w:p w14:paraId="29F21761" w14:textId="0EB7A8BC" w:rsidR="007F1EB3" w:rsidRDefault="007F1EB3" w:rsidP="007F1EB3">
          <w:pPr>
            <w:pStyle w:val="TOC1"/>
            <w:tabs>
              <w:tab w:val="right" w:leader="dot" w:pos="9016"/>
            </w:tabs>
            <w:spacing w:line="360" w:lineRule="auto"/>
            <w:rPr>
              <w:rFonts w:eastAsiaTheme="minorEastAsia"/>
              <w:noProof/>
              <w:lang w:eastAsia="en-GB"/>
            </w:rPr>
          </w:pPr>
          <w:hyperlink w:anchor="_Toc225550819" w:history="1">
            <w:r w:rsidRPr="00245A5A">
              <w:rPr>
                <w:rStyle w:val="Hyperlink"/>
                <w:noProof/>
              </w:rPr>
              <w:t>Refrence:</w:t>
            </w:r>
            <w:r>
              <w:rPr>
                <w:noProof/>
                <w:webHidden/>
              </w:rPr>
              <w:tab/>
            </w:r>
            <w:r>
              <w:rPr>
                <w:noProof/>
                <w:webHidden/>
              </w:rPr>
              <w:fldChar w:fldCharType="begin"/>
            </w:r>
            <w:r>
              <w:rPr>
                <w:noProof/>
                <w:webHidden/>
              </w:rPr>
              <w:instrText xml:space="preserve"> PAGEREF _Toc225550819 \h </w:instrText>
            </w:r>
            <w:r>
              <w:rPr>
                <w:noProof/>
                <w:webHidden/>
              </w:rPr>
            </w:r>
            <w:r>
              <w:rPr>
                <w:noProof/>
                <w:webHidden/>
              </w:rPr>
              <w:fldChar w:fldCharType="separate"/>
            </w:r>
            <w:r>
              <w:rPr>
                <w:noProof/>
                <w:webHidden/>
              </w:rPr>
              <w:t>19</w:t>
            </w:r>
            <w:r>
              <w:rPr>
                <w:noProof/>
                <w:webHidden/>
              </w:rPr>
              <w:fldChar w:fldCharType="end"/>
            </w:r>
          </w:hyperlink>
        </w:p>
        <w:p w14:paraId="51EEEBDA" w14:textId="4777A9EC" w:rsidR="006721A5" w:rsidRDefault="006721A5" w:rsidP="007F1EB3">
          <w:pPr>
            <w:spacing w:line="360" w:lineRule="auto"/>
          </w:pPr>
          <w:r>
            <w:rPr>
              <w:b/>
              <w:bCs/>
              <w:noProof/>
            </w:rPr>
            <w:fldChar w:fldCharType="end"/>
          </w:r>
        </w:p>
      </w:sdtContent>
    </w:sdt>
    <w:p w14:paraId="393F76FE" w14:textId="77777777" w:rsidR="006721A5" w:rsidRDefault="006721A5">
      <w:pPr>
        <w:rPr>
          <w:rFonts w:asciiTheme="majorHAnsi" w:eastAsiaTheme="majorEastAsia" w:hAnsiTheme="majorHAnsi" w:cstheme="majorBidi"/>
          <w:color w:val="0F4761" w:themeColor="accent1" w:themeShade="BF"/>
          <w:sz w:val="40"/>
          <w:szCs w:val="40"/>
        </w:rPr>
      </w:pPr>
      <w:r>
        <w:br w:type="page"/>
      </w:r>
    </w:p>
    <w:p w14:paraId="25856EAD" w14:textId="61CE0FC2" w:rsidR="0095690E" w:rsidRPr="0095690E" w:rsidRDefault="0095690E" w:rsidP="0095690E">
      <w:pPr>
        <w:pStyle w:val="Heading1"/>
      </w:pPr>
      <w:bookmarkStart w:id="0" w:name="_Toc225550802"/>
      <w:r w:rsidRPr="0095690E">
        <w:lastRenderedPageBreak/>
        <w:t>Abstract</w:t>
      </w:r>
      <w:bookmarkEnd w:id="0"/>
      <w:r w:rsidRPr="0095690E">
        <w:t xml:space="preserve"> </w:t>
      </w:r>
    </w:p>
    <w:p w14:paraId="0AF3B785" w14:textId="2BFE4065" w:rsidR="0095690E" w:rsidRPr="0095690E" w:rsidRDefault="0095690E" w:rsidP="0095690E">
      <w:pPr>
        <w:spacing w:line="360" w:lineRule="auto"/>
        <w:jc w:val="both"/>
        <w:rPr>
          <w:rFonts w:ascii="Arial" w:hAnsi="Arial"/>
        </w:rPr>
      </w:pPr>
      <w:r w:rsidRPr="0095690E">
        <w:rPr>
          <w:rFonts w:ascii="Arial" w:hAnsi="Arial"/>
        </w:rPr>
        <w:t>FinSure Bank (FSB) is a rapidly growing digital-first financial institution operating primarily on cloud-based infrastructure and supporting Bring Your Own Device (BYOD) access for employees and partners. While these technologies enhance operational flexibility and customer accessibility, they also introduce significant cybersecurity, governance, and compliance risks, including data breaches, insider threats, and regulatory violations. This report evaluates these risks and applies established security frameworks including ISO/IEC 27001, NIST Cybersecurity Framework, COBIT, and ITIL to design a comprehensive security governance solution. The proposed approach integrates governance structures, risk management strategies, compliance controls, security policies, protection mechanisms, and contingency planning. The findings highlight that implementing a unified governance framework, combined with continuous risk assessment and updated regulatory compliance, significantly improves organizational resilience. The report concludes that adopting a structured security governance model will enhance FinSure Bank’s data protection capabilities, regulatory compliance, and overall cybersecurity posture in a rapidly evolving threat landscape.</w:t>
      </w:r>
    </w:p>
    <w:p w14:paraId="728D29D2" w14:textId="7FD73AB5" w:rsidR="0095690E" w:rsidRPr="0095690E" w:rsidRDefault="0095690E" w:rsidP="0095690E">
      <w:pPr>
        <w:pStyle w:val="Heading1"/>
      </w:pPr>
      <w:bookmarkStart w:id="1" w:name="_Toc225550803"/>
      <w:r w:rsidRPr="0095690E">
        <w:t>Introduction</w:t>
      </w:r>
      <w:bookmarkEnd w:id="1"/>
      <w:r w:rsidRPr="0095690E">
        <w:t xml:space="preserve"> </w:t>
      </w:r>
    </w:p>
    <w:p w14:paraId="17D90CDF" w14:textId="77777777" w:rsidR="0044611D" w:rsidRPr="0044611D" w:rsidRDefault="0044611D" w:rsidP="0044611D">
      <w:pPr>
        <w:spacing w:line="360" w:lineRule="auto"/>
        <w:jc w:val="both"/>
        <w:rPr>
          <w:rFonts w:ascii="Arial" w:hAnsi="Arial"/>
        </w:rPr>
      </w:pPr>
      <w:r w:rsidRPr="0044611D">
        <w:rPr>
          <w:rFonts w:ascii="Arial" w:hAnsi="Arial"/>
        </w:rPr>
        <w:t>Data security has become a critical priority in the banking sector due to the rapid digitalisation of financial services and the increasing sophistication of cyber threats. Financial institutions manage highly sensitive customer data, making them attractive targets for cybercriminals. Data breaches can lead to financial loss, reputational damage, and regulatory penalties, highlighting the need for robust governance and security frameworks (Mukhopadhyay and Jain, 2024).</w:t>
      </w:r>
    </w:p>
    <w:p w14:paraId="7CCF8FC4" w14:textId="77777777" w:rsidR="0044611D" w:rsidRPr="0044611D" w:rsidRDefault="0044611D" w:rsidP="0044611D">
      <w:pPr>
        <w:spacing w:line="360" w:lineRule="auto"/>
        <w:jc w:val="both"/>
        <w:rPr>
          <w:rFonts w:ascii="Arial" w:hAnsi="Arial"/>
        </w:rPr>
      </w:pPr>
      <w:r w:rsidRPr="0044611D">
        <w:rPr>
          <w:rFonts w:ascii="Arial" w:hAnsi="Arial"/>
        </w:rPr>
        <w:t>Cloud computing and Bring Your Own Device (BYOD) policies have improved operational efficiency and accessibility for organisations. However, these technologies also introduce risks such as data leakage, unauthorised access, and third-party vulnerabilities. Cloud environments may reduce direct organisational control over infrastructure, while BYOD increases exposure to malware and compromised credentials (Hashizume et al., 2020; Soomro et al., 2021). These risks emphasise the need for structured security governance and risk management.</w:t>
      </w:r>
    </w:p>
    <w:p w14:paraId="41CB3A5B" w14:textId="77777777" w:rsidR="0044611D" w:rsidRPr="0044611D" w:rsidRDefault="0044611D" w:rsidP="0044611D">
      <w:pPr>
        <w:spacing w:line="360" w:lineRule="auto"/>
        <w:jc w:val="both"/>
        <w:rPr>
          <w:rFonts w:ascii="Arial" w:hAnsi="Arial"/>
        </w:rPr>
      </w:pPr>
      <w:r w:rsidRPr="0044611D">
        <w:rPr>
          <w:rFonts w:ascii="Arial" w:hAnsi="Arial"/>
        </w:rPr>
        <w:lastRenderedPageBreak/>
        <w:t>FinSure Bank (FSB) operates primarily through cloud-based infrastructure and allows employees and partners to access systems using personal devices. However, the organisation lacks formal governance frameworks, security policies, and compliance controls. These weaknesses increase exposure to cyberattacks, data breaches, and regulatory risks, highlighting the need for a structured security governance model (ACCA7028 Module Brief).</w:t>
      </w:r>
    </w:p>
    <w:p w14:paraId="2C8A7B1E" w14:textId="77777777" w:rsidR="0044611D" w:rsidRPr="0044611D" w:rsidRDefault="0044611D" w:rsidP="0044611D">
      <w:pPr>
        <w:spacing w:line="360" w:lineRule="auto"/>
        <w:jc w:val="both"/>
        <w:rPr>
          <w:rFonts w:ascii="Arial" w:hAnsi="Arial"/>
        </w:rPr>
      </w:pPr>
      <w:r w:rsidRPr="0044611D">
        <w:rPr>
          <w:rFonts w:ascii="Arial" w:hAnsi="Arial"/>
        </w:rPr>
        <w:t>The aim of this report is to analyse FinSure Bank’s security challenges and propose a comprehensive data security, governance, and compliance framework using ISO 27001, NIST, COBIT, and ITIL.</w:t>
      </w:r>
    </w:p>
    <w:p w14:paraId="57A2015E" w14:textId="77777777" w:rsidR="0044611D" w:rsidRPr="0044611D" w:rsidRDefault="0044611D" w:rsidP="0044611D">
      <w:pPr>
        <w:spacing w:line="360" w:lineRule="auto"/>
        <w:jc w:val="both"/>
        <w:rPr>
          <w:rFonts w:ascii="Arial" w:hAnsi="Arial"/>
        </w:rPr>
      </w:pPr>
      <w:r w:rsidRPr="0044611D">
        <w:rPr>
          <w:rFonts w:ascii="Arial" w:hAnsi="Arial"/>
        </w:rPr>
        <w:t>This report is structured into scenario analysis, framework evaluation, risk assessment, governance design, compliance strategies, protection mechanisms, and recommendations.</w:t>
      </w:r>
    </w:p>
    <w:p w14:paraId="424E01C0" w14:textId="5103BF91" w:rsidR="0095690E" w:rsidRPr="0095690E" w:rsidRDefault="0095690E" w:rsidP="0095690E">
      <w:pPr>
        <w:spacing w:line="360" w:lineRule="auto"/>
        <w:jc w:val="both"/>
        <w:rPr>
          <w:rFonts w:ascii="Arial" w:hAnsi="Arial"/>
        </w:rPr>
      </w:pPr>
    </w:p>
    <w:p w14:paraId="09D8F4D8" w14:textId="3F08AD5F" w:rsidR="0095690E" w:rsidRPr="0095690E" w:rsidRDefault="0095690E" w:rsidP="00EF1035">
      <w:pPr>
        <w:pStyle w:val="Heading1"/>
      </w:pPr>
      <w:bookmarkStart w:id="2" w:name="_Toc225550804"/>
      <w:r w:rsidRPr="0095690E">
        <w:t>FinSure Bank Scenario Analysis</w:t>
      </w:r>
      <w:bookmarkEnd w:id="2"/>
      <w:r w:rsidRPr="0095690E">
        <w:t xml:space="preserve"> </w:t>
      </w:r>
    </w:p>
    <w:p w14:paraId="2E8008D9" w14:textId="77777777" w:rsidR="0044611D" w:rsidRPr="0044611D" w:rsidRDefault="0044611D" w:rsidP="0044611D">
      <w:pPr>
        <w:spacing w:line="360" w:lineRule="auto"/>
        <w:jc w:val="both"/>
        <w:rPr>
          <w:rFonts w:ascii="Arial" w:hAnsi="Arial"/>
        </w:rPr>
      </w:pPr>
      <w:r w:rsidRPr="0044611D">
        <w:rPr>
          <w:rFonts w:ascii="Arial" w:hAnsi="Arial"/>
        </w:rPr>
        <w:t>FinSure Bank operates using a cloud-based infrastructure and supports Bring Your Own Device (BYOD) access for employees and partners. While this approach improves flexibility and operational efficiency, it also introduces significant security and governance risks. The absence of a structured security framework increases the organisation’s exposure to cyber threats, compliance violations, and operational disruptions.</w:t>
      </w:r>
    </w:p>
    <w:p w14:paraId="00E02F5F" w14:textId="77777777" w:rsidR="0044611D" w:rsidRPr="0044611D" w:rsidRDefault="0044611D" w:rsidP="0044611D">
      <w:pPr>
        <w:spacing w:line="360" w:lineRule="auto"/>
        <w:jc w:val="both"/>
        <w:rPr>
          <w:rFonts w:ascii="Arial" w:hAnsi="Arial"/>
        </w:rPr>
      </w:pPr>
      <w:r w:rsidRPr="0044611D">
        <w:rPr>
          <w:rFonts w:ascii="Arial" w:hAnsi="Arial"/>
        </w:rPr>
        <w:t>One of the primary issues facing FinSure Bank is the lack of formal governance and security policies. Without defined roles, responsibilities, and accountability structures, security decisions are inconsistent and reactive. This governance gap increases the likelihood of security incidents and reduces organisational resilience (Calder and Moir, 2021). Additionally, the absence of strategic planning and risk management processes limits the organisation’s ability to proactively address emerging threats.</w:t>
      </w:r>
    </w:p>
    <w:p w14:paraId="33860E61" w14:textId="77777777" w:rsidR="0044611D" w:rsidRPr="0044611D" w:rsidRDefault="0044611D" w:rsidP="0044611D">
      <w:pPr>
        <w:spacing w:line="360" w:lineRule="auto"/>
        <w:jc w:val="both"/>
        <w:rPr>
          <w:rFonts w:ascii="Arial" w:hAnsi="Arial"/>
        </w:rPr>
      </w:pPr>
      <w:r w:rsidRPr="0044611D">
        <w:rPr>
          <w:rFonts w:ascii="Arial" w:hAnsi="Arial"/>
        </w:rPr>
        <w:t xml:space="preserve">Cloud computing introduces risks related to third-party dependency, data leakage, and limited infrastructure control. Misconfigured cloud environments, insecure APIs, and insufficient monitoring can expose sensitive financial data. Furthermore, cloud service outages may disrupt banking services and affect business continuity (Hashizume et </w:t>
      </w:r>
      <w:r w:rsidRPr="0044611D">
        <w:rPr>
          <w:rFonts w:ascii="Arial" w:hAnsi="Arial"/>
        </w:rPr>
        <w:lastRenderedPageBreak/>
        <w:t>al., 2020). Without appropriate governance and service level agreements, these risks remain difficult to manage effectively.</w:t>
      </w:r>
    </w:p>
    <w:p w14:paraId="38E261ED" w14:textId="77777777" w:rsidR="0044611D" w:rsidRPr="0044611D" w:rsidRDefault="0044611D" w:rsidP="0044611D">
      <w:pPr>
        <w:spacing w:line="360" w:lineRule="auto"/>
        <w:jc w:val="both"/>
        <w:rPr>
          <w:rFonts w:ascii="Arial" w:hAnsi="Arial"/>
        </w:rPr>
      </w:pPr>
      <w:r w:rsidRPr="0044611D">
        <w:rPr>
          <w:rFonts w:ascii="Arial" w:hAnsi="Arial"/>
        </w:rPr>
        <w:t>BYOD policies further increase security vulnerabilities. Personal devices may lack enterprise-level security controls, making them susceptible to malware, phishing attacks, and unauthorised access. Data stored on personal devices also increases the risk of data loss and compliance violations, particularly when employees access sensitive financial systems remotely (Soomro et al., 2021).</w:t>
      </w:r>
    </w:p>
    <w:p w14:paraId="5FD39966" w14:textId="77777777" w:rsidR="0044611D" w:rsidRPr="0044611D" w:rsidRDefault="0044611D" w:rsidP="0044611D">
      <w:pPr>
        <w:spacing w:line="360" w:lineRule="auto"/>
        <w:jc w:val="both"/>
        <w:rPr>
          <w:rFonts w:ascii="Arial" w:hAnsi="Arial"/>
        </w:rPr>
      </w:pPr>
      <w:r w:rsidRPr="0044611D">
        <w:rPr>
          <w:rFonts w:ascii="Arial" w:hAnsi="Arial"/>
        </w:rPr>
        <w:t>FinSure Bank also faces insider threats, including accidental data exposure or malicious misuse of access privileges. Inadequate access control mechanisms and monitoring increase the likelihood of internal security incidents. Additionally, compliance risks arise due to insufficient adherence to regulatory requirements such as GDPR and financial security standards.</w:t>
      </w:r>
    </w:p>
    <w:p w14:paraId="53B0CD8C" w14:textId="77777777" w:rsidR="0044611D" w:rsidRPr="0044611D" w:rsidRDefault="0044611D" w:rsidP="0044611D">
      <w:pPr>
        <w:spacing w:line="360" w:lineRule="auto"/>
        <w:jc w:val="both"/>
        <w:rPr>
          <w:rFonts w:ascii="Arial" w:hAnsi="Arial"/>
        </w:rPr>
      </w:pPr>
      <w:r w:rsidRPr="0044611D">
        <w:rPr>
          <w:rFonts w:ascii="Arial" w:hAnsi="Arial"/>
        </w:rPr>
        <w:t>Overall, FinSure Bank’s key challenges include governance gaps, cloud vulnerabilities, BYOD risks, insider threats, and compliance issues. Addressing these challenges requires a structured security governance model and comprehensive risk management framework.</w:t>
      </w:r>
    </w:p>
    <w:p w14:paraId="78ACF2DA" w14:textId="447A9A58" w:rsidR="0095690E" w:rsidRPr="0095690E" w:rsidRDefault="0095690E" w:rsidP="0095690E">
      <w:pPr>
        <w:spacing w:line="360" w:lineRule="auto"/>
        <w:jc w:val="both"/>
        <w:rPr>
          <w:rFonts w:ascii="Arial" w:hAnsi="Arial"/>
        </w:rPr>
      </w:pPr>
    </w:p>
    <w:p w14:paraId="490FA847" w14:textId="7FBF0CAB" w:rsidR="00EF1035" w:rsidRPr="00EF1035" w:rsidRDefault="00EF1035" w:rsidP="00EF1035">
      <w:pPr>
        <w:pStyle w:val="Heading1"/>
      </w:pPr>
      <w:bookmarkStart w:id="3" w:name="_Toc225550805"/>
      <w:r w:rsidRPr="00EF1035">
        <w:t>Security Framework Research</w:t>
      </w:r>
      <w:bookmarkEnd w:id="3"/>
      <w:r w:rsidRPr="00EF1035">
        <w:t xml:space="preserve"> </w:t>
      </w:r>
    </w:p>
    <w:p w14:paraId="78B7931E" w14:textId="77777777" w:rsidR="00EF1035" w:rsidRPr="00EF1035" w:rsidRDefault="00EF1035" w:rsidP="00EF1035">
      <w:pPr>
        <w:spacing w:line="360" w:lineRule="auto"/>
        <w:jc w:val="both"/>
        <w:rPr>
          <w:rFonts w:ascii="Arial" w:hAnsi="Arial"/>
        </w:rPr>
      </w:pPr>
      <w:r w:rsidRPr="00EF1035">
        <w:rPr>
          <w:rFonts w:ascii="Arial" w:hAnsi="Arial"/>
        </w:rPr>
        <w:t>To address FinSure Bank’s security, governance, and compliance challenges, this report evaluates four widely adopted security frameworks: ISO 27001, NIST Cybersecurity Framework, ITIL, and COBIT. These frameworks provide structured approaches for managing information security risks, governance, and compliance.</w:t>
      </w:r>
    </w:p>
    <w:p w14:paraId="3593D23F" w14:textId="0E841E29" w:rsidR="00801281" w:rsidRDefault="00801281">
      <w:pPr>
        <w:rPr>
          <w:rFonts w:ascii="Arial" w:hAnsi="Arial"/>
        </w:rPr>
      </w:pPr>
      <w:r>
        <w:rPr>
          <w:rFonts w:ascii="Arial" w:hAnsi="Arial"/>
        </w:rPr>
        <w:br w:type="page"/>
      </w:r>
    </w:p>
    <w:p w14:paraId="02F5878B" w14:textId="011C845E" w:rsidR="00EF1035" w:rsidRPr="00EF1035" w:rsidRDefault="00EF1035" w:rsidP="009C389F">
      <w:pPr>
        <w:pStyle w:val="Heading2"/>
      </w:pPr>
      <w:bookmarkStart w:id="4" w:name="_Toc225550806"/>
      <w:r w:rsidRPr="00EF1035">
        <w:lastRenderedPageBreak/>
        <w:t>ISO 27001</w:t>
      </w:r>
      <w:bookmarkEnd w:id="4"/>
      <w:r w:rsidRPr="00EF1035">
        <w:t xml:space="preserve"> </w:t>
      </w:r>
    </w:p>
    <w:p w14:paraId="205D8C01" w14:textId="6853D296" w:rsidR="00EF1035" w:rsidRPr="00EF1035" w:rsidRDefault="00EF1035" w:rsidP="00EF1035">
      <w:pPr>
        <w:spacing w:line="360" w:lineRule="auto"/>
        <w:jc w:val="both"/>
        <w:rPr>
          <w:rFonts w:ascii="Arial" w:hAnsi="Arial"/>
        </w:rPr>
      </w:pPr>
    </w:p>
    <w:p w14:paraId="68FE6F47" w14:textId="77777777" w:rsidR="00211F2D" w:rsidRDefault="00EF1035" w:rsidP="00211F2D">
      <w:pPr>
        <w:keepNext/>
        <w:spacing w:line="360" w:lineRule="auto"/>
        <w:jc w:val="both"/>
      </w:pPr>
      <w:r w:rsidRPr="00EF1035">
        <w:rPr>
          <w:rFonts w:ascii="Arial" w:hAnsi="Arial"/>
          <w:noProof/>
        </w:rPr>
        <w:drawing>
          <wp:inline distT="0" distB="0" distL="0" distR="0" wp14:anchorId="66E8D76B" wp14:editId="4C1717F7">
            <wp:extent cx="5731510" cy="3197225"/>
            <wp:effectExtent l="0" t="0" r="2540" b="3175"/>
            <wp:docPr id="1755049418" name="Picture 3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97225"/>
                    </a:xfrm>
                    <a:prstGeom prst="rect">
                      <a:avLst/>
                    </a:prstGeom>
                    <a:noFill/>
                    <a:ln>
                      <a:noFill/>
                    </a:ln>
                  </pic:spPr>
                </pic:pic>
              </a:graphicData>
            </a:graphic>
          </wp:inline>
        </w:drawing>
      </w:r>
    </w:p>
    <w:p w14:paraId="3FD0D829" w14:textId="534332F9" w:rsidR="00EF1035" w:rsidRPr="00EF1035" w:rsidRDefault="00211F2D" w:rsidP="00211F2D">
      <w:pPr>
        <w:pStyle w:val="Caption"/>
        <w:jc w:val="both"/>
        <w:rPr>
          <w:rFonts w:ascii="Arial" w:hAnsi="Arial"/>
          <w:sz w:val="22"/>
          <w:szCs w:val="22"/>
        </w:rPr>
      </w:pPr>
      <w:r w:rsidRPr="00211F2D">
        <w:rPr>
          <w:sz w:val="22"/>
          <w:szCs w:val="22"/>
        </w:rPr>
        <w:t xml:space="preserve">Figure </w:t>
      </w:r>
      <w:r w:rsidRPr="00211F2D">
        <w:rPr>
          <w:sz w:val="22"/>
          <w:szCs w:val="22"/>
        </w:rPr>
        <w:fldChar w:fldCharType="begin"/>
      </w:r>
      <w:r w:rsidRPr="00211F2D">
        <w:rPr>
          <w:sz w:val="22"/>
          <w:szCs w:val="22"/>
        </w:rPr>
        <w:instrText xml:space="preserve"> SEQ Figure \* ARABIC </w:instrText>
      </w:r>
      <w:r w:rsidRPr="00211F2D">
        <w:rPr>
          <w:sz w:val="22"/>
          <w:szCs w:val="22"/>
        </w:rPr>
        <w:fldChar w:fldCharType="separate"/>
      </w:r>
      <w:r w:rsidR="00BD13D6">
        <w:rPr>
          <w:noProof/>
          <w:sz w:val="22"/>
          <w:szCs w:val="22"/>
        </w:rPr>
        <w:t>1</w:t>
      </w:r>
      <w:r w:rsidRPr="00211F2D">
        <w:rPr>
          <w:sz w:val="22"/>
          <w:szCs w:val="22"/>
        </w:rPr>
        <w:fldChar w:fldCharType="end"/>
      </w:r>
      <w:r w:rsidRPr="00211F2D">
        <w:rPr>
          <w:sz w:val="22"/>
          <w:szCs w:val="22"/>
        </w:rPr>
        <w:t>:ISO 27001 ISMS implementation using the Plan-Do-Check-Act (PDCA) model (Digital Octopii, 2024).</w:t>
      </w:r>
    </w:p>
    <w:p w14:paraId="3C7E3A1A" w14:textId="77777777" w:rsidR="00EF1035" w:rsidRPr="00EF1035" w:rsidRDefault="00EF1035" w:rsidP="00EF1035">
      <w:pPr>
        <w:spacing w:line="360" w:lineRule="auto"/>
        <w:jc w:val="both"/>
        <w:rPr>
          <w:rFonts w:ascii="Arial" w:hAnsi="Arial"/>
        </w:rPr>
      </w:pPr>
      <w:r w:rsidRPr="00EF1035">
        <w:rPr>
          <w:rFonts w:ascii="Arial" w:hAnsi="Arial"/>
        </w:rPr>
        <w:t>ISO/IEC 27001 is an internationally recognised information security management framework designed to protect confidentiality, integrity, and availability of information. It uses a risk-based approach to implement an Information Security Management System (ISMS) and includes policies, procedures, and security controls to manage risks effectively (ISO, 2022). The framework follows the Plan-Do-Check-Act (PDCA) cycle, ensuring continuous improvement of security practices.</w:t>
      </w:r>
    </w:p>
    <w:p w14:paraId="5187C179" w14:textId="77777777" w:rsidR="00EF1035" w:rsidRPr="00EF1035" w:rsidRDefault="00EF1035" w:rsidP="00EF1035">
      <w:pPr>
        <w:spacing w:line="360" w:lineRule="auto"/>
        <w:jc w:val="both"/>
        <w:rPr>
          <w:rFonts w:ascii="Arial" w:hAnsi="Arial"/>
        </w:rPr>
      </w:pPr>
      <w:r w:rsidRPr="00EF1035">
        <w:rPr>
          <w:rFonts w:ascii="Arial" w:hAnsi="Arial"/>
        </w:rPr>
        <w:t>ISO 27001 is particularly useful for FinSure Bank because the organisation handles sensitive financial and personal data. Implementing ISO 27001 would help FinSure Bank establish formal security policies, risk management processes, and access control mechanisms. Additionally, ISO 27001 supports regulatory compliance such as GDPR and financial security standards, improving customer trust and organisational resilience (Calder and Moir, 2021). Therefore, adopting ISO 27001 would provide FinSure Bank with a structured and internationally recognised security governance model.</w:t>
      </w:r>
    </w:p>
    <w:p w14:paraId="60162A7A" w14:textId="072396C7" w:rsidR="00EF1035" w:rsidRPr="00EF1035" w:rsidRDefault="00EF1035" w:rsidP="00EF1035">
      <w:pPr>
        <w:spacing w:line="360" w:lineRule="auto"/>
        <w:jc w:val="both"/>
        <w:rPr>
          <w:rFonts w:ascii="Arial" w:hAnsi="Arial"/>
        </w:rPr>
      </w:pPr>
    </w:p>
    <w:p w14:paraId="4D687D43" w14:textId="76C20E54" w:rsidR="00EF1035" w:rsidRPr="00EF1035" w:rsidRDefault="00EF1035" w:rsidP="009C389F">
      <w:pPr>
        <w:pStyle w:val="Heading2"/>
      </w:pPr>
      <w:bookmarkStart w:id="5" w:name="_Toc225550807"/>
      <w:r w:rsidRPr="00EF1035">
        <w:lastRenderedPageBreak/>
        <w:t>NIST Cybersecurity Framework</w:t>
      </w:r>
      <w:bookmarkEnd w:id="5"/>
      <w:r w:rsidRPr="00EF1035">
        <w:t xml:space="preserve"> </w:t>
      </w:r>
    </w:p>
    <w:p w14:paraId="3C9A3F3E" w14:textId="7DD37B16" w:rsidR="00EF1035" w:rsidRPr="00EF1035" w:rsidRDefault="00EF1035" w:rsidP="00EF1035">
      <w:pPr>
        <w:spacing w:line="360" w:lineRule="auto"/>
        <w:jc w:val="both"/>
        <w:rPr>
          <w:rFonts w:ascii="Arial" w:hAnsi="Arial"/>
        </w:rPr>
      </w:pPr>
    </w:p>
    <w:p w14:paraId="1E809418" w14:textId="77777777" w:rsidR="00211F2D" w:rsidRDefault="00211F2D" w:rsidP="00211F2D">
      <w:pPr>
        <w:keepNext/>
        <w:spacing w:line="360" w:lineRule="auto"/>
        <w:jc w:val="both"/>
      </w:pPr>
      <w:r>
        <w:rPr>
          <w:rFonts w:ascii="Arial" w:hAnsi="Arial"/>
        </w:rPr>
        <w:t xml:space="preserve">                                 </w:t>
      </w:r>
      <w:r w:rsidR="00EF1035" w:rsidRPr="00EF1035">
        <w:rPr>
          <w:rFonts w:ascii="Arial" w:hAnsi="Arial"/>
          <w:noProof/>
        </w:rPr>
        <w:drawing>
          <wp:inline distT="0" distB="0" distL="0" distR="0" wp14:anchorId="6C6DDA9C" wp14:editId="602599D7">
            <wp:extent cx="2385060" cy="2407920"/>
            <wp:effectExtent l="0" t="0" r="0" b="0"/>
            <wp:docPr id="1637466376" name="Picture 2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Imag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664" t="6082" r="13934" b="17044"/>
                    <a:stretch>
                      <a:fillRect/>
                    </a:stretch>
                  </pic:blipFill>
                  <pic:spPr bwMode="auto">
                    <a:xfrm>
                      <a:off x="0" y="0"/>
                      <a:ext cx="2390830" cy="2413745"/>
                    </a:xfrm>
                    <a:prstGeom prst="rect">
                      <a:avLst/>
                    </a:prstGeom>
                    <a:noFill/>
                    <a:ln>
                      <a:noFill/>
                    </a:ln>
                    <a:extLst>
                      <a:ext uri="{53640926-AAD7-44D8-BBD7-CCE9431645EC}">
                        <a14:shadowObscured xmlns:a14="http://schemas.microsoft.com/office/drawing/2010/main"/>
                      </a:ext>
                    </a:extLst>
                  </pic:spPr>
                </pic:pic>
              </a:graphicData>
            </a:graphic>
          </wp:inline>
        </w:drawing>
      </w:r>
    </w:p>
    <w:p w14:paraId="04790771" w14:textId="1491665C" w:rsidR="00EF1035" w:rsidRPr="00EF1035" w:rsidRDefault="00211F2D" w:rsidP="00211F2D">
      <w:pPr>
        <w:pStyle w:val="Caption"/>
        <w:spacing w:line="360" w:lineRule="auto"/>
        <w:jc w:val="both"/>
        <w:rPr>
          <w:rFonts w:ascii="Arial" w:hAnsi="Arial"/>
          <w:sz w:val="22"/>
          <w:szCs w:val="22"/>
        </w:rPr>
      </w:pPr>
      <w:r w:rsidRPr="00211F2D">
        <w:rPr>
          <w:sz w:val="22"/>
          <w:szCs w:val="22"/>
        </w:rPr>
        <w:t xml:space="preserve">Figure </w:t>
      </w:r>
      <w:r w:rsidRPr="00211F2D">
        <w:rPr>
          <w:sz w:val="22"/>
          <w:szCs w:val="22"/>
        </w:rPr>
        <w:fldChar w:fldCharType="begin"/>
      </w:r>
      <w:r w:rsidRPr="00211F2D">
        <w:rPr>
          <w:sz w:val="22"/>
          <w:szCs w:val="22"/>
        </w:rPr>
        <w:instrText xml:space="preserve"> SEQ Figure \* ARABIC </w:instrText>
      </w:r>
      <w:r w:rsidRPr="00211F2D">
        <w:rPr>
          <w:sz w:val="22"/>
          <w:szCs w:val="22"/>
        </w:rPr>
        <w:fldChar w:fldCharType="separate"/>
      </w:r>
      <w:r w:rsidR="00BD13D6">
        <w:rPr>
          <w:noProof/>
          <w:sz w:val="22"/>
          <w:szCs w:val="22"/>
        </w:rPr>
        <w:t>2</w:t>
      </w:r>
      <w:r w:rsidRPr="00211F2D">
        <w:rPr>
          <w:sz w:val="22"/>
          <w:szCs w:val="22"/>
        </w:rPr>
        <w:fldChar w:fldCharType="end"/>
      </w:r>
      <w:r w:rsidRPr="00211F2D">
        <w:rPr>
          <w:sz w:val="22"/>
          <w:szCs w:val="22"/>
        </w:rPr>
        <w:t>:NIST Cybersecurity Framework showing the six core functions: Govern, Identify, Protect, Detect, Respond and Recover (NIST, 2024).</w:t>
      </w:r>
    </w:p>
    <w:p w14:paraId="6B3E589E" w14:textId="77777777" w:rsidR="00EF1035" w:rsidRPr="00EF1035" w:rsidRDefault="00EF1035" w:rsidP="00EF1035">
      <w:pPr>
        <w:spacing w:line="360" w:lineRule="auto"/>
        <w:jc w:val="both"/>
        <w:rPr>
          <w:rFonts w:ascii="Arial" w:hAnsi="Arial"/>
        </w:rPr>
      </w:pPr>
      <w:r w:rsidRPr="00EF1035">
        <w:rPr>
          <w:rFonts w:ascii="Arial" w:hAnsi="Arial"/>
        </w:rPr>
        <w:t>The NIST Cybersecurity Framework provides a flexible and risk-based approach to managing cybersecurity risks. It consists of five core functions: Identify, Protect, Detect, Respond, and Recover. These functions help organisations develop comprehensive security strategies and improve resilience against cyber threats (NIST, 2023). The framework is widely used in financial institutions due to its practical implementation approach.</w:t>
      </w:r>
    </w:p>
    <w:p w14:paraId="51DA9411" w14:textId="77777777" w:rsidR="00EF1035" w:rsidRPr="00EF1035" w:rsidRDefault="00EF1035" w:rsidP="00EF1035">
      <w:pPr>
        <w:spacing w:line="360" w:lineRule="auto"/>
        <w:jc w:val="both"/>
        <w:rPr>
          <w:rFonts w:ascii="Arial" w:hAnsi="Arial"/>
        </w:rPr>
      </w:pPr>
      <w:r w:rsidRPr="00EF1035">
        <w:rPr>
          <w:rFonts w:ascii="Arial" w:hAnsi="Arial"/>
        </w:rPr>
        <w:t>For FinSure Bank, the NIST framework would help identify security risks associated with cloud computing and BYOD environments. The Protect function would support implementation of access controls and encryption, while Detect and Respond functions enhance incident management capabilities. The Recover function ensures business continuity and disaster recovery planning. Implementing the NIST framework would allow FinSure Bank to improve threat detection, incident response, and operational resilience (Mukhopadhyay and Jain, 2024).</w:t>
      </w:r>
    </w:p>
    <w:p w14:paraId="5A985D7B" w14:textId="77777777" w:rsidR="00363C99" w:rsidRDefault="00EF1035" w:rsidP="00BA6C8F">
      <w:pPr>
        <w:pStyle w:val="Heading2"/>
      </w:pPr>
      <w:r w:rsidRPr="00EF1035">
        <w:t xml:space="preserve"> </w:t>
      </w:r>
    </w:p>
    <w:p w14:paraId="1C5E0902" w14:textId="77777777" w:rsidR="00363C99" w:rsidRDefault="00363C99">
      <w:pPr>
        <w:rPr>
          <w:rFonts w:asciiTheme="majorHAnsi" w:eastAsiaTheme="majorEastAsia" w:hAnsiTheme="majorHAnsi" w:cstheme="majorBidi"/>
          <w:color w:val="0F4761" w:themeColor="accent1" w:themeShade="BF"/>
          <w:sz w:val="32"/>
          <w:szCs w:val="32"/>
        </w:rPr>
      </w:pPr>
      <w:r>
        <w:br w:type="page"/>
      </w:r>
    </w:p>
    <w:p w14:paraId="4A4F5A3E" w14:textId="22471785" w:rsidR="00EF1035" w:rsidRPr="00EF1035" w:rsidRDefault="00EF1035" w:rsidP="00BA6C8F">
      <w:pPr>
        <w:pStyle w:val="Heading2"/>
      </w:pPr>
      <w:bookmarkStart w:id="6" w:name="_Toc225550808"/>
      <w:r w:rsidRPr="00EF1035">
        <w:lastRenderedPageBreak/>
        <w:t>ITIL</w:t>
      </w:r>
      <w:bookmarkEnd w:id="6"/>
      <w:r w:rsidRPr="00EF1035">
        <w:t xml:space="preserve"> </w:t>
      </w:r>
    </w:p>
    <w:p w14:paraId="50FDEB48" w14:textId="39FEF44C" w:rsidR="00EF1035" w:rsidRPr="00EF1035" w:rsidRDefault="00EF1035" w:rsidP="00EF1035">
      <w:pPr>
        <w:spacing w:line="360" w:lineRule="auto"/>
        <w:jc w:val="both"/>
        <w:rPr>
          <w:rFonts w:ascii="Arial" w:hAnsi="Arial"/>
        </w:rPr>
      </w:pPr>
      <w:r w:rsidRPr="00EF1035">
        <w:rPr>
          <w:rFonts w:ascii="Arial" w:hAnsi="Arial"/>
          <w:noProof/>
        </w:rPr>
        <mc:AlternateContent>
          <mc:Choice Requires="wps">
            <w:drawing>
              <wp:inline distT="0" distB="0" distL="0" distR="0" wp14:anchorId="079D140E" wp14:editId="41428EEA">
                <wp:extent cx="304800" cy="304800"/>
                <wp:effectExtent l="0" t="0" r="0" b="0"/>
                <wp:docPr id="1951112968" name="Rectangle 24" descr="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1C7551" id="Rectangle 24" o:spid="_x0000_s1026" alt="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C54D9E9" w14:textId="77777777" w:rsidR="00415ABD" w:rsidRDefault="00415ABD" w:rsidP="00415ABD">
      <w:pPr>
        <w:keepNext/>
        <w:spacing w:line="360" w:lineRule="auto"/>
        <w:jc w:val="both"/>
      </w:pPr>
      <w:r>
        <w:rPr>
          <w:rFonts w:ascii="Arial" w:hAnsi="Arial"/>
        </w:rPr>
        <w:t xml:space="preserve">                  </w:t>
      </w:r>
      <w:r w:rsidR="00EF1035" w:rsidRPr="00EF1035">
        <w:rPr>
          <w:rFonts w:ascii="Arial" w:hAnsi="Arial"/>
          <w:noProof/>
        </w:rPr>
        <w:drawing>
          <wp:inline distT="0" distB="0" distL="0" distR="0" wp14:anchorId="7EC0E30B" wp14:editId="74A70449">
            <wp:extent cx="3925570" cy="3925570"/>
            <wp:effectExtent l="0" t="0" r="0" b="0"/>
            <wp:docPr id="84689571" name="Picture 2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25570" cy="3925570"/>
                    </a:xfrm>
                    <a:prstGeom prst="rect">
                      <a:avLst/>
                    </a:prstGeom>
                    <a:noFill/>
                    <a:ln>
                      <a:noFill/>
                    </a:ln>
                  </pic:spPr>
                </pic:pic>
              </a:graphicData>
            </a:graphic>
          </wp:inline>
        </w:drawing>
      </w:r>
    </w:p>
    <w:p w14:paraId="38380BD6" w14:textId="73251BB7" w:rsidR="00EF1035" w:rsidRPr="00EF1035" w:rsidRDefault="00415ABD" w:rsidP="00415ABD">
      <w:pPr>
        <w:pStyle w:val="Caption"/>
        <w:jc w:val="both"/>
        <w:rPr>
          <w:rFonts w:ascii="Arial" w:hAnsi="Arial"/>
        </w:rPr>
      </w:pPr>
      <w:r>
        <w:t xml:space="preserve">Figure </w:t>
      </w:r>
      <w:r>
        <w:fldChar w:fldCharType="begin"/>
      </w:r>
      <w:r>
        <w:instrText xml:space="preserve"> SEQ Figure \* ARABIC </w:instrText>
      </w:r>
      <w:r>
        <w:fldChar w:fldCharType="separate"/>
      </w:r>
      <w:r w:rsidR="00BD13D6">
        <w:rPr>
          <w:noProof/>
        </w:rPr>
        <w:t>3</w:t>
      </w:r>
      <w:r>
        <w:fldChar w:fldCharType="end"/>
      </w:r>
      <w:r w:rsidRPr="00FB184A">
        <w:t>ITIL v3 service lifecycle framework showing service strategy, service design, service transition, service operation and continual service improvement (Erbay, 2015).</w:t>
      </w:r>
      <w:r>
        <w:t>:</w:t>
      </w:r>
    </w:p>
    <w:p w14:paraId="592AF30C" w14:textId="48015A7A" w:rsidR="00EF1035" w:rsidRPr="00EF1035" w:rsidRDefault="00EF1035" w:rsidP="00EF1035">
      <w:pPr>
        <w:spacing w:line="360" w:lineRule="auto"/>
        <w:jc w:val="both"/>
        <w:rPr>
          <w:rFonts w:ascii="Arial" w:hAnsi="Arial"/>
        </w:rPr>
      </w:pPr>
      <w:r w:rsidRPr="00EF1035">
        <w:rPr>
          <w:rFonts w:ascii="Arial" w:hAnsi="Arial"/>
          <w:noProof/>
        </w:rPr>
        <mc:AlternateContent>
          <mc:Choice Requires="wps">
            <w:drawing>
              <wp:inline distT="0" distB="0" distL="0" distR="0" wp14:anchorId="48D316FB" wp14:editId="7F465394">
                <wp:extent cx="304800" cy="304800"/>
                <wp:effectExtent l="0" t="0" r="0" b="0"/>
                <wp:docPr id="953015276" name="Rectangle 21" descr="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AE0B15" id="Rectangle 21" o:spid="_x0000_s1026" alt="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FBAF92F" w14:textId="77777777" w:rsidR="00EF1035" w:rsidRPr="00EF1035" w:rsidRDefault="00EF1035" w:rsidP="00EF1035">
      <w:pPr>
        <w:spacing w:line="360" w:lineRule="auto"/>
        <w:jc w:val="both"/>
        <w:rPr>
          <w:rFonts w:ascii="Arial" w:hAnsi="Arial"/>
        </w:rPr>
      </w:pPr>
      <w:r w:rsidRPr="00EF1035">
        <w:rPr>
          <w:rFonts w:ascii="Arial" w:hAnsi="Arial"/>
        </w:rPr>
        <w:t>Information Technology Infrastructure Library (ITIL) is a service management framework that focuses on aligning IT services with business objectives. ITIL includes processes such as service strategy, service design, service transition, service operation, and continual service improvement (Axelos, 2020). ITIL supports governance, risk management, and service delivery.</w:t>
      </w:r>
    </w:p>
    <w:p w14:paraId="22F67A82" w14:textId="77777777" w:rsidR="00EF1035" w:rsidRPr="00EF1035" w:rsidRDefault="00EF1035" w:rsidP="00EF1035">
      <w:pPr>
        <w:spacing w:line="360" w:lineRule="auto"/>
        <w:jc w:val="both"/>
        <w:rPr>
          <w:rFonts w:ascii="Arial" w:hAnsi="Arial"/>
        </w:rPr>
      </w:pPr>
      <w:r w:rsidRPr="00EF1035">
        <w:rPr>
          <w:rFonts w:ascii="Arial" w:hAnsi="Arial"/>
        </w:rPr>
        <w:t xml:space="preserve">For FinSure Bank, ITIL would improve management of IT services and cloud infrastructure. ITIL processes help define service level agreements (SLAs), incident management, and change management. This is particularly important for cloud-based banking environments where system availability is critical. ITIL also supports continuous service improvement, enabling FinSure Bank to enhance security controls </w:t>
      </w:r>
      <w:r w:rsidRPr="00EF1035">
        <w:rPr>
          <w:rFonts w:ascii="Arial" w:hAnsi="Arial"/>
        </w:rPr>
        <w:lastRenderedPageBreak/>
        <w:t>over time (Cartlidge et al., 2021). Therefore, ITIL provides operational governance that complements technical security frameworks.</w:t>
      </w:r>
    </w:p>
    <w:p w14:paraId="64C69F6C" w14:textId="5EB728B3" w:rsidR="00EF1035" w:rsidRPr="00EF1035" w:rsidRDefault="00EF1035" w:rsidP="00EF1035">
      <w:pPr>
        <w:spacing w:line="360" w:lineRule="auto"/>
        <w:jc w:val="both"/>
        <w:rPr>
          <w:rFonts w:ascii="Arial" w:hAnsi="Arial"/>
        </w:rPr>
      </w:pPr>
    </w:p>
    <w:p w14:paraId="32DED60A" w14:textId="55224079" w:rsidR="00EF1035" w:rsidRPr="00EF1035" w:rsidRDefault="00EF1035" w:rsidP="009C389F">
      <w:pPr>
        <w:pStyle w:val="Heading2"/>
      </w:pPr>
      <w:bookmarkStart w:id="7" w:name="_Toc225550809"/>
      <w:r w:rsidRPr="00EF1035">
        <w:t>COBIT</w:t>
      </w:r>
      <w:bookmarkEnd w:id="7"/>
      <w:r w:rsidRPr="00EF1035">
        <w:t xml:space="preserve"> </w:t>
      </w:r>
    </w:p>
    <w:p w14:paraId="29C61560" w14:textId="2CDADC49" w:rsidR="00EF1035" w:rsidRPr="00EF1035" w:rsidRDefault="00EF1035" w:rsidP="00EF1035">
      <w:pPr>
        <w:spacing w:line="360" w:lineRule="auto"/>
        <w:jc w:val="both"/>
        <w:rPr>
          <w:rFonts w:ascii="Arial" w:hAnsi="Arial"/>
        </w:rPr>
      </w:pPr>
    </w:p>
    <w:p w14:paraId="0384A0A5" w14:textId="77777777" w:rsidR="00137B05" w:rsidRDefault="00EF1035" w:rsidP="00137B05">
      <w:pPr>
        <w:keepNext/>
        <w:spacing w:line="360" w:lineRule="auto"/>
        <w:jc w:val="both"/>
      </w:pPr>
      <w:r w:rsidRPr="00EF1035">
        <w:rPr>
          <w:rFonts w:ascii="Arial" w:hAnsi="Arial"/>
          <w:noProof/>
        </w:rPr>
        <w:drawing>
          <wp:inline distT="0" distB="0" distL="0" distR="0" wp14:anchorId="1467A4C5" wp14:editId="2FB327D1">
            <wp:extent cx="5731510" cy="3097530"/>
            <wp:effectExtent l="0" t="0" r="2540" b="7620"/>
            <wp:docPr id="132917727" name="Picture 1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97530"/>
                    </a:xfrm>
                    <a:prstGeom prst="rect">
                      <a:avLst/>
                    </a:prstGeom>
                    <a:noFill/>
                    <a:ln>
                      <a:noFill/>
                    </a:ln>
                  </pic:spPr>
                </pic:pic>
              </a:graphicData>
            </a:graphic>
          </wp:inline>
        </w:drawing>
      </w:r>
    </w:p>
    <w:p w14:paraId="2F2ED240" w14:textId="10544B99" w:rsidR="00EF1035" w:rsidRPr="00EF1035" w:rsidRDefault="00137B05" w:rsidP="00137B05">
      <w:pPr>
        <w:pStyle w:val="Caption"/>
        <w:jc w:val="both"/>
        <w:rPr>
          <w:rFonts w:ascii="Arial" w:hAnsi="Arial"/>
          <w:sz w:val="20"/>
          <w:szCs w:val="20"/>
        </w:rPr>
      </w:pPr>
      <w:r w:rsidRPr="00137B05">
        <w:rPr>
          <w:sz w:val="20"/>
          <w:szCs w:val="20"/>
        </w:rPr>
        <w:t xml:space="preserve">Figure </w:t>
      </w:r>
      <w:r w:rsidRPr="00137B05">
        <w:rPr>
          <w:sz w:val="20"/>
          <w:szCs w:val="20"/>
        </w:rPr>
        <w:fldChar w:fldCharType="begin"/>
      </w:r>
      <w:r w:rsidRPr="00137B05">
        <w:rPr>
          <w:sz w:val="20"/>
          <w:szCs w:val="20"/>
        </w:rPr>
        <w:instrText xml:space="preserve"> SEQ Figure \* ARABIC </w:instrText>
      </w:r>
      <w:r w:rsidRPr="00137B05">
        <w:rPr>
          <w:sz w:val="20"/>
          <w:szCs w:val="20"/>
        </w:rPr>
        <w:fldChar w:fldCharType="separate"/>
      </w:r>
      <w:r w:rsidR="00BD13D6">
        <w:rPr>
          <w:noProof/>
          <w:sz w:val="20"/>
          <w:szCs w:val="20"/>
        </w:rPr>
        <w:t>4</w:t>
      </w:r>
      <w:r w:rsidRPr="00137B05">
        <w:rPr>
          <w:sz w:val="20"/>
          <w:szCs w:val="20"/>
        </w:rPr>
        <w:fldChar w:fldCharType="end"/>
      </w:r>
      <w:r w:rsidRPr="00137B05">
        <w:rPr>
          <w:sz w:val="20"/>
          <w:szCs w:val="20"/>
        </w:rPr>
        <w:t xml:space="preserve">:COBIT 5 governance and management key areas including Evaluate, Direct, Monitor, Plan, Build, Run and Monitor domains </w:t>
      </w:r>
      <w:r w:rsidR="00250BB5" w:rsidRPr="00250BB5">
        <w:rPr>
          <w:sz w:val="20"/>
          <w:szCs w:val="20"/>
        </w:rPr>
        <w:t>(Khusna and Ali, 2020)</w:t>
      </w:r>
      <w:r w:rsidRPr="00137B05">
        <w:rPr>
          <w:sz w:val="20"/>
          <w:szCs w:val="20"/>
        </w:rPr>
        <w:t>.</w:t>
      </w:r>
    </w:p>
    <w:p w14:paraId="3244BAF1" w14:textId="6F66A503" w:rsidR="00EF1035" w:rsidRPr="00EF1035" w:rsidRDefault="00EF1035" w:rsidP="00EF1035">
      <w:pPr>
        <w:spacing w:line="360" w:lineRule="auto"/>
        <w:jc w:val="both"/>
        <w:rPr>
          <w:rFonts w:ascii="Arial" w:hAnsi="Arial"/>
        </w:rPr>
      </w:pPr>
    </w:p>
    <w:p w14:paraId="38879927" w14:textId="77777777" w:rsidR="00EF1035" w:rsidRPr="00EF1035" w:rsidRDefault="00EF1035" w:rsidP="00EF1035">
      <w:pPr>
        <w:spacing w:line="360" w:lineRule="auto"/>
        <w:jc w:val="both"/>
        <w:rPr>
          <w:rFonts w:ascii="Arial" w:hAnsi="Arial"/>
        </w:rPr>
      </w:pPr>
      <w:r w:rsidRPr="00EF1035">
        <w:rPr>
          <w:rFonts w:ascii="Arial" w:hAnsi="Arial"/>
        </w:rPr>
        <w:t>COBIT (Control Objectives for Information and Related Technologies) is a governance and management framework designed to align IT strategy with business objectives. COBIT includes governance domains such as Evaluate, Direct and Monitor (EDM) and management domains including Align, Plan and Organise (APO), Build, Acquire and Implement (BAI), Deliver, Service and Support (DSS), and Monitor, Evaluate and Assess (MEA) (ISACA, 2020).</w:t>
      </w:r>
    </w:p>
    <w:p w14:paraId="450B3AA5" w14:textId="77777777" w:rsidR="00EF1035" w:rsidRDefault="00EF1035" w:rsidP="00EF1035">
      <w:pPr>
        <w:spacing w:line="360" w:lineRule="auto"/>
        <w:jc w:val="both"/>
        <w:rPr>
          <w:rFonts w:ascii="Arial" w:hAnsi="Arial"/>
        </w:rPr>
      </w:pPr>
      <w:r w:rsidRPr="00EF1035">
        <w:rPr>
          <w:rFonts w:ascii="Arial" w:hAnsi="Arial"/>
        </w:rPr>
        <w:t xml:space="preserve">COBIT would help FinSure Bank implement structured governance and accountability across its IT operations. The framework supports risk management, compliance monitoring, and performance evaluation. COBIT also ensures alignment between business goals and security strategy, which is essential for digital banking operations. </w:t>
      </w:r>
      <w:r w:rsidRPr="00EF1035">
        <w:rPr>
          <w:rFonts w:ascii="Arial" w:hAnsi="Arial"/>
        </w:rPr>
        <w:lastRenderedPageBreak/>
        <w:t>Implementing COBIT would strengthen FinSure Bank’s governance model and improve decision-making processes (De Haes et al., 2020).</w:t>
      </w:r>
    </w:p>
    <w:p w14:paraId="5CA84726" w14:textId="69320890" w:rsidR="00EF1035" w:rsidRPr="00EF1035" w:rsidRDefault="00EF1035" w:rsidP="00BD13D6">
      <w:pPr>
        <w:pStyle w:val="Heading1"/>
      </w:pPr>
      <w:bookmarkStart w:id="8" w:name="_Toc225550810"/>
      <w:r w:rsidRPr="00EF1035">
        <w:t>Risk Assessment &amp; Threat Analysis</w:t>
      </w:r>
      <w:bookmarkEnd w:id="8"/>
      <w:r w:rsidRPr="00EF1035">
        <w:t xml:space="preserve"> </w:t>
      </w:r>
    </w:p>
    <w:p w14:paraId="3EBE707F" w14:textId="77777777" w:rsidR="00EF1035" w:rsidRPr="00EF1035" w:rsidRDefault="00EF1035" w:rsidP="00EF1035">
      <w:pPr>
        <w:spacing w:line="360" w:lineRule="auto"/>
        <w:jc w:val="both"/>
        <w:rPr>
          <w:rFonts w:ascii="Arial" w:hAnsi="Arial"/>
        </w:rPr>
      </w:pPr>
      <w:r w:rsidRPr="00EF1035">
        <w:rPr>
          <w:rFonts w:ascii="Arial" w:hAnsi="Arial"/>
        </w:rPr>
        <w:t>Risk assessment is a fundamental component of information security governance and enables organisations to identify threats, vulnerabilities, and potential impacts on business operations. FinSure Bank faces multiple risks due to its cloud-based infrastructure, BYOD policy, and lack of governance frameworks. A structured risk assessment helps prioritise mitigation strategies and improve organisational resilience (NIST, 2023).</w:t>
      </w:r>
    </w:p>
    <w:p w14:paraId="2AEE9400" w14:textId="77777777" w:rsidR="00EF1035" w:rsidRPr="00EF1035" w:rsidRDefault="00EF1035" w:rsidP="00EF1035">
      <w:pPr>
        <w:spacing w:line="360" w:lineRule="auto"/>
        <w:jc w:val="both"/>
        <w:rPr>
          <w:rFonts w:ascii="Arial" w:hAnsi="Arial"/>
        </w:rPr>
      </w:pPr>
      <w:r w:rsidRPr="00EF1035">
        <w:rPr>
          <w:rFonts w:ascii="Arial" w:hAnsi="Arial"/>
        </w:rPr>
        <w:t>One of the most significant risks facing FinSure Bank is data breaches. Financial institutions store highly sensitive customer data, including personal information, account details, and transaction records. A data breach could result in financial loss, identity theft, and regulatory penalties. According to recent studies, data breaches in financial services are increasing due to digital transformation and cloud adoption (Mukhopadhyay and Jain, 2024).</w:t>
      </w:r>
    </w:p>
    <w:p w14:paraId="1DB09201" w14:textId="77777777" w:rsidR="00EF1035" w:rsidRPr="00EF1035" w:rsidRDefault="00EF1035" w:rsidP="00EF1035">
      <w:pPr>
        <w:spacing w:line="360" w:lineRule="auto"/>
        <w:jc w:val="both"/>
        <w:rPr>
          <w:rFonts w:ascii="Arial" w:hAnsi="Arial"/>
        </w:rPr>
      </w:pPr>
      <w:r w:rsidRPr="00EF1035">
        <w:rPr>
          <w:rFonts w:ascii="Arial" w:hAnsi="Arial"/>
        </w:rPr>
        <w:t>Insider threats also present a major risk. Employees, contractors, and third-party vendors with authorised access may intentionally or unintentionally compromise sensitive data. Insider threats are particularly dangerous because they bypass traditional security controls and exploit trusted access privileges (Soomro et al., 2021).</w:t>
      </w:r>
    </w:p>
    <w:p w14:paraId="19DDE737" w14:textId="77777777" w:rsidR="00EF1035" w:rsidRPr="00EF1035" w:rsidRDefault="00EF1035" w:rsidP="00EF1035">
      <w:pPr>
        <w:spacing w:line="360" w:lineRule="auto"/>
        <w:jc w:val="both"/>
        <w:rPr>
          <w:rFonts w:ascii="Arial" w:hAnsi="Arial"/>
        </w:rPr>
      </w:pPr>
      <w:r w:rsidRPr="00EF1035">
        <w:rPr>
          <w:rFonts w:ascii="Arial" w:hAnsi="Arial"/>
        </w:rPr>
        <w:t>Cloud risks are another concern for FinSure Bank. These risks include misconfigured cloud services, insecure APIs, data leakage, and third-party vulnerabilities. Cloud service providers also introduce shared responsibility challenges, requiring organisations to maintain proper governance and monitoring (Hashizume et al., 2020).</w:t>
      </w:r>
    </w:p>
    <w:p w14:paraId="70FBDAF4" w14:textId="0EA893CC" w:rsidR="00EF1035" w:rsidRPr="00EF1035" w:rsidRDefault="00EF1035" w:rsidP="00EF1035">
      <w:pPr>
        <w:spacing w:line="360" w:lineRule="auto"/>
        <w:jc w:val="both"/>
        <w:rPr>
          <w:rFonts w:ascii="Arial" w:hAnsi="Arial"/>
        </w:rPr>
      </w:pPr>
      <w:r w:rsidRPr="00EF1035">
        <w:rPr>
          <w:rFonts w:ascii="Arial" w:hAnsi="Arial"/>
        </w:rPr>
        <w:t xml:space="preserve">BYOD risks arise from employees using personal devices to access corporate systems. These devices may lack security controls, increasing the risk of malware infections, unauthorised access, and data loss. Additionally, insecure public networks and lost devices further increase security vulnerabilities </w:t>
      </w:r>
      <w:r w:rsidR="00A12119" w:rsidRPr="00A12119">
        <w:rPr>
          <w:rFonts w:ascii="Arial" w:hAnsi="Arial"/>
        </w:rPr>
        <w:t>(Pagán Jr. and Elleithy, 2021)</w:t>
      </w:r>
      <w:r w:rsidRPr="00EF1035">
        <w:rPr>
          <w:rFonts w:ascii="Arial" w:hAnsi="Arial"/>
        </w:rPr>
        <w:t>.</w:t>
      </w:r>
    </w:p>
    <w:p w14:paraId="090BC8C4" w14:textId="77777777" w:rsidR="00EF1035" w:rsidRPr="00EF1035" w:rsidRDefault="00EF1035" w:rsidP="00EF1035">
      <w:pPr>
        <w:spacing w:line="360" w:lineRule="auto"/>
        <w:jc w:val="both"/>
        <w:rPr>
          <w:rFonts w:ascii="Arial" w:hAnsi="Arial"/>
        </w:rPr>
      </w:pPr>
      <w:r w:rsidRPr="00EF1035">
        <w:rPr>
          <w:rFonts w:ascii="Arial" w:hAnsi="Arial"/>
        </w:rPr>
        <w:t>Finally, cyberattacks such as ransomware, phishing, and Distributed Denial of Service (DDoS) attacks pose major threats. These attacks can disrupt banking services, compromise data, and damage organisational reputation (ENISA, 2022).</w:t>
      </w:r>
    </w:p>
    <w:p w14:paraId="2421C013" w14:textId="02B16FFC" w:rsidR="00EF1035" w:rsidRPr="00EF1035" w:rsidRDefault="00EF1035" w:rsidP="00EF1035">
      <w:pPr>
        <w:spacing w:line="360" w:lineRule="auto"/>
        <w:jc w:val="both"/>
        <w:rPr>
          <w:rFonts w:ascii="Arial" w:hAnsi="Arial"/>
        </w:rPr>
      </w:pPr>
    </w:p>
    <w:p w14:paraId="3DD26D92" w14:textId="77777777" w:rsidR="00EF1035" w:rsidRPr="00EF1035" w:rsidRDefault="00EF1035" w:rsidP="00EF1035">
      <w:pPr>
        <w:spacing w:line="360" w:lineRule="auto"/>
        <w:jc w:val="both"/>
        <w:rPr>
          <w:rFonts w:ascii="Arial" w:hAnsi="Arial"/>
          <w:b/>
          <w:bCs/>
        </w:rPr>
      </w:pPr>
      <w:r w:rsidRPr="00EF1035">
        <w:rPr>
          <w:rFonts w:ascii="Arial" w:hAnsi="Arial"/>
          <w:b/>
          <w:bCs/>
        </w:rPr>
        <w:t>Risk Assessment Table</w:t>
      </w:r>
    </w:p>
    <w:tbl>
      <w:tblPr>
        <w:tblStyle w:val="GridTable5Dark-Accent5"/>
        <w:tblW w:w="0" w:type="auto"/>
        <w:tblLook w:val="04A0" w:firstRow="1" w:lastRow="0" w:firstColumn="1" w:lastColumn="0" w:noHBand="0" w:noVBand="1"/>
      </w:tblPr>
      <w:tblGrid>
        <w:gridCol w:w="2115"/>
        <w:gridCol w:w="1297"/>
        <w:gridCol w:w="1070"/>
        <w:gridCol w:w="1283"/>
        <w:gridCol w:w="3251"/>
      </w:tblGrid>
      <w:tr w:rsidR="00EF1035" w:rsidRPr="00EF1035" w14:paraId="0AB8D226" w14:textId="77777777" w:rsidTr="00573A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C25D9E"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Risk</w:t>
            </w:r>
          </w:p>
        </w:tc>
        <w:tc>
          <w:tcPr>
            <w:tcW w:w="0" w:type="auto"/>
            <w:hideMark/>
          </w:tcPr>
          <w:p w14:paraId="578E5F99" w14:textId="77777777" w:rsidR="00EF1035" w:rsidRPr="00EF1035" w:rsidRDefault="00EF1035" w:rsidP="00EF103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EF1035">
              <w:rPr>
                <w:rFonts w:ascii="Arial" w:hAnsi="Arial"/>
                <w:b w:val="0"/>
                <w:bCs w:val="0"/>
              </w:rPr>
              <w:t>Likelihood</w:t>
            </w:r>
          </w:p>
        </w:tc>
        <w:tc>
          <w:tcPr>
            <w:tcW w:w="0" w:type="auto"/>
            <w:hideMark/>
          </w:tcPr>
          <w:p w14:paraId="0BF64B53" w14:textId="77777777" w:rsidR="00EF1035" w:rsidRPr="00EF1035" w:rsidRDefault="00EF1035" w:rsidP="00EF103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EF1035">
              <w:rPr>
                <w:rFonts w:ascii="Arial" w:hAnsi="Arial"/>
                <w:b w:val="0"/>
                <w:bCs w:val="0"/>
              </w:rPr>
              <w:t>Impact</w:t>
            </w:r>
          </w:p>
        </w:tc>
        <w:tc>
          <w:tcPr>
            <w:tcW w:w="0" w:type="auto"/>
            <w:hideMark/>
          </w:tcPr>
          <w:p w14:paraId="02B4615C" w14:textId="77777777" w:rsidR="00EF1035" w:rsidRPr="00EF1035" w:rsidRDefault="00EF1035" w:rsidP="00EF103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EF1035">
              <w:rPr>
                <w:rFonts w:ascii="Arial" w:hAnsi="Arial"/>
                <w:b w:val="0"/>
                <w:bCs w:val="0"/>
              </w:rPr>
              <w:t>Risk Level</w:t>
            </w:r>
          </w:p>
        </w:tc>
        <w:tc>
          <w:tcPr>
            <w:tcW w:w="0" w:type="auto"/>
            <w:hideMark/>
          </w:tcPr>
          <w:p w14:paraId="5D07AE5B" w14:textId="77777777" w:rsidR="00EF1035" w:rsidRPr="00EF1035" w:rsidRDefault="00EF1035" w:rsidP="00EF103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EF1035">
              <w:rPr>
                <w:rFonts w:ascii="Arial" w:hAnsi="Arial"/>
                <w:b w:val="0"/>
                <w:bCs w:val="0"/>
              </w:rPr>
              <w:t>Mitigation Strategy</w:t>
            </w:r>
          </w:p>
        </w:tc>
      </w:tr>
      <w:tr w:rsidR="00EF1035" w:rsidRPr="00EF1035" w14:paraId="5570ED98" w14:textId="77777777" w:rsidTr="00573A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62B44C"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Data Breach</w:t>
            </w:r>
          </w:p>
        </w:tc>
        <w:tc>
          <w:tcPr>
            <w:tcW w:w="0" w:type="auto"/>
            <w:hideMark/>
          </w:tcPr>
          <w:p w14:paraId="38ABC62A"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30DE0B28"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515EC576"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Critical</w:t>
            </w:r>
          </w:p>
        </w:tc>
        <w:tc>
          <w:tcPr>
            <w:tcW w:w="0" w:type="auto"/>
            <w:hideMark/>
          </w:tcPr>
          <w:p w14:paraId="3BCA2818"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Encryption, access control</w:t>
            </w:r>
          </w:p>
        </w:tc>
      </w:tr>
      <w:tr w:rsidR="00EF1035" w:rsidRPr="00EF1035" w14:paraId="42B4D57D" w14:textId="77777777" w:rsidTr="00573AD7">
        <w:tc>
          <w:tcPr>
            <w:cnfStyle w:val="001000000000" w:firstRow="0" w:lastRow="0" w:firstColumn="1" w:lastColumn="0" w:oddVBand="0" w:evenVBand="0" w:oddHBand="0" w:evenHBand="0" w:firstRowFirstColumn="0" w:firstRowLastColumn="0" w:lastRowFirstColumn="0" w:lastRowLastColumn="0"/>
            <w:tcW w:w="0" w:type="auto"/>
            <w:hideMark/>
          </w:tcPr>
          <w:p w14:paraId="6857C7FE"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Insider Threat</w:t>
            </w:r>
          </w:p>
        </w:tc>
        <w:tc>
          <w:tcPr>
            <w:tcW w:w="0" w:type="auto"/>
            <w:hideMark/>
          </w:tcPr>
          <w:p w14:paraId="0AA04B12"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Medium</w:t>
            </w:r>
          </w:p>
        </w:tc>
        <w:tc>
          <w:tcPr>
            <w:tcW w:w="0" w:type="auto"/>
            <w:hideMark/>
          </w:tcPr>
          <w:p w14:paraId="426CA551"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5D0EDB9B"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1E0BB894"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Monitoring, role-based access</w:t>
            </w:r>
          </w:p>
        </w:tc>
      </w:tr>
      <w:tr w:rsidR="00EF1035" w:rsidRPr="00EF1035" w14:paraId="5B06E36B" w14:textId="77777777" w:rsidTr="00573A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6F0071"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Cloud Security Risk</w:t>
            </w:r>
          </w:p>
        </w:tc>
        <w:tc>
          <w:tcPr>
            <w:tcW w:w="0" w:type="auto"/>
            <w:hideMark/>
          </w:tcPr>
          <w:p w14:paraId="7370B555"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45E96641"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Medium</w:t>
            </w:r>
          </w:p>
        </w:tc>
        <w:tc>
          <w:tcPr>
            <w:tcW w:w="0" w:type="auto"/>
            <w:hideMark/>
          </w:tcPr>
          <w:p w14:paraId="2604A681"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1B746301"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Cloud governance controls</w:t>
            </w:r>
          </w:p>
        </w:tc>
      </w:tr>
      <w:tr w:rsidR="00EF1035" w:rsidRPr="00EF1035" w14:paraId="28F9438C" w14:textId="77777777" w:rsidTr="00573AD7">
        <w:tc>
          <w:tcPr>
            <w:cnfStyle w:val="001000000000" w:firstRow="0" w:lastRow="0" w:firstColumn="1" w:lastColumn="0" w:oddVBand="0" w:evenVBand="0" w:oddHBand="0" w:evenHBand="0" w:firstRowFirstColumn="0" w:firstRowLastColumn="0" w:lastRowFirstColumn="0" w:lastRowLastColumn="0"/>
            <w:tcW w:w="0" w:type="auto"/>
            <w:hideMark/>
          </w:tcPr>
          <w:p w14:paraId="324F79B5"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BYOD Risk</w:t>
            </w:r>
          </w:p>
        </w:tc>
        <w:tc>
          <w:tcPr>
            <w:tcW w:w="0" w:type="auto"/>
            <w:hideMark/>
          </w:tcPr>
          <w:p w14:paraId="2DFCD591"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Medium</w:t>
            </w:r>
          </w:p>
        </w:tc>
        <w:tc>
          <w:tcPr>
            <w:tcW w:w="0" w:type="auto"/>
            <w:hideMark/>
          </w:tcPr>
          <w:p w14:paraId="5799FA16"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Medium</w:t>
            </w:r>
          </w:p>
        </w:tc>
        <w:tc>
          <w:tcPr>
            <w:tcW w:w="0" w:type="auto"/>
            <w:hideMark/>
          </w:tcPr>
          <w:p w14:paraId="491BF2BC"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Medium</w:t>
            </w:r>
          </w:p>
        </w:tc>
        <w:tc>
          <w:tcPr>
            <w:tcW w:w="0" w:type="auto"/>
            <w:hideMark/>
          </w:tcPr>
          <w:p w14:paraId="503C00D8"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Device security policy</w:t>
            </w:r>
          </w:p>
        </w:tc>
      </w:tr>
      <w:tr w:rsidR="00EF1035" w:rsidRPr="00EF1035" w14:paraId="00699F56" w14:textId="77777777" w:rsidTr="00573A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A12CF8"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Cyber Attacks</w:t>
            </w:r>
          </w:p>
        </w:tc>
        <w:tc>
          <w:tcPr>
            <w:tcW w:w="0" w:type="auto"/>
            <w:hideMark/>
          </w:tcPr>
          <w:p w14:paraId="2B472181"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62DD0BA2"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5514216A"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Critical</w:t>
            </w:r>
          </w:p>
        </w:tc>
        <w:tc>
          <w:tcPr>
            <w:tcW w:w="0" w:type="auto"/>
            <w:hideMark/>
          </w:tcPr>
          <w:p w14:paraId="0052B801"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Firewall, IDS, incident response</w:t>
            </w:r>
          </w:p>
        </w:tc>
      </w:tr>
    </w:tbl>
    <w:p w14:paraId="6F1256B8" w14:textId="6A0377E3" w:rsidR="00EF1035" w:rsidRPr="00EF1035" w:rsidRDefault="00EF1035" w:rsidP="00EF1035">
      <w:pPr>
        <w:spacing w:line="360" w:lineRule="auto"/>
        <w:jc w:val="both"/>
        <w:rPr>
          <w:rFonts w:ascii="Arial" w:hAnsi="Arial"/>
        </w:rPr>
      </w:pPr>
    </w:p>
    <w:p w14:paraId="2D95CD10" w14:textId="77777777" w:rsidR="00EF1035" w:rsidRPr="00EF1035" w:rsidRDefault="00EF1035" w:rsidP="00EF1035">
      <w:pPr>
        <w:spacing w:line="360" w:lineRule="auto"/>
        <w:jc w:val="both"/>
        <w:rPr>
          <w:rFonts w:ascii="Arial" w:hAnsi="Arial"/>
          <w:b/>
          <w:bCs/>
        </w:rPr>
      </w:pPr>
      <w:r w:rsidRPr="00EF1035">
        <w:rPr>
          <w:rFonts w:ascii="Arial" w:hAnsi="Arial"/>
          <w:b/>
          <w:bCs/>
        </w:rPr>
        <w:t>Risk Matrix</w:t>
      </w:r>
    </w:p>
    <w:p w14:paraId="043AC7B0" w14:textId="77777777" w:rsidR="00573AD7" w:rsidRDefault="00EF1035" w:rsidP="00573AD7">
      <w:pPr>
        <w:keepNext/>
        <w:spacing w:line="360" w:lineRule="auto"/>
        <w:jc w:val="both"/>
      </w:pPr>
      <w:r w:rsidRPr="00EF1035">
        <w:rPr>
          <w:rFonts w:ascii="Arial" w:hAnsi="Arial"/>
          <w:noProof/>
        </w:rPr>
        <w:drawing>
          <wp:inline distT="0" distB="0" distL="0" distR="0" wp14:anchorId="54B5E67B" wp14:editId="5884FBF7">
            <wp:extent cx="5731510" cy="2648585"/>
            <wp:effectExtent l="0" t="0" r="2540" b="0"/>
            <wp:docPr id="1422720180" name="Picture 38" descr="The image depicts a Cybersecurity Risk Matrix, illustrating various combinations of impact and likelihood of cyber threats, ranging from high-impact, low-likelihood events like state-sponsored attacks to frequent but minor issues like regular phishing attemp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720180" name="Picture 38" descr="The image depicts a Cybersecurity Risk Matrix, illustrating various combinations of impact and likelihood of cyber threats, ranging from high-impact, low-likelihood events like state-sponsored attacks to frequent but minor issues like regular phishing attempts.&#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3605"/>
                    <a:stretch>
                      <a:fillRect/>
                    </a:stretch>
                  </pic:blipFill>
                  <pic:spPr bwMode="auto">
                    <a:xfrm>
                      <a:off x="0" y="0"/>
                      <a:ext cx="5731510" cy="2648585"/>
                    </a:xfrm>
                    <a:prstGeom prst="rect">
                      <a:avLst/>
                    </a:prstGeom>
                    <a:noFill/>
                    <a:ln>
                      <a:noFill/>
                    </a:ln>
                    <a:extLst>
                      <a:ext uri="{53640926-AAD7-44D8-BBD7-CCE9431645EC}">
                        <a14:shadowObscured xmlns:a14="http://schemas.microsoft.com/office/drawing/2010/main"/>
                      </a:ext>
                    </a:extLst>
                  </pic:spPr>
                </pic:pic>
              </a:graphicData>
            </a:graphic>
          </wp:inline>
        </w:drawing>
      </w:r>
    </w:p>
    <w:p w14:paraId="66E8B940" w14:textId="52AC3179" w:rsidR="00EF1035" w:rsidRPr="00EF1035" w:rsidRDefault="00573AD7" w:rsidP="00573AD7">
      <w:pPr>
        <w:pStyle w:val="Caption"/>
        <w:jc w:val="both"/>
        <w:rPr>
          <w:rFonts w:ascii="Arial" w:hAnsi="Arial"/>
          <w:sz w:val="20"/>
          <w:szCs w:val="20"/>
        </w:rPr>
      </w:pPr>
      <w:r w:rsidRPr="00573AD7">
        <w:rPr>
          <w:sz w:val="20"/>
          <w:szCs w:val="20"/>
        </w:rPr>
        <w:t xml:space="preserve">Figure </w:t>
      </w:r>
      <w:r w:rsidRPr="00573AD7">
        <w:rPr>
          <w:sz w:val="20"/>
          <w:szCs w:val="20"/>
        </w:rPr>
        <w:fldChar w:fldCharType="begin"/>
      </w:r>
      <w:r w:rsidRPr="00573AD7">
        <w:rPr>
          <w:sz w:val="20"/>
          <w:szCs w:val="20"/>
        </w:rPr>
        <w:instrText xml:space="preserve"> SEQ Figure \* ARABIC </w:instrText>
      </w:r>
      <w:r w:rsidRPr="00573AD7">
        <w:rPr>
          <w:sz w:val="20"/>
          <w:szCs w:val="20"/>
        </w:rPr>
        <w:fldChar w:fldCharType="separate"/>
      </w:r>
      <w:r w:rsidR="00BD13D6">
        <w:rPr>
          <w:noProof/>
          <w:sz w:val="20"/>
          <w:szCs w:val="20"/>
        </w:rPr>
        <w:t>5</w:t>
      </w:r>
      <w:r w:rsidRPr="00573AD7">
        <w:rPr>
          <w:sz w:val="20"/>
          <w:szCs w:val="20"/>
        </w:rPr>
        <w:fldChar w:fldCharType="end"/>
      </w:r>
      <w:r w:rsidRPr="00573AD7">
        <w:rPr>
          <w:sz w:val="20"/>
          <w:szCs w:val="20"/>
        </w:rPr>
        <w:t>:Appfluence (2024) Cybersecurity Risk Matrix. Available at: https://sync.appfluence.com/templates/cybersecurity-risk-matrix/</w:t>
      </w:r>
    </w:p>
    <w:p w14:paraId="0917AF4F" w14:textId="56D3AA2E" w:rsidR="00EF1035" w:rsidRPr="00EF1035" w:rsidRDefault="00EF1035" w:rsidP="00EF1035">
      <w:pPr>
        <w:spacing w:line="360" w:lineRule="auto"/>
        <w:jc w:val="both"/>
        <w:rPr>
          <w:rFonts w:ascii="Arial" w:hAnsi="Arial"/>
        </w:rPr>
      </w:pPr>
      <w:r w:rsidRPr="00EF1035">
        <w:rPr>
          <w:rFonts w:ascii="Arial" w:hAnsi="Arial"/>
          <w:noProof/>
        </w:rPr>
        <mc:AlternateContent>
          <mc:Choice Requires="wps">
            <w:drawing>
              <wp:inline distT="0" distB="0" distL="0" distR="0" wp14:anchorId="6157DE04" wp14:editId="48C55ED3">
                <wp:extent cx="304800" cy="304800"/>
                <wp:effectExtent l="0" t="0" r="0" b="0"/>
                <wp:docPr id="1380518715" name="Rectangle 3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BC079F" id="Rectangle 3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C04FAFE" w14:textId="6BD1ED7B" w:rsidR="00EF1035" w:rsidRPr="00EF1035" w:rsidRDefault="00EF1035" w:rsidP="00EF1035">
      <w:pPr>
        <w:spacing w:line="360" w:lineRule="auto"/>
        <w:jc w:val="both"/>
        <w:rPr>
          <w:rFonts w:ascii="Arial" w:hAnsi="Arial"/>
        </w:rPr>
      </w:pPr>
      <w:r w:rsidRPr="00EF1035">
        <w:rPr>
          <w:rFonts w:ascii="Arial" w:hAnsi="Arial"/>
        </w:rPr>
        <w:lastRenderedPageBreak/>
        <w:t>The risk matrix above illustrates the likelihood and impact of threats facing FinSure Bank. High-impact and high-likelihood risks such as data breaches and cyberattacks require immediate mitigation strategies. Medium-level risks such as BYOD and insider threats require monitoring and policy enforcement.</w:t>
      </w:r>
    </w:p>
    <w:p w14:paraId="361DA2DD" w14:textId="77777777" w:rsidR="00EF1035" w:rsidRPr="00EF1035" w:rsidRDefault="00EF1035" w:rsidP="00EF1035">
      <w:pPr>
        <w:spacing w:line="360" w:lineRule="auto"/>
        <w:jc w:val="both"/>
        <w:rPr>
          <w:rFonts w:ascii="Arial" w:hAnsi="Arial"/>
        </w:rPr>
      </w:pPr>
      <w:r w:rsidRPr="00EF1035">
        <w:rPr>
          <w:rFonts w:ascii="Arial" w:hAnsi="Arial"/>
        </w:rPr>
        <w:t>Implementing a structured risk management approach enables FinSure Bank to prioritise security investments, improve governance, and strengthen organisational resilience.</w:t>
      </w:r>
    </w:p>
    <w:p w14:paraId="10FE81EC" w14:textId="44F9579A" w:rsidR="00EF1035" w:rsidRPr="00EF1035" w:rsidRDefault="00EF1035" w:rsidP="00EF1035">
      <w:pPr>
        <w:pStyle w:val="Heading1"/>
      </w:pPr>
      <w:bookmarkStart w:id="9" w:name="_Toc225550811"/>
      <w:r w:rsidRPr="00EF1035">
        <w:t>Proposed Security Governance Model</w:t>
      </w:r>
      <w:bookmarkEnd w:id="9"/>
      <w:r w:rsidRPr="00EF1035">
        <w:t xml:space="preserve"> </w:t>
      </w:r>
    </w:p>
    <w:p w14:paraId="72E710B6" w14:textId="5749C7D0" w:rsidR="0044611D" w:rsidRPr="0044611D" w:rsidRDefault="0044611D" w:rsidP="0044611D">
      <w:pPr>
        <w:spacing w:line="360" w:lineRule="auto"/>
        <w:jc w:val="both"/>
        <w:rPr>
          <w:rFonts w:ascii="Arial" w:hAnsi="Arial"/>
        </w:rPr>
      </w:pPr>
      <w:r w:rsidRPr="0044611D">
        <w:rPr>
          <w:rFonts w:ascii="Arial" w:hAnsi="Arial"/>
        </w:rPr>
        <w:t>A structured security governance model is essential for FinSure Bank to address security risks, improve accountability, and ensure regulatory compliance. Effective governance establishes leadership oversight, defines responsibilities, and aligns security strategies with organisational objectives. Implementing a governance framework enables proactive risk management and supports continuous improvement of security practices (Calder and Moir, 2021).</w:t>
      </w:r>
    </w:p>
    <w:p w14:paraId="2578F893" w14:textId="77777777" w:rsidR="0044611D" w:rsidRPr="0044611D" w:rsidRDefault="0044611D" w:rsidP="0044611D">
      <w:pPr>
        <w:spacing w:line="360" w:lineRule="auto"/>
        <w:jc w:val="both"/>
        <w:rPr>
          <w:rFonts w:ascii="Arial" w:hAnsi="Arial"/>
          <w:b/>
          <w:bCs/>
        </w:rPr>
      </w:pPr>
      <w:r w:rsidRPr="0044611D">
        <w:rPr>
          <w:rFonts w:ascii="Arial" w:hAnsi="Arial"/>
          <w:b/>
          <w:bCs/>
        </w:rPr>
        <w:t>Governance Structure</w:t>
      </w:r>
    </w:p>
    <w:p w14:paraId="2CE4ECF4" w14:textId="77777777" w:rsidR="0044611D" w:rsidRPr="0044611D" w:rsidRDefault="0044611D" w:rsidP="0044611D">
      <w:pPr>
        <w:spacing w:line="360" w:lineRule="auto"/>
        <w:jc w:val="both"/>
        <w:rPr>
          <w:rFonts w:ascii="Arial" w:hAnsi="Arial"/>
        </w:rPr>
      </w:pPr>
      <w:r w:rsidRPr="0044611D">
        <w:rPr>
          <w:rFonts w:ascii="Arial" w:hAnsi="Arial"/>
        </w:rPr>
        <w:t>The proposed governance structure for FinSure Bank should include a Chief Information Security Officer (CISO) responsible for overseeing security strategy, policy development, and compliance management. The CISO should report to senior leadership to ensure accountability and strategic alignment. Supporting roles should include security managers, risk officers, and compliance specialists who manage operational security and regulatory requirements (ISACA, 2020).</w:t>
      </w:r>
    </w:p>
    <w:p w14:paraId="65632667" w14:textId="77777777" w:rsidR="0044611D" w:rsidRPr="0044611D" w:rsidRDefault="0044611D" w:rsidP="0044611D">
      <w:pPr>
        <w:spacing w:line="360" w:lineRule="auto"/>
        <w:jc w:val="both"/>
        <w:rPr>
          <w:rFonts w:ascii="Arial" w:hAnsi="Arial"/>
        </w:rPr>
      </w:pPr>
      <w:r w:rsidRPr="0044611D">
        <w:rPr>
          <w:rFonts w:ascii="Arial" w:hAnsi="Arial"/>
        </w:rPr>
        <w:t>Clear roles and responsibilities must be defined to improve accountability. Senior management should provide strategic direction and allocate resources, while IT security teams implement technical controls and monitor risks. Business units should follow security policies and support compliance initiatives. This structured governance approach enhances communication and reduces organisational vulnerabilities (NIST, 2023).</w:t>
      </w:r>
    </w:p>
    <w:p w14:paraId="27C52E7D" w14:textId="77777777" w:rsidR="0044611D" w:rsidRPr="0044611D" w:rsidRDefault="0044611D" w:rsidP="0044611D">
      <w:pPr>
        <w:spacing w:line="360" w:lineRule="auto"/>
        <w:jc w:val="both"/>
        <w:rPr>
          <w:rFonts w:ascii="Arial" w:hAnsi="Arial"/>
          <w:b/>
          <w:bCs/>
        </w:rPr>
      </w:pPr>
      <w:r w:rsidRPr="0044611D">
        <w:rPr>
          <w:rFonts w:ascii="Arial" w:hAnsi="Arial"/>
          <w:b/>
          <w:bCs/>
        </w:rPr>
        <w:t>Strategic Planning</w:t>
      </w:r>
    </w:p>
    <w:p w14:paraId="5295288E" w14:textId="77777777" w:rsidR="0044611D" w:rsidRPr="0044611D" w:rsidRDefault="0044611D" w:rsidP="0044611D">
      <w:pPr>
        <w:spacing w:line="360" w:lineRule="auto"/>
        <w:jc w:val="both"/>
        <w:rPr>
          <w:rFonts w:ascii="Arial" w:hAnsi="Arial"/>
        </w:rPr>
      </w:pPr>
      <w:r w:rsidRPr="0044611D">
        <w:rPr>
          <w:rFonts w:ascii="Arial" w:hAnsi="Arial"/>
        </w:rPr>
        <w:t xml:space="preserve">Strategic planning is a key component of the governance model. FinSure Bank should develop a security roadmap outlining short-term and long-term security objectives. </w:t>
      </w:r>
      <w:r w:rsidRPr="0044611D">
        <w:rPr>
          <w:rFonts w:ascii="Arial" w:hAnsi="Arial"/>
        </w:rPr>
        <w:lastRenderedPageBreak/>
        <w:t>This roadmap should prioritise risk management, regulatory compliance, cloud security, and BYOD protection. Regular reviews and performance monitoring should be implemented to ensure continuous improvement (ISO, 2022).</w:t>
      </w:r>
    </w:p>
    <w:p w14:paraId="2372B0F4" w14:textId="3F41C3CD" w:rsidR="00EF1035" w:rsidRPr="00EF1035" w:rsidRDefault="00BD13D6" w:rsidP="0044611D">
      <w:pPr>
        <w:spacing w:line="360" w:lineRule="auto"/>
        <w:jc w:val="both"/>
        <w:rPr>
          <w:rFonts w:ascii="Arial" w:hAnsi="Arial"/>
          <w:b/>
          <w:bCs/>
        </w:rPr>
      </w:pPr>
      <w:r>
        <w:rPr>
          <w:noProof/>
        </w:rPr>
        <mc:AlternateContent>
          <mc:Choice Requires="wps">
            <w:drawing>
              <wp:anchor distT="0" distB="0" distL="114300" distR="114300" simplePos="0" relativeHeight="251660288" behindDoc="1" locked="0" layoutInCell="1" allowOverlap="1" wp14:anchorId="6F48CCFF" wp14:editId="3B2729F0">
                <wp:simplePos x="0" y="0"/>
                <wp:positionH relativeFrom="column">
                  <wp:posOffset>0</wp:posOffset>
                </wp:positionH>
                <wp:positionV relativeFrom="paragraph">
                  <wp:posOffset>5805805</wp:posOffset>
                </wp:positionV>
                <wp:extent cx="5731510" cy="635"/>
                <wp:effectExtent l="0" t="0" r="0" b="0"/>
                <wp:wrapTight wrapText="bothSides">
                  <wp:wrapPolygon edited="0">
                    <wp:start x="0" y="0"/>
                    <wp:lineTo x="0" y="21600"/>
                    <wp:lineTo x="21600" y="21600"/>
                    <wp:lineTo x="21600" y="0"/>
                  </wp:wrapPolygon>
                </wp:wrapTight>
                <wp:docPr id="132661360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527C873" w14:textId="5D298457" w:rsidR="00BD13D6" w:rsidRPr="00885FBB" w:rsidRDefault="00BD13D6" w:rsidP="00BD13D6">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w:t>
                            </w:r>
                            <w:r w:rsidRPr="003F37DE">
                              <w:t>Information security governance framework illustrating governance, management and operational security functions (Stallings,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8CCFF" id="Text Box 1" o:spid="_x0000_s1029" type="#_x0000_t202" style="position:absolute;left:0;text-align:left;margin-left:0;margin-top:457.15pt;width:451.3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" stroked="f">
                <v:textbox style="mso-fit-shape-to-text:t" inset="0,0,0,0">
                  <w:txbxContent>
                    <w:p w14:paraId="4527C873" w14:textId="5D298457" w:rsidR="00BD13D6" w:rsidRPr="00885FBB" w:rsidRDefault="00BD13D6" w:rsidP="00BD13D6">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w:t>
                      </w:r>
                      <w:r w:rsidRPr="003F37DE">
                        <w:t>Information security governance framework illustrating governance, management and operational security functions (Stallings, 2018).</w:t>
                      </w:r>
                    </w:p>
                  </w:txbxContent>
                </v:textbox>
                <w10:wrap type="tight"/>
              </v:shape>
            </w:pict>
          </mc:Fallback>
        </mc:AlternateContent>
      </w:r>
      <w:r w:rsidR="00EF1035" w:rsidRPr="00EF1035">
        <w:rPr>
          <w:rFonts w:ascii="Arial" w:hAnsi="Arial"/>
          <w:b/>
          <w:bCs/>
        </w:rPr>
        <w:t>Governance Model Diagram</w:t>
      </w:r>
    </w:p>
    <w:p w14:paraId="01FB3AF0" w14:textId="014CCA55" w:rsidR="00EF1035" w:rsidRPr="00EF1035" w:rsidRDefault="00BD13D6" w:rsidP="00EF1035">
      <w:pPr>
        <w:spacing w:line="360" w:lineRule="auto"/>
        <w:jc w:val="both"/>
        <w:rPr>
          <w:rFonts w:ascii="Arial" w:hAnsi="Arial"/>
        </w:rPr>
      </w:pPr>
      <w:r>
        <w:rPr>
          <w:rFonts w:ascii="Arial" w:hAnsi="Arial"/>
        </w:rPr>
        <w:t xml:space="preserve">         </w:t>
      </w:r>
      <w:r>
        <w:rPr>
          <w:noProof/>
        </w:rPr>
        <w:drawing>
          <wp:inline distT="0" distB="0" distL="0" distR="0" wp14:anchorId="49561449" wp14:editId="437C28B9">
            <wp:extent cx="4488180" cy="5191125"/>
            <wp:effectExtent l="0" t="0" r="7620" b="9525"/>
            <wp:docPr id="1770917080" name="Picture 45" descr="2.3 Security Governance Components | Understanding Information Security  Governance | Inform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2.3 Security Governance Components | Understanding Information Security  Governance | InformIT"/>
                    <pic:cNvPicPr>
                      <a:picLocks noChangeAspect="1" noChangeArrowheads="1"/>
                    </pic:cNvPicPr>
                  </pic:nvPicPr>
                  <pic:blipFill rotWithShape="1">
                    <a:blip r:embed="rId15">
                      <a:extLst>
                        <a:ext uri="{28A0092B-C50C-407E-A947-70E740481C1C}">
                          <a14:useLocalDpi xmlns:a14="http://schemas.microsoft.com/office/drawing/2010/main" val="0"/>
                        </a:ext>
                      </a:extLst>
                    </a:blip>
                    <a:srcRect r="21693"/>
                    <a:stretch>
                      <a:fillRect/>
                    </a:stretch>
                  </pic:blipFill>
                  <pic:spPr bwMode="auto">
                    <a:xfrm>
                      <a:off x="0" y="0"/>
                      <a:ext cx="4488180" cy="5191125"/>
                    </a:xfrm>
                    <a:prstGeom prst="rect">
                      <a:avLst/>
                    </a:prstGeom>
                    <a:noFill/>
                    <a:ln>
                      <a:noFill/>
                    </a:ln>
                    <a:extLst>
                      <a:ext uri="{53640926-AAD7-44D8-BBD7-CCE9431645EC}">
                        <a14:shadowObscured xmlns:a14="http://schemas.microsoft.com/office/drawing/2010/main"/>
                      </a:ext>
                    </a:extLst>
                  </pic:spPr>
                </pic:pic>
              </a:graphicData>
            </a:graphic>
          </wp:inline>
        </w:drawing>
      </w:r>
      <w:r w:rsidR="00EF1035" w:rsidRPr="00EF1035">
        <w:rPr>
          <w:rFonts w:ascii="Arial" w:hAnsi="Arial"/>
          <w:noProof/>
        </w:rPr>
        <mc:AlternateContent>
          <mc:Choice Requires="wps">
            <w:drawing>
              <wp:inline distT="0" distB="0" distL="0" distR="0" wp14:anchorId="16273D52" wp14:editId="18474246">
                <wp:extent cx="304800" cy="304800"/>
                <wp:effectExtent l="0" t="0" r="0" b="0"/>
                <wp:docPr id="1144312365" name="Rectangle 4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8C56CF" id="Rectangle 4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9A749A4" w14:textId="3818959B" w:rsidR="00EF1035" w:rsidRPr="00EF1035" w:rsidRDefault="00EF1035" w:rsidP="00EF1035">
      <w:pPr>
        <w:spacing w:line="360" w:lineRule="auto"/>
        <w:jc w:val="both"/>
        <w:rPr>
          <w:rFonts w:ascii="Arial" w:hAnsi="Arial"/>
        </w:rPr>
      </w:pPr>
    </w:p>
    <w:p w14:paraId="3D280D4F" w14:textId="77777777" w:rsidR="0044611D" w:rsidRPr="0044611D" w:rsidRDefault="0044611D" w:rsidP="0044611D">
      <w:pPr>
        <w:spacing w:line="360" w:lineRule="auto"/>
        <w:jc w:val="both"/>
        <w:rPr>
          <w:rFonts w:ascii="Arial" w:hAnsi="Arial"/>
        </w:rPr>
      </w:pPr>
      <w:r w:rsidRPr="0044611D">
        <w:rPr>
          <w:rFonts w:ascii="Arial" w:hAnsi="Arial"/>
        </w:rPr>
        <w:t xml:space="preserve">The governance model diagram illustrates three key </w:t>
      </w:r>
      <w:proofErr w:type="spellStart"/>
      <w:r w:rsidRPr="0044611D">
        <w:rPr>
          <w:rFonts w:ascii="Arial" w:hAnsi="Arial"/>
        </w:rPr>
        <w:t>layers</w:t>
      </w:r>
      <w:proofErr w:type="spellEnd"/>
      <w:r w:rsidRPr="0044611D">
        <w:rPr>
          <w:rFonts w:ascii="Arial" w:hAnsi="Arial"/>
        </w:rPr>
        <w:t xml:space="preserve">: security governance, security management, and security implementation. The governance layer focuses on leadership, policy development, and risk tolerance. The management layer defines frameworks, allocates resources, and selects security controls. The implementation </w:t>
      </w:r>
      <w:r w:rsidRPr="0044611D">
        <w:rPr>
          <w:rFonts w:ascii="Arial" w:hAnsi="Arial"/>
        </w:rPr>
        <w:lastRenderedPageBreak/>
        <w:t>layer includes operational security activities such as monitoring, incident response, auditing, and system updates.</w:t>
      </w:r>
    </w:p>
    <w:p w14:paraId="44935442" w14:textId="77777777" w:rsidR="0044611D" w:rsidRPr="0044611D" w:rsidRDefault="0044611D" w:rsidP="0044611D">
      <w:pPr>
        <w:spacing w:line="360" w:lineRule="auto"/>
        <w:jc w:val="both"/>
        <w:rPr>
          <w:rFonts w:ascii="Arial" w:hAnsi="Arial"/>
        </w:rPr>
      </w:pPr>
      <w:r w:rsidRPr="0044611D">
        <w:rPr>
          <w:rFonts w:ascii="Arial" w:hAnsi="Arial"/>
        </w:rPr>
        <w:t>Implementing this governance structure will improve FinSure Bank’s security maturity, enhance decision-making, and strengthen resilience against cyber threats. Additionally, the model supports regulatory compliance and ensures alignment between business objectives and security strategy.</w:t>
      </w:r>
    </w:p>
    <w:p w14:paraId="326001B3" w14:textId="6BCD46F5" w:rsidR="00EF1035" w:rsidRPr="00EF1035" w:rsidRDefault="00EF1035" w:rsidP="00EF1035">
      <w:pPr>
        <w:spacing w:line="360" w:lineRule="auto"/>
        <w:jc w:val="both"/>
        <w:rPr>
          <w:rFonts w:ascii="Arial" w:hAnsi="Arial"/>
        </w:rPr>
      </w:pPr>
    </w:p>
    <w:p w14:paraId="7C811C01" w14:textId="79FADF17" w:rsidR="00EF1035" w:rsidRPr="00EF1035" w:rsidRDefault="00EF1035" w:rsidP="00A8098B">
      <w:pPr>
        <w:pStyle w:val="Heading1"/>
      </w:pPr>
      <w:bookmarkStart w:id="10" w:name="_Toc225550812"/>
      <w:r w:rsidRPr="00EF1035">
        <w:t>Compliance &amp; Regulations</w:t>
      </w:r>
      <w:bookmarkEnd w:id="10"/>
      <w:r w:rsidRPr="00EF1035">
        <w:t xml:space="preserve"> </w:t>
      </w:r>
    </w:p>
    <w:p w14:paraId="4397CB05" w14:textId="77777777" w:rsidR="0044611D" w:rsidRPr="0044611D" w:rsidRDefault="0044611D" w:rsidP="0044611D">
      <w:pPr>
        <w:spacing w:line="360" w:lineRule="auto"/>
        <w:jc w:val="both"/>
        <w:rPr>
          <w:rFonts w:ascii="Arial" w:hAnsi="Arial"/>
        </w:rPr>
      </w:pPr>
      <w:r w:rsidRPr="0044611D">
        <w:rPr>
          <w:rFonts w:ascii="Arial" w:hAnsi="Arial"/>
        </w:rPr>
        <w:t>Compliance and regulatory requirements are essential for ensuring data protection, operational security, and legal accountability in financial institutions. As a digital-first organisation operating across multiple regions, FinSure Bank must comply with legal frameworks including the General Data Protection Regulation (GDPR), Data Protection Act, financial regulations, and contractual obligations.</w:t>
      </w:r>
    </w:p>
    <w:p w14:paraId="315461CC" w14:textId="77777777" w:rsidR="0044611D" w:rsidRPr="0044611D" w:rsidRDefault="0044611D" w:rsidP="0044611D">
      <w:pPr>
        <w:spacing w:line="360" w:lineRule="auto"/>
        <w:jc w:val="both"/>
        <w:rPr>
          <w:rFonts w:ascii="Arial" w:hAnsi="Arial"/>
        </w:rPr>
      </w:pPr>
      <w:r w:rsidRPr="0044611D">
        <w:rPr>
          <w:rFonts w:ascii="Arial" w:hAnsi="Arial"/>
        </w:rPr>
        <w:t>The General Data Protection Regulation (GDPR) requires organisations to protect personal data, ensure transparency, and implement appropriate security controls. Key requirements include data minimisation, encryption, breach notification within 72 hours, and lawful data processing. Failure to comply with GDPR may result in significant financial penalties and reputational damage (European Commission, 2023).</w:t>
      </w:r>
    </w:p>
    <w:p w14:paraId="0D38A6EE" w14:textId="77777777" w:rsidR="0044611D" w:rsidRPr="0044611D" w:rsidRDefault="0044611D" w:rsidP="0044611D">
      <w:pPr>
        <w:spacing w:line="360" w:lineRule="auto"/>
        <w:jc w:val="both"/>
        <w:rPr>
          <w:rFonts w:ascii="Arial" w:hAnsi="Arial"/>
        </w:rPr>
      </w:pPr>
      <w:r w:rsidRPr="0044611D">
        <w:rPr>
          <w:rFonts w:ascii="Arial" w:hAnsi="Arial"/>
        </w:rPr>
        <w:t>The UK Data Protection Act 2018 complements GDPR by outlining how organisations must process personal data within the UK. The legislation requires lawful data handling, secure storage, and appropriate technical safeguards to protect sensitive information (ICO, 2023).</w:t>
      </w:r>
    </w:p>
    <w:p w14:paraId="5168A771" w14:textId="77777777" w:rsidR="0044611D" w:rsidRPr="0044611D" w:rsidRDefault="0044611D" w:rsidP="0044611D">
      <w:pPr>
        <w:spacing w:line="360" w:lineRule="auto"/>
        <w:jc w:val="both"/>
        <w:rPr>
          <w:rFonts w:ascii="Arial" w:hAnsi="Arial"/>
        </w:rPr>
      </w:pPr>
      <w:r w:rsidRPr="0044611D">
        <w:rPr>
          <w:rFonts w:ascii="Arial" w:hAnsi="Arial"/>
        </w:rPr>
        <w:t>FinSure Bank must also comply with financial regulations such as those established by the Financial Conduct Authority (FCA). These regulations require financial institutions to maintain operational resilience, manage cyber risks, and implement regular audits and incident reporting procedures (FCA, 2022).</w:t>
      </w:r>
    </w:p>
    <w:p w14:paraId="36EC6F9F" w14:textId="77777777" w:rsidR="0044611D" w:rsidRPr="0044611D" w:rsidRDefault="0044611D" w:rsidP="0044611D">
      <w:pPr>
        <w:spacing w:line="360" w:lineRule="auto"/>
        <w:jc w:val="both"/>
        <w:rPr>
          <w:rFonts w:ascii="Arial" w:hAnsi="Arial"/>
        </w:rPr>
      </w:pPr>
      <w:r w:rsidRPr="0044611D">
        <w:rPr>
          <w:rFonts w:ascii="Arial" w:hAnsi="Arial"/>
        </w:rPr>
        <w:t>Additionally, legal requirements including cloud contracts and service-level agreements (SLAs) define responsibilities for data protection, service availability, and incident response. These agreements ensure accountability between FinSure Bank and third-party providers (Calder and Moir, 2021).</w:t>
      </w:r>
    </w:p>
    <w:p w14:paraId="2782EAE0" w14:textId="77777777" w:rsidR="0044611D" w:rsidRPr="0044611D" w:rsidRDefault="0044611D" w:rsidP="0044611D">
      <w:pPr>
        <w:spacing w:line="360" w:lineRule="auto"/>
        <w:jc w:val="both"/>
        <w:rPr>
          <w:rFonts w:ascii="Arial" w:hAnsi="Arial"/>
        </w:rPr>
      </w:pPr>
      <w:r w:rsidRPr="0044611D">
        <w:rPr>
          <w:rFonts w:ascii="Arial" w:hAnsi="Arial"/>
        </w:rPr>
        <w:lastRenderedPageBreak/>
        <w:t>Overall, compliance with these regulations strengthens FinSure Bank’s governance, protects customer data, and reduces legal and operational risks.</w:t>
      </w:r>
    </w:p>
    <w:p w14:paraId="7BF54709" w14:textId="5D73EEAA" w:rsidR="00EF1035" w:rsidRPr="00EF1035" w:rsidRDefault="00EF1035" w:rsidP="00EF1035">
      <w:pPr>
        <w:spacing w:line="360" w:lineRule="auto"/>
        <w:jc w:val="both"/>
        <w:rPr>
          <w:rFonts w:ascii="Arial" w:hAnsi="Arial"/>
        </w:rPr>
      </w:pPr>
    </w:p>
    <w:p w14:paraId="27BEC119" w14:textId="01E9D7CB" w:rsidR="00A8098B" w:rsidRPr="00A8098B" w:rsidRDefault="00A8098B" w:rsidP="00A8098B">
      <w:pPr>
        <w:pStyle w:val="Heading1"/>
      </w:pPr>
      <w:bookmarkStart w:id="11" w:name="_Toc225550813"/>
      <w:r w:rsidRPr="00A8098B">
        <w:t>Security Controls &amp; Protection Mechanisms</w:t>
      </w:r>
      <w:bookmarkEnd w:id="11"/>
      <w:r w:rsidRPr="00A8098B">
        <w:t xml:space="preserve"> </w:t>
      </w:r>
    </w:p>
    <w:p w14:paraId="5C02A895" w14:textId="77777777" w:rsidR="00A8098B" w:rsidRPr="00A8098B" w:rsidRDefault="00A8098B" w:rsidP="00A8098B">
      <w:pPr>
        <w:spacing w:line="360" w:lineRule="auto"/>
        <w:jc w:val="both"/>
        <w:rPr>
          <w:rFonts w:ascii="Arial" w:hAnsi="Arial"/>
        </w:rPr>
      </w:pPr>
      <w:r w:rsidRPr="00A8098B">
        <w:rPr>
          <w:rFonts w:ascii="Arial" w:hAnsi="Arial"/>
        </w:rPr>
        <w:t>Implementing strong security controls and protection mechanisms is essential for FinSure Bank to mitigate cybersecurity risks and protect sensitive financial data. Security controls such as encryption, multi-factor authentication (MFA), firewalls, Zero Trust architecture, and cloud security measures help reduce vulnerabilities and improve organisational resilience (NIST, 2023).</w:t>
      </w:r>
    </w:p>
    <w:p w14:paraId="6D0A476C" w14:textId="77777777" w:rsidR="00A8098B" w:rsidRPr="00A8098B" w:rsidRDefault="00A8098B" w:rsidP="00A8098B">
      <w:pPr>
        <w:spacing w:line="360" w:lineRule="auto"/>
        <w:jc w:val="both"/>
        <w:rPr>
          <w:rFonts w:ascii="Arial" w:hAnsi="Arial"/>
        </w:rPr>
      </w:pPr>
      <w:r w:rsidRPr="00A8098B">
        <w:rPr>
          <w:rFonts w:ascii="Arial" w:hAnsi="Arial"/>
        </w:rPr>
        <w:t>Encryption is a critical control for protecting sensitive financial and customer data. Encryption ensures that data remains unreadable to unauthorised users during transmission and storage. FinSure Bank should implement end-to-end encryption, database encryption, and secure key management to protect customer information and financial records. Encryption also supports compliance with GDPR and financial regulations (Calder and Moir, 2021).</w:t>
      </w:r>
    </w:p>
    <w:p w14:paraId="3E62FEA2" w14:textId="77777777" w:rsidR="00A8098B" w:rsidRPr="00A8098B" w:rsidRDefault="00A8098B" w:rsidP="00A8098B">
      <w:pPr>
        <w:spacing w:line="360" w:lineRule="auto"/>
        <w:jc w:val="both"/>
        <w:rPr>
          <w:rFonts w:ascii="Arial" w:hAnsi="Arial"/>
        </w:rPr>
      </w:pPr>
      <w:r w:rsidRPr="00A8098B">
        <w:rPr>
          <w:rFonts w:ascii="Arial" w:hAnsi="Arial"/>
        </w:rPr>
        <w:t>Multi-Factor Authentication (MFA) enhances access control by requiring users to provide multiple forms of verification, such as passwords, biometrics, or authentication tokens. MFA reduces the risk of credential theft, phishing attacks, and unauthorised access. Financial institutions widely adopt MFA to secure online banking systems and administrative access (Soomro et al., 2021).</w:t>
      </w:r>
    </w:p>
    <w:p w14:paraId="76CF6530" w14:textId="0C6E8091" w:rsidR="00A8098B" w:rsidRPr="00A8098B" w:rsidRDefault="00A8098B" w:rsidP="00A8098B">
      <w:pPr>
        <w:spacing w:line="360" w:lineRule="auto"/>
        <w:jc w:val="both"/>
        <w:rPr>
          <w:rFonts w:ascii="Arial" w:hAnsi="Arial"/>
        </w:rPr>
      </w:pPr>
      <w:r w:rsidRPr="00A8098B">
        <w:rPr>
          <w:rFonts w:ascii="Arial" w:hAnsi="Arial"/>
        </w:rPr>
        <w:t xml:space="preserve">Firewalls act as a barrier between trusted and untrusted networks. FinSure Bank should implement next-generation firewalls (NGFW) to monitor traffic, detect threats, and block malicious activities. Firewalls also help prevent distributed denial-of-service (DDoS) attacks and unauthorised network access </w:t>
      </w:r>
      <w:r w:rsidR="00A12119" w:rsidRPr="00A12119">
        <w:rPr>
          <w:rFonts w:ascii="Arial" w:hAnsi="Arial"/>
        </w:rPr>
        <w:t>(Pagán Jr. and Elleithy, 2021)</w:t>
      </w:r>
      <w:r w:rsidRPr="00A8098B">
        <w:rPr>
          <w:rFonts w:ascii="Arial" w:hAnsi="Arial"/>
        </w:rPr>
        <w:t>.</w:t>
      </w:r>
    </w:p>
    <w:p w14:paraId="0D69E890" w14:textId="77777777" w:rsidR="00A8098B" w:rsidRPr="00A8098B" w:rsidRDefault="00A8098B" w:rsidP="00A8098B">
      <w:pPr>
        <w:spacing w:line="360" w:lineRule="auto"/>
        <w:jc w:val="both"/>
        <w:rPr>
          <w:rFonts w:ascii="Arial" w:hAnsi="Arial"/>
        </w:rPr>
      </w:pPr>
      <w:r w:rsidRPr="00A8098B">
        <w:rPr>
          <w:rFonts w:ascii="Arial" w:hAnsi="Arial"/>
        </w:rPr>
        <w:t>Zero Trust architecture is an emerging security model based on the principle of “never trust, always verify.” Zero Trust requires continuous authentication, device validation, and least-privilege access. This model is particularly useful for FinSure Bank due to its cloud-based infrastructure and BYOD environment (Rose et al., 2020).</w:t>
      </w:r>
    </w:p>
    <w:p w14:paraId="330B952F" w14:textId="77777777" w:rsidR="00A8098B" w:rsidRPr="00A8098B" w:rsidRDefault="00A8098B" w:rsidP="00A8098B">
      <w:pPr>
        <w:spacing w:line="360" w:lineRule="auto"/>
        <w:jc w:val="both"/>
        <w:rPr>
          <w:rFonts w:ascii="Arial" w:hAnsi="Arial"/>
        </w:rPr>
      </w:pPr>
      <w:r w:rsidRPr="00A8098B">
        <w:rPr>
          <w:rFonts w:ascii="Arial" w:hAnsi="Arial"/>
        </w:rPr>
        <w:t xml:space="preserve">Cloud security controls are also necessary because FinSure Bank operates primarily on cloud infrastructure. Cloud security measures include secure configurations, </w:t>
      </w:r>
      <w:r w:rsidRPr="00A8098B">
        <w:rPr>
          <w:rFonts w:ascii="Arial" w:hAnsi="Arial"/>
        </w:rPr>
        <w:lastRenderedPageBreak/>
        <w:t>identity and access management, monitoring tools, and data loss prevention systems. These controls help mitigate cloud-related risks and enhance security visibility (Hashizume et al., 2020).</w:t>
      </w:r>
    </w:p>
    <w:p w14:paraId="5E6700BE" w14:textId="77777777" w:rsidR="00A8098B" w:rsidRPr="00A8098B" w:rsidRDefault="00A8098B" w:rsidP="00A8098B">
      <w:pPr>
        <w:spacing w:line="360" w:lineRule="auto"/>
        <w:jc w:val="both"/>
        <w:rPr>
          <w:rFonts w:ascii="Arial" w:hAnsi="Arial"/>
        </w:rPr>
      </w:pPr>
      <w:r w:rsidRPr="00A8098B">
        <w:rPr>
          <w:rFonts w:ascii="Arial" w:hAnsi="Arial"/>
        </w:rPr>
        <w:t>Implementing these security controls will strengthen FinSure Bank’s security posture and reduce cyber risks.</w:t>
      </w:r>
    </w:p>
    <w:p w14:paraId="7F0450AB" w14:textId="59C3E8AE" w:rsidR="00A8098B" w:rsidRPr="00A8098B" w:rsidRDefault="00A8098B" w:rsidP="00A8098B">
      <w:pPr>
        <w:pStyle w:val="Heading1"/>
      </w:pPr>
      <w:bookmarkStart w:id="12" w:name="_Toc225550814"/>
      <w:r w:rsidRPr="00A8098B">
        <w:t>Contingency Planning &amp; Service Level Agreement</w:t>
      </w:r>
      <w:bookmarkEnd w:id="12"/>
      <w:r w:rsidRPr="00A8098B">
        <w:t xml:space="preserve"> </w:t>
      </w:r>
    </w:p>
    <w:p w14:paraId="6397A622" w14:textId="77777777" w:rsidR="00A8098B" w:rsidRPr="00A8098B" w:rsidRDefault="00A8098B" w:rsidP="00A8098B">
      <w:pPr>
        <w:spacing w:line="360" w:lineRule="auto"/>
        <w:jc w:val="both"/>
        <w:rPr>
          <w:rFonts w:ascii="Arial" w:hAnsi="Arial"/>
        </w:rPr>
      </w:pPr>
      <w:r w:rsidRPr="00A8098B">
        <w:rPr>
          <w:rFonts w:ascii="Arial" w:hAnsi="Arial"/>
        </w:rPr>
        <w:t>Contingency planning is essential for FinSure Bank to ensure operational resilience and minimise the impact of cybersecurity incidents. Disaster recovery (DR) planning enables organisations to restore systems and data following cyberattacks, hardware failures, or service disruptions. Disaster recovery strategies should include regular backups, system redundancy, and recovery testing to ensure business operations can resume quickly (NIST, 2023).</w:t>
      </w:r>
    </w:p>
    <w:p w14:paraId="4BCD437D" w14:textId="77777777" w:rsidR="00A8098B" w:rsidRPr="00A8098B" w:rsidRDefault="00A8098B" w:rsidP="00A8098B">
      <w:pPr>
        <w:spacing w:line="360" w:lineRule="auto"/>
        <w:jc w:val="both"/>
        <w:rPr>
          <w:rFonts w:ascii="Arial" w:hAnsi="Arial"/>
        </w:rPr>
      </w:pPr>
      <w:r w:rsidRPr="00A8098B">
        <w:rPr>
          <w:rFonts w:ascii="Arial" w:hAnsi="Arial"/>
        </w:rPr>
        <w:t>An effective incident response plan (IRP) is also critical for identifying, managing, and mitigating security incidents. Incident response procedures should include detection, containment, eradication, and recovery phases. A structured incident response plan helps reduce downtime and financial losses (ISO, 2022).</w:t>
      </w:r>
    </w:p>
    <w:p w14:paraId="1CA2E3C9" w14:textId="77777777" w:rsidR="00A8098B" w:rsidRPr="00A8098B" w:rsidRDefault="00A8098B" w:rsidP="00A8098B">
      <w:pPr>
        <w:spacing w:line="360" w:lineRule="auto"/>
        <w:jc w:val="both"/>
        <w:rPr>
          <w:rFonts w:ascii="Arial" w:hAnsi="Arial"/>
        </w:rPr>
      </w:pPr>
      <w:r w:rsidRPr="00A8098B">
        <w:rPr>
          <w:rFonts w:ascii="Arial" w:hAnsi="Arial"/>
        </w:rPr>
        <w:t>Business continuity planning (BCP) ensures that essential banking services remain operational during disruptions. This includes alternative processing systems, communication plans, and staff recovery procedures (Calder and Moir, 2021).</w:t>
      </w:r>
    </w:p>
    <w:p w14:paraId="30095389" w14:textId="77777777" w:rsidR="00A8098B" w:rsidRPr="00A8098B" w:rsidRDefault="00A8098B" w:rsidP="00A8098B">
      <w:pPr>
        <w:spacing w:line="360" w:lineRule="auto"/>
        <w:jc w:val="both"/>
        <w:rPr>
          <w:rFonts w:ascii="Arial" w:hAnsi="Arial"/>
        </w:rPr>
      </w:pPr>
      <w:r w:rsidRPr="00A8098B">
        <w:rPr>
          <w:rFonts w:ascii="Arial" w:hAnsi="Arial"/>
        </w:rPr>
        <w:t>Additionally, Cloud Service Level Agreements (SLA) define responsibilities between FinSure Bank and cloud providers. SLAs should address availability, data protection, incident response, and compliance requirements to ensure secure cloud operations (Hashizume et al., 2020).</w:t>
      </w:r>
    </w:p>
    <w:p w14:paraId="66AE28D9" w14:textId="284D68BF" w:rsidR="00A8098B" w:rsidRPr="00A8098B" w:rsidRDefault="00A8098B" w:rsidP="00BD13D6">
      <w:pPr>
        <w:pStyle w:val="Heading1"/>
      </w:pPr>
      <w:bookmarkStart w:id="13" w:name="_Toc225550815"/>
      <w:r w:rsidRPr="00A8098B">
        <w:t>Critical Discussion</w:t>
      </w:r>
      <w:bookmarkEnd w:id="13"/>
      <w:r w:rsidRPr="00A8098B">
        <w:t xml:space="preserve"> </w:t>
      </w:r>
    </w:p>
    <w:p w14:paraId="4261FA9A" w14:textId="77777777" w:rsidR="00A8098B" w:rsidRPr="00A8098B" w:rsidRDefault="00A8098B" w:rsidP="00A8098B">
      <w:pPr>
        <w:spacing w:line="360" w:lineRule="auto"/>
        <w:jc w:val="both"/>
        <w:rPr>
          <w:rFonts w:ascii="Arial" w:hAnsi="Arial"/>
        </w:rPr>
      </w:pPr>
      <w:r w:rsidRPr="00A8098B">
        <w:rPr>
          <w:rFonts w:ascii="Arial" w:hAnsi="Arial"/>
        </w:rPr>
        <w:t xml:space="preserve">Cybersecurity regulations and standards continuously evolve due to the rapidly changing threat landscape, technological advancements, and emerging digital risks. Financial institutions such as FinSure Bank operate in dynamic environments where new cyber threats, including ransomware, phishing, and cloud vulnerabilities, frequently emerge. As a result, regulatory bodies regularly update standards to </w:t>
      </w:r>
      <w:r w:rsidRPr="00A8098B">
        <w:rPr>
          <w:rFonts w:ascii="Arial" w:hAnsi="Arial"/>
        </w:rPr>
        <w:lastRenderedPageBreak/>
        <w:t>address these risks and ensure organisations implement appropriate security controls. For example, updates to GDPR and financial regulatory requirements reflect growing concerns regarding data privacy, cross-border data transfers, and cloud security risks (ENISA, 2022). Continuous regulatory updates also help organisations maintain compliance, protect customer data, and strengthen operational resilience (NIST, 2023).</w:t>
      </w:r>
    </w:p>
    <w:p w14:paraId="43D7C3C1" w14:textId="77777777" w:rsidR="00A8098B" w:rsidRPr="00A8098B" w:rsidRDefault="00A8098B" w:rsidP="00A8098B">
      <w:pPr>
        <w:spacing w:line="360" w:lineRule="auto"/>
        <w:jc w:val="both"/>
        <w:rPr>
          <w:rFonts w:ascii="Arial" w:hAnsi="Arial"/>
        </w:rPr>
      </w:pPr>
      <w:r w:rsidRPr="00A8098B">
        <w:rPr>
          <w:rFonts w:ascii="Arial" w:hAnsi="Arial"/>
        </w:rPr>
        <w:t>Security frameworks such as ISO 27001, NIST, COBIT, and ITIL improve organisational security by providing structured governance, risk management, and security control implementation. These frameworks help organisations identify risks, define policies, and implement security controls systematically. Additionally, frameworks encourage continuous monitoring and improvement, which enhances organisational resilience against evolving threats (Calder and Moir, 2021). For FinSure Bank, adopting these frameworks would reduce fragmentation, improve governance, and enhance compliance.</w:t>
      </w:r>
    </w:p>
    <w:p w14:paraId="477DACD6" w14:textId="77777777" w:rsidR="00A8098B" w:rsidRPr="00A8098B" w:rsidRDefault="00A8098B" w:rsidP="00A8098B">
      <w:pPr>
        <w:spacing w:line="360" w:lineRule="auto"/>
        <w:jc w:val="both"/>
        <w:rPr>
          <w:rFonts w:ascii="Arial" w:hAnsi="Arial"/>
        </w:rPr>
      </w:pPr>
      <w:r w:rsidRPr="00A8098B">
        <w:rPr>
          <w:rFonts w:ascii="Arial" w:hAnsi="Arial"/>
        </w:rPr>
        <w:t>However, while security frameworks offer several benefits, they also present limitations. One key benefit is improved standardisation and accountability, which strengthens governance and risk management. Frameworks also enhance regulatory compliance and improve organisational decision-making (ISACA, 2020). Conversely, limitations include implementation complexity, high costs, and the need for skilled personnel. Smaller organisations may struggle to implement comprehensive frameworks due to limited resources (Soomro et al., 2021).</w:t>
      </w:r>
    </w:p>
    <w:p w14:paraId="3B5C72E5" w14:textId="77777777" w:rsidR="00A8098B" w:rsidRPr="00A8098B" w:rsidRDefault="00A8098B" w:rsidP="00A8098B">
      <w:pPr>
        <w:spacing w:line="360" w:lineRule="auto"/>
        <w:jc w:val="both"/>
        <w:rPr>
          <w:rFonts w:ascii="Arial" w:hAnsi="Arial"/>
        </w:rPr>
      </w:pPr>
      <w:r w:rsidRPr="00A8098B">
        <w:rPr>
          <w:rFonts w:ascii="Arial" w:hAnsi="Arial"/>
        </w:rPr>
        <w:t>Despite these limitations, the benefits outweigh the challenges. Continuous regulatory updates and framework adoption enable organisations such as FinSure Bank to improve security posture, maintain compliance, and enhance operational resilience.</w:t>
      </w:r>
    </w:p>
    <w:p w14:paraId="5A0C0BC3" w14:textId="3CB84246" w:rsidR="00A8098B" w:rsidRPr="00A8098B" w:rsidRDefault="00A8098B" w:rsidP="00BD13D6">
      <w:pPr>
        <w:pStyle w:val="Heading1"/>
      </w:pPr>
      <w:bookmarkStart w:id="14" w:name="_Toc225550816"/>
      <w:r w:rsidRPr="00A8098B">
        <w:t>Assumptions</w:t>
      </w:r>
      <w:bookmarkEnd w:id="14"/>
      <w:r w:rsidRPr="00A8098B">
        <w:t xml:space="preserve"> </w:t>
      </w:r>
    </w:p>
    <w:p w14:paraId="1B2C240A" w14:textId="77777777" w:rsidR="00A8098B" w:rsidRPr="00A8098B" w:rsidRDefault="00A8098B" w:rsidP="00A8098B">
      <w:pPr>
        <w:spacing w:line="360" w:lineRule="auto"/>
        <w:jc w:val="both"/>
        <w:rPr>
          <w:rFonts w:ascii="Arial" w:hAnsi="Arial"/>
        </w:rPr>
      </w:pPr>
      <w:r w:rsidRPr="00A8098B">
        <w:rPr>
          <w:rFonts w:ascii="Arial" w:hAnsi="Arial"/>
        </w:rPr>
        <w:t xml:space="preserve">Several assumptions were made to develop the proposed security governance model for FinSure Bank. It is assumed that FinSure Bank is a medium-to-large financial institution operating across multiple countries with a growing digital customer base. The organisation is assumed to operate primarily on cloud infrastructure, using third-party cloud service providers to host banking applications and data. Additionally, it is assumed that FinSure Bank has a moderate security budget and is willing to invest in </w:t>
      </w:r>
      <w:r w:rsidRPr="00A8098B">
        <w:rPr>
          <w:rFonts w:ascii="Arial" w:hAnsi="Arial"/>
        </w:rPr>
        <w:lastRenderedPageBreak/>
        <w:t>governance frameworks and risk management strategies. The organisation is also assumed to operate under international regulatory requirements, including GDPR and financial compliance regulations (NIST, 2023; Calder and Moir, 2021).</w:t>
      </w:r>
    </w:p>
    <w:p w14:paraId="01F82D8B" w14:textId="03D35DF0" w:rsidR="00A8098B" w:rsidRPr="00A8098B" w:rsidRDefault="00A8098B" w:rsidP="00BD13D6">
      <w:pPr>
        <w:pStyle w:val="Heading1"/>
      </w:pPr>
      <w:bookmarkStart w:id="15" w:name="_Toc225550817"/>
      <w:r w:rsidRPr="00A8098B">
        <w:t>Recommendations</w:t>
      </w:r>
      <w:bookmarkEnd w:id="15"/>
      <w:r w:rsidRPr="00A8098B">
        <w:t xml:space="preserve"> </w:t>
      </w:r>
    </w:p>
    <w:p w14:paraId="28F7E744" w14:textId="77777777" w:rsidR="00A8098B" w:rsidRPr="00A8098B" w:rsidRDefault="00A8098B" w:rsidP="00A8098B">
      <w:pPr>
        <w:spacing w:line="360" w:lineRule="auto"/>
        <w:jc w:val="both"/>
        <w:rPr>
          <w:rFonts w:ascii="Arial" w:hAnsi="Arial"/>
        </w:rPr>
      </w:pPr>
      <w:r w:rsidRPr="00A8098B">
        <w:rPr>
          <w:rFonts w:ascii="Arial" w:hAnsi="Arial"/>
        </w:rPr>
        <w:t>FinSure Bank should implement a comprehensive security governance framework aligned with ISO 27001, NIST, COBIT, and ITIL to improve data security, governance, and compliance. The organisation should establish a dedicated security leadership structure led by a Chief Information Security Officer (CISO) and implement risk-based security controls including encryption, multi-factor authentication, and Zero Trust architecture. Additionally, FinSure Bank should introduce regular security audits, compliance monitoring, and employee security awareness training to reduce insider threats and cyber risks (NIST, 2023).</w:t>
      </w:r>
    </w:p>
    <w:p w14:paraId="5997BA9F" w14:textId="03141945" w:rsidR="00C12B5A" w:rsidRPr="00C12B5A" w:rsidRDefault="00C12B5A" w:rsidP="00C12B5A">
      <w:pPr>
        <w:spacing w:line="360" w:lineRule="auto"/>
        <w:jc w:val="both"/>
        <w:rPr>
          <w:rFonts w:ascii="Arial" w:hAnsi="Arial"/>
        </w:rPr>
      </w:pPr>
      <w:r w:rsidRPr="00C12B5A">
        <w:rPr>
          <w:rFonts w:ascii="Arial" w:hAnsi="Arial"/>
        </w:rPr>
        <w:t>The implementation roadmap should follow a phased approach. Phase one involves conducting risk assessments and identifying security gaps (NCSC, 2023). Phase two includes implementing governance frameworks and security controls. Phase three focuses on monitoring, auditing, and continuous improvement. This structured roadmap enhances organisational resilience and regulatory compliance (NCSC, 2023; CIS, 2021).</w:t>
      </w:r>
    </w:p>
    <w:p w14:paraId="293F029F" w14:textId="5EC75FE1" w:rsidR="00A8098B" w:rsidRPr="00A8098B" w:rsidRDefault="00A8098B" w:rsidP="00BD13D6">
      <w:pPr>
        <w:pStyle w:val="Heading1"/>
      </w:pPr>
      <w:bookmarkStart w:id="16" w:name="_Toc225550818"/>
      <w:r w:rsidRPr="00A8098B">
        <w:t>Conclusion</w:t>
      </w:r>
      <w:bookmarkEnd w:id="16"/>
      <w:r w:rsidRPr="00A8098B">
        <w:t xml:space="preserve"> </w:t>
      </w:r>
    </w:p>
    <w:p w14:paraId="71546619" w14:textId="77777777" w:rsidR="00A8098B" w:rsidRPr="00A8098B" w:rsidRDefault="00A8098B" w:rsidP="00A8098B">
      <w:pPr>
        <w:spacing w:line="360" w:lineRule="auto"/>
        <w:jc w:val="both"/>
        <w:rPr>
          <w:rFonts w:ascii="Arial" w:hAnsi="Arial"/>
        </w:rPr>
      </w:pPr>
      <w:r w:rsidRPr="00A8098B">
        <w:rPr>
          <w:rFonts w:ascii="Arial" w:hAnsi="Arial"/>
        </w:rPr>
        <w:t>FinSure Bank faces significant cybersecurity challenges due to its cloud-based infrastructure, BYOD policy, and lack of structured governance and compliance controls. These issues increase the organisation’s exposure to data breaches, insider threats, cyberattacks, and regulatory risks. Without a unified security governance framework, FinSure Bank’s fragmented security approach limits its ability to effectively manage and mitigate these risks.</w:t>
      </w:r>
    </w:p>
    <w:p w14:paraId="4DDDD334" w14:textId="77777777" w:rsidR="00A8098B" w:rsidRPr="00A8098B" w:rsidRDefault="00A8098B" w:rsidP="00A8098B">
      <w:pPr>
        <w:spacing w:line="360" w:lineRule="auto"/>
        <w:jc w:val="both"/>
        <w:rPr>
          <w:rFonts w:ascii="Arial" w:hAnsi="Arial"/>
        </w:rPr>
      </w:pPr>
      <w:r w:rsidRPr="00A8098B">
        <w:rPr>
          <w:rFonts w:ascii="Arial" w:hAnsi="Arial"/>
        </w:rPr>
        <w:t>This report proposed a comprehensive security governance model using established frameworks including ISO 27001, NIST, COBIT, and ITIL. The proposed solution integrates governance structures, risk management strategies, compliance requirements, and protection mechanisms such as encryption, multi-factor authentication, and Zero Trust architecture.</w:t>
      </w:r>
    </w:p>
    <w:p w14:paraId="51FC5120" w14:textId="77777777" w:rsidR="00A8098B" w:rsidRPr="00A8098B" w:rsidRDefault="00A8098B" w:rsidP="00A8098B">
      <w:pPr>
        <w:spacing w:line="360" w:lineRule="auto"/>
        <w:jc w:val="both"/>
        <w:rPr>
          <w:rFonts w:ascii="Arial" w:hAnsi="Arial"/>
        </w:rPr>
      </w:pPr>
      <w:r w:rsidRPr="00A8098B">
        <w:rPr>
          <w:rFonts w:ascii="Arial" w:hAnsi="Arial"/>
        </w:rPr>
        <w:lastRenderedPageBreak/>
        <w:t>Implementing these recommendations will enhance FinSure Bank’s security posture, improve regulatory compliance, and strengthen operational resilience. Overall, adopting a structured governance approach will enable FinSure Bank to manage evolving cybersecurity threats and protect sensitive financial data effectively.</w:t>
      </w:r>
    </w:p>
    <w:p w14:paraId="488C5370" w14:textId="77777777" w:rsidR="00363C99" w:rsidRDefault="00363C99">
      <w:pPr>
        <w:rPr>
          <w:rFonts w:asciiTheme="majorHAnsi" w:eastAsiaTheme="majorEastAsia" w:hAnsiTheme="majorHAnsi" w:cstheme="majorBidi"/>
          <w:color w:val="0F4761" w:themeColor="accent1" w:themeShade="BF"/>
          <w:sz w:val="40"/>
          <w:szCs w:val="40"/>
        </w:rPr>
      </w:pPr>
      <w:r>
        <w:br w:type="page"/>
      </w:r>
    </w:p>
    <w:p w14:paraId="33957136" w14:textId="5E8C5456" w:rsidR="008B1D6E" w:rsidRDefault="008B1D6E" w:rsidP="008B1D6E">
      <w:pPr>
        <w:pStyle w:val="Heading1"/>
      </w:pPr>
      <w:bookmarkStart w:id="17" w:name="_Toc225550819"/>
      <w:r>
        <w:lastRenderedPageBreak/>
        <w:t>Refrence:</w:t>
      </w:r>
      <w:bookmarkEnd w:id="17"/>
    </w:p>
    <w:p w14:paraId="1A5CE55B" w14:textId="77777777" w:rsidR="007F3A9A" w:rsidRPr="00BF121C" w:rsidRDefault="007F3A9A" w:rsidP="007F3A9A">
      <w:pPr>
        <w:spacing w:line="360" w:lineRule="auto"/>
        <w:rPr>
          <w:rFonts w:ascii="Arial" w:hAnsi="Arial"/>
        </w:rPr>
      </w:pPr>
    </w:p>
    <w:p w14:paraId="78D78F40" w14:textId="77777777" w:rsidR="007F3A9A" w:rsidRPr="007F3A9A" w:rsidRDefault="007F3A9A" w:rsidP="007F3A9A">
      <w:pPr>
        <w:spacing w:line="360" w:lineRule="auto"/>
        <w:rPr>
          <w:rFonts w:ascii="Arial" w:hAnsi="Arial"/>
        </w:rPr>
      </w:pPr>
      <w:r w:rsidRPr="007F3A9A">
        <w:rPr>
          <w:rFonts w:ascii="Arial" w:hAnsi="Arial"/>
        </w:rPr>
        <w:t xml:space="preserve">ACCA7028 Module Materials (2025) </w:t>
      </w:r>
      <w:r w:rsidRPr="007F3A9A">
        <w:rPr>
          <w:rFonts w:ascii="Arial" w:hAnsi="Arial"/>
          <w:i/>
          <w:iCs/>
        </w:rPr>
        <w:t>Data Security, Governance and Compliance Lecture Slides</w:t>
      </w:r>
      <w:r w:rsidRPr="007F3A9A">
        <w:rPr>
          <w:rFonts w:ascii="Arial" w:hAnsi="Arial"/>
        </w:rPr>
        <w:t>. MSc Data and Artificial Intelligence. University of Wales Trinity Saint David (UWTSD).</w:t>
      </w:r>
    </w:p>
    <w:p w14:paraId="009F7720" w14:textId="77777777" w:rsidR="007F3A9A" w:rsidRPr="007F3A9A" w:rsidRDefault="007F3A9A" w:rsidP="007F3A9A">
      <w:pPr>
        <w:spacing w:line="360" w:lineRule="auto"/>
        <w:rPr>
          <w:rFonts w:ascii="Arial" w:hAnsi="Arial"/>
        </w:rPr>
      </w:pPr>
      <w:proofErr w:type="spellStart"/>
      <w:r w:rsidRPr="007F3A9A">
        <w:rPr>
          <w:rFonts w:ascii="Arial" w:hAnsi="Arial"/>
        </w:rPr>
        <w:t>Appfluence</w:t>
      </w:r>
      <w:proofErr w:type="spellEnd"/>
      <w:r w:rsidRPr="007F3A9A">
        <w:rPr>
          <w:rFonts w:ascii="Arial" w:hAnsi="Arial"/>
        </w:rPr>
        <w:t xml:space="preserve"> (2024) Cybersecurity Risk Matrix. Available at: </w:t>
      </w:r>
      <w:hyperlink r:id="rId16" w:tgtFrame="_new" w:history="1">
        <w:r w:rsidRPr="007F3A9A">
          <w:rPr>
            <w:rStyle w:val="Hyperlink"/>
            <w:rFonts w:ascii="Arial" w:hAnsi="Arial"/>
          </w:rPr>
          <w:t>https://sync.appfluence.com/templates/cybersecurity-risk-matrix/</w:t>
        </w:r>
      </w:hyperlink>
      <w:r w:rsidRPr="007F3A9A">
        <w:rPr>
          <w:rFonts w:ascii="Arial" w:hAnsi="Arial"/>
        </w:rPr>
        <w:t xml:space="preserve"> (Accessed: 22 March 2026).</w:t>
      </w:r>
    </w:p>
    <w:p w14:paraId="00A9B742" w14:textId="77777777" w:rsidR="007F3A9A" w:rsidRPr="007F3A9A" w:rsidRDefault="007F3A9A" w:rsidP="007F3A9A">
      <w:pPr>
        <w:spacing w:line="360" w:lineRule="auto"/>
        <w:rPr>
          <w:rFonts w:ascii="Arial" w:hAnsi="Arial"/>
        </w:rPr>
      </w:pPr>
      <w:r w:rsidRPr="007F3A9A">
        <w:rPr>
          <w:rFonts w:ascii="Arial" w:hAnsi="Arial"/>
        </w:rPr>
        <w:t xml:space="preserve">AXELOS (2020) </w:t>
      </w:r>
      <w:r w:rsidRPr="007F3A9A">
        <w:rPr>
          <w:rFonts w:ascii="Arial" w:hAnsi="Arial"/>
          <w:i/>
          <w:iCs/>
        </w:rPr>
        <w:t>ITIL Foundation: ITIL 4 Edition</w:t>
      </w:r>
      <w:r w:rsidRPr="007F3A9A">
        <w:rPr>
          <w:rFonts w:ascii="Arial" w:hAnsi="Arial"/>
        </w:rPr>
        <w:t>. London: TSO.</w:t>
      </w:r>
    </w:p>
    <w:p w14:paraId="09E80E09" w14:textId="77777777" w:rsidR="007F3A9A" w:rsidRPr="007F3A9A" w:rsidRDefault="007F3A9A" w:rsidP="007F3A9A">
      <w:pPr>
        <w:spacing w:line="360" w:lineRule="auto"/>
        <w:rPr>
          <w:rFonts w:ascii="Arial" w:hAnsi="Arial"/>
        </w:rPr>
      </w:pPr>
      <w:r w:rsidRPr="007F3A9A">
        <w:rPr>
          <w:rFonts w:ascii="Arial" w:hAnsi="Arial"/>
        </w:rPr>
        <w:t xml:space="preserve">Calder, A. and Moir, S. (2021) </w:t>
      </w:r>
      <w:r w:rsidRPr="007F3A9A">
        <w:rPr>
          <w:rFonts w:ascii="Arial" w:hAnsi="Arial"/>
          <w:i/>
          <w:iCs/>
        </w:rPr>
        <w:t>IT Governance: An International Guide to Data Security</w:t>
      </w:r>
      <w:r w:rsidRPr="007F3A9A">
        <w:rPr>
          <w:rFonts w:ascii="Arial" w:hAnsi="Arial"/>
        </w:rPr>
        <w:t>. London: Kogan Page.</w:t>
      </w:r>
    </w:p>
    <w:p w14:paraId="266F30F2" w14:textId="77777777" w:rsidR="007F3A9A" w:rsidRPr="007F3A9A" w:rsidRDefault="007F3A9A" w:rsidP="007F3A9A">
      <w:pPr>
        <w:spacing w:line="360" w:lineRule="auto"/>
        <w:rPr>
          <w:rFonts w:ascii="Arial" w:hAnsi="Arial"/>
        </w:rPr>
      </w:pPr>
      <w:r w:rsidRPr="007F3A9A">
        <w:rPr>
          <w:rFonts w:ascii="Arial" w:hAnsi="Arial"/>
        </w:rPr>
        <w:t xml:space="preserve">Cartlidge, A. et al. (2021) </w:t>
      </w:r>
      <w:r w:rsidRPr="007F3A9A">
        <w:rPr>
          <w:rFonts w:ascii="Arial" w:hAnsi="Arial"/>
          <w:i/>
          <w:iCs/>
        </w:rPr>
        <w:t>ITIL Practitioner Guidance</w:t>
      </w:r>
      <w:r w:rsidRPr="007F3A9A">
        <w:rPr>
          <w:rFonts w:ascii="Arial" w:hAnsi="Arial"/>
        </w:rPr>
        <w:t>. London: TSO.</w:t>
      </w:r>
    </w:p>
    <w:p w14:paraId="12B56B90" w14:textId="77777777" w:rsidR="007F3A9A" w:rsidRPr="007F3A9A" w:rsidRDefault="007F3A9A" w:rsidP="007F3A9A">
      <w:pPr>
        <w:spacing w:line="360" w:lineRule="auto"/>
        <w:rPr>
          <w:rFonts w:ascii="Arial" w:hAnsi="Arial"/>
        </w:rPr>
      </w:pPr>
      <w:proofErr w:type="spellStart"/>
      <w:r w:rsidRPr="007F3A9A">
        <w:rPr>
          <w:rFonts w:ascii="Arial" w:hAnsi="Arial"/>
        </w:rPr>
        <w:t>Center</w:t>
      </w:r>
      <w:proofErr w:type="spellEnd"/>
      <w:r w:rsidRPr="007F3A9A">
        <w:rPr>
          <w:rFonts w:ascii="Arial" w:hAnsi="Arial"/>
        </w:rPr>
        <w:t xml:space="preserve"> for Internet Security (CIS) (2021) </w:t>
      </w:r>
      <w:r w:rsidRPr="007F3A9A">
        <w:rPr>
          <w:rFonts w:ascii="Arial" w:hAnsi="Arial"/>
          <w:i/>
          <w:iCs/>
        </w:rPr>
        <w:t>Critical Security Controls Version 8</w:t>
      </w:r>
      <w:r w:rsidRPr="007F3A9A">
        <w:rPr>
          <w:rFonts w:ascii="Arial" w:hAnsi="Arial"/>
        </w:rPr>
        <w:t xml:space="preserve">. Available at: </w:t>
      </w:r>
      <w:hyperlink r:id="rId17" w:tgtFrame="_new" w:history="1">
        <w:r w:rsidRPr="007F3A9A">
          <w:rPr>
            <w:rStyle w:val="Hyperlink"/>
            <w:rFonts w:ascii="Arial" w:hAnsi="Arial"/>
          </w:rPr>
          <w:t>https://www.cisecurity.org/controls/v8</w:t>
        </w:r>
      </w:hyperlink>
      <w:r w:rsidRPr="007F3A9A">
        <w:rPr>
          <w:rFonts w:ascii="Arial" w:hAnsi="Arial"/>
        </w:rPr>
        <w:t xml:space="preserve"> (Accessed: 2 April 2026).</w:t>
      </w:r>
    </w:p>
    <w:p w14:paraId="54EC1DCC" w14:textId="77777777" w:rsidR="007F3A9A" w:rsidRPr="007F3A9A" w:rsidRDefault="007F3A9A" w:rsidP="007F3A9A">
      <w:pPr>
        <w:spacing w:line="360" w:lineRule="auto"/>
        <w:rPr>
          <w:rFonts w:ascii="Arial" w:hAnsi="Arial"/>
        </w:rPr>
      </w:pPr>
      <w:r w:rsidRPr="007F3A9A">
        <w:rPr>
          <w:rFonts w:ascii="Arial" w:hAnsi="Arial"/>
        </w:rPr>
        <w:t xml:space="preserve">De Haes, S., Van </w:t>
      </w:r>
      <w:proofErr w:type="spellStart"/>
      <w:r w:rsidRPr="007F3A9A">
        <w:rPr>
          <w:rFonts w:ascii="Arial" w:hAnsi="Arial"/>
        </w:rPr>
        <w:t>Grembergen</w:t>
      </w:r>
      <w:proofErr w:type="spellEnd"/>
      <w:r w:rsidRPr="007F3A9A">
        <w:rPr>
          <w:rFonts w:ascii="Arial" w:hAnsi="Arial"/>
        </w:rPr>
        <w:t xml:space="preserve">, W., Joshi, A. and </w:t>
      </w:r>
      <w:proofErr w:type="spellStart"/>
      <w:r w:rsidRPr="007F3A9A">
        <w:rPr>
          <w:rFonts w:ascii="Arial" w:hAnsi="Arial"/>
        </w:rPr>
        <w:t>Huygh</w:t>
      </w:r>
      <w:proofErr w:type="spellEnd"/>
      <w:r w:rsidRPr="007F3A9A">
        <w:rPr>
          <w:rFonts w:ascii="Arial" w:hAnsi="Arial"/>
        </w:rPr>
        <w:t xml:space="preserve">, T. (2020) ‘COBIT as a framework for enterprise governance of IT’, in De Haes, S., Van </w:t>
      </w:r>
      <w:proofErr w:type="spellStart"/>
      <w:r w:rsidRPr="007F3A9A">
        <w:rPr>
          <w:rFonts w:ascii="Arial" w:hAnsi="Arial"/>
        </w:rPr>
        <w:t>Grembergen</w:t>
      </w:r>
      <w:proofErr w:type="spellEnd"/>
      <w:r w:rsidRPr="007F3A9A">
        <w:rPr>
          <w:rFonts w:ascii="Arial" w:hAnsi="Arial"/>
        </w:rPr>
        <w:t xml:space="preserve">, W. and </w:t>
      </w:r>
      <w:proofErr w:type="spellStart"/>
      <w:r w:rsidRPr="007F3A9A">
        <w:rPr>
          <w:rFonts w:ascii="Arial" w:hAnsi="Arial"/>
        </w:rPr>
        <w:t>Huygh</w:t>
      </w:r>
      <w:proofErr w:type="spellEnd"/>
      <w:r w:rsidRPr="007F3A9A">
        <w:rPr>
          <w:rFonts w:ascii="Arial" w:hAnsi="Arial"/>
        </w:rPr>
        <w:t xml:space="preserve">, T. (eds.) </w:t>
      </w:r>
      <w:r w:rsidRPr="007F3A9A">
        <w:rPr>
          <w:rFonts w:ascii="Arial" w:hAnsi="Arial"/>
          <w:i/>
          <w:iCs/>
        </w:rPr>
        <w:t>Enterprise Governance of Information Technology</w:t>
      </w:r>
      <w:r w:rsidRPr="007F3A9A">
        <w:rPr>
          <w:rFonts w:ascii="Arial" w:hAnsi="Arial"/>
        </w:rPr>
        <w:t xml:space="preserve">. Cham: Springer, pp. 125–162. Available at: </w:t>
      </w:r>
      <w:hyperlink r:id="rId18" w:tgtFrame="_new" w:history="1">
        <w:r w:rsidRPr="007F3A9A">
          <w:rPr>
            <w:rStyle w:val="Hyperlink"/>
            <w:rFonts w:ascii="Arial" w:hAnsi="Arial"/>
          </w:rPr>
          <w:t>https://doi.org/10.1007/978-3-030-25918-1_5</w:t>
        </w:r>
      </w:hyperlink>
      <w:r w:rsidRPr="007F3A9A">
        <w:rPr>
          <w:rFonts w:ascii="Arial" w:hAnsi="Arial"/>
        </w:rPr>
        <w:t xml:space="preserve"> (Accessed: 24 March 2026).</w:t>
      </w:r>
    </w:p>
    <w:p w14:paraId="013FF494" w14:textId="77777777" w:rsidR="007F3A9A" w:rsidRPr="007F3A9A" w:rsidRDefault="007F3A9A" w:rsidP="007F3A9A">
      <w:pPr>
        <w:spacing w:line="360" w:lineRule="auto"/>
        <w:rPr>
          <w:rFonts w:ascii="Arial" w:hAnsi="Arial"/>
        </w:rPr>
      </w:pPr>
      <w:r w:rsidRPr="007F3A9A">
        <w:rPr>
          <w:rFonts w:ascii="Arial" w:hAnsi="Arial"/>
        </w:rPr>
        <w:t xml:space="preserve">Digital </w:t>
      </w:r>
      <w:proofErr w:type="spellStart"/>
      <w:r w:rsidRPr="007F3A9A">
        <w:rPr>
          <w:rFonts w:ascii="Arial" w:hAnsi="Arial"/>
        </w:rPr>
        <w:t>Octopii</w:t>
      </w:r>
      <w:proofErr w:type="spellEnd"/>
      <w:r w:rsidRPr="007F3A9A">
        <w:rPr>
          <w:rFonts w:ascii="Arial" w:hAnsi="Arial"/>
        </w:rPr>
        <w:t xml:space="preserve"> (2024) </w:t>
      </w:r>
      <w:r w:rsidRPr="007F3A9A">
        <w:rPr>
          <w:rFonts w:ascii="Arial" w:hAnsi="Arial"/>
          <w:i/>
          <w:iCs/>
        </w:rPr>
        <w:t>How to implement an ISMS using ISO 27001</w:t>
      </w:r>
      <w:r w:rsidRPr="007F3A9A">
        <w:rPr>
          <w:rFonts w:ascii="Arial" w:hAnsi="Arial"/>
        </w:rPr>
        <w:t xml:space="preserve">. Available at: </w:t>
      </w:r>
      <w:hyperlink r:id="rId19" w:tgtFrame="_new" w:history="1">
        <w:r w:rsidRPr="007F3A9A">
          <w:rPr>
            <w:rStyle w:val="Hyperlink"/>
            <w:rFonts w:ascii="Arial" w:hAnsi="Arial"/>
          </w:rPr>
          <w:t>https://digitaloctopii.com/blog/what-is-isms/how-to-implement-isms-iso-27001/</w:t>
        </w:r>
      </w:hyperlink>
      <w:r w:rsidRPr="007F3A9A">
        <w:rPr>
          <w:rFonts w:ascii="Arial" w:hAnsi="Arial"/>
        </w:rPr>
        <w:t xml:space="preserve"> (Accessed: 20 March 2026).</w:t>
      </w:r>
    </w:p>
    <w:p w14:paraId="0D968099" w14:textId="77777777" w:rsidR="007F3A9A" w:rsidRPr="007F3A9A" w:rsidRDefault="007F3A9A" w:rsidP="007F3A9A">
      <w:pPr>
        <w:spacing w:line="360" w:lineRule="auto"/>
        <w:rPr>
          <w:rFonts w:ascii="Arial" w:hAnsi="Arial"/>
        </w:rPr>
      </w:pPr>
      <w:r w:rsidRPr="007F3A9A">
        <w:rPr>
          <w:rFonts w:ascii="Arial" w:hAnsi="Arial"/>
        </w:rPr>
        <w:t xml:space="preserve">ENISA (2022) </w:t>
      </w:r>
      <w:r w:rsidRPr="007F3A9A">
        <w:rPr>
          <w:rFonts w:ascii="Arial" w:hAnsi="Arial"/>
          <w:i/>
          <w:iCs/>
        </w:rPr>
        <w:t>ENISA Threat Landscape 2022</w:t>
      </w:r>
      <w:r w:rsidRPr="007F3A9A">
        <w:rPr>
          <w:rFonts w:ascii="Arial" w:hAnsi="Arial"/>
        </w:rPr>
        <w:t xml:space="preserve">. European Union Agency for Cybersecurity. Available at: </w:t>
      </w:r>
      <w:hyperlink r:id="rId20" w:tgtFrame="_new" w:history="1">
        <w:r w:rsidRPr="007F3A9A">
          <w:rPr>
            <w:rStyle w:val="Hyperlink"/>
            <w:rFonts w:ascii="Arial" w:hAnsi="Arial"/>
          </w:rPr>
          <w:t>https://www.enisa.europa.eu/publications/enisa-threat-landscape-2022</w:t>
        </w:r>
      </w:hyperlink>
      <w:r w:rsidRPr="007F3A9A">
        <w:rPr>
          <w:rFonts w:ascii="Arial" w:hAnsi="Arial"/>
        </w:rPr>
        <w:t xml:space="preserve"> (Accessed: 26 March 2026).</w:t>
      </w:r>
    </w:p>
    <w:p w14:paraId="61D03537" w14:textId="77777777" w:rsidR="007F3A9A" w:rsidRPr="007F3A9A" w:rsidRDefault="007F3A9A" w:rsidP="007F3A9A">
      <w:pPr>
        <w:spacing w:line="360" w:lineRule="auto"/>
        <w:rPr>
          <w:rFonts w:ascii="Arial" w:hAnsi="Arial"/>
        </w:rPr>
      </w:pPr>
      <w:r w:rsidRPr="007F3A9A">
        <w:rPr>
          <w:rFonts w:ascii="Arial" w:hAnsi="Arial"/>
        </w:rPr>
        <w:t xml:space="preserve">Erbay, H. (2015) </w:t>
      </w:r>
      <w:r w:rsidRPr="007F3A9A">
        <w:rPr>
          <w:rFonts w:ascii="Arial" w:hAnsi="Arial"/>
          <w:i/>
          <w:iCs/>
        </w:rPr>
        <w:t xml:space="preserve">Analyse the relation in between ITIL, </w:t>
      </w:r>
      <w:proofErr w:type="spellStart"/>
      <w:r w:rsidRPr="007F3A9A">
        <w:rPr>
          <w:rFonts w:ascii="Arial" w:hAnsi="Arial"/>
          <w:i/>
          <w:iCs/>
        </w:rPr>
        <w:t>Cobit</w:t>
      </w:r>
      <w:proofErr w:type="spellEnd"/>
      <w:r w:rsidRPr="007F3A9A">
        <w:rPr>
          <w:rFonts w:ascii="Arial" w:hAnsi="Arial"/>
          <w:i/>
          <w:iCs/>
        </w:rPr>
        <w:t xml:space="preserve">, </w:t>
      </w:r>
      <w:proofErr w:type="spellStart"/>
      <w:r w:rsidRPr="007F3A9A">
        <w:rPr>
          <w:rFonts w:ascii="Arial" w:hAnsi="Arial"/>
          <w:i/>
          <w:iCs/>
        </w:rPr>
        <w:t>Togaf</w:t>
      </w:r>
      <w:proofErr w:type="spellEnd"/>
      <w:r w:rsidRPr="007F3A9A">
        <w:rPr>
          <w:rFonts w:ascii="Arial" w:hAnsi="Arial"/>
          <w:i/>
          <w:iCs/>
        </w:rPr>
        <w:t xml:space="preserve"> and CMMI</w:t>
      </w:r>
      <w:r w:rsidRPr="007F3A9A">
        <w:rPr>
          <w:rFonts w:ascii="Arial" w:hAnsi="Arial"/>
        </w:rPr>
        <w:t xml:space="preserve">. Available at: </w:t>
      </w:r>
      <w:hyperlink r:id="rId21" w:tgtFrame="_new" w:history="1">
        <w:r w:rsidRPr="007F3A9A">
          <w:rPr>
            <w:rStyle w:val="Hyperlink"/>
            <w:rFonts w:ascii="Arial" w:hAnsi="Arial"/>
          </w:rPr>
          <w:t>https://hidirerbay.wordpress.com/2015/03/21/worldofit/</w:t>
        </w:r>
      </w:hyperlink>
      <w:r w:rsidRPr="007F3A9A">
        <w:rPr>
          <w:rFonts w:ascii="Arial" w:hAnsi="Arial"/>
        </w:rPr>
        <w:t xml:space="preserve"> (Accessed: 21 March 2026).</w:t>
      </w:r>
    </w:p>
    <w:p w14:paraId="0B9656D6" w14:textId="77777777" w:rsidR="007F3A9A" w:rsidRPr="007F3A9A" w:rsidRDefault="007F3A9A" w:rsidP="007F3A9A">
      <w:pPr>
        <w:spacing w:line="360" w:lineRule="auto"/>
        <w:rPr>
          <w:rFonts w:ascii="Arial" w:hAnsi="Arial"/>
        </w:rPr>
      </w:pPr>
      <w:r w:rsidRPr="007F3A9A">
        <w:rPr>
          <w:rFonts w:ascii="Arial" w:hAnsi="Arial"/>
        </w:rPr>
        <w:lastRenderedPageBreak/>
        <w:t xml:space="preserve">European Commission (2023) </w:t>
      </w:r>
      <w:r w:rsidRPr="007F3A9A">
        <w:rPr>
          <w:rFonts w:ascii="Arial" w:hAnsi="Arial"/>
          <w:i/>
          <w:iCs/>
        </w:rPr>
        <w:t>General Data Protection Regulation (GDPR)</w:t>
      </w:r>
      <w:r w:rsidRPr="007F3A9A">
        <w:rPr>
          <w:rFonts w:ascii="Arial" w:hAnsi="Arial"/>
        </w:rPr>
        <w:t xml:space="preserve">. Available at: </w:t>
      </w:r>
      <w:hyperlink r:id="rId22" w:tgtFrame="_new" w:history="1">
        <w:r w:rsidRPr="007F3A9A">
          <w:rPr>
            <w:rStyle w:val="Hyperlink"/>
            <w:rFonts w:ascii="Arial" w:hAnsi="Arial"/>
          </w:rPr>
          <w:t>https://commission.europa.eu/law/law-topic/data-protection_en</w:t>
        </w:r>
      </w:hyperlink>
      <w:r w:rsidRPr="007F3A9A">
        <w:rPr>
          <w:rFonts w:ascii="Arial" w:hAnsi="Arial"/>
        </w:rPr>
        <w:t xml:space="preserve"> (Accessed: 23 March 2026).</w:t>
      </w:r>
    </w:p>
    <w:p w14:paraId="218E156D" w14:textId="77777777" w:rsidR="007F3A9A" w:rsidRPr="007F3A9A" w:rsidRDefault="007F3A9A" w:rsidP="007F3A9A">
      <w:pPr>
        <w:spacing w:line="360" w:lineRule="auto"/>
        <w:rPr>
          <w:rFonts w:ascii="Arial" w:hAnsi="Arial"/>
        </w:rPr>
      </w:pPr>
      <w:r w:rsidRPr="007F3A9A">
        <w:rPr>
          <w:rFonts w:ascii="Arial" w:hAnsi="Arial"/>
        </w:rPr>
        <w:t xml:space="preserve">Financial Conduct Authority (FCA) (2022) </w:t>
      </w:r>
      <w:r w:rsidRPr="007F3A9A">
        <w:rPr>
          <w:rFonts w:ascii="Arial" w:hAnsi="Arial"/>
          <w:i/>
          <w:iCs/>
        </w:rPr>
        <w:t>Operational resilience</w:t>
      </w:r>
      <w:r w:rsidRPr="007F3A9A">
        <w:rPr>
          <w:rFonts w:ascii="Arial" w:hAnsi="Arial"/>
        </w:rPr>
        <w:t xml:space="preserve">. Available at: </w:t>
      </w:r>
      <w:hyperlink r:id="rId23" w:tgtFrame="_new" w:history="1">
        <w:r w:rsidRPr="007F3A9A">
          <w:rPr>
            <w:rStyle w:val="Hyperlink"/>
            <w:rFonts w:ascii="Arial" w:hAnsi="Arial"/>
          </w:rPr>
          <w:t>https://www.fca.org.uk/firms/operational-resilience</w:t>
        </w:r>
      </w:hyperlink>
      <w:r w:rsidRPr="007F3A9A">
        <w:rPr>
          <w:rFonts w:ascii="Arial" w:hAnsi="Arial"/>
        </w:rPr>
        <w:t xml:space="preserve"> (Accessed: 25 March 2026).</w:t>
      </w:r>
    </w:p>
    <w:p w14:paraId="62D8CD96" w14:textId="77777777" w:rsidR="007F3A9A" w:rsidRPr="007F3A9A" w:rsidRDefault="007F3A9A" w:rsidP="007F3A9A">
      <w:pPr>
        <w:spacing w:line="360" w:lineRule="auto"/>
        <w:rPr>
          <w:rFonts w:ascii="Arial" w:hAnsi="Arial"/>
        </w:rPr>
      </w:pPr>
      <w:r w:rsidRPr="007F3A9A">
        <w:rPr>
          <w:rFonts w:ascii="Arial" w:hAnsi="Arial"/>
        </w:rPr>
        <w:t xml:space="preserve">Hashizume, K., Rosado, D., Fernández-Medina, E. and Fernandez, E. (2013) ‘An analysis of security issues for cloud computing’, </w:t>
      </w:r>
      <w:r w:rsidRPr="007F3A9A">
        <w:rPr>
          <w:rFonts w:ascii="Arial" w:hAnsi="Arial"/>
          <w:i/>
          <w:iCs/>
        </w:rPr>
        <w:t>Journal of Internet Services and Applications</w:t>
      </w:r>
      <w:r w:rsidRPr="007F3A9A">
        <w:rPr>
          <w:rFonts w:ascii="Arial" w:hAnsi="Arial"/>
        </w:rPr>
        <w:t xml:space="preserve">, 4(1). Available at: </w:t>
      </w:r>
      <w:hyperlink r:id="rId24" w:tgtFrame="_new" w:history="1">
        <w:r w:rsidRPr="007F3A9A">
          <w:rPr>
            <w:rStyle w:val="Hyperlink"/>
            <w:rFonts w:ascii="Arial" w:hAnsi="Arial"/>
          </w:rPr>
          <w:t>https://link.springer.com/article/10.1186/1869-0238-4-5</w:t>
        </w:r>
      </w:hyperlink>
      <w:r w:rsidRPr="007F3A9A">
        <w:rPr>
          <w:rFonts w:ascii="Arial" w:hAnsi="Arial"/>
        </w:rPr>
        <w:t xml:space="preserve"> (Accessed: 19 March 2026).</w:t>
      </w:r>
    </w:p>
    <w:p w14:paraId="3253EF46" w14:textId="77777777" w:rsidR="007F3A9A" w:rsidRPr="007F3A9A" w:rsidRDefault="007F3A9A" w:rsidP="007F3A9A">
      <w:pPr>
        <w:spacing w:line="360" w:lineRule="auto"/>
        <w:rPr>
          <w:rFonts w:ascii="Arial" w:hAnsi="Arial"/>
        </w:rPr>
      </w:pPr>
      <w:r w:rsidRPr="007F3A9A">
        <w:rPr>
          <w:rFonts w:ascii="Arial" w:hAnsi="Arial"/>
        </w:rPr>
        <w:t xml:space="preserve">Information Commissioner’s Office (ICO) (2023) </w:t>
      </w:r>
      <w:r w:rsidRPr="007F3A9A">
        <w:rPr>
          <w:rFonts w:ascii="Arial" w:hAnsi="Arial"/>
          <w:i/>
          <w:iCs/>
        </w:rPr>
        <w:t>Data Protection Act 2018 guidance</w:t>
      </w:r>
      <w:r w:rsidRPr="007F3A9A">
        <w:rPr>
          <w:rFonts w:ascii="Arial" w:hAnsi="Arial"/>
        </w:rPr>
        <w:t xml:space="preserve">. Available at: </w:t>
      </w:r>
      <w:hyperlink r:id="rId25" w:tgtFrame="_new" w:history="1">
        <w:r w:rsidRPr="007F3A9A">
          <w:rPr>
            <w:rStyle w:val="Hyperlink"/>
            <w:rFonts w:ascii="Arial" w:hAnsi="Arial"/>
          </w:rPr>
          <w:t>https://ico.org.uk/about-the-ico/what-we-do/legislation-we-cover/data-protection-act-2018/</w:t>
        </w:r>
      </w:hyperlink>
      <w:r w:rsidRPr="007F3A9A">
        <w:rPr>
          <w:rFonts w:ascii="Arial" w:hAnsi="Arial"/>
        </w:rPr>
        <w:t xml:space="preserve"> (Accessed: 27 March 2026).</w:t>
      </w:r>
    </w:p>
    <w:p w14:paraId="590F2CF7" w14:textId="77777777" w:rsidR="007F3A9A" w:rsidRPr="007F3A9A" w:rsidRDefault="007F3A9A" w:rsidP="007F3A9A">
      <w:pPr>
        <w:spacing w:line="360" w:lineRule="auto"/>
        <w:rPr>
          <w:rFonts w:ascii="Arial" w:hAnsi="Arial"/>
        </w:rPr>
      </w:pPr>
      <w:r w:rsidRPr="007F3A9A">
        <w:rPr>
          <w:rFonts w:ascii="Arial" w:hAnsi="Arial"/>
        </w:rPr>
        <w:t xml:space="preserve">ISACA (2020) </w:t>
      </w:r>
      <w:r w:rsidRPr="007F3A9A">
        <w:rPr>
          <w:rFonts w:ascii="Arial" w:hAnsi="Arial"/>
          <w:i/>
          <w:iCs/>
        </w:rPr>
        <w:t>COBIT 2019 Framework: Governance and Management Objectives</w:t>
      </w:r>
      <w:r w:rsidRPr="007F3A9A">
        <w:rPr>
          <w:rFonts w:ascii="Arial" w:hAnsi="Arial"/>
        </w:rPr>
        <w:t xml:space="preserve">. Schaumburg, IL: ISACA. Available at: </w:t>
      </w:r>
      <w:hyperlink r:id="rId26" w:tgtFrame="_new" w:history="1">
        <w:r w:rsidRPr="007F3A9A">
          <w:rPr>
            <w:rStyle w:val="Hyperlink"/>
            <w:rFonts w:ascii="Arial" w:hAnsi="Arial"/>
          </w:rPr>
          <w:t>https://www.isaca.org/resources/cobit</w:t>
        </w:r>
      </w:hyperlink>
      <w:r w:rsidRPr="007F3A9A">
        <w:rPr>
          <w:rFonts w:ascii="Arial" w:hAnsi="Arial"/>
        </w:rPr>
        <w:t xml:space="preserve"> (Accessed: 22 March 2026).</w:t>
      </w:r>
    </w:p>
    <w:p w14:paraId="363CE615" w14:textId="77777777" w:rsidR="007F3A9A" w:rsidRPr="007F3A9A" w:rsidRDefault="007F3A9A" w:rsidP="007F3A9A">
      <w:pPr>
        <w:spacing w:line="360" w:lineRule="auto"/>
        <w:rPr>
          <w:rFonts w:ascii="Arial" w:hAnsi="Arial"/>
        </w:rPr>
      </w:pPr>
      <w:r w:rsidRPr="007F3A9A">
        <w:rPr>
          <w:rFonts w:ascii="Arial" w:hAnsi="Arial"/>
        </w:rPr>
        <w:t xml:space="preserve">ISO (2022) </w:t>
      </w:r>
      <w:r w:rsidRPr="007F3A9A">
        <w:rPr>
          <w:rFonts w:ascii="Arial" w:hAnsi="Arial"/>
          <w:i/>
          <w:iCs/>
        </w:rPr>
        <w:t>ISO/IEC 27001:2022 Information security, cybersecurity and privacy protection — Information security management systems — Requirements</w:t>
      </w:r>
      <w:r w:rsidRPr="007F3A9A">
        <w:rPr>
          <w:rFonts w:ascii="Arial" w:hAnsi="Arial"/>
        </w:rPr>
        <w:t xml:space="preserve">. Geneva: International Organization for Standardization. Available at: </w:t>
      </w:r>
      <w:hyperlink r:id="rId27" w:tgtFrame="_new" w:history="1">
        <w:r w:rsidRPr="007F3A9A">
          <w:rPr>
            <w:rStyle w:val="Hyperlink"/>
            <w:rFonts w:ascii="Arial" w:hAnsi="Arial"/>
          </w:rPr>
          <w:t>https://www.iso.org/standard/27001</w:t>
        </w:r>
      </w:hyperlink>
      <w:r w:rsidRPr="007F3A9A">
        <w:rPr>
          <w:rFonts w:ascii="Arial" w:hAnsi="Arial"/>
        </w:rPr>
        <w:t xml:space="preserve"> (Accessed: 24 March 2026).</w:t>
      </w:r>
    </w:p>
    <w:p w14:paraId="5953921D" w14:textId="77777777" w:rsidR="007F3A9A" w:rsidRPr="007F3A9A" w:rsidRDefault="007F3A9A" w:rsidP="007F3A9A">
      <w:pPr>
        <w:spacing w:line="360" w:lineRule="auto"/>
        <w:rPr>
          <w:rFonts w:ascii="Arial" w:hAnsi="Arial"/>
        </w:rPr>
      </w:pPr>
      <w:proofErr w:type="spellStart"/>
      <w:r w:rsidRPr="007F3A9A">
        <w:rPr>
          <w:rFonts w:ascii="Arial" w:hAnsi="Arial"/>
        </w:rPr>
        <w:t>Khusna</w:t>
      </w:r>
      <w:proofErr w:type="spellEnd"/>
      <w:r w:rsidRPr="007F3A9A">
        <w:rPr>
          <w:rFonts w:ascii="Arial" w:hAnsi="Arial"/>
        </w:rPr>
        <w:t xml:space="preserve">, Z. and Ali, S. (2020) </w:t>
      </w:r>
      <w:r w:rsidRPr="007F3A9A">
        <w:rPr>
          <w:rFonts w:ascii="Arial" w:hAnsi="Arial"/>
          <w:i/>
          <w:iCs/>
        </w:rPr>
        <w:t>Information technology governance in a sharia microfinance institution: An evaluation based on COBIT 5 framework</w:t>
      </w:r>
      <w:r w:rsidRPr="007F3A9A">
        <w:rPr>
          <w:rFonts w:ascii="Arial" w:hAnsi="Arial"/>
        </w:rPr>
        <w:t xml:space="preserve">. Available at: </w:t>
      </w:r>
      <w:hyperlink r:id="rId28" w:tgtFrame="_new" w:history="1">
        <w:r w:rsidRPr="007F3A9A">
          <w:rPr>
            <w:rStyle w:val="Hyperlink"/>
            <w:rFonts w:ascii="Arial" w:hAnsi="Arial"/>
          </w:rPr>
          <w:t>https://www.researchgate.net/figure/COBIT-5-Area-and-Domain_fig2_342557504</w:t>
        </w:r>
      </w:hyperlink>
      <w:r w:rsidRPr="007F3A9A">
        <w:rPr>
          <w:rFonts w:ascii="Arial" w:hAnsi="Arial"/>
        </w:rPr>
        <w:t xml:space="preserve"> (Accessed: 20 March 2026).</w:t>
      </w:r>
    </w:p>
    <w:p w14:paraId="76193E3F" w14:textId="77777777" w:rsidR="007F3A9A" w:rsidRPr="007F3A9A" w:rsidRDefault="007F3A9A" w:rsidP="007F3A9A">
      <w:pPr>
        <w:spacing w:line="360" w:lineRule="auto"/>
        <w:rPr>
          <w:rFonts w:ascii="Arial" w:hAnsi="Arial"/>
        </w:rPr>
      </w:pPr>
      <w:r w:rsidRPr="007F3A9A">
        <w:rPr>
          <w:rFonts w:ascii="Arial" w:hAnsi="Arial"/>
        </w:rPr>
        <w:t xml:space="preserve">Mukhopadhyay, A. and Jain, S. (2024) ‘Framework for cyber-risk insurance against ransomware’, </w:t>
      </w:r>
      <w:r w:rsidRPr="007F3A9A">
        <w:rPr>
          <w:rFonts w:ascii="Arial" w:hAnsi="Arial"/>
          <w:i/>
          <w:iCs/>
        </w:rPr>
        <w:t>International Journal of Information Management</w:t>
      </w:r>
      <w:r w:rsidRPr="007F3A9A">
        <w:rPr>
          <w:rFonts w:ascii="Arial" w:hAnsi="Arial"/>
        </w:rPr>
        <w:t xml:space="preserve">, 74, 102724. Available at: </w:t>
      </w:r>
      <w:hyperlink r:id="rId29" w:tgtFrame="_new" w:history="1">
        <w:r w:rsidRPr="007F3A9A">
          <w:rPr>
            <w:rStyle w:val="Hyperlink"/>
            <w:rFonts w:ascii="Arial" w:hAnsi="Arial"/>
          </w:rPr>
          <w:t>https://doi.org/10.1016/j.ijinfomgt.2023.102724</w:t>
        </w:r>
      </w:hyperlink>
      <w:r w:rsidRPr="007F3A9A">
        <w:rPr>
          <w:rFonts w:ascii="Arial" w:hAnsi="Arial"/>
        </w:rPr>
        <w:t xml:space="preserve"> (Accessed: 26 March 2026).</w:t>
      </w:r>
    </w:p>
    <w:p w14:paraId="4175DD50" w14:textId="77777777" w:rsidR="007F3A9A" w:rsidRPr="007F3A9A" w:rsidRDefault="007F3A9A" w:rsidP="007F3A9A">
      <w:pPr>
        <w:spacing w:line="360" w:lineRule="auto"/>
        <w:rPr>
          <w:rFonts w:ascii="Arial" w:hAnsi="Arial"/>
        </w:rPr>
      </w:pPr>
      <w:r w:rsidRPr="007F3A9A">
        <w:rPr>
          <w:rFonts w:ascii="Arial" w:hAnsi="Arial"/>
        </w:rPr>
        <w:t xml:space="preserve">National Cyber Security Centre (NCSC) (2023) </w:t>
      </w:r>
      <w:r w:rsidRPr="007F3A9A">
        <w:rPr>
          <w:rFonts w:ascii="Arial" w:hAnsi="Arial"/>
          <w:i/>
          <w:iCs/>
        </w:rPr>
        <w:t>Cyber Assessment Framework</w:t>
      </w:r>
      <w:r w:rsidRPr="007F3A9A">
        <w:rPr>
          <w:rFonts w:ascii="Arial" w:hAnsi="Arial"/>
        </w:rPr>
        <w:t xml:space="preserve">. Available at: </w:t>
      </w:r>
      <w:hyperlink r:id="rId30" w:tgtFrame="_new" w:history="1">
        <w:r w:rsidRPr="007F3A9A">
          <w:rPr>
            <w:rStyle w:val="Hyperlink"/>
            <w:rFonts w:ascii="Arial" w:hAnsi="Arial"/>
          </w:rPr>
          <w:t>https://www.ncsc.gov.uk/collection/cyber-assessment-framework</w:t>
        </w:r>
      </w:hyperlink>
      <w:r w:rsidRPr="007F3A9A">
        <w:rPr>
          <w:rFonts w:ascii="Arial" w:hAnsi="Arial"/>
        </w:rPr>
        <w:t xml:space="preserve"> (Accessed: 2 April 2026).</w:t>
      </w:r>
    </w:p>
    <w:p w14:paraId="61B82B97" w14:textId="77777777" w:rsidR="007F3A9A" w:rsidRPr="007F3A9A" w:rsidRDefault="007F3A9A" w:rsidP="007F3A9A">
      <w:pPr>
        <w:spacing w:line="360" w:lineRule="auto"/>
        <w:rPr>
          <w:rFonts w:ascii="Arial" w:hAnsi="Arial"/>
        </w:rPr>
      </w:pPr>
      <w:r w:rsidRPr="007F3A9A">
        <w:rPr>
          <w:rFonts w:ascii="Arial" w:hAnsi="Arial"/>
        </w:rPr>
        <w:lastRenderedPageBreak/>
        <w:t xml:space="preserve">National Institute of Standards and Technology (NIST) (2024) </w:t>
      </w:r>
      <w:r w:rsidRPr="007F3A9A">
        <w:rPr>
          <w:rFonts w:ascii="Arial" w:hAnsi="Arial"/>
          <w:i/>
          <w:iCs/>
        </w:rPr>
        <w:t>Cybersecurity Framework</w:t>
      </w:r>
      <w:r w:rsidRPr="007F3A9A">
        <w:rPr>
          <w:rFonts w:ascii="Arial" w:hAnsi="Arial"/>
        </w:rPr>
        <w:t xml:space="preserve">. Available at: </w:t>
      </w:r>
      <w:hyperlink r:id="rId31" w:tgtFrame="_new" w:history="1">
        <w:r w:rsidRPr="007F3A9A">
          <w:rPr>
            <w:rStyle w:val="Hyperlink"/>
            <w:rFonts w:ascii="Arial" w:hAnsi="Arial"/>
          </w:rPr>
          <w:t>https://www.nist.gov/cyberframework</w:t>
        </w:r>
      </w:hyperlink>
      <w:r w:rsidRPr="007F3A9A">
        <w:rPr>
          <w:rFonts w:ascii="Arial" w:hAnsi="Arial"/>
        </w:rPr>
        <w:t xml:space="preserve"> (Accessed: 21 March 2026).</w:t>
      </w:r>
    </w:p>
    <w:p w14:paraId="716D1E6A" w14:textId="77777777" w:rsidR="007F3A9A" w:rsidRPr="007F3A9A" w:rsidRDefault="007F3A9A" w:rsidP="007F3A9A">
      <w:pPr>
        <w:spacing w:line="360" w:lineRule="auto"/>
        <w:rPr>
          <w:rFonts w:ascii="Arial" w:hAnsi="Arial"/>
        </w:rPr>
      </w:pPr>
      <w:r w:rsidRPr="007F3A9A">
        <w:rPr>
          <w:rFonts w:ascii="Arial" w:hAnsi="Arial"/>
        </w:rPr>
        <w:t xml:space="preserve">National Institute of Standards and Technology (NIST) (2024) </w:t>
      </w:r>
      <w:r w:rsidRPr="007F3A9A">
        <w:rPr>
          <w:rFonts w:ascii="Arial" w:hAnsi="Arial"/>
          <w:i/>
          <w:iCs/>
        </w:rPr>
        <w:t>The NIST Cybersecurity Framework (CSF) 2.0</w:t>
      </w:r>
      <w:r w:rsidRPr="007F3A9A">
        <w:rPr>
          <w:rFonts w:ascii="Arial" w:hAnsi="Arial"/>
        </w:rPr>
        <w:t xml:space="preserve">. Gaithersburg, MD: National Institute of Standards and Technology. Available at: </w:t>
      </w:r>
      <w:hyperlink r:id="rId32" w:tgtFrame="_new" w:history="1">
        <w:r w:rsidRPr="007F3A9A">
          <w:rPr>
            <w:rStyle w:val="Hyperlink"/>
            <w:rFonts w:ascii="Arial" w:hAnsi="Arial"/>
          </w:rPr>
          <w:t>https://doi.org/10.6028/NIST.CSWP.29</w:t>
        </w:r>
      </w:hyperlink>
      <w:r w:rsidRPr="007F3A9A">
        <w:rPr>
          <w:rFonts w:ascii="Arial" w:hAnsi="Arial"/>
        </w:rPr>
        <w:t xml:space="preserve"> (Accessed: 25 March 2026).</w:t>
      </w:r>
    </w:p>
    <w:p w14:paraId="0234AB31" w14:textId="77777777" w:rsidR="007F3A9A" w:rsidRPr="007F3A9A" w:rsidRDefault="007F3A9A" w:rsidP="007F3A9A">
      <w:pPr>
        <w:spacing w:line="360" w:lineRule="auto"/>
        <w:rPr>
          <w:rFonts w:ascii="Arial" w:hAnsi="Arial"/>
        </w:rPr>
      </w:pPr>
      <w:r w:rsidRPr="007F3A9A">
        <w:rPr>
          <w:rFonts w:ascii="Arial" w:hAnsi="Arial"/>
        </w:rPr>
        <w:t xml:space="preserve">Pagán Jr., A. and Elleithy, K. (2021) ‘A multi-layered </w:t>
      </w:r>
      <w:proofErr w:type="spellStart"/>
      <w:r w:rsidRPr="007F3A9A">
        <w:rPr>
          <w:rFonts w:ascii="Arial" w:hAnsi="Arial"/>
        </w:rPr>
        <w:t>defense</w:t>
      </w:r>
      <w:proofErr w:type="spellEnd"/>
      <w:r w:rsidRPr="007F3A9A">
        <w:rPr>
          <w:rFonts w:ascii="Arial" w:hAnsi="Arial"/>
        </w:rPr>
        <w:t xml:space="preserve"> approach to safeguard against ransomware’, </w:t>
      </w:r>
      <w:r w:rsidRPr="007F3A9A">
        <w:rPr>
          <w:rFonts w:ascii="Arial" w:hAnsi="Arial"/>
          <w:i/>
          <w:iCs/>
        </w:rPr>
        <w:t>Proceedings of the 2021 IEEE 11th Annual Computing and Communication Workshop and Conference (CCWC)</w:t>
      </w:r>
      <w:r w:rsidRPr="007F3A9A">
        <w:rPr>
          <w:rFonts w:ascii="Arial" w:hAnsi="Arial"/>
        </w:rPr>
        <w:t>, January 2021. Available at: ResearchGate (Accessed: 23 March 2026).</w:t>
      </w:r>
    </w:p>
    <w:p w14:paraId="399832D2" w14:textId="77777777" w:rsidR="007F3A9A" w:rsidRPr="007F3A9A" w:rsidRDefault="007F3A9A" w:rsidP="007F3A9A">
      <w:pPr>
        <w:spacing w:line="360" w:lineRule="auto"/>
        <w:rPr>
          <w:rFonts w:ascii="Arial" w:hAnsi="Arial"/>
        </w:rPr>
      </w:pPr>
      <w:r w:rsidRPr="007F3A9A">
        <w:rPr>
          <w:rFonts w:ascii="Arial" w:hAnsi="Arial"/>
        </w:rPr>
        <w:t xml:space="preserve">Rose, S., Borchert, O., Mitchell, S. and Connelly, S. (2020) </w:t>
      </w:r>
      <w:r w:rsidRPr="007F3A9A">
        <w:rPr>
          <w:rFonts w:ascii="Arial" w:hAnsi="Arial"/>
          <w:i/>
          <w:iCs/>
        </w:rPr>
        <w:t>Zero Trust Architecture</w:t>
      </w:r>
      <w:r w:rsidRPr="007F3A9A">
        <w:rPr>
          <w:rFonts w:ascii="Arial" w:hAnsi="Arial"/>
        </w:rPr>
        <w:t xml:space="preserve">. NIST Special Publication 800-207. Available at: </w:t>
      </w:r>
      <w:hyperlink r:id="rId33" w:tgtFrame="_new" w:history="1">
        <w:r w:rsidRPr="007F3A9A">
          <w:rPr>
            <w:rStyle w:val="Hyperlink"/>
            <w:rFonts w:ascii="Arial" w:hAnsi="Arial"/>
          </w:rPr>
          <w:t>https://nvlpubs.nist.gov/nistpubs/SpecialPublications/NIST.SP.800-207.pdf</w:t>
        </w:r>
      </w:hyperlink>
      <w:r w:rsidRPr="007F3A9A">
        <w:rPr>
          <w:rFonts w:ascii="Arial" w:hAnsi="Arial"/>
        </w:rPr>
        <w:t xml:space="preserve"> (Accessed: 19 March 2026).</w:t>
      </w:r>
    </w:p>
    <w:p w14:paraId="1EE268BA" w14:textId="77777777" w:rsidR="007F3A9A" w:rsidRPr="007F3A9A" w:rsidRDefault="007F3A9A" w:rsidP="007F3A9A">
      <w:pPr>
        <w:spacing w:line="360" w:lineRule="auto"/>
        <w:rPr>
          <w:rFonts w:ascii="Arial" w:hAnsi="Arial"/>
        </w:rPr>
      </w:pPr>
      <w:r w:rsidRPr="007F3A9A">
        <w:rPr>
          <w:rFonts w:ascii="Arial" w:hAnsi="Arial"/>
        </w:rPr>
        <w:t xml:space="preserve">Soomro, Z.A., Shah, M.H. and Ahmed, J. (2016) ‘Information security management needs more holistic approach: A literature review’, </w:t>
      </w:r>
      <w:r w:rsidRPr="007F3A9A">
        <w:rPr>
          <w:rFonts w:ascii="Arial" w:hAnsi="Arial"/>
          <w:i/>
          <w:iCs/>
        </w:rPr>
        <w:t>International Journal of Information Management</w:t>
      </w:r>
      <w:r w:rsidRPr="007F3A9A">
        <w:rPr>
          <w:rFonts w:ascii="Arial" w:hAnsi="Arial"/>
        </w:rPr>
        <w:t xml:space="preserve">, 36(2), pp. 215–225. Available at: </w:t>
      </w:r>
      <w:hyperlink r:id="rId34" w:tgtFrame="_new" w:history="1">
        <w:r w:rsidRPr="007F3A9A">
          <w:rPr>
            <w:rStyle w:val="Hyperlink"/>
            <w:rFonts w:ascii="Arial" w:hAnsi="Arial"/>
          </w:rPr>
          <w:t>https://doi.org/10.1016/j.ijinfomgt.2015.11.009</w:t>
        </w:r>
      </w:hyperlink>
      <w:r w:rsidRPr="007F3A9A">
        <w:rPr>
          <w:rFonts w:ascii="Arial" w:hAnsi="Arial"/>
        </w:rPr>
        <w:t xml:space="preserve"> (Accessed: 27 March 2026).</w:t>
      </w:r>
    </w:p>
    <w:sectPr w:rsidR="007F3A9A" w:rsidRPr="007F3A9A" w:rsidSect="003665BD">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BEEF1" w14:textId="77777777" w:rsidR="00A720F5" w:rsidRDefault="00A720F5" w:rsidP="00250BB5">
      <w:pPr>
        <w:spacing w:after="0" w:line="240" w:lineRule="auto"/>
      </w:pPr>
      <w:r>
        <w:separator/>
      </w:r>
    </w:p>
  </w:endnote>
  <w:endnote w:type="continuationSeparator" w:id="0">
    <w:p w14:paraId="7E9AE87E" w14:textId="77777777" w:rsidR="00A720F5" w:rsidRDefault="00A720F5" w:rsidP="00250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4515682"/>
      <w:docPartObj>
        <w:docPartGallery w:val="Page Numbers (Bottom of Page)"/>
        <w:docPartUnique/>
      </w:docPartObj>
    </w:sdtPr>
    <w:sdtEndPr>
      <w:rPr>
        <w:noProof/>
      </w:rPr>
    </w:sdtEndPr>
    <w:sdtContent>
      <w:p w14:paraId="000F5984" w14:textId="67AB0CAC" w:rsidR="00250BB5" w:rsidRDefault="00250B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576F6F" w14:textId="77777777" w:rsidR="00250BB5" w:rsidRDefault="00250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4DCF22" w14:textId="77777777" w:rsidR="00A720F5" w:rsidRDefault="00A720F5" w:rsidP="00250BB5">
      <w:pPr>
        <w:spacing w:after="0" w:line="240" w:lineRule="auto"/>
      </w:pPr>
      <w:r>
        <w:separator/>
      </w:r>
    </w:p>
  </w:footnote>
  <w:footnote w:type="continuationSeparator" w:id="0">
    <w:p w14:paraId="47BD8E00" w14:textId="77777777" w:rsidR="00A720F5" w:rsidRDefault="00A720F5" w:rsidP="00250B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A2675"/>
    <w:multiLevelType w:val="hybridMultilevel"/>
    <w:tmpl w:val="2CC00D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A6D5A"/>
    <w:multiLevelType w:val="multilevel"/>
    <w:tmpl w:val="EB0CE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C3885"/>
    <w:multiLevelType w:val="hybridMultilevel"/>
    <w:tmpl w:val="1AFEE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AD73A4"/>
    <w:multiLevelType w:val="multilevel"/>
    <w:tmpl w:val="38AEF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891228"/>
    <w:multiLevelType w:val="multilevel"/>
    <w:tmpl w:val="64CA1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D90DAF"/>
    <w:multiLevelType w:val="multilevel"/>
    <w:tmpl w:val="53182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5426E2"/>
    <w:multiLevelType w:val="multilevel"/>
    <w:tmpl w:val="EAAED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465836"/>
    <w:multiLevelType w:val="hybridMultilevel"/>
    <w:tmpl w:val="AEE88E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5406064">
    <w:abstractNumId w:val="5"/>
  </w:num>
  <w:num w:numId="2" w16cid:durableId="1801261466">
    <w:abstractNumId w:val="3"/>
  </w:num>
  <w:num w:numId="3" w16cid:durableId="1416321609">
    <w:abstractNumId w:val="1"/>
  </w:num>
  <w:num w:numId="4" w16cid:durableId="1153715416">
    <w:abstractNumId w:val="6"/>
  </w:num>
  <w:num w:numId="5" w16cid:durableId="423844877">
    <w:abstractNumId w:val="4"/>
  </w:num>
  <w:num w:numId="6" w16cid:durableId="315571873">
    <w:abstractNumId w:val="7"/>
  </w:num>
  <w:num w:numId="7" w16cid:durableId="7604047">
    <w:abstractNumId w:val="2"/>
  </w:num>
  <w:num w:numId="8" w16cid:durableId="2013951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13C"/>
    <w:rsid w:val="000F7512"/>
    <w:rsid w:val="00137B05"/>
    <w:rsid w:val="00211F2D"/>
    <w:rsid w:val="00250BB5"/>
    <w:rsid w:val="0026395A"/>
    <w:rsid w:val="003076FD"/>
    <w:rsid w:val="00363C99"/>
    <w:rsid w:val="003665BD"/>
    <w:rsid w:val="0037497C"/>
    <w:rsid w:val="003D0287"/>
    <w:rsid w:val="003D6ED7"/>
    <w:rsid w:val="00415ABD"/>
    <w:rsid w:val="0044611D"/>
    <w:rsid w:val="004838C7"/>
    <w:rsid w:val="004D5369"/>
    <w:rsid w:val="004F31A4"/>
    <w:rsid w:val="00573AD7"/>
    <w:rsid w:val="005E1576"/>
    <w:rsid w:val="006721A5"/>
    <w:rsid w:val="00687639"/>
    <w:rsid w:val="00753E3B"/>
    <w:rsid w:val="007F1EB3"/>
    <w:rsid w:val="007F3A9A"/>
    <w:rsid w:val="00801281"/>
    <w:rsid w:val="008375CD"/>
    <w:rsid w:val="00874382"/>
    <w:rsid w:val="008B1D6E"/>
    <w:rsid w:val="008C1A05"/>
    <w:rsid w:val="0095690E"/>
    <w:rsid w:val="00967811"/>
    <w:rsid w:val="009C389F"/>
    <w:rsid w:val="00A12119"/>
    <w:rsid w:val="00A720F5"/>
    <w:rsid w:val="00A8098B"/>
    <w:rsid w:val="00B24EEE"/>
    <w:rsid w:val="00B4496A"/>
    <w:rsid w:val="00B6313C"/>
    <w:rsid w:val="00BA1F67"/>
    <w:rsid w:val="00BA6C8F"/>
    <w:rsid w:val="00BD13D6"/>
    <w:rsid w:val="00BF121C"/>
    <w:rsid w:val="00C12B5A"/>
    <w:rsid w:val="00DE7357"/>
    <w:rsid w:val="00E01F07"/>
    <w:rsid w:val="00EF1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6341F"/>
  <w15:chartTrackingRefBased/>
  <w15:docId w15:val="{EB5FCB48-81A5-417E-81B3-3D9F1B5C8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1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31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1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1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1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1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1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1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1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1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31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1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1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1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1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1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1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13C"/>
    <w:rPr>
      <w:rFonts w:eastAsiaTheme="majorEastAsia" w:cstheme="majorBidi"/>
      <w:color w:val="272727" w:themeColor="text1" w:themeTint="D8"/>
    </w:rPr>
  </w:style>
  <w:style w:type="paragraph" w:styleId="Title">
    <w:name w:val="Title"/>
    <w:basedOn w:val="Normal"/>
    <w:next w:val="Normal"/>
    <w:link w:val="TitleChar"/>
    <w:uiPriority w:val="10"/>
    <w:qFormat/>
    <w:rsid w:val="00B631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1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1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1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13C"/>
    <w:pPr>
      <w:spacing w:before="160"/>
      <w:jc w:val="center"/>
    </w:pPr>
    <w:rPr>
      <w:i/>
      <w:iCs/>
      <w:color w:val="404040" w:themeColor="text1" w:themeTint="BF"/>
    </w:rPr>
  </w:style>
  <w:style w:type="character" w:customStyle="1" w:styleId="QuoteChar">
    <w:name w:val="Quote Char"/>
    <w:basedOn w:val="DefaultParagraphFont"/>
    <w:link w:val="Quote"/>
    <w:uiPriority w:val="29"/>
    <w:rsid w:val="00B6313C"/>
    <w:rPr>
      <w:i/>
      <w:iCs/>
      <w:color w:val="404040" w:themeColor="text1" w:themeTint="BF"/>
    </w:rPr>
  </w:style>
  <w:style w:type="paragraph" w:styleId="ListParagraph">
    <w:name w:val="List Paragraph"/>
    <w:basedOn w:val="Normal"/>
    <w:uiPriority w:val="34"/>
    <w:qFormat/>
    <w:rsid w:val="00B6313C"/>
    <w:pPr>
      <w:ind w:left="720"/>
      <w:contextualSpacing/>
    </w:pPr>
  </w:style>
  <w:style w:type="character" w:styleId="IntenseEmphasis">
    <w:name w:val="Intense Emphasis"/>
    <w:basedOn w:val="DefaultParagraphFont"/>
    <w:uiPriority w:val="21"/>
    <w:qFormat/>
    <w:rsid w:val="00B6313C"/>
    <w:rPr>
      <w:i/>
      <w:iCs/>
      <w:color w:val="0F4761" w:themeColor="accent1" w:themeShade="BF"/>
    </w:rPr>
  </w:style>
  <w:style w:type="paragraph" w:styleId="IntenseQuote">
    <w:name w:val="Intense Quote"/>
    <w:basedOn w:val="Normal"/>
    <w:next w:val="Normal"/>
    <w:link w:val="IntenseQuoteChar"/>
    <w:uiPriority w:val="30"/>
    <w:qFormat/>
    <w:rsid w:val="00B631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13C"/>
    <w:rPr>
      <w:i/>
      <w:iCs/>
      <w:color w:val="0F4761" w:themeColor="accent1" w:themeShade="BF"/>
    </w:rPr>
  </w:style>
  <w:style w:type="character" w:styleId="IntenseReference">
    <w:name w:val="Intense Reference"/>
    <w:basedOn w:val="DefaultParagraphFont"/>
    <w:uiPriority w:val="32"/>
    <w:qFormat/>
    <w:rsid w:val="00B6313C"/>
    <w:rPr>
      <w:b/>
      <w:bCs/>
      <w:smallCaps/>
      <w:color w:val="0F4761" w:themeColor="accent1" w:themeShade="BF"/>
      <w:spacing w:val="5"/>
    </w:rPr>
  </w:style>
  <w:style w:type="character" w:styleId="Hyperlink">
    <w:name w:val="Hyperlink"/>
    <w:basedOn w:val="DefaultParagraphFont"/>
    <w:uiPriority w:val="99"/>
    <w:unhideWhenUsed/>
    <w:rsid w:val="00EF1035"/>
    <w:rPr>
      <w:color w:val="467886" w:themeColor="hyperlink"/>
      <w:u w:val="single"/>
    </w:rPr>
  </w:style>
  <w:style w:type="character" w:styleId="UnresolvedMention">
    <w:name w:val="Unresolved Mention"/>
    <w:basedOn w:val="DefaultParagraphFont"/>
    <w:uiPriority w:val="99"/>
    <w:semiHidden/>
    <w:unhideWhenUsed/>
    <w:rsid w:val="00EF1035"/>
    <w:rPr>
      <w:color w:val="605E5C"/>
      <w:shd w:val="clear" w:color="auto" w:fill="E1DFDD"/>
    </w:rPr>
  </w:style>
  <w:style w:type="table" w:styleId="TableGrid">
    <w:name w:val="Table Grid"/>
    <w:basedOn w:val="TableNormal"/>
    <w:uiPriority w:val="39"/>
    <w:rsid w:val="00EF10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D5369"/>
    <w:rPr>
      <w:color w:val="96607D" w:themeColor="followedHyperlink"/>
      <w:u w:val="single"/>
    </w:rPr>
  </w:style>
  <w:style w:type="paragraph" w:styleId="Caption">
    <w:name w:val="caption"/>
    <w:basedOn w:val="Normal"/>
    <w:next w:val="Normal"/>
    <w:uiPriority w:val="35"/>
    <w:unhideWhenUsed/>
    <w:qFormat/>
    <w:rsid w:val="00211F2D"/>
    <w:pPr>
      <w:spacing w:after="200" w:line="240" w:lineRule="auto"/>
    </w:pPr>
    <w:rPr>
      <w:i/>
      <w:iCs/>
      <w:color w:val="0E2841" w:themeColor="text2"/>
      <w:sz w:val="18"/>
      <w:szCs w:val="18"/>
    </w:rPr>
  </w:style>
  <w:style w:type="table" w:styleId="GridTable5Dark-Accent5">
    <w:name w:val="Grid Table 5 Dark Accent 5"/>
    <w:basedOn w:val="TableNormal"/>
    <w:uiPriority w:val="50"/>
    <w:rsid w:val="00573AD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styleId="NormalWeb">
    <w:name w:val="Normal (Web)"/>
    <w:basedOn w:val="Normal"/>
    <w:uiPriority w:val="99"/>
    <w:semiHidden/>
    <w:unhideWhenUsed/>
    <w:rsid w:val="0044611D"/>
    <w:rPr>
      <w:rFonts w:ascii="Times New Roman" w:hAnsi="Times New Roman" w:cs="Times New Roman"/>
    </w:rPr>
  </w:style>
  <w:style w:type="paragraph" w:styleId="TOCHeading">
    <w:name w:val="TOC Heading"/>
    <w:basedOn w:val="Heading1"/>
    <w:next w:val="Normal"/>
    <w:uiPriority w:val="39"/>
    <w:unhideWhenUsed/>
    <w:qFormat/>
    <w:rsid w:val="006721A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721A5"/>
    <w:pPr>
      <w:spacing w:after="100"/>
    </w:pPr>
  </w:style>
  <w:style w:type="paragraph" w:styleId="TOC2">
    <w:name w:val="toc 2"/>
    <w:basedOn w:val="Normal"/>
    <w:next w:val="Normal"/>
    <w:autoRedefine/>
    <w:uiPriority w:val="39"/>
    <w:unhideWhenUsed/>
    <w:rsid w:val="006721A5"/>
    <w:pPr>
      <w:spacing w:after="100"/>
      <w:ind w:left="240"/>
    </w:pPr>
  </w:style>
  <w:style w:type="paragraph" w:styleId="NoSpacing">
    <w:name w:val="No Spacing"/>
    <w:link w:val="NoSpacingChar"/>
    <w:uiPriority w:val="1"/>
    <w:qFormat/>
    <w:rsid w:val="003665B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665BD"/>
    <w:rPr>
      <w:rFonts w:eastAsiaTheme="minorEastAsia"/>
      <w:kern w:val="0"/>
      <w:sz w:val="22"/>
      <w:szCs w:val="22"/>
      <w:lang w:val="en-US"/>
      <w14:ligatures w14:val="none"/>
    </w:rPr>
  </w:style>
  <w:style w:type="paragraph" w:styleId="Header">
    <w:name w:val="header"/>
    <w:basedOn w:val="Normal"/>
    <w:link w:val="HeaderChar"/>
    <w:uiPriority w:val="99"/>
    <w:unhideWhenUsed/>
    <w:rsid w:val="00250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BB5"/>
  </w:style>
  <w:style w:type="paragraph" w:styleId="Footer">
    <w:name w:val="footer"/>
    <w:basedOn w:val="Normal"/>
    <w:link w:val="FooterChar"/>
    <w:uiPriority w:val="99"/>
    <w:unhideWhenUsed/>
    <w:rsid w:val="00250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B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07/978-3-030-25918-1_5" TargetMode="External"/><Relationship Id="rId26" Type="http://schemas.openxmlformats.org/officeDocument/2006/relationships/hyperlink" Target="https://www.isaca.org/resources/cobit" TargetMode="External"/><Relationship Id="rId21" Type="http://schemas.openxmlformats.org/officeDocument/2006/relationships/hyperlink" Target="https://hidirerbay.wordpress.com/2015/03/21/worldofit/" TargetMode="External"/><Relationship Id="rId34" Type="http://schemas.openxmlformats.org/officeDocument/2006/relationships/hyperlink" Target="https://doi.org/10.1016/j.ijinfomgt.2015.11.009"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cisecurity.org/controls/v8" TargetMode="External"/><Relationship Id="rId25" Type="http://schemas.openxmlformats.org/officeDocument/2006/relationships/hyperlink" Target="https://ico.org.uk/about-the-ico/what-we-do/legislation-we-cover/data-protection-act-2018/" TargetMode="External"/><Relationship Id="rId33" Type="http://schemas.openxmlformats.org/officeDocument/2006/relationships/hyperlink" Target="https://nvlpubs.nist.gov/nistpubs/SpecialPublications/NIST.SP.800-207.pdf" TargetMode="External"/><Relationship Id="rId2" Type="http://schemas.openxmlformats.org/officeDocument/2006/relationships/numbering" Target="numbering.xml"/><Relationship Id="rId16" Type="http://schemas.openxmlformats.org/officeDocument/2006/relationships/hyperlink" Target="https://sync.appfluence.com/templates/cybersecurity-risk-matrix/" TargetMode="External"/><Relationship Id="rId20" Type="http://schemas.openxmlformats.org/officeDocument/2006/relationships/hyperlink" Target="https://www.enisa.europa.eu/publications/enisa-threat-landscape-2022" TargetMode="External"/><Relationship Id="rId29" Type="http://schemas.openxmlformats.org/officeDocument/2006/relationships/hyperlink" Target="https://doi.org/10.1016/j.ijinfomgt.2023.1027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link.springer.com/article/10.1186/1869-0238-4-5" TargetMode="External"/><Relationship Id="rId32" Type="http://schemas.openxmlformats.org/officeDocument/2006/relationships/hyperlink" Target="https://doi.org/10.6028/NIST.CSWP.2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fca.org.uk/firms/operational-resilience" TargetMode="External"/><Relationship Id="rId28" Type="http://schemas.openxmlformats.org/officeDocument/2006/relationships/hyperlink" Target="https://www.researchgate.net/figure/COBIT-5-Area-and-Domain_fig2_342557504"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digitaloctopii.com/blog/what-is-isms/how-to-implement-isms-iso-27001/" TargetMode="External"/><Relationship Id="rId31" Type="http://schemas.openxmlformats.org/officeDocument/2006/relationships/hyperlink" Target="https://www.nist.gov/cyberframewor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commission.europa.eu/law/law-topic/data-protection_en" TargetMode="External"/><Relationship Id="rId27" Type="http://schemas.openxmlformats.org/officeDocument/2006/relationships/hyperlink" Target="https://www.iso.org/standard/27001" TargetMode="External"/><Relationship Id="rId30" Type="http://schemas.openxmlformats.org/officeDocument/2006/relationships/hyperlink" Target="https://www.ncsc.gov.uk/collection/cyber-assessment-framework"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629F5C-8A38-4FF9-A62C-8BB799015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5200</Words>
  <Characters>29645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Data Security, Governance and Compliance</vt:lpstr>
    </vt:vector>
  </TitlesOfParts>
  <Company/>
  <LinksUpToDate>false</LinksUpToDate>
  <CharactersWithSpaces>34776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Governance and Compliance</dc:title>
  <dc:subject>MSc Data and Artificial Intelligence</dc:subject>
  <dc:creator>Iftekhar Rashid</dc:creator>
  <cp:keywords/>
  <dc:description/>
  <cp:lastModifiedBy>Iftekhar Rashid</cp:lastModifiedBy>
  <cp:revision>25</cp:revision>
  <dcterms:created xsi:type="dcterms:W3CDTF">2026-03-27T12:39:00Z</dcterms:created>
  <dcterms:modified xsi:type="dcterms:W3CDTF">2026-04-02T05:09:00Z</dcterms:modified>
</cp:coreProperties>
</file>