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png" ContentType="image/png"/>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jc w:val="center"/>
        <w:rPr>
          <w:rFonts w:ascii="Arial" w:cs="Arial" w:hAnsi="Arial"/>
          <w:b/>
          <w:bCs/>
          <w:sz w:val="40"/>
          <w:szCs w:val="40"/>
          <w:lang w:val="en-GB"/>
        </w:rPr>
      </w:pPr>
      <w:r>
        <w:rPr>
          <w:rFonts w:ascii="Arial" w:cs="Arial" w:hAnsi="Arial"/>
          <w:b/>
          <w:bCs/>
          <w:sz w:val="40"/>
          <w:szCs w:val="40"/>
          <w:lang w:val="en-GB"/>
        </w:rPr>
        <w:t>BMSW 4005</w:t>
      </w:r>
    </w:p>
    <w:p>
      <w:pPr>
        <w:jc w:val="center"/>
        <w:rPr>
          <w:rFonts w:ascii="Arial" w:cs="Arial" w:hAnsi="Arial"/>
          <w:b/>
          <w:bCs/>
          <w:sz w:val="40"/>
          <w:szCs w:val="40"/>
          <w:lang w:val="en-GB"/>
        </w:rPr>
      </w:pPr>
      <w:r>
        <w:rPr>
          <w:rFonts w:ascii="Arial" w:cs="Arial" w:hAnsi="Arial"/>
          <w:b/>
          <w:bCs/>
          <w:sz w:val="40"/>
          <w:szCs w:val="40"/>
          <w:lang w:val="en-GB"/>
        </w:rPr>
        <w:t>PROFESIONAL CARER DEVELOPMENT</w:t>
      </w:r>
    </w:p>
    <w:p>
      <w:pPr>
        <w:jc w:val="center"/>
        <w:rPr>
          <w:rFonts w:ascii="Arial" w:cs="Arial" w:hAnsi="Arial"/>
          <w:b/>
          <w:bCs/>
          <w:sz w:val="40"/>
          <w:szCs w:val="40"/>
          <w:lang w:val="en-GB"/>
        </w:rPr>
      </w:pPr>
      <w:r>
        <w:rPr>
          <w:rFonts w:ascii="Arial" w:cs="Arial" w:hAnsi="Arial"/>
          <w:b/>
          <w:bCs/>
          <w:sz w:val="40"/>
          <w:szCs w:val="40"/>
          <w:lang w:val="en-GB"/>
        </w:rPr>
        <w:t>BY MIHAI MARIUTA</w:t>
      </w:r>
    </w:p>
    <w:p>
      <w:pPr>
        <w:jc w:val="center"/>
        <w:rPr>
          <w:rFonts w:ascii="Arial" w:cs="Arial" w:hAnsi="Arial"/>
          <w:b/>
          <w:bCs/>
          <w:sz w:val="40"/>
          <w:szCs w:val="40"/>
          <w:lang w:val="en-GB"/>
        </w:rPr>
      </w:pPr>
      <w:r>
        <w:rPr>
          <w:rFonts w:ascii="Arial" w:cs="Arial" w:hAnsi="Arial"/>
          <w:b/>
          <w:bCs/>
          <w:sz w:val="40"/>
          <w:szCs w:val="40"/>
          <w:lang w:val="en-GB"/>
        </w:rPr>
        <w:t>STUDENT NR:1920013</w:t>
      </w: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jc w:val="center"/>
        <w:rPr>
          <w:rFonts w:ascii="Arial" w:cs="Arial" w:hAnsi="Arial"/>
          <w:b/>
          <w:bCs/>
          <w:sz w:val="40"/>
          <w:szCs w:val="40"/>
          <w:lang w:val="en-GB"/>
        </w:rPr>
      </w:pPr>
    </w:p>
    <w:p>
      <w:pPr>
        <w:pStyle w:val="TOCHeading"/>
        <w:rPr>
          <w:rFonts w:ascii="Arial" w:cs="Arial" w:hAnsi="Arial"/>
          <w:b/>
          <w:bCs/>
        </w:rPr>
      </w:pPr>
      <w:r>
        <w:rPr>
          <w:rFonts w:ascii="Arial" w:cs="Arial" w:hAnsi="Arial"/>
          <w:b/>
          <w:bCs/>
        </w:rPr>
        <w:t>Table of Contents</w:t>
      </w:r>
    </w:p>
    <w:p>
      <w:pPr>
        <w:pStyle w:val="Toc1"/>
        <w:tabs>
          <w:tab w:val="right" w:leader="dot" w:pos="9350"/>
        </w:tabs>
        <w:rPr>
          <w:rFonts w:ascii="Arial" w:cs="Arial" w:eastAsiaTheme="minorEastAsia" w:hAnsi="Arial"/>
        </w:rPr>
      </w:pPr>
      <w:r>
        <w:fldChar w:fldCharType="begin"/>
      </w:r>
      <w:r>
        <w:instrText xml:space="preserve"> TOC \o "1-3" \h \z \u </w:instrText>
      </w:r>
      <w:r>
        <w:fldChar w:fldCharType="separate"/>
      </w:r>
      <w:r>
        <w:fldChar w:fldCharType="begin"/>
      </w:r>
      <w:r>
        <w:instrText xml:space="preserve">HYPERLINK \l "_Toc70146395" </w:instrText>
      </w:r>
      <w:r>
        <w:fldChar w:fldCharType="separate"/>
      </w:r>
      <w:r>
        <w:rPr>
          <w:rStyle w:val="Hyperlink"/>
          <w:rFonts w:ascii="Arial" w:cs="Arial" w:hAnsi="Arial"/>
          <w:b/>
          <w:bCs/>
          <w:lang w:val="en-GB"/>
        </w:rPr>
        <w:t>Career Development and Planning:</w:t>
      </w:r>
      <w:r>
        <w:rPr>
          <w:rFonts w:ascii="Arial" w:cs="Arial" w:hAnsi="Arial"/>
        </w:rPr>
        <w:tab/>
      </w:r>
      <w:r>
        <w:fldChar w:fldCharType="begin"/>
      </w:r>
      <w:r>
        <w:instrText xml:space="preserve"> PAGEREF _Toc70146395 \h </w:instrText>
      </w:r>
      <w:r>
        <w:fldChar w:fldCharType="separate"/>
      </w:r>
      <w:r>
        <w:rPr>
          <w:rFonts w:ascii="Arial" w:cs="Arial" w:hAnsi="Arial"/>
        </w:rPr>
        <w:t>3</w:t>
      </w:r>
      <w:r>
        <w:fldChar w:fldCharType="end"/>
      </w:r>
      <w:r>
        <w:fldChar w:fldCharType="end"/>
      </w:r>
    </w:p>
    <w:p>
      <w:pPr>
        <w:pStyle w:val="Toc1"/>
        <w:tabs>
          <w:tab w:val="right" w:leader="dot" w:pos="9350"/>
        </w:tabs>
        <w:rPr>
          <w:rFonts w:ascii="Arial" w:cs="Arial" w:eastAsiaTheme="minorEastAsia" w:hAnsi="Arial"/>
        </w:rPr>
      </w:pPr>
      <w:r>
        <w:fldChar w:fldCharType="begin"/>
      </w:r>
      <w:r>
        <w:instrText xml:space="preserve">HYPERLINK \l "_Toc70146396" </w:instrText>
      </w:r>
      <w:r>
        <w:fldChar w:fldCharType="separate"/>
      </w:r>
      <w:r>
        <w:rPr>
          <w:rStyle w:val="Hyperlink"/>
          <w:rFonts w:ascii="Arial" w:cs="Arial" w:hAnsi="Arial"/>
          <w:b/>
          <w:bCs/>
          <w:lang w:val="en-GB"/>
        </w:rPr>
        <w:t>Recruitment and Selection:</w:t>
      </w:r>
      <w:r>
        <w:rPr>
          <w:rFonts w:ascii="Arial" w:cs="Arial" w:hAnsi="Arial"/>
        </w:rPr>
        <w:tab/>
      </w:r>
      <w:r>
        <w:fldChar w:fldCharType="begin"/>
      </w:r>
      <w:r>
        <w:instrText xml:space="preserve"> PAGEREF _Toc70146396 \h </w:instrText>
      </w:r>
      <w:r>
        <w:fldChar w:fldCharType="separate"/>
      </w:r>
      <w:r>
        <w:rPr>
          <w:rFonts w:ascii="Arial" w:cs="Arial" w:hAnsi="Arial"/>
        </w:rPr>
        <w:t>5</w:t>
      </w:r>
      <w:r>
        <w:fldChar w:fldCharType="end"/>
      </w:r>
      <w:r>
        <w:fldChar w:fldCharType="end"/>
      </w:r>
    </w:p>
    <w:p>
      <w:pPr>
        <w:pStyle w:val="Toc1"/>
        <w:tabs>
          <w:tab w:val="right" w:leader="dot" w:pos="9350"/>
        </w:tabs>
        <w:rPr>
          <w:rFonts w:ascii="Arial" w:cs="Arial" w:eastAsiaTheme="minorEastAsia" w:hAnsi="Arial"/>
        </w:rPr>
      </w:pPr>
      <w:r>
        <w:fldChar w:fldCharType="begin"/>
      </w:r>
      <w:r>
        <w:instrText xml:space="preserve">HYPERLINK "file:///C:\Users\mshaw\Desktop\BMSW%204005.docx" \l "_Toc70146397" </w:instrText>
      </w:r>
      <w:r>
        <w:fldChar w:fldCharType="separate"/>
      </w:r>
      <w:r>
        <w:rPr>
          <w:rStyle w:val="Hyperlink"/>
          <w:rFonts w:ascii="Arial" w:cs="Arial" w:eastAsia="Times New Roman" w:hAnsi="Arial"/>
          <w:b/>
          <w:bCs/>
        </w:rPr>
        <w:t>References</w:t>
      </w:r>
      <w:r>
        <w:rPr>
          <w:rFonts w:ascii="Arial" w:cs="Arial" w:hAnsi="Arial"/>
        </w:rPr>
        <w:tab/>
      </w:r>
      <w:r>
        <w:fldChar w:fldCharType="begin"/>
      </w:r>
      <w:r>
        <w:instrText xml:space="preserve"> PAGEREF _Toc70146397 \h </w:instrText>
      </w:r>
      <w:r>
        <w:fldChar w:fldCharType="separate"/>
      </w:r>
      <w:r>
        <w:rPr>
          <w:rFonts w:ascii="Arial" w:cs="Arial" w:hAnsi="Arial"/>
        </w:rPr>
        <w:t>7</w:t>
      </w:r>
      <w:r>
        <w:fldChar w:fldCharType="end"/>
      </w:r>
      <w:r>
        <w:fldChar w:fldCharType="end"/>
      </w:r>
    </w:p>
    <w:p>
      <w:pPr>
        <w:pStyle w:val="Toc1"/>
        <w:tabs>
          <w:tab w:val="right" w:leader="dot" w:pos="9350"/>
        </w:tabs>
        <w:rPr>
          <w:rFonts w:ascii="Arial" w:cs="Arial" w:eastAsiaTheme="minorEastAsia" w:hAnsi="Arial"/>
        </w:rPr>
      </w:pPr>
      <w:r>
        <w:fldChar w:fldCharType="begin"/>
      </w:r>
      <w:r>
        <w:instrText xml:space="preserve">HYPERLINK \l "_Toc70146398" </w:instrText>
      </w:r>
      <w:r>
        <w:fldChar w:fldCharType="separate"/>
      </w:r>
      <w:r>
        <w:rPr>
          <w:rStyle w:val="Hyperlink"/>
          <w:rFonts w:ascii="Arial" w:cs="Arial" w:hAnsi="Arial"/>
          <w:b/>
          <w:bCs/>
          <w:lang w:val="en-GB"/>
        </w:rPr>
        <w:t>Appendices</w:t>
      </w:r>
      <w:r>
        <w:rPr>
          <w:rStyle w:val="Hyperlink"/>
          <w:rFonts w:ascii="Arial" w:cs="Arial" w:hAnsi="Arial"/>
          <w:lang w:val="en-GB"/>
        </w:rPr>
        <w:t>:</w:t>
      </w:r>
      <w:r>
        <w:rPr>
          <w:rFonts w:ascii="Arial" w:cs="Arial" w:hAnsi="Arial"/>
        </w:rPr>
        <w:tab/>
      </w:r>
      <w:r>
        <w:fldChar w:fldCharType="begin"/>
      </w:r>
      <w:r>
        <w:instrText xml:space="preserve"> PAGEREF _Toc70146398 \h </w:instrText>
      </w:r>
      <w:r>
        <w:fldChar w:fldCharType="separate"/>
      </w:r>
      <w:r>
        <w:rPr>
          <w:rFonts w:ascii="Arial" w:cs="Arial" w:hAnsi="Arial"/>
        </w:rPr>
        <w:t>8</w:t>
      </w:r>
      <w:r>
        <w:fldChar w:fldCharType="end"/>
      </w:r>
      <w:r>
        <w:fldChar w:fldCharType="end"/>
      </w:r>
    </w:p>
    <w:p>
      <w:pPr>
        <w:rPr>
          <w:rFonts w:ascii="Arial" w:cs="Arial" w:hAnsi="Arial"/>
        </w:rPr>
      </w:pPr>
      <w:r>
        <w:fldChar w:fldCharType="end"/>
      </w:r>
    </w:p>
    <w:p>
      <w:pPr>
        <w:rPr>
          <w:rFonts w:ascii="Arial" w:cs="Arial" w:hAnsi="Arial"/>
          <w:b/>
          <w:bCs/>
          <w:sz w:val="40"/>
          <w:szCs w:val="40"/>
          <w:lang w:val="en-GB"/>
        </w:rPr>
      </w:pPr>
      <w:r>
        <w:rPr>
          <w:rFonts w:ascii="Arial" w:cs="Arial" w:hAnsi="Arial"/>
          <w:b/>
          <w:bCs/>
          <w:sz w:val="40"/>
          <w:szCs w:val="40"/>
          <w:lang w:val="en-GB"/>
        </w:rPr>
        <w:br w:type="page"/>
      </w:r>
    </w:p>
    <w:p>
      <w:pPr>
        <w:jc w:val="both"/>
        <w:rPr>
          <w:rFonts w:ascii="Arial" w:cs="Arial" w:hAnsi="Arial"/>
          <w:lang w:val="en-GB"/>
        </w:rPr>
      </w:pPr>
      <w:r>
        <w:rPr>
          <w:rFonts w:ascii="Arial" w:cs="Arial" w:hAnsi="Arial"/>
          <w:lang w:val="en-GB"/>
        </w:rPr>
        <w:t>Based on the roleplay job interview, between the interviewer and the interviewee it has been found that the interviewer is quite fond of knowing about the career plan and aspiration of the interviewee who’ve applied for the job of the Marketing executive post. This a reflective report on the career development and planning of the interviewee based on the roleplay.</w:t>
      </w:r>
    </w:p>
    <w:p>
      <w:pPr>
        <w:rPr>
          <w:rFonts w:ascii="Arial" w:cs="Arial" w:hAnsi="Arial"/>
          <w:lang w:val="en-GB"/>
        </w:rPr>
      </w:pPr>
    </w:p>
    <w:p>
      <w:pPr>
        <w:pStyle w:val="Heading1"/>
        <w:rPr>
          <w:rFonts w:ascii="Arial" w:cs="Arial" w:hAnsi="Arial"/>
          <w:b/>
          <w:bCs/>
          <w:lang w:val="en-GB"/>
        </w:rPr>
      </w:pPr>
      <w:bookmarkStart w:id="0" w:name="_Toc70146395"/>
      <w:r>
        <w:rPr>
          <w:rFonts w:ascii="Arial" w:cs="Arial" w:hAnsi="Arial"/>
          <w:b/>
          <w:bCs/>
          <w:lang w:val="en-GB"/>
        </w:rPr>
        <w:t>Career Development and Planning:</w:t>
      </w:r>
      <w:bookmarkEnd w:id="0"/>
    </w:p>
    <w:p>
      <w:pPr>
        <w:jc w:val="both"/>
        <w:rPr>
          <w:rFonts w:ascii="Arial" w:cs="Arial" w:hAnsi="Arial"/>
          <w:lang w:val="en-GB"/>
        </w:rPr>
      </w:pPr>
      <w:r>
        <w:rPr>
          <w:rFonts w:ascii="Arial" w:cs="Arial" w:hAnsi="Arial"/>
          <w:lang w:val="en-GB"/>
        </w:rPr>
        <w:t>A Career Progression Strategy is a written list of short and the long objectives for workers and a predetermined series of formal and informal experiences to help them achieve their goals. These objectives should be related to the strengths and capabilities of each person. Career development plans are mostly facultative. The purpose of a career development plan is ultimately to help workers achieve their objectives. This also raises a company's chances of attracting staff, as employers have recognized that managers have been helping workers attain their job objectives in the company, not employees who believe they should leave to seek these objectives elsewhere. In addition, the Career Development Plan allows workers to establish reasonable career progression goals, by including time lines for such achievements (such as promotion) and outlining the areas for their future career.</w:t>
      </w:r>
    </w:p>
    <w:p>
      <w:pPr>
        <w:jc w:val="both"/>
        <w:rPr>
          <w:rFonts w:ascii="Arial" w:cs="Arial" w:hAnsi="Arial"/>
          <w:lang w:val="en-GB"/>
        </w:rPr>
      </w:pPr>
      <w:r>
        <w:rPr>
          <w:rFonts w:ascii="Arial" w:cs="Arial" w:hAnsi="Arial"/>
          <w:lang w:val="en-GB"/>
        </w:rPr>
        <w:t>In the interview the interviewer was very keen to know about the extra-curricular activities and the skillset of the interviewee to match with their requirements mentioned on their job manifesto. In the roleplay the interviewe</w:t>
      </w:r>
      <w:r>
        <w:rPr>
          <w:rFonts w:ascii="Arial" w:cs="Arial" w:hAnsi="Arial"/>
          <w:lang w:val="en-GB"/>
        </w:rPr>
        <w:t xml:space="preserve">e mentioned some of the skills he has and how he achieved those skills. On the job manifesto they asked for specially the communication and PR skills. Which the interviewee presented his skill and the certification of his skills confidently. </w:t>
      </w:r>
    </w:p>
    <w:p>
      <w:pPr>
        <w:jc w:val="both"/>
        <w:rPr>
          <w:rFonts w:ascii="Arial" w:cs="Arial" w:hAnsi="Arial"/>
          <w:lang w:val="en-GB"/>
        </w:rPr>
      </w:pPr>
      <w:r>
        <w:rPr>
          <w:rFonts w:ascii="Arial" w:cs="Arial" w:hAnsi="Arial"/>
          <w:lang w:val="en-GB"/>
        </w:rPr>
        <w:t xml:space="preserve">The importance of PR skill is immense in terms of career development. Standard public relations (PR) capabilities are often useful, such as persuasive writing and media relations. Maybe in today's fragmented media market they are more relevant than ever. However, more skills such as creation, analysis, SEOs and programming of social media content can supplement conventional capabilities to build up and evaluate PR in a technology environment. Public relations generally come under an organization's communications and marketing activities. PR operates to meld and more often, completely alter popular sentiment. </w:t>
      </w:r>
    </w:p>
    <w:p>
      <w:pPr>
        <w:jc w:val="both"/>
        <w:rPr>
          <w:rFonts w:ascii="Arial" w:cs="Arial" w:hAnsi="Arial"/>
          <w:lang w:val="en-GB"/>
        </w:rPr>
      </w:pPr>
      <w:r>
        <w:rPr>
          <w:rFonts w:ascii="Arial" w:cs="Arial" w:hAnsi="Arial"/>
          <w:lang w:val="en-GB"/>
        </w:rPr>
        <w:t>There are various types of PR skills which are as a whole considered as the PR skill. And these skills are considered as the success factors in one’s career. It is being said that without having a good PR skills it is impossible to shine bright in the career and which ultimately helps an individual achieve his or her career goals.</w:t>
      </w:r>
    </w:p>
    <w:p>
      <w:pPr>
        <w:jc w:val="both"/>
        <w:rPr>
          <w:rFonts w:ascii="Arial" w:cs="Arial" w:hAnsi="Arial"/>
          <w:lang w:val="en-GB"/>
        </w:rPr>
      </w:pPr>
      <w:r>
        <w:rPr>
          <w:rFonts w:ascii="Arial" w:cs="Arial" w:hAnsi="Arial"/>
          <w:lang w:val="en-GB"/>
        </w:rPr>
        <w:t>Some of the PR (Public Relation) skills are-</w:t>
      </w:r>
    </w:p>
    <w:p>
      <w:pPr>
        <w:jc w:val="both"/>
        <w:rPr>
          <w:rFonts w:ascii="Arial" w:cs="Arial" w:hAnsi="Arial"/>
          <w:lang w:val="en-GB"/>
        </w:rPr>
      </w:pPr>
      <w:r>
        <w:rPr>
          <w:rFonts w:ascii="Arial" w:cs="Arial" w:hAnsi="Arial"/>
          <w:b/>
          <w:bCs/>
          <w:lang w:val="en-GB"/>
        </w:rPr>
        <w:t>Communication:</w:t>
      </w:r>
      <w:r>
        <w:rPr>
          <w:rFonts w:ascii="Arial" w:cs="Arial" w:hAnsi="Arial"/>
          <w:lang w:val="en-GB"/>
        </w:rPr>
        <w:t xml:space="preserve"> An advertiser must write exciting customers' material, from press releases, newsletters, blog posts. This content must be built to appear in sites not owned by the customer, with the potential exception of blogs. The material must also refer to the editor of the magazine or to the journal which chooses to run the piece not only for the reader, but also for prospective publisher. The aim is to read, engage and share information inside your own virtual network at a quick pace with Web content and blog postings. The text shall not only pass out the message of the customer in an attractive and convincing manner, but shall also satisfy the editor's needs. Technical improvement in writing is not enough: it needs to be important and interesting for the message and contents.</w:t>
      </w:r>
    </w:p>
    <w:p>
      <w:pPr>
        <w:jc w:val="both"/>
        <w:rPr>
          <w:rFonts w:ascii="Arial" w:cs="Arial" w:hAnsi="Arial"/>
          <w:lang w:val="en-GB"/>
        </w:rPr>
      </w:pPr>
      <w:r>
        <w:rPr>
          <w:rFonts w:ascii="Arial" w:cs="Arial" w:hAnsi="Arial"/>
          <w:b/>
          <w:bCs/>
          <w:lang w:val="en-GB"/>
        </w:rPr>
        <w:t>Social Media:</w:t>
      </w:r>
      <w:r>
        <w:rPr>
          <w:rFonts w:ascii="Arial" w:cs="Arial" w:hAnsi="Arial"/>
          <w:lang w:val="en-GB"/>
        </w:rPr>
        <w:t xml:space="preserve"> PR professionals should be aware of all types of social media that are in existence — an ever-changing catalogue. Each platform calls for different strategies as social media networks vary greatly in functioning and to whom they might refer. Few tweets are more suitable than others for some channels. A strong PR director doesn't only know which platform to use but is able to make best use of any platform.</w:t>
      </w:r>
    </w:p>
    <w:p>
      <w:pPr>
        <w:jc w:val="both"/>
        <w:rPr>
          <w:rFonts w:ascii="Arial" w:cs="Arial" w:hAnsi="Arial"/>
          <w:lang w:val="en-GB"/>
        </w:rPr>
      </w:pPr>
      <w:r>
        <w:rPr>
          <w:rFonts w:ascii="Arial" w:cs="Arial" w:hAnsi="Arial"/>
          <w:b/>
          <w:bCs/>
          <w:lang w:val="en-GB"/>
        </w:rPr>
        <w:t>Research:</w:t>
      </w:r>
      <w:r>
        <w:rPr>
          <w:rFonts w:ascii="Arial" w:cs="Arial" w:hAnsi="Arial"/>
          <w:lang w:val="en-GB"/>
        </w:rPr>
        <w:t xml:space="preserve"> PRs deal for many types of customers in a wide range of areas. The professional must be able get "up to date" with the brand, the marketplace and the market of the customer in order to service each client well.</w:t>
      </w:r>
    </w:p>
    <w:p>
      <w:pPr>
        <w:jc w:val="both"/>
        <w:rPr>
          <w:rFonts w:ascii="Arial" w:cs="Arial" w:hAnsi="Arial"/>
          <w:lang w:val="en-GB"/>
        </w:rPr>
      </w:pPr>
      <w:r>
        <w:rPr>
          <w:rFonts w:ascii="Arial" w:cs="Arial" w:hAnsi="Arial"/>
          <w:b/>
          <w:bCs/>
          <w:lang w:val="en-GB"/>
        </w:rPr>
        <w:t>Global Perspective:</w:t>
      </w:r>
      <w:r>
        <w:rPr>
          <w:rFonts w:ascii="Arial" w:cs="Arial" w:hAnsi="Arial"/>
          <w:lang w:val="en-GB"/>
        </w:rPr>
        <w:t xml:space="preserve"> A multicultural world outlook starts with the realization that not everyone thinks the same way. Political conduct standards differ. The representations of culture and the logos are different. The</w:t>
      </w:r>
      <w:r>
        <w:rPr>
          <w:rFonts w:ascii="Arial" w:cs="Arial" w:hAnsi="Arial"/>
          <w:lang w:val="en-GB"/>
        </w:rPr>
        <w:t xml:space="preserve"> </w:t>
      </w:r>
      <w:r>
        <w:rPr>
          <w:rFonts w:ascii="Arial" w:cs="Arial" w:hAnsi="Arial"/>
          <w:lang w:val="en-GB"/>
        </w:rPr>
        <w:t>flavor</w:t>
      </w:r>
      <w:r>
        <w:rPr>
          <w:rFonts w:ascii="Arial" w:cs="Arial" w:hAnsi="Arial"/>
          <w:lang w:val="en-GB"/>
        </w:rPr>
        <w:t xml:space="preserve"> varies. An audience can alienate a message that works well. A strong PR person admires and anticipates these distinctions and will investigate various audiences if necessary or request additional assistance. Multi-language fluency is a bonus.</w:t>
      </w:r>
    </w:p>
    <w:p>
      <w:pPr>
        <w:jc w:val="both"/>
        <w:rPr>
          <w:rFonts w:ascii="Arial" w:cs="Arial" w:hAnsi="Arial"/>
          <w:lang w:val="en-GB"/>
        </w:rPr>
      </w:pPr>
      <w:r>
        <w:rPr>
          <w:rFonts w:ascii="Arial" w:cs="Arial" w:hAnsi="Arial"/>
          <w:b/>
          <w:bCs/>
          <w:lang w:val="en-GB"/>
        </w:rPr>
        <w:t>Management of Time:</w:t>
      </w:r>
      <w:r>
        <w:rPr>
          <w:rFonts w:ascii="Arial" w:cs="Arial" w:hAnsi="Arial"/>
          <w:lang w:val="en-GB"/>
        </w:rPr>
        <w:t xml:space="preserve"> Public relations experts have to be able to juggle many customers and programs, who all expect to be important and need to finish their work as quickly as possible. Deadlines and projects are a must be mastered. Even the physical structure is a must. It is a fast, diverse job, and nobody has time to forget paperwork or blend names.</w:t>
      </w:r>
    </w:p>
    <w:p>
      <w:pPr>
        <w:jc w:val="both"/>
        <w:rPr>
          <w:rFonts w:ascii="Arial" w:cs="Arial" w:hAnsi="Arial"/>
          <w:lang w:val="en-GB"/>
        </w:rPr>
      </w:pPr>
      <w:r>
        <w:rPr>
          <w:rFonts w:ascii="Arial" w:cs="Arial" w:hAnsi="Arial"/>
          <w:b/>
          <w:bCs/>
          <w:lang w:val="en-GB"/>
        </w:rPr>
        <w:t>Critical Mindset:</w:t>
      </w:r>
      <w:r>
        <w:rPr>
          <w:rFonts w:ascii="Arial" w:cs="Arial" w:hAnsi="Arial"/>
          <w:lang w:val="en-GB"/>
        </w:rPr>
        <w:t xml:space="preserve"> Today, advertisers must be courageous and inventive in order to get traction in a splitting market. That's not to bend the rules (though occasionally to discover loopholes), but it means to know when to take chances, and it means to think differently, about how no one else has previously considered.</w:t>
      </w:r>
    </w:p>
    <w:p>
      <w:pPr>
        <w:jc w:val="both"/>
        <w:rPr>
          <w:rFonts w:ascii="Arial" w:cs="Arial" w:hAnsi="Arial"/>
          <w:lang w:val="en-GB"/>
        </w:rPr>
      </w:pPr>
      <w:r>
        <w:rPr>
          <w:rFonts w:ascii="Arial" w:cs="Arial" w:hAnsi="Arial"/>
          <w:lang w:val="en-GB"/>
        </w:rPr>
        <w:t xml:space="preserve">Without having these skills and a skillset called PR it is almost impossible for a marketing executive to shine or grow in the career. And in the roleplay session the interviewee upholds his skillset and professionalism in terms of his PR skills and enthusiasm. </w:t>
      </w:r>
    </w:p>
    <w:p>
      <w:pPr>
        <w:jc w:val="both"/>
        <w:rPr>
          <w:rFonts w:ascii="Arial" w:cs="Arial" w:hAnsi="Arial"/>
          <w:lang w:val="en-GB"/>
        </w:rPr>
      </w:pPr>
      <w:r>
        <w:rPr>
          <w:rFonts w:ascii="Arial" w:cs="Arial" w:hAnsi="Arial"/>
          <w:lang w:val="en-GB"/>
        </w:rPr>
        <w:t>A variety of skills, which most employers seek from most workers, are described in the workplace readiness features. The skills of working preparation are a number of skills and conducts needed for every task. Fitness to work is also referred to as soft skills, employee skills or skills. These skills help staff understand how to communicate with managers and colleagues. They contribute to strengthening the value of timeliness and building a sense of how others see us. Employers trust workers who can collaborate and work well. Either work demands strong social skills or leadership skills no matter what technological skills a job can need.</w:t>
      </w:r>
    </w:p>
    <w:p>
      <w:pPr>
        <w:jc w:val="both"/>
        <w:rPr>
          <w:rFonts w:ascii="Arial" w:cs="Arial" w:hAnsi="Arial"/>
          <w:lang w:val="en-GB"/>
        </w:rPr>
      </w:pPr>
      <w:r>
        <w:rPr>
          <w:rFonts w:ascii="Arial" w:cs="Arial" w:hAnsi="Arial"/>
          <w:lang w:val="en-GB"/>
        </w:rPr>
        <w:t xml:space="preserve">Knowing our own strengths and weakness is the biggest advantage in any work. The work becomes easy if someone knows about his or her weakness as the works can be dissected into multiple sections based on the areas of strengths and weakness. Which helps to improve the quality of the work and gives more effective and prolific results than </w:t>
      </w:r>
      <w:r>
        <w:rPr>
          <w:rFonts w:ascii="Arial" w:cs="Arial" w:hAnsi="Arial"/>
          <w:lang w:val="en-GB"/>
        </w:rPr>
        <w:t xml:space="preserve">without knowing the strengths and weakness. In the interview (role play) there was no mention of strengths or weakness for the interviewee of the marketing executive post. If the interviewee is well aware of his or her strengths then it would be easy for him or her to work smoothly and with more effectiveness. </w:t>
      </w:r>
    </w:p>
    <w:p>
      <w:pPr>
        <w:jc w:val="both"/>
        <w:rPr>
          <w:rFonts w:ascii="Arial" w:cs="Arial" w:hAnsi="Arial"/>
          <w:lang w:val="en-GB"/>
        </w:rPr>
      </w:pPr>
      <w:r>
        <w:rPr>
          <w:rFonts w:ascii="Arial" w:cs="Arial" w:hAnsi="Arial"/>
          <w:lang w:val="en-GB"/>
        </w:rPr>
        <w:t>A work plan of action is a guide from item A to item B, where the point A is the start of career and B is the ultimate career goal and the ways of making the distance between point A to point B is the career plan of action. Often known as an individually tailored work plan or individual career advancement plan, which will allow you to achieve your career goals.</w:t>
      </w:r>
    </w:p>
    <w:p>
      <w:pPr>
        <w:jc w:val="both"/>
        <w:rPr>
          <w:rFonts w:ascii="Arial" w:cs="Arial" w:hAnsi="Arial"/>
          <w:lang w:val="en-GB"/>
        </w:rPr>
      </w:pPr>
      <w:r>
        <w:rPr>
          <w:rFonts w:ascii="Arial" w:cs="Arial" w:hAnsi="Arial"/>
          <w:lang w:val="en-GB"/>
        </w:rPr>
        <w:t>Before Beginning the interviewee must do these things to proceed for the development of the career action plan.</w:t>
      </w:r>
    </w:p>
    <w:p>
      <w:pPr>
        <w:jc w:val="both"/>
        <w:rPr>
          <w:rFonts w:ascii="Arial" w:cs="Arial" w:hAnsi="Arial"/>
          <w:lang w:val="en-GB"/>
        </w:rPr>
      </w:pPr>
      <w:r>
        <w:rPr>
          <w:rFonts w:ascii="Arial" w:cs="Arial" w:hAnsi="Arial"/>
          <w:b/>
          <w:bCs/>
          <w:lang w:val="en-GB"/>
        </w:rPr>
        <w:t>Self-Evaluation:</w:t>
      </w:r>
      <w:r>
        <w:rPr>
          <w:rFonts w:ascii="Arial" w:cs="Arial" w:hAnsi="Arial"/>
          <w:lang w:val="en-GB"/>
        </w:rPr>
        <w:t xml:space="preserve"> To learn about your beliefs, desires, abilities and personality style, use multiple instruments for self-assessment. Your objective is to find a list of occupations appropriate to these characteristics. You should ideally have 10 to 15 jobs on your resume.</w:t>
      </w:r>
    </w:p>
    <w:p>
      <w:pPr>
        <w:jc w:val="both"/>
        <w:rPr>
          <w:rFonts w:ascii="Arial" w:cs="Arial" w:hAnsi="Arial"/>
          <w:lang w:val="en-GB"/>
        </w:rPr>
      </w:pPr>
      <w:r>
        <w:rPr>
          <w:rFonts w:ascii="Arial" w:cs="Arial" w:hAnsi="Arial"/>
          <w:b/>
          <w:bCs/>
          <w:lang w:val="en-GB"/>
        </w:rPr>
        <w:t xml:space="preserve">Exploration of Career: </w:t>
      </w:r>
      <w:r>
        <w:rPr>
          <w:rFonts w:ascii="Arial" w:cs="Arial" w:hAnsi="Arial"/>
          <w:lang w:val="en-GB"/>
        </w:rPr>
        <w:t>Nowadays that you see what professions are acceptable, start exploring the professions you are interested in. Don't study every job on your list extensively—only those that are true possibilities merit such attention—but you can at least try to understand out a short decision to exclude any choices that are founded on pre - conceived concepts about them. The profession that comes as something which you don't like on the surface could end up as the occupation you're most interested in until you know it. Find out all about the profession you'd like to pursue. Start narrowing the list to only three to five jobs.</w:t>
      </w:r>
    </w:p>
    <w:p>
      <w:pPr>
        <w:jc w:val="both"/>
        <w:rPr>
          <w:rFonts w:ascii="Arial" w:cs="Arial" w:hAnsi="Arial"/>
          <w:lang w:val="en-GB"/>
        </w:rPr>
      </w:pPr>
      <w:r>
        <w:rPr>
          <w:rFonts w:ascii="Arial" w:cs="Arial" w:hAnsi="Arial"/>
          <w:lang w:val="en-GB"/>
        </w:rPr>
        <w:t>After doing these things the interviewee should set goals, where he wants to see himself at the end of his career or on what position he wants to finish his career. After setting the career bar the interviewee should start to write the career plan based on his own traits and preferences through which it would be easy for the interviewee to achieve the saturation in his or her career.</w:t>
      </w:r>
    </w:p>
    <w:p>
      <w:pPr>
        <w:pStyle w:val="Heading1"/>
        <w:rPr>
          <w:rFonts w:ascii="Arial" w:cs="Arial" w:hAnsi="Arial"/>
          <w:b/>
          <w:bCs/>
          <w:lang w:val="en-GB"/>
        </w:rPr>
      </w:pPr>
      <w:bookmarkStart w:id="1" w:name="_Toc70146396"/>
      <w:r>
        <w:rPr>
          <w:rFonts w:ascii="Arial" w:cs="Arial" w:hAnsi="Arial"/>
          <w:b/>
          <w:bCs/>
          <w:lang w:val="en-GB"/>
        </w:rPr>
        <w:t>Recruitment and Selection:</w:t>
      </w:r>
      <w:bookmarkEnd w:id="1"/>
    </w:p>
    <w:p>
      <w:pPr>
        <w:jc w:val="both"/>
        <w:rPr>
          <w:rFonts w:ascii="Arial" w:cs="Arial" w:hAnsi="Arial"/>
          <w:lang w:val="en-GB"/>
        </w:rPr>
      </w:pPr>
      <w:r>
        <w:rPr>
          <w:rFonts w:ascii="Arial" w:cs="Arial" w:hAnsi="Arial"/>
          <w:lang w:val="en-GB"/>
        </w:rPr>
        <w:t>The recruiting process entails the implementation of appropriate strategies to appeal for further applicants to a vacancy, and the screening process involves selecting the most appropriate vacancy applicant. Recruitment is preceding the application process, and only if an offer is established and sent to the applicant by letter of appointment is the selection process accomplished.</w:t>
      </w:r>
    </w:p>
    <w:p>
      <w:pPr>
        <w:jc w:val="both"/>
        <w:rPr>
          <w:rFonts w:ascii="Arial" w:cs="Arial" w:hAnsi="Arial"/>
          <w:lang w:val="en-GB"/>
        </w:rPr>
      </w:pPr>
      <w:r>
        <w:rPr>
          <w:rFonts w:ascii="Arial" w:cs="Arial" w:hAnsi="Arial"/>
          <w:lang w:val="en-GB"/>
        </w:rPr>
        <w:t xml:space="preserve">Kolb Personal Reflective Cycle entails </w:t>
      </w:r>
      <w:r>
        <w:rPr>
          <w:rFonts w:ascii="Arial" w:cs="Arial" w:hAnsi="Arial"/>
          <w:lang w:val="en-GB"/>
        </w:rPr>
        <w:t>"Experiential understanding" Our own understanding is the foundation of this model, and in three steps it is carefully reviewed, analysed and validated. The latest learning will form the basic framework for another loop until this procedure is entirely undergoing.</w:t>
      </w:r>
    </w:p>
    <w:p>
      <w:pPr>
        <w:jc w:val="both"/>
        <w:rPr>
          <w:rFonts w:ascii="Arial" w:cs="Arial" w:hAnsi="Arial"/>
        </w:rPr>
      </w:pPr>
      <w:r>
        <w:rPr>
          <w:rFonts w:ascii="Arial" w:cs="Arial" w:hAnsi="Arial"/>
        </w:rPr>
        <w:t>You observe a situation consciously and emotionally, which shows you that you'll need to focus routinely to keep learning or develop your current skills and practice. You will take care at this point in time of the particular case and explain what you do, experience and believe. The observational capability is quite good in the interviewee according to his own personal observation through Kolb’s reflective cycle.</w:t>
      </w:r>
    </w:p>
    <w:p>
      <w:pPr>
        <w:jc w:val="both"/>
        <w:rPr>
          <w:rFonts w:ascii="Arial" w:cs="Arial" w:hAnsi="Arial"/>
        </w:rPr>
      </w:pPr>
      <w:r>
        <w:rPr>
          <w:rFonts w:ascii="Arial" w:cs="Arial" w:hAnsi="Arial"/>
        </w:rPr>
        <w:t xml:space="preserve">When you face a particular situation again, you continue to find new ways to cope with situation, and you develop tactics. Often, in order to better understand and get more ideas, this is the stage you can communicate with colleagues and literature. In his (interviewee’s) own observation he found out his contextual conceptualization is quite effective and adequate. </w:t>
      </w:r>
    </w:p>
    <w:p>
      <w:pPr>
        <w:jc w:val="both"/>
        <w:rPr>
          <w:rFonts w:ascii="Arial" w:cs="Arial" w:hAnsi="Arial"/>
        </w:rPr>
      </w:pPr>
      <w:r>
        <w:rPr>
          <w:rFonts w:ascii="Arial" w:cs="Arial" w:hAnsi="Arial"/>
        </w:rPr>
        <w:t xml:space="preserve">It is better to contemplate more carefully upon what transpired in this case having written down the summary of the encounter. You have to wonder: what worked? What worked? What failed? What failed? Why did it come to light? Why did some people so I do the things we did? The self-reflective observation of the employee in accordance to </w:t>
      </w:r>
      <w:r>
        <w:rPr>
          <w:rFonts w:ascii="Arial" w:cs="Arial" w:hAnsi="Arial"/>
        </w:rPr>
        <w:t>the Kolb’s model of reflective cycle if perfectly observed and contemplated on the role-play segment.</w:t>
      </w:r>
    </w:p>
    <w:p>
      <w:pPr>
        <w:jc w:val="both"/>
        <w:rPr>
          <w:rFonts w:ascii="Arial" w:cs="Arial" w:hAnsi="Arial"/>
        </w:rPr>
      </w:pPr>
      <w:r>
        <w:rPr>
          <w:rFonts w:ascii="Arial" w:cs="Arial" w:hAnsi="Arial"/>
        </w:rPr>
        <w:t xml:space="preserve">The recently gained scientific understanding is now being practiced. You are reflecting and considering changes and hypotheses of your own experience and you are experimenting with new techniques. Some of them will perform, others will not, so the new loop will be founded automatically. The conceptual and conscious active experimentation is very good in the interviewee. </w:t>
      </w:r>
    </w:p>
    <w:p>
      <w:pPr>
        <w:jc w:val="center"/>
        <w:rPr>
          <w:rFonts w:ascii="Arial" w:cs="Arial" w:hAnsi="Arial"/>
        </w:rPr>
      </w:pPr>
      <w:r>
        <w:rPr>
          <w:rFonts w:ascii="Arial" w:cs="Arial" w:hAnsi="Arial"/>
        </w:rPr>
        <w:drawing xmlns:mc="http://schemas.openxmlformats.org/markup-compatibility/2006">
          <wp:inline distT="0" distB="0" distL="0" distR="0">
            <wp:extent cx="4514850" cy="3237090"/>
            <wp:effectExtent l="0" t="0" r="0" b="0"/>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9"/>
                    <a:srcRect/>
                    <a:stretch>
                      <a:fillRect/>
                    </a:stretch>
                  </pic:blipFill>
                  <pic:spPr>
                    <a:xfrm>
                      <a:off x="0" y="0"/>
                      <a:ext cx="4514850" cy="3237090"/>
                    </a:xfrm>
                    <a:prstGeom prst="rect">
                      <a:avLst/>
                    </a:prstGeom>
                    <a:noFill/>
                    <a:ln>
                      <a:noFill/>
                    </a:ln>
                  </pic:spPr>
                </pic:pic>
              </a:graphicData>
            </a:graphic>
          </wp:inline>
        </w:drawing>
      </w:r>
    </w:p>
    <w:p>
      <w:pPr>
        <w:jc w:val="center"/>
        <w:rPr>
          <w:rFonts w:ascii="Arial" w:cs="Arial" w:hAnsi="Arial"/>
        </w:rPr>
      </w:pPr>
      <w:r>
        <w:rPr>
          <w:rFonts w:ascii="Arial" w:cs="Arial" w:hAnsi="Arial"/>
        </w:rPr>
        <w:t>Figure: Kolb’s Reflective Cycle of Self Evaluation</w:t>
      </w:r>
    </w:p>
    <w:p>
      <w:pPr>
        <w:jc w:val="both"/>
        <w:rPr>
          <w:rFonts w:ascii="Arial" w:cs="Arial" w:hAnsi="Arial"/>
        </w:rPr>
      </w:pPr>
    </w:p>
    <w:p>
      <w:pPr>
        <w:rPr>
          <w:rFonts w:ascii="Arial" w:cs="Arial" w:hAnsi="Arial"/>
        </w:rPr>
      </w:pPr>
      <w:r>
        <w:rPr>
          <w:rFonts w:ascii="Arial" w:cs="Arial" w:hAnsi="Arial"/>
        </w:rPr>
        <w:br w:type="page"/>
      </w:r>
    </w:p>
    <w:p>
      <w:pPr>
        <w:jc w:val="both"/>
        <w:rPr>
          <w:rFonts w:ascii="Arial" w:cs="Arial" w:hAnsi="Arial"/>
        </w:rPr>
      </w:pPr>
      <w:r>
        <w:rPr>
          <w:rFonts w:ascii="Arial" w:cs="Arial" w:hAnsi="Arial"/>
        </w:rPr>
        <w:drawing xmlns:mc="http://schemas.openxmlformats.org/markup-compatibility/2006">
          <wp:inline>
            <wp:extent cx="5943600" cy="334200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Grp="0" noSelect="0" noChangeAspect="1" noMove="0"/>
                    </pic:cNvPicPr>
                  </pic:nvPicPr>
                  <pic:blipFill>
                    <a:blip r:embed="rId20"/>
                    <a:srcRect/>
                    <a:stretch>
                      <a:fillRect/>
                    </a:stretch>
                  </pic:blipFill>
                  <pic:spPr>
                    <a:xfrm>
                      <a:off x="0" y="0"/>
                      <a:ext cx="5943600" cy="3342005"/>
                    </a:xfrm>
                    <a:prstGeom prst="rect">
                      <a:avLst/>
                    </a:prstGeom>
                  </pic:spPr>
                </pic:pic>
              </a:graphicData>
            </a:graphic>
          </wp:inline>
        </w:drawing>
      </w:r>
    </w:p>
    <w:p>
      <w:pPr>
        <w:jc w:val="both"/>
        <w:rPr>
          <w:rFonts w:ascii="Arial" w:cs="Arial" w:hAnsi="Arial"/>
        </w:rPr>
      </w:pPr>
    </w:p>
    <w:p>
      <w:pPr>
        <w:jc w:val="both"/>
        <w:rPr>
          <w:rFonts w:ascii="Arial" w:cs="Arial" w:hAnsi="Arial"/>
          <w:lang w:val="en-GB"/>
        </w:rPr>
      </w:pPr>
      <w:r>
        <w:rPr>
          <w:rFonts w:ascii="Arial" w:cs="Arial" w:hAnsi="Arial"/>
          <w:lang w:val="en-GB"/>
        </w:rPr>
        <w:drawing xmlns:mc="http://schemas.openxmlformats.org/markup-compatibility/2006">
          <wp:inline>
            <wp:extent cx="5943600" cy="334200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Grp="0" noSelect="0" noChangeAspect="1" noMove="0"/>
                    </pic:cNvPicPr>
                  </pic:nvPicPr>
                  <pic:blipFill>
                    <a:blip r:embed="rId21"/>
                    <a:srcRect/>
                    <a:stretch>
                      <a:fillRect/>
                    </a:stretch>
                  </pic:blipFill>
                  <pic:spPr>
                    <a:xfrm>
                      <a:off x="0" y="0"/>
                      <a:ext cx="5943600" cy="334200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r>
        <w:rPr>
          <w:rFonts w:ascii="Arial" w:cs="Arial" w:hAnsi="Arial"/>
          <w:lang w:val="en-GB"/>
        </w:rPr>
        <w:drawing xmlns:mc="http://schemas.openxmlformats.org/markup-compatibility/2006">
          <wp:inline>
            <wp:extent cx="5943600" cy="334200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a:picLocks noGrp="0" noSelect="0" noChangeAspect="1" noMove="0"/>
                    </pic:cNvPicPr>
                  </pic:nvPicPr>
                  <pic:blipFill>
                    <a:blip r:embed="rId22"/>
                    <a:srcRect/>
                    <a:stretch>
                      <a:fillRect/>
                    </a:stretch>
                  </pic:blipFill>
                  <pic:spPr>
                    <a:xfrm>
                      <a:off x="0" y="0"/>
                      <a:ext cx="5943600" cy="334200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r>
        <w:rPr>
          <w:rFonts w:ascii="Arial" w:cs="Arial" w:hAnsi="Arial"/>
          <w:lang w:val="en-GB"/>
        </w:rPr>
        <w:drawing xmlns:mc="http://schemas.openxmlformats.org/markup-compatibility/2006">
          <wp:inline>
            <wp:extent cx="5601970" cy="314769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Grp="0" noSelect="0" noChangeAspect="1" noMove="0"/>
                    </pic:cNvPicPr>
                  </pic:nvPicPr>
                  <pic:blipFill>
                    <a:blip r:embed="rId23"/>
                    <a:srcRect/>
                    <a:stretch>
                      <a:fillRect/>
                    </a:stretch>
                  </pic:blipFill>
                  <pic:spPr>
                    <a:xfrm>
                      <a:off x="0" y="0"/>
                      <a:ext cx="5601970" cy="314769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rPr>
          <w:rFonts w:ascii="Arial" w:cs="Arial" w:hAnsi="Arial"/>
          <w:lang w:val="en-GB"/>
        </w:rPr>
      </w:pPr>
      <w:r>
        <w:rPr>
          <w:rFonts w:ascii="Arial" w:cs="Arial" w:hAnsi="Arial"/>
          <w:lang w:val="en-GB"/>
        </w:rPr>
        <w:drawing xmlns:mc="http://schemas.openxmlformats.org/markup-compatibility/2006">
          <wp:inline>
            <wp:extent cx="5601970" cy="314769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a:picLocks noGrp="0" noSelect="0" noChangeAspect="1" noMove="0"/>
                    </pic:cNvPicPr>
                  </pic:nvPicPr>
                  <pic:blipFill>
                    <a:blip r:embed="rId24"/>
                    <a:srcRect/>
                    <a:stretch>
                      <a:fillRect/>
                    </a:stretch>
                  </pic:blipFill>
                  <pic:spPr>
                    <a:xfrm>
                      <a:off x="0" y="0"/>
                      <a:ext cx="5601970" cy="314769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r>
        <w:rPr>
          <w:rFonts w:ascii="Arial" w:cs="Arial" w:hAnsi="Arial"/>
          <w:lang w:val="en-GB"/>
        </w:rPr>
        <w:drawing xmlns:mc="http://schemas.openxmlformats.org/markup-compatibility/2006">
          <wp:inline>
            <wp:extent cx="5601970" cy="314769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a:picLocks noGrp="0" noSelect="0" noChangeAspect="1" noMove="0"/>
                    </pic:cNvPicPr>
                  </pic:nvPicPr>
                  <pic:blipFill>
                    <a:blip r:embed="rId25"/>
                    <a:srcRect/>
                    <a:stretch>
                      <a:fillRect/>
                    </a:stretch>
                  </pic:blipFill>
                  <pic:spPr>
                    <a:xfrm>
                      <a:off x="0" y="0"/>
                      <a:ext cx="5601970" cy="314769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r>
        <w:rPr>
          <w:rFonts w:ascii="Arial" w:cs="Arial" w:hAnsi="Arial"/>
          <w:lang w:val="en-GB"/>
        </w:rPr>
        <w:drawing xmlns:mc="http://schemas.openxmlformats.org/markup-compatibility/2006">
          <wp:inline>
            <wp:extent cx="5601970" cy="314769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a:picLocks noGrp="0" noSelect="0" noChangeAspect="1" noMove="0"/>
                    </pic:cNvPicPr>
                  </pic:nvPicPr>
                  <pic:blipFill>
                    <a:blip r:embed="rId26"/>
                    <a:srcRect/>
                    <a:stretch>
                      <a:fillRect/>
                    </a:stretch>
                  </pic:blipFill>
                  <pic:spPr>
                    <a:xfrm>
                      <a:off x="0" y="0"/>
                      <a:ext cx="5601970" cy="314769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r>
        <w:rPr>
          <w:rFonts w:ascii="Arial" w:cs="Arial" w:hAnsi="Arial"/>
          <w:lang w:val="en-GB"/>
        </w:rPr>
        <w:drawing xmlns:mc="http://schemas.openxmlformats.org/markup-compatibility/2006">
          <wp:inline>
            <wp:extent cx="5601970" cy="314769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a:picLocks noGrp="0" noSelect="0" noChangeAspect="1" noMove="0"/>
                    </pic:cNvPicPr>
                  </pic:nvPicPr>
                  <pic:blipFill>
                    <a:blip r:embed="rId27"/>
                    <a:srcRect/>
                    <a:stretch>
                      <a:fillRect/>
                    </a:stretch>
                  </pic:blipFill>
                  <pic:spPr>
                    <a:xfrm>
                      <a:off x="0" y="0"/>
                      <a:ext cx="5601970" cy="3147695"/>
                    </a:xfrm>
                    <a:prstGeom prst="rect">
                      <a:avLst/>
                    </a:prstGeom>
                  </pic:spPr>
                </pic:pic>
              </a:graphicData>
            </a:graphic>
          </wp:inline>
        </w:drawing>
      </w:r>
    </w:p>
    <w:p>
      <w:pPr>
        <w:jc w:val="both"/>
        <w:rPr>
          <w:rFonts w:ascii="Arial" w:cs="Arial" w:hAnsi="Arial"/>
          <w:lang w:val="en-GB"/>
        </w:rPr>
      </w:pPr>
    </w:p>
    <w:p>
      <w:pPr>
        <w:jc w:val="both"/>
        <w:rPr>
          <w:rFonts w:ascii="Arial" w:cs="Arial" w:hAnsi="Arial"/>
          <w:lang w:val="en-GB"/>
        </w:rPr>
      </w:pPr>
    </w:p>
    <w:p>
      <w:pPr>
        <w:jc w:val="both"/>
        <w:rPr>
          <w:rFonts w:ascii="Arial" w:cs="Arial" w:hAnsi="Arial"/>
          <w:lang w:val="en-GB"/>
        </w:rPr>
      </w:pPr>
      <w:r>
        <w:rPr>
          <w:rFonts w:ascii="Arial" w:cs="Arial" w:hAnsi="Arial"/>
          <w:lang w:val="en-GB"/>
        </w:rPr>
        <w:drawing xmlns:mc="http://schemas.openxmlformats.org/markup-compatibility/2006">
          <wp:inline>
            <wp:extent cx="5601970" cy="314769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a:picLocks noGrp="0" noSelect="0" noChangeAspect="1" noMove="0"/>
                    </pic:cNvPicPr>
                  </pic:nvPicPr>
                  <pic:blipFill>
                    <a:blip r:embed="rId28"/>
                    <a:srcRect/>
                    <a:stretch>
                      <a:fillRect/>
                    </a:stretch>
                  </pic:blipFill>
                  <pic:spPr>
                    <a:xfrm>
                      <a:off x="0" y="0"/>
                      <a:ext cx="5601970" cy="3147695"/>
                    </a:xfrm>
                    <a:prstGeom prst="rect">
                      <a:avLst/>
                    </a:prstGeom>
                  </pic:spPr>
                </pic:pic>
              </a:graphicData>
            </a:graphic>
          </wp:inline>
        </w:drawing>
      </w:r>
    </w:p>
    <w:p>
      <w:pPr>
        <w:jc w:val="both"/>
        <w:rPr>
          <w:rFonts w:ascii="Arial" w:cs="Arial" w:hAnsi="Arial"/>
          <w:lang w:val="en-GB"/>
        </w:rPr>
      </w:pPr>
      <w:r>
        <w:rPr>
          <w:rFonts w:ascii="Arial" w:cs="Arial" w:hAnsi="Arial"/>
          <w:lang w:val="en-GB"/>
        </w:rPr>
        <mc:AlternateContent>
          <mc:Choice Requires="wps">
            <w:drawing xmlns:mc="http://schemas.openxmlformats.org/markup-compatibility/2006">
              <wp:anchor allowOverlap="1" behindDoc="0" distT="0" distB="0" distL="114300" distR="114300" layoutInCell="1" locked="0" relativeHeight="251659264" simplePos="0">
                <wp:simplePos x="0" y="0"/>
                <wp:positionH relativeFrom="margin">
                  <wp:posOffset>291465</wp:posOffset>
                </wp:positionH>
                <wp:positionV relativeFrom="paragraph">
                  <wp:posOffset>4095115</wp:posOffset>
                </wp:positionV>
                <wp:extent cx="6256655" cy="1459230"/>
                <wp:effectExtent l="0" t="0" r="0" b="0"/>
                <wp:wrapNone/>
                <wp:docPr id="49" name="Rectangle 3"/>
                <wp:cNvGraphicFramePr>
                  <a:graphicFrameLocks xmlns:a="http://schemas.openxmlformats.org/drawingml/2006/main" noGrp="1"/>
                </wp:cNvGraphicFramePr>
                <a:graphic xmlns:a="http://schemas.openxmlformats.org/drawingml/2006/main">
                  <a:graphicData uri="http://schemas.microsoft.com/office/word/2010/wordprocessingShape">
                    <wps:wsp>
                      <wps:cNvPr id="6" name="Rectangle 3"/>
                      <wps:cNvSpPr>
                        <a:spLocks noGrp="1" noChangeArrowheads="1"/>
                      </wps:cNvSpPr>
                      <wps:spPr>
                        <a:xfrm>
                          <a:off x="0" y="0"/>
                          <a:ext cx="6256655" cy="1459182"/>
                        </a:xfrm>
                        <a:prstGeom prst="rect">
                          <a:avLst/>
                        </a:prstGeom>
                        <a:noFill/>
                        <a:ln>
                          <a:noFill/>
                        </a:ln>
                        <a:effectLst/>
                      </wps:spPr>
                      <wps:txbx id="0">
                        <w:txbxContent>
                          <w:p>
                            <w:pPr>
                              <w:pStyle w:val="Heading1"/>
                              <w:rPr>
                                <w:rFonts w:ascii="Arial" w:cs="Arial" w:eastAsia="Times New Roman" w:hAnsi="Arial"/>
                                <w:b/>
                                <w:bCs/>
                              </w:rPr>
                            </w:pPr>
                            <w:bookmarkStart w:id="0" w:name="_Toc70146397"/>
                            <w:r>
                              <w:rPr>
                                <w:rFonts w:ascii="Arial" w:cs="Arial" w:eastAsia="Times New Roman" w:hAnsi="Arial"/>
                                <w:b/>
                                <w:bCs/>
                              </w:rPr>
                              <w:t>References</w:t>
                            </w:r>
                            <w:bookmarkEnd w:id="0"/>
                          </w:p>
                          <w:p>
                            <w:pPr>
                              <w:rPr>
                                <w:rFonts w:ascii="Arial" w:cs="Arial" w:eastAsia="Calibri" w:hAnsi="Arial"/>
                                <w:color w:val="000000" w:themeColor="text1"/>
                              </w:rPr>
                            </w:pPr>
                            <w:r>
                              <w:rPr>
                                <w:rFonts w:ascii="Arial" w:cs="Arial" w:eastAsia="Calibri" w:hAnsi="Arial"/>
                                <w:color w:val="000000" w:themeColor="text1"/>
                              </w:rPr>
                              <w:t xml:space="preserve">Dr. Nicole Brown Social Research, n.d. </w:t>
                            </w:r>
                            <w:r>
                              <w:rPr>
                                <w:rFonts w:ascii="Arial" w:cs="Arial" w:eastAsia="Calibri" w:hAnsi="Arial"/>
                                <w:i/>
                                <w:iCs/>
                                <w:color w:val="000000" w:themeColor="text1"/>
                              </w:rPr>
                              <w:t xml:space="preserve">Enter your Search Term. </w:t>
                            </w:r>
                            <w:r>
                              <w:rPr>
                                <w:rFonts w:ascii="Arial" w:cs="Arial" w:eastAsia="Calibri" w:hAnsi="Arial"/>
                                <w:color w:val="000000" w:themeColor="text1"/>
                              </w:rPr>
                              <w:t xml:space="preserve">[Online] </w:t>
                            </w:r>
                            <w:r>
                              <w:rPr>
                                <w:rFonts w:ascii="Arial" w:cs="Arial" w:eastAsia="Calibri" w:hAnsi="Arial"/>
                                <w:color w:val="000000" w:themeColor="text1"/>
                              </w:rPr>
                              <w:br w:type="textWrapping"/>
                            </w:r>
                            <w:r>
                              <w:rPr>
                                <w:rFonts w:ascii="Arial" w:cs="Arial" w:eastAsia="Calibri" w:hAnsi="Arial"/>
                                <w:color w:val="000000" w:themeColor="text1"/>
                              </w:rPr>
                              <w:t xml:space="preserve">Available at: </w:t>
                            </w:r>
                            <w:r>
                              <w:rPr>
                                <w:rFonts w:ascii="Arial" w:cs="Arial" w:eastAsia="Calibri" w:hAnsi="Arial"/>
                                <w:color w:val="000000" w:themeColor="text1"/>
                                <w:u w:val="single"/>
                              </w:rPr>
                              <w:t>https://www.nicole-brown.co.uk/reflective-model-according-to-kolb/</w:t>
                            </w:r>
                            <w:r>
                              <w:rPr>
                                <w:rFonts w:ascii="Arial" w:cs="Arial" w:eastAsia="Calibri" w:hAnsi="Arial"/>
                                <w:color w:val="000000" w:themeColor="text1"/>
                              </w:rPr>
                              <w:br w:type="textWrapping"/>
                            </w:r>
                            <w:r>
                              <w:rPr>
                                <w:rFonts w:ascii="Arial" w:cs="Arial" w:eastAsia="Calibri" w:hAnsi="Arial"/>
                                <w:color w:val="000000" w:themeColor="text1"/>
                              </w:rPr>
                              <w:t>[Accessed 2021].</w:t>
                            </w:r>
                          </w:p>
                          <w:p>
                            <w:pPr>
                              <w:spacing w:before="200" w:line="216" w:lineRule="auto"/>
                              <w:rPr>
                                <w:color w:val="000000" w:themeColor="text1"/>
                              </w:rPr>
                            </w:pPr>
                            <w:r>
                              <w:rPr>
                                <w:color w:val="000000" w:themeColor="text1"/>
                              </w:rPr>
                              <w:t>Rughani, A. (2001). </w:t>
                            </w:r>
                            <w:r>
                              <w:rPr>
                                <w:i/>
                                <w:iCs/>
                                <w:color w:val="000000" w:themeColor="text1"/>
                              </w:rPr>
                              <w:t>The GP's guide to person</w:t>
                            </w:r>
                            <w:r>
                              <w:rPr>
                                <w:color w:val="000000" w:themeColor="text1"/>
                              </w:rPr>
                              <w:t>al development plans. Radcliffe Publishing</w:t>
                            </w:r>
                          </w:p>
                          <w:p>
                            <w:pPr>
                              <w:spacing w:before="200" w:line="216" w:lineRule="auto"/>
                              <w:rPr>
                                <w:rFonts w:ascii="Times New Roman" w:cs="Times New Roman" w:eastAsiaTheme="minorEastAsia" w:hAnsi="Times New Roman"/>
                                <w:color w:val="000000" w:themeColor="text1"/>
                              </w:rPr>
                            </w:pPr>
                            <w:r>
                              <w:rPr>
                                <w:color w:val="000000" w:themeColor="text1"/>
                              </w:rPr>
                              <w:t>.
</w:t>
                            </w:r>
                          </w:p>
                        </w:txbxContent>
                      </wps:txbx>
                      <wps:bodyPr vert="horz" lIns="0" tIns="152352" rIns="0" bIns="0" rtlCol="0" anchor="ctr">
                        <a:prstTxWarp prst="textNoShape">
                          <a:avLst/>
                        </a:prstTxWarp>
                      </wps:bodyPr>
                    </wps:wsp>
                  </a:graphicData>
                </a:graphic>
                <wp14:sizeRelH relativeFrom="margin">
                  <wp14:pctWidth>0</wp14:pctWidth>
                </wp14:sizeRelH>
              </wp:anchor>
            </w:drawing>
          </mc:Choice>
          <mc:Fallback>
            <w:pict>
              <v:shape id="222077AE-E060-7493-00F7CCCE67ED" coordsize="21600,21600" style="position:absolute;width:492.65pt;height:114.896pt;mso-width-percent:0;mso-width-relative:margin;margin-top:322.45pt;margin-left:22.95pt;mso-wrap-distance-left:9pt;mso-wrap-distance-right:9pt;mso-wrap-distance-top:0pt;mso-wrap-distance-bottom:0pt;mso-position-horizontal-relative:margin;rotation:0.000000;z-index:251659264;" stroked="f" o:spt="1" path="m0,0 l0,21600 r21600,0 l21600,0 x e">
                <w10:wrap side="both"/>
                <o:lock/>
              </v:shape>
            </w:pict>
          </mc:Fallback>
        </mc:AlternateContent>
      </w:r>
      <w:r>
        <w:rPr>
          <w:rFonts w:ascii="Arial" w:cs="Arial" w:hAnsi="Arial"/>
          <w:lang w:val="en-GB"/>
        </w:rPr>
        <w:drawing xmlns:mc="http://schemas.openxmlformats.org/markup-compatibility/2006">
          <wp:inline>
            <wp:extent cx="5601970" cy="314769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a:picLocks noGrp="0" noSelect="0" noChangeAspect="1" noMove="0"/>
                    </pic:cNvPicPr>
                  </pic:nvPicPr>
                  <pic:blipFill>
                    <a:blip r:embed="rId29"/>
                    <a:srcRect/>
                    <a:stretch>
                      <a:fillRect/>
                    </a:stretch>
                  </pic:blipFill>
                  <pic:spPr>
                    <a:xfrm>
                      <a:off x="0" y="0"/>
                      <a:ext cx="5601970" cy="3147695"/>
                    </a:xfrm>
                    <a:prstGeom prst="rect">
                      <a:avLst/>
                    </a:prstGeom>
                  </pic:spPr>
                </pic:pic>
              </a:graphicData>
            </a:graphic>
          </wp:inline>
        </w:drawing>
      </w:r>
    </w:p>
    <w:sectPr>
      <w:headerReference w:type="default" r:id="rId30"/>
      <w:footerReference w:type="default" r:id="rId3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altName w:val="Arial"/>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ztDAyNzY1NjY0NTFR0lEKTi0uzszPAykwrAUAWEFLjywAAAA="/>
  </w:docVars>
  <w:rsids>
    <w:rsidRoot w:val="00EB2BFB"/>
    <w:rsid w:val="00002690"/>
    <w:rsid w:val="000917D3"/>
    <w:rsid w:val="001364B8"/>
    <w:rsid w:val="001D6300"/>
    <w:rsid w:val="00372389"/>
    <w:rsid w:val="00397384"/>
    <w:rsid w:val="00433383"/>
    <w:rsid w:val="00555CA2"/>
    <w:rsid w:val="00571191"/>
    <w:rsid w:val="005C5D8E"/>
    <w:rsid w:val="00627D3A"/>
    <w:rsid w:val="0072286D"/>
    <w:rsid w:val="00827AD6"/>
    <w:rsid w:val="00AD4142"/>
    <w:rsid w:val="00B64F64"/>
    <w:rsid w:val="00EB2BFB"/>
    <w:rsid w:val="00FA4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227B3"/>
  <w15:chartTrackingRefBased/>
  <w15:docId w15:val="{51D2C320-93E1-4CD0-8DFC-3718EBC8B3D0}"/>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uiPriority w:val="19"/>
    <w:qFormat w:val="on"/>
    <w:rPr>
      <w:i/>
      <w:iCs/>
      <w:color w:val="808080" w:themeColor="text1" w:themeTint="7f"/>
    </w:rPr>
  </w:style>
  <w:style w:type="character" w:styleId="Emphasis">
    <w:name w:val="Emphasis"/>
    <w:uiPriority w:val="20"/>
    <w:qFormat w:val="on"/>
    <w:rPr>
      <w:i/>
      <w:iCs/>
    </w:rPr>
  </w:style>
  <w:style w:type="character" w:styleId="IntenseEmphasis">
    <w:name w:val="Intense Emphasis"/>
    <w:uiPriority w:val="21"/>
    <w:qFormat w:val="on"/>
    <w:rPr>
      <w:b/>
      <w:bCs/>
      <w:i/>
      <w:iCs/>
      <w:color w:val="4472c4" w:themeColor="accent1"/>
    </w:rPr>
  </w:style>
  <w:style w:type="character" w:styleId="Strong">
    <w:name w:val="Strong"/>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link w:val="IntenseQuote"/>
    <w:uiPriority w:val="30"/>
    <w:rPr>
      <w:b/>
      <w:bCs/>
      <w:i/>
      <w:iCs/>
      <w:color w:val="4472c4" w:themeColor="accent1"/>
    </w:rPr>
  </w:style>
  <w:style w:type="character" w:styleId="SubtleReference">
    <w:name w:val="Subtle Reference"/>
    <w:uiPriority w:val="31"/>
    <w:qFormat w:val="on"/>
    <w:rPr>
      <w:smallCaps/>
      <w:color w:val="ed7d31" w:themeColor="accent2"/>
      <w:u w:val="single"/>
    </w:rPr>
  </w:style>
  <w:style w:type="character" w:styleId="IntenseReference">
    <w:name w:val="Intense Reference"/>
    <w:uiPriority w:val="32"/>
    <w:qFormat w:val="on"/>
    <w:rPr>
      <w:b/>
      <w:bCs/>
      <w:smallCaps/>
      <w:color w:val="ed7d31" w:themeColor="accent2"/>
      <w:spacing w:val="5"/>
      <w:u w:val="single"/>
    </w:rPr>
  </w:style>
  <w:style w:type="character" w:styleId="BookTitle">
    <w:name w:val="Book Title"/>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link w:val="Footnotetext"/>
    <w:uiPriority w:val="99"/>
    <w:semiHidden w:val="on"/>
    <w:rPr>
      <w:sz w:val="20"/>
      <w:szCs w:val="20"/>
    </w:rPr>
  </w:style>
  <w:style w:type="character" w:styleId="Footnotereference">
    <w:name w:val="Footnote reference"/>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link w:val="Endnotetext"/>
    <w:uiPriority w:val="99"/>
    <w:semiHidden w:val="on"/>
    <w:rPr>
      <w:sz w:val="20"/>
      <w:szCs w:val="20"/>
    </w:rPr>
  </w:style>
  <w:style w:type="character" w:styleId="Endnotereference">
    <w:name w:val="Endnote reference"/>
    <w:uiPriority w:val="99"/>
    <w:semiHidden w:val="on"/>
    <w:unhideWhenUsed w:val="on"/>
    <w:unhideWhenUsed w:val="on"/>
    <w:rPr>
      <w:vertAlign w:val="superscript"/>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link w:val="PlainText"/>
    <w:uiPriority w:val="99"/>
    <w:rPr>
      <w:rFonts w:ascii="Courier New" w:cs="Courier New" w:hAnsi="Courier New"/>
      <w:sz w:val="21"/>
      <w:szCs w:val="21"/>
    </w:rPr>
  </w:style>
  <w:style w:type="character" w:customStyle="1" w:styleId="HeaderChar">
    <w:name w:val="Header Char"/>
    <w:uiPriority w:val="99"/>
  </w:style>
  <w:style w:type="character" w:customStyle="1" w:styleId="FooterChar">
    <w:name w:val="Footer Char"/>
    <w:uiPriority w:val="99"/>
  </w:style>
  <w:style w:type="paragraph" w:default="1" w:styleId="Normal">
    <w:name w:val="Normal"/>
    <w:uiPriority w:val="99"/>
    <w:qFormat w:val="on"/>
  </w:style>
  <w:style w:type="paragraph" w:styleId="Heading1">
    <w:name w:val="Heading 1"/>
    <w:basedOn w:val="Normal"/>
    <w:next w:val="Normal"/>
    <w:link w:val="Titlu1Caracte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character" w:customStyle="1" w:styleId="Titlu1Caracter">
    <w:name w:val="Titlu 1 Caracter"/>
    <w:basedOn w:val="DefaultParagraphFont"/>
    <w:link w:val="Heading1"/>
    <w:uiPriority w:val="9"/>
    <w:rPr>
      <w:rFonts w:asciiTheme="majorHAnsi" w:cstheme="majorBidi" w:eastAsiaTheme="majorEastAsia" w:hAnsiTheme="majorHAnsi"/>
      <w:color w:val="2f5395" w:themeColor="accent1" w:themeShade="bf"/>
      <w:sz w:val="32"/>
      <w:szCs w:val="32"/>
    </w:rPr>
  </w:style>
  <w:style w:type="paragraph" w:styleId="Header">
    <w:name w:val="Header"/>
    <w:basedOn w:val="Normal"/>
    <w:link w:val="AntetCaracter"/>
    <w:uiPriority w:val="99"/>
    <w:unhideWhenUsed w:val="on"/>
    <w:unhideWhenUsed w:val="on"/>
    <w:pPr>
      <w:tabs>
        <w:tab w:val="center" w:pos="4680"/>
        <w:tab w:val="right" w:pos="9360"/>
      </w:tabs>
      <w:spacing w:after="0" w:line="240" w:lineRule="auto"/>
    </w:pPr>
  </w:style>
  <w:style w:type="character" w:customStyle="1" w:styleId="AntetCaracter">
    <w:name w:val="Antet Caracter"/>
    <w:basedOn w:val="DefaultParagraphFont"/>
    <w:link w:val="Header"/>
    <w:uiPriority w:val="99"/>
  </w:style>
  <w:style w:type="paragraph" w:styleId="Footer">
    <w:name w:val="Footer"/>
    <w:basedOn w:val="Normal"/>
    <w:link w:val="SubsolCaracter"/>
    <w:uiPriority w:val="99"/>
    <w:unhideWhenUsed w:val="on"/>
    <w:unhideWhenUsed w:val="on"/>
    <w:pPr>
      <w:tabs>
        <w:tab w:val="center" w:pos="4680"/>
        <w:tab w:val="right" w:pos="9360"/>
      </w:tabs>
      <w:spacing w:after="0" w:line="240" w:lineRule="auto"/>
    </w:pPr>
  </w:style>
  <w:style w:type="character" w:customStyle="1" w:styleId="SubsolCaracter">
    <w:name w:val="Subsol Caracter"/>
    <w:basedOn w:val="DefaultParagraphFont"/>
    <w:link w:val="Footer"/>
    <w:uiPriority w:val="99"/>
  </w:style>
  <w:style w:type="paragraph" w:styleId="Normal(Web)">
    <w:name w:val="Normal (Web)"/>
    <w:basedOn w:val="Normal"/>
    <w:uiPriority w:val="99"/>
    <w:semiHidden w:val="on"/>
    <w:unhideWhenUsed w:val="on"/>
    <w:unhideWhenUsed w:val="on"/>
    <w:pPr>
      <w:spacing w:before="100" w:after="100" w:line="240" w:lineRule="auto"/>
    </w:pPr>
    <w:rPr>
      <w:rFonts w:ascii="Times New Roman" w:cs="Times New Roman" w:eastAsia="Times New Roman" w:hAnsi="Times New Roman"/>
      <w:sz w:val="24"/>
      <w:szCs w:val="24"/>
    </w:rPr>
  </w:style>
  <w:style w:type="paragraph" w:styleId="TOCHeading">
    <w:name w:val="TOC Heading"/>
    <w:basedOn w:val="Heading1"/>
    <w:next w:val="Normal"/>
    <w:uiPriority w:val="39"/>
    <w:unhideWhenUsed w:val="on"/>
    <w:qFormat w:val="on"/>
    <w:unhideWhenUsed w:val="on"/>
    <w:pPr/>
  </w:style>
  <w:style w:type="paragraph" w:styleId="Toc1">
    <w:name w:val="Toc 1"/>
    <w:basedOn w:val="Normal"/>
    <w:next w:val="Normal"/>
    <w:uiPriority w:val="39"/>
    <w:unhideWhenUsed w:val="on"/>
    <w:unhideWhenUsed w:val="on"/>
    <w:pPr>
      <w:spacing w:after="100"/>
    </w:pPr>
  </w:style>
  <w:style w:type="character" w:styleId="Hyperlink">
    <w:name w:val="Hyperlink"/>
    <w:basedOn w:val="DefaultParagraphFont"/>
    <w:uiPriority w:val="99"/>
    <w:unhideWhenUsed w:val="on"/>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771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7" Type="http://schemas.openxmlformats.org/officeDocument/2006/relationships/fontTable" Target="fontTable.xml"/><Relationship Id="rId18" Type="http://schemas.openxmlformats.org/officeDocument/2006/relationships/theme" Target="theme/theme1.xml"/><Relationship Id="rId19" Type="http://schemas.openxmlformats.org/officeDocument/2006/relationships/image" Target="media/image10.jpeg"/><Relationship Id="rId2" Type="http://schemas.openxmlformats.org/officeDocument/2006/relationships/styles" Target="styles.xml"/><Relationship Id="rId20" Type="http://schemas.openxmlformats.org/officeDocument/2006/relationships/image" Target="media/image11.png"/><Relationship Id="rId21" Type="http://schemas.openxmlformats.org/officeDocument/2006/relationships/image" Target="media/image12.png"/><Relationship Id="rId22" Type="http://schemas.openxmlformats.org/officeDocument/2006/relationships/image" Target="media/image13.png"/><Relationship Id="rId23" Type="http://schemas.openxmlformats.org/officeDocument/2006/relationships/image" Target="media/image14.png"/><Relationship Id="rId24" Type="http://schemas.openxmlformats.org/officeDocument/2006/relationships/image" Target="media/image15.png"/><Relationship Id="rId25" Type="http://schemas.openxmlformats.org/officeDocument/2006/relationships/image" Target="media/image16.png"/><Relationship Id="rId26" Type="http://schemas.openxmlformats.org/officeDocument/2006/relationships/image" Target="media/image17.png"/><Relationship Id="rId27" Type="http://schemas.openxmlformats.org/officeDocument/2006/relationships/image" Target="media/image18.png"/><Relationship Id="rId28" Type="http://schemas.openxmlformats.org/officeDocument/2006/relationships/image" Target="media/image19.png"/><Relationship Id="rId29" Type="http://schemas.openxmlformats.org/officeDocument/2006/relationships/image" Target="media/image20.png"/><Relationship Id="rId3" Type="http://schemas.openxmlformats.org/officeDocument/2006/relationships/settings" Target="settings.xml"/><Relationship Id="rId30" Type="http://schemas.openxmlformats.org/officeDocument/2006/relationships/header" Target="header1.xml"/><Relationship Id="rId31" Type="http://schemas.openxmlformats.org/officeDocument/2006/relationships/footer" Target="footer1.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7" Type="http://schemas.openxmlformats.org/officeDocument/2006/relationships/hyperlink" Target="file:///C:\Users\mshaw\Desktop\BMSW%204005.docx" TargetMode="Externa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ED44EA-EF0F-4E7A-80A2-74C4DC0E86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1696</Words>
  <Characters>9841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Mahadi Hasan</dc:creator>
  <cp:lastModifiedBy>AsusRog</cp:lastModifiedBy>
</cp:coreProperties>
</file>