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4"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Samantha Paton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2318459</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tl w:val="0"/>
              </w:rPr>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tl w:val="0"/>
              </w:rPr>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1475174731"/>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b w:val="0"/>
              <w:bCs w:val="0"/>
              <w:color w:val="1155cc"/>
              <w:u w:val="single"/>
            </w:rPr>
          </w:pPr>
          <w:r w:rsidDel="00000000" w:rsidR="00000000" w:rsidRPr="00000000">
            <w:fldChar w:fldCharType="begin"/>
            <w:instrText xml:space="preserve"> TOC \h \u \z \t "Heading 1,1,Heading 2,2,Heading 3,3,Heading 4,4,Heading 5,5,Heading 6,6,"</w:instrText>
            <w:fldChar w:fldCharType="separate"/>
          </w:r>
          <w:hyperlink w:anchor="_heading=h.svjwn6hnpo">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b w:val="0"/>
              <w:bCs w:val="0"/>
              <w:color w:val="1155cc"/>
              <w:u w:val="single"/>
            </w:rPr>
          </w:pPr>
          <w:hyperlink w:anchor="_heading=h.ncxu0p18rjdm">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1 Explain the similarities and differences of coaching and mentoring within an </w:t>
            </w:r>
          </w:hyperlink>
          <w:hyperlink w:anchor="_heading=h.ncxu0p18rjdm">
            <w:r w:rsidDel="00000000" w:rsidR="00000000" w:rsidRPr="00000000">
              <w:rPr>
                <w:color w:val="1155cc"/>
                <w:u w:val="single"/>
                <w:rtl w:val="0"/>
              </w:rPr>
              <w:t xml:space="preserve">organisational</w:t>
            </w:r>
          </w:hyperlink>
          <w:hyperlink w:anchor="_heading=h.ncxu0p18rjdm">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 </w:t>
            </w:r>
          </w:hyperlink>
          <w:hyperlink w:anchor="_heading=h.ncxu0p18rjdm">
            <w:r w:rsidDel="00000000" w:rsidR="00000000" w:rsidRPr="00000000">
              <w:rPr>
                <w:color w:val="1155cc"/>
                <w:u w:val="single"/>
                <w:rtl w:val="0"/>
              </w:rPr>
              <w:t xml:space="preserve">c</w:t>
            </w:r>
          </w:hyperlink>
          <w:hyperlink w:anchor="_heading=h.ncxu0p18rjdm">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ontext.</w:t>
              <w:tab/>
              <w:t xml:space="preserve">2</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rPr>
              <w:b w:val="0"/>
              <w:bCs w:val="0"/>
              <w:color w:val="1155cc"/>
              <w:u w:val="single"/>
            </w:rPr>
          </w:pPr>
          <w:hyperlink w:anchor="_heading=h.iy9mwr5q3bal">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2 Critically explore  the skills , behaviours attitudes, beliefs of an effective or mentor</w:t>
              <w:tab/>
              <w:t xml:space="preserve">3</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rPr>
              <w:b w:val="0"/>
              <w:bCs w:val="0"/>
              <w:color w:val="1155cc"/>
              <w:u w:val="single"/>
            </w:rPr>
          </w:pPr>
          <w:hyperlink w:anchor="_heading=h.9ejoste3yorb">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3 critically assess a model or process that should be followed when formally coaching or mentoring</w:t>
              <w:tab/>
              <w:t xml:space="preserve">3</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b w:val="0"/>
              <w:bCs w:val="0"/>
              <w:color w:val="1155cc"/>
              <w:u w:val="single"/>
            </w:rPr>
          </w:pPr>
          <w:hyperlink w:anchor="_heading=h.bcun5twdbdov">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b w:val="0"/>
              <w:bCs w:val="0"/>
              <w:color w:val="1155cc"/>
              <w:u w:val="single"/>
            </w:rPr>
          </w:pPr>
          <w:hyperlink w:anchor="_heading=h.f33tvju62y5h">
            <w:r w:rsidDel="00000000" w:rsidR="00000000" w:rsidRPr="00000000">
              <w:rPr>
                <w:rFonts w:ascii="Calibri" w:cs="Calibri" w:eastAsia="Calibri" w:hAnsi="Calibri"/>
                <w:b w:val="0"/>
                <w:bCs w:val="0"/>
                <w:i w:val="0"/>
                <w:iCs w:val="0"/>
                <w:smallCaps w:val="0"/>
                <w:strike w:val="0"/>
                <w:color w:val="1155cc"/>
                <w:sz w:val="22"/>
                <w:szCs w:val="22"/>
                <w:u w:val="single"/>
                <w:shd w:fill="auto" w:val="clear"/>
                <w:vertAlign w:val="baseline"/>
                <w:rtl w:val="0"/>
              </w:rPr>
              <w:t xml:space="preserve">Reference</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8">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9">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A">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B">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C">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D">
      <w:pPr>
        <w:spacing w:after="120" w:before="120" w:line="360"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E">
      <w:pPr>
        <w:pStyle w:val="Heading2"/>
        <w:spacing w:after="120" w:before="120" w:line="360" w:lineRule="auto"/>
        <w:rPr/>
      </w:pPr>
      <w:bookmarkStart w:colFirst="0" w:colLast="0" w:name="_heading=h.pjq9achd2wqg" w:id="0"/>
      <w:bookmarkEnd w:id="0"/>
      <w:r w:rsidDel="00000000" w:rsidR="00000000" w:rsidRPr="00000000">
        <w:rPr>
          <w:rtl w:val="0"/>
        </w:rPr>
      </w:r>
    </w:p>
    <w:p w:rsidR="00000000" w:rsidDel="00000000" w:rsidP="00000000" w:rsidRDefault="00000000" w:rsidRPr="00000000" w14:paraId="0000001F">
      <w:pPr>
        <w:pStyle w:val="Heading2"/>
        <w:spacing w:after="120" w:before="120" w:line="360" w:lineRule="auto"/>
        <w:rPr/>
      </w:pPr>
      <w:bookmarkStart w:colFirst="0" w:colLast="0" w:name="_heading=h.svjwn6hnpo" w:id="1"/>
      <w:bookmarkEnd w:id="1"/>
      <w:r w:rsidDel="00000000" w:rsidR="00000000" w:rsidRPr="00000000">
        <w:rPr>
          <w:rtl w:val="0"/>
        </w:rPr>
        <w:t xml:space="preserve">Introduction</w:t>
      </w:r>
    </w:p>
    <w:p w:rsidR="00000000" w:rsidDel="00000000" w:rsidP="00000000" w:rsidRDefault="00000000" w:rsidRPr="00000000" w14:paraId="00000020">
      <w:pPr>
        <w:spacing w:after="240" w:before="240" w:lineRule="auto"/>
        <w:rPr/>
      </w:pPr>
      <w:r w:rsidDel="00000000" w:rsidR="00000000" w:rsidRPr="00000000">
        <w:rPr>
          <w:rtl w:val="0"/>
        </w:rPr>
        <w:t xml:space="preserve">Coaching and mentoring are approaches used to support learning and development within organisations. Both aim to enhance performance, build confidence and support professional growth. However, while often discussed together, they differ in purpose, structure and focus. Coaching is typically structured and goal oriented, mentoring is broader, relationship based and focused on long term development Whitmore (2009). Within learning organisations, both approaches support reflection, adaptability and continuous development.</w:t>
      </w:r>
    </w:p>
    <w:p w:rsidR="00000000" w:rsidDel="00000000" w:rsidP="00000000" w:rsidRDefault="00000000" w:rsidRPr="00000000" w14:paraId="00000021">
      <w:pPr>
        <w:spacing w:after="240" w:before="240" w:lineRule="auto"/>
        <w:rPr/>
      </w:pPr>
      <w:r w:rsidDel="00000000" w:rsidR="00000000" w:rsidRPr="00000000">
        <w:rPr>
          <w:rtl w:val="0"/>
        </w:rPr>
        <w:t xml:space="preserve">The effectiveness of coaching and mentoring depends on how they are applied in practice. Poor communication, lack of trust and unclear expectations can limit their impact and negatively affect confidence. McCarthy (2013) highlights that the quality of the relationship is central to mentoring outcomes, suggesting that organisations must critically understand how these approaches function within the workplace.</w:t>
      </w:r>
    </w:p>
    <w:p w:rsidR="00000000" w:rsidDel="00000000" w:rsidP="00000000" w:rsidRDefault="00000000" w:rsidRPr="00000000" w14:paraId="00000022">
      <w:pPr>
        <w:spacing w:after="240" w:before="240" w:lineRule="auto"/>
        <w:rPr/>
      </w:pPr>
      <w:r w:rsidDel="00000000" w:rsidR="00000000" w:rsidRPr="00000000">
        <w:rPr>
          <w:rtl w:val="0"/>
        </w:rPr>
        <w:t xml:space="preserve">This assignment will critically examine the similarities and differences between coaching and mentoring, explore the skills and behaviours required of effective mentors, and analyse the role of mentoring in supporting learning and development. Having worked across a range of sectors, this assignment will draw upon a variety of experiences, both positive and negative, to explore and evaluate how effective these approaches have been in practice.</w:t>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t xml:space="preserve">Q1 Explain the similarities and differences of coaching and mentoring within an organisation </w:t>
      </w:r>
    </w:p>
    <w:p w:rsidR="00000000" w:rsidDel="00000000" w:rsidP="00000000" w:rsidRDefault="00000000" w:rsidRPr="00000000" w14:paraId="00000025">
      <w:pPr>
        <w:spacing w:after="240" w:before="240" w:lineRule="auto"/>
        <w:rPr>
          <w:b w:val="1"/>
          <w:bCs w:val="1"/>
          <w:color w:val="000000"/>
          <w:sz w:val="34"/>
          <w:szCs w:val="34"/>
        </w:rPr>
      </w:pPr>
      <w:r w:rsidDel="00000000" w:rsidR="00000000" w:rsidRPr="00000000">
        <w:rPr>
          <w:rtl w:val="0"/>
        </w:rPr>
        <w:t xml:space="preserve">Understanding the similarities and differences between coaching and mentoring is important for organisations that want to support employee development effectively. </w:t>
      </w:r>
      <w:r w:rsidDel="00000000" w:rsidR="00000000" w:rsidRPr="00000000">
        <w:rPr>
          <w:rtl w:val="0"/>
        </w:rPr>
      </w:r>
    </w:p>
    <w:p w:rsidR="00000000" w:rsidDel="00000000" w:rsidP="00000000" w:rsidRDefault="00000000" w:rsidRPr="00000000" w14:paraId="00000026">
      <w:pPr>
        <w:spacing w:after="240" w:before="240" w:lineRule="auto"/>
        <w:rPr/>
      </w:pPr>
      <w:r w:rsidDel="00000000" w:rsidR="00000000" w:rsidRPr="00000000">
        <w:rPr>
          <w:rtl w:val="0"/>
        </w:rPr>
        <w:t xml:space="preserve">Mentoring is often described as a long term developmental relationship in which a more experienced individual provides guidance and support to someone who is less experienced. Mentors share knowledge, offer advice and help mentees navigate career decisions. </w:t>
      </w:r>
    </w:p>
    <w:p w:rsidR="00000000" w:rsidDel="00000000" w:rsidP="00000000" w:rsidRDefault="00000000" w:rsidRPr="00000000" w14:paraId="00000027">
      <w:pPr>
        <w:spacing w:after="240" w:before="240" w:lineRule="auto"/>
        <w:rPr>
          <w:b w:val="1"/>
          <w:bCs w:val="1"/>
          <w:color w:val="000000"/>
          <w:sz w:val="34"/>
          <w:szCs w:val="34"/>
        </w:rPr>
      </w:pPr>
      <w:r w:rsidDel="00000000" w:rsidR="00000000" w:rsidRPr="00000000">
        <w:rPr>
          <w:rtl w:val="0"/>
        </w:rPr>
        <w:t xml:space="preserve">The quality of the relationship between mentor and mentee plays a key role in determining how successful mentoring will be. According to McCarthy (2013) informal mentoring relationships are often more effective than formal mentoring programmes. This may be because informal relationships develop naturally and are based on mutual trust, shared interests and voluntary participation. Critically, this suggests that organisations should not rely solely on structured mentoring programmes but should also create environments where natural mentoring relationships can develop.</w:t>
      </w:r>
      <w:r w:rsidDel="00000000" w:rsidR="00000000" w:rsidRPr="00000000">
        <w:rPr>
          <w:rtl w:val="0"/>
        </w:rPr>
      </w:r>
    </w:p>
    <w:p w:rsidR="00000000" w:rsidDel="00000000" w:rsidP="00000000" w:rsidRDefault="00000000" w:rsidRPr="00000000" w14:paraId="00000028">
      <w:pPr>
        <w:spacing w:after="240" w:before="240" w:lineRule="auto"/>
        <w:rPr/>
      </w:pPr>
      <w:r w:rsidDel="00000000" w:rsidR="00000000" w:rsidRPr="00000000">
        <w:rPr>
          <w:rtl w:val="0"/>
        </w:rPr>
        <w:t xml:space="preserve">While mentoring usually focuses on long term guidance and experience sharing, coaching is often more structured and focused on achieving specific goals. Coaching relationships are usually shorter term and are commonly used to improve performance, develop skills or address particular workplace challenges.</w:t>
      </w:r>
    </w:p>
    <w:p w:rsidR="00000000" w:rsidDel="00000000" w:rsidP="00000000" w:rsidRDefault="00000000" w:rsidRPr="00000000" w14:paraId="00000029">
      <w:pPr>
        <w:spacing w:after="240" w:before="240" w:lineRule="auto"/>
        <w:rPr/>
      </w:pPr>
      <w:r w:rsidDel="00000000" w:rsidR="00000000" w:rsidRPr="00000000">
        <w:rPr>
          <w:rtl w:val="0"/>
        </w:rPr>
        <w:t xml:space="preserve">Coaching is a developmental process that supports individuals to improve their performance, skills, and understanding through guided conversation, reflection, and goal-focused support. Rather than simply giving answers, coaching encourages individuals to think for themselves, explore options, and take responsibility for their own learning and progress.</w:t>
      </w:r>
    </w:p>
    <w:p w:rsidR="00000000" w:rsidDel="00000000" w:rsidP="00000000" w:rsidRDefault="00000000" w:rsidRPr="00000000" w14:paraId="0000002A">
      <w:pPr>
        <w:spacing w:after="240" w:before="240" w:lineRule="auto"/>
        <w:rPr/>
      </w:pPr>
      <w:r w:rsidDel="00000000" w:rsidR="00000000" w:rsidRPr="00000000">
        <w:rPr>
          <w:rtl w:val="0"/>
        </w:rPr>
        <w:t xml:space="preserve">Garvey (2014) describes coaching as a relational and conversational process, where learning is co created through dialogue. This highlights that coaching is not just about instruction, but about building awareness, confidence, and the ability to adapt and improve over time.</w:t>
      </w:r>
    </w:p>
    <w:p w:rsidR="00000000" w:rsidDel="00000000" w:rsidP="00000000" w:rsidRDefault="00000000" w:rsidRPr="00000000" w14:paraId="0000002B">
      <w:pPr>
        <w:spacing w:after="240" w:before="240" w:lineRule="auto"/>
        <w:rPr/>
      </w:pPr>
      <w:r w:rsidDel="00000000" w:rsidR="00000000" w:rsidRPr="00000000">
        <w:rPr>
          <w:rtl w:val="0"/>
        </w:rPr>
        <w:t xml:space="preserve">One commonly used framework in coaching is the SMART goal model Doran (1981). This model suggests that goals should be specific, measurable, achievable, relevant and time bound in order to be effective. Using SMART goals can help employees clearly define what they want to achieve and monitor their progress over time. However, while this approach provides structure and accountability, it can also focus too heavily on measurable outcomes and may overlook deeper personal development.</w:t>
      </w:r>
    </w:p>
    <w:p w:rsidR="00000000" w:rsidDel="00000000" w:rsidP="00000000" w:rsidRDefault="00000000" w:rsidRPr="00000000" w14:paraId="0000002C">
      <w:pPr>
        <w:spacing w:after="240" w:before="240" w:lineRule="auto"/>
        <w:rPr>
          <w:b w:val="1"/>
          <w:bCs w:val="1"/>
          <w:color w:val="000000"/>
          <w:sz w:val="34"/>
          <w:szCs w:val="34"/>
        </w:rPr>
      </w:pPr>
      <w:r w:rsidDel="00000000" w:rsidR="00000000" w:rsidRPr="00000000">
        <w:rPr>
          <w:rtl w:val="0"/>
        </w:rPr>
        <w:t xml:space="preserve">Another well known coaching framework is the GROW model Whitmore (2009). The model follows four stages: goal, reality, options and will. This approach encourages individuals to reflect on their current situation, explore possible solutions and commit to taking action. Unlike mentoring, where the mentor may share personal experience or advice, coaching frameworks such as GROW focus on helping individuals find their own answers. This difference highlights how coaching often emphasises self directed learning and problem solving.</w:t>
      </w:r>
      <w:r w:rsidDel="00000000" w:rsidR="00000000" w:rsidRPr="00000000">
        <w:rPr>
          <w:rtl w:val="0"/>
        </w:rPr>
      </w:r>
    </w:p>
    <w:p w:rsidR="00000000" w:rsidDel="00000000" w:rsidP="00000000" w:rsidRDefault="00000000" w:rsidRPr="00000000" w14:paraId="0000002D">
      <w:pPr>
        <w:spacing w:after="240" w:before="240" w:lineRule="auto"/>
        <w:rPr/>
      </w:pPr>
      <w:r w:rsidDel="00000000" w:rsidR="00000000" w:rsidRPr="00000000">
        <w:rPr>
          <w:rtl w:val="0"/>
        </w:rPr>
        <w:t xml:space="preserve">Although coaching and mentoring are often described as different approaches, they also share many similarities. Both practices aim to support learning, personal development and improved performance within organisations. In both cases, effective communication is essential, including skills such as active listening, questioning and constructive feedback.</w:t>
      </w:r>
    </w:p>
    <w:p w:rsidR="00000000" w:rsidDel="00000000" w:rsidP="00000000" w:rsidRDefault="00000000" w:rsidRPr="00000000" w14:paraId="0000002E">
      <w:pPr>
        <w:spacing w:after="240" w:before="240" w:lineRule="auto"/>
        <w:rPr>
          <w:b w:val="1"/>
          <w:bCs w:val="1"/>
          <w:color w:val="000000"/>
          <w:sz w:val="34"/>
          <w:szCs w:val="34"/>
        </w:rPr>
      </w:pPr>
      <w:r w:rsidDel="00000000" w:rsidR="00000000" w:rsidRPr="00000000">
        <w:rPr>
          <w:rtl w:val="0"/>
        </w:rPr>
        <w:t xml:space="preserve">Garvey et al (2014) suggests that the boundaries between coaching and mentoring are often blurred because both practices involve similar developmental conversations. In many workplaces managers naturally move between coaching and mentoring roles depending on the situation and the needs of employees. This suggests that coaching and mentoring may work best when they are viewed as complementary rather than completely separate approaches.</w:t>
      </w:r>
      <w:r w:rsidDel="00000000" w:rsidR="00000000" w:rsidRPr="00000000">
        <w:rPr>
          <w:rtl w:val="0"/>
        </w:rPr>
      </w:r>
    </w:p>
    <w:p w:rsidR="00000000" w:rsidDel="00000000" w:rsidP="00000000" w:rsidRDefault="00000000" w:rsidRPr="00000000" w14:paraId="0000002F">
      <w:pPr>
        <w:spacing w:after="240" w:before="240" w:lineRule="auto"/>
        <w:rPr/>
      </w:pPr>
      <w:r w:rsidDel="00000000" w:rsidR="00000000" w:rsidRPr="00000000">
        <w:rPr>
          <w:rtl w:val="0"/>
        </w:rPr>
        <w:t xml:space="preserve">Coaching and mentoring can also support organisational change. A well known model of change consisting of three stages: unfreeze, change and refreeze Lewin (1947). In this model individuals first recognise that change is necessary, then begin to adopt new behaviours, and finally put these behaviours as part of everyday practice.</w:t>
      </w:r>
    </w:p>
    <w:p w:rsidR="00000000" w:rsidDel="00000000" w:rsidP="00000000" w:rsidRDefault="00000000" w:rsidRPr="00000000" w14:paraId="00000030">
      <w:pPr>
        <w:spacing w:after="240" w:before="240" w:lineRule="auto"/>
        <w:rPr>
          <w:b w:val="1"/>
          <w:bCs w:val="1"/>
          <w:color w:val="000000"/>
          <w:sz w:val="34"/>
          <w:szCs w:val="34"/>
        </w:rPr>
      </w:pPr>
      <w:r w:rsidDel="00000000" w:rsidR="00000000" w:rsidRPr="00000000">
        <w:rPr>
          <w:rtl w:val="0"/>
        </w:rPr>
        <w:t xml:space="preserve">Coaching and mentoring can play an important role in this process. They can help employees reflect on existing behaviours, develop new skills and reinforce positive changes over time. Although Lewin’s model has been criticised for presenting change as a simple linear process, it still provides a useful way of understanding how learning and development practices influence behaviour within organisations.</w:t>
      </w:r>
      <w:r w:rsidDel="00000000" w:rsidR="00000000" w:rsidRPr="00000000">
        <w:rPr>
          <w:rtl w:val="0"/>
        </w:rPr>
      </w:r>
    </w:p>
    <w:p w:rsidR="00000000" w:rsidDel="00000000" w:rsidP="00000000" w:rsidRDefault="00000000" w:rsidRPr="00000000" w14:paraId="00000031">
      <w:pPr>
        <w:spacing w:after="240" w:before="240" w:lineRule="auto"/>
        <w:rPr/>
      </w:pPr>
      <w:r w:rsidDel="00000000" w:rsidR="00000000" w:rsidRPr="00000000">
        <w:rPr>
          <w:rtl w:val="0"/>
        </w:rPr>
        <w:t xml:space="preserve">The role of coaching and mentoring becomes even more important when organisations aim to create a culture of continuous learning. Senge (2006) argues that organisations must encourage learning, reflection and knowledge sharing in order to adapt to changing environments.</w:t>
      </w:r>
    </w:p>
    <w:p w:rsidR="00000000" w:rsidDel="00000000" w:rsidP="00000000" w:rsidRDefault="00000000" w:rsidRPr="00000000" w14:paraId="00000032">
      <w:pPr>
        <w:spacing w:after="240" w:before="240" w:lineRule="auto"/>
        <w:rPr/>
      </w:pPr>
      <w:r w:rsidDel="00000000" w:rsidR="00000000" w:rsidRPr="00000000">
        <w:rPr>
          <w:rtl w:val="0"/>
        </w:rPr>
        <w:t xml:space="preserve">In addition to individual learning theories, organisational learning is also a key consideration in understanding how coaching and mentoring contribute to development in practice. Peter Senge emphasises the importance of creating learning organisations, where individuals continuously expand their skills and knowledge through shared learning and reflection. Senge identifies key disciplines such as personal mastery, mental models, shared vision and team learning, all of which support continuous improvement within organisations.</w:t>
      </w:r>
    </w:p>
    <w:p w:rsidR="00000000" w:rsidDel="00000000" w:rsidP="00000000" w:rsidRDefault="00000000" w:rsidRPr="00000000" w14:paraId="00000033">
      <w:pPr>
        <w:spacing w:after="240" w:before="240" w:lineRule="auto"/>
        <w:rPr/>
      </w:pPr>
      <w:r w:rsidDel="00000000" w:rsidR="00000000" w:rsidRPr="00000000">
        <w:rPr>
          <w:rtl w:val="0"/>
        </w:rPr>
        <w:t xml:space="preserve">In organisations such as care settings, the absence of effective mentoring or coaching can have serious consequences for both staff development and the quality of care provided. Without guidance and support, individuals may struggle to develop the practical skills, confidence, and professional judgement needed for their roles. While some learning may occur through observation or trial and error, this approach is often inconsistent and can lead to mistakes, poor practice, and increased risk to service users. Effective mentoring provides a structured way for individuals to reflect, receive feedback, and learn from experience, which is especially important in complex and sensitive environments like care. Without it, staff may feel disengaged, ultimately impacting team performance and the overall standard of care delivered.</w:t>
      </w:r>
    </w:p>
    <w:p w:rsidR="00000000" w:rsidDel="00000000" w:rsidP="00000000" w:rsidRDefault="00000000" w:rsidRPr="00000000" w14:paraId="00000034">
      <w:pPr>
        <w:spacing w:after="240" w:before="240" w:lineRule="auto"/>
        <w:rPr/>
      </w:pPr>
      <w:r w:rsidDel="00000000" w:rsidR="00000000" w:rsidRPr="00000000">
        <w:rPr>
          <w:rtl w:val="0"/>
        </w:rPr>
      </w:r>
    </w:p>
    <w:p w:rsidR="00000000" w:rsidDel="00000000" w:rsidP="00000000" w:rsidRDefault="00000000" w:rsidRPr="00000000" w14:paraId="00000035">
      <w:pPr>
        <w:spacing w:after="240" w:before="240" w:lineRule="auto"/>
        <w:rPr/>
      </w:pPr>
      <w:r w:rsidDel="00000000" w:rsidR="00000000" w:rsidRPr="00000000">
        <w:rPr>
          <w:rtl w:val="0"/>
        </w:rPr>
      </w:r>
    </w:p>
    <w:p w:rsidR="00000000" w:rsidDel="00000000" w:rsidP="00000000" w:rsidRDefault="00000000" w:rsidRPr="00000000" w14:paraId="00000036">
      <w:pPr>
        <w:pStyle w:val="Heading1"/>
        <w:keepNext w:val="0"/>
        <w:keepLines w:val="0"/>
        <w:spacing w:after="120" w:before="480" w:lineRule="auto"/>
        <w:rPr/>
      </w:pPr>
      <w:bookmarkStart w:colFirst="0" w:colLast="0" w:name="_heading=h.ezow3rrqp75e" w:id="2"/>
      <w:bookmarkEnd w:id="2"/>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pStyle w:val="Heading2"/>
        <w:spacing w:after="0" w:line="276" w:lineRule="auto"/>
        <w:rPr/>
      </w:pPr>
      <w:bookmarkStart w:colFirst="0" w:colLast="0" w:name="_heading=h.iy9mwr5q3bal" w:id="3"/>
      <w:bookmarkEnd w:id="3"/>
      <w:r w:rsidDel="00000000" w:rsidR="00000000" w:rsidRPr="00000000">
        <w:rPr>
          <w:rtl w:val="0"/>
        </w:rPr>
        <w:t xml:space="preserve">2 Critically explore the knowledge, skills, attitudes and behaviours needed by an effective workplace coach or mentor.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spacing w:after="240" w:before="240" w:lineRule="auto"/>
        <w:rPr/>
      </w:pPr>
      <w:r w:rsidDel="00000000" w:rsidR="00000000" w:rsidRPr="00000000">
        <w:rPr>
          <w:rtl w:val="0"/>
        </w:rPr>
        <w:t xml:space="preserve"> Mentors do more than share experience or provide advice; they create an environment where learning can take place.  For this reason, effective mentors must demonstrate strong interpersonal skills, emotional awareness and the ability to support independent thinking. Garvey et al (2014) suggest that mentoring should be understood as a relational practice where learning emerges through conversation and reflection rather than simple knowledge sharing. </w:t>
      </w:r>
    </w:p>
    <w:p w:rsidR="00000000" w:rsidDel="00000000" w:rsidP="00000000" w:rsidRDefault="00000000" w:rsidRPr="00000000" w14:paraId="0000003B">
      <w:pPr>
        <w:spacing w:after="240" w:before="240" w:lineRule="auto"/>
        <w:rPr/>
      </w:pPr>
      <w:r w:rsidDel="00000000" w:rsidR="00000000" w:rsidRPr="00000000">
        <w:rPr>
          <w:rtl w:val="0"/>
        </w:rPr>
        <w:t xml:space="preserve">One of the most important qualities of an effective mentor is self awareness. Mentors who understand their own strengths, limitations and communication styles are better able to support others in their development. The Johari Window model shows how self-awareness develops through feedback and dialogue with others Luft et al (1955). Within mentoring relationships, this process of feedback can help both mentors and mentees recognise behaviours that may not previously have been visible. However, increasing self awareness requires openness and trust. If mentors are unwilling to reflect on their own behaviour or receive feedback, mentoring relationships may become one sided rather than collaborative. This suggests that effective mentors must remain reflective practitioners who are willing to learn alongside their mentees.</w:t>
      </w:r>
    </w:p>
    <w:p w:rsidR="00000000" w:rsidDel="00000000" w:rsidP="00000000" w:rsidRDefault="00000000" w:rsidRPr="00000000" w14:paraId="0000003C">
      <w:pPr>
        <w:spacing w:after="240" w:before="240" w:lineRule="auto"/>
        <w:rPr/>
      </w:pPr>
      <w:r w:rsidDel="00000000" w:rsidR="00000000" w:rsidRPr="00000000">
        <w:rPr>
          <w:rtl w:val="0"/>
        </w:rPr>
        <w:t xml:space="preserve">Listening is another essential skill within mentoring relationships. According to Kline (1999) listening actively enables individuals to think more clearly and develop their own ideas. When mentors create space for mentees to reflect and express their thoughts without interruption, they encourage deeper thinking and independent problem solving. Covey (1989) similarly emphasises the importance of empathic listening, suggesting that individuals should seek first to understand others before attempting to influence them. In mentoring relationships, this approach helps mentors understand the experiences and challenges faced by the mentee. However, listening alone may not be sufficient for effective mentoring. Mentors must also be able to challenge assumptions and encourage critical reflection when necessary. Without constructive challenge, mentoring conversations may remain supportive but fail to promote deeper learning.</w:t>
      </w:r>
    </w:p>
    <w:p w:rsidR="00000000" w:rsidDel="00000000" w:rsidP="00000000" w:rsidRDefault="00000000" w:rsidRPr="00000000" w14:paraId="0000003D">
      <w:pPr>
        <w:spacing w:after="240" w:before="240" w:lineRule="auto"/>
        <w:rPr/>
      </w:pPr>
      <w:r w:rsidDel="00000000" w:rsidR="00000000" w:rsidRPr="00000000">
        <w:rPr>
          <w:rtl w:val="0"/>
        </w:rPr>
        <w:t xml:space="preserve">Mentors must also demonstrate the ability to support citical thinking. Bloom’s taxonomy (1956) highlights how learning progresses from basic knowledge towards higher levels of thinking such as analysis, evaluation and creation. Within mentoring conversations mentors can encourage mentees to examine workplace situations critically and explore different solutions. Tools such as mind mapping Buzan (1993) may support this reflective process by helping individuals organise ideas and identify relationships between challenges and possible actions. These approaches highlight that mentoring is not simply about sharing knowledge but about encouraging mentees to think independently and develop their own understanding.</w:t>
      </w:r>
    </w:p>
    <w:p w:rsidR="00000000" w:rsidDel="00000000" w:rsidP="00000000" w:rsidRDefault="00000000" w:rsidRPr="00000000" w14:paraId="0000003E">
      <w:pPr>
        <w:spacing w:after="240" w:before="240" w:lineRule="auto"/>
        <w:rPr/>
      </w:pPr>
      <w:r w:rsidDel="00000000" w:rsidR="00000000" w:rsidRPr="00000000">
        <w:rPr>
          <w:rtl w:val="0"/>
        </w:rPr>
        <w:t xml:space="preserve">Attitudes and behaviours are also critical to successful mentoring relationships. Mentors must demonstrate patience, respect and a genuine commitment to supporting the development of others.</w:t>
      </w:r>
    </w:p>
    <w:p w:rsidR="00000000" w:rsidDel="00000000" w:rsidP="00000000" w:rsidRDefault="00000000" w:rsidRPr="00000000" w14:paraId="0000003F">
      <w:pPr>
        <w:spacing w:after="240" w:before="240" w:lineRule="auto"/>
        <w:rPr/>
      </w:pPr>
      <w:r w:rsidDel="00000000" w:rsidR="00000000" w:rsidRPr="00000000">
        <w:rPr>
          <w:rtl w:val="0"/>
        </w:rPr>
        <w:t xml:space="preserve">Another important behaviour within mentoring relationships is the ability to encourage reflective practice. Schön (1983) argues that professionals develop through reflection on their experiences and actions. Mentors can support this process by encouraging mentees to examine their experiences and consider what they have learned from different situations. Brookfield (1995) similarly emphasises that critical reflection enables individuals to question assumptions and develop deeper understanding of their professional practice. However, reflective conversations require time and openness. If mentoring relationships focus only on immediate problem solving, opportunities for deeper learning may be lost. This suggests that effective mentors must actively create opportunities for reflection and dialogue within the mentoring relationship. </w:t>
      </w:r>
    </w:p>
    <w:p w:rsidR="00000000" w:rsidDel="00000000" w:rsidP="00000000" w:rsidRDefault="00000000" w:rsidRPr="00000000" w14:paraId="00000040">
      <w:pPr>
        <w:spacing w:after="240" w:before="240" w:lineRule="auto"/>
        <w:rPr/>
      </w:pPr>
      <w:r w:rsidDel="00000000" w:rsidR="00000000" w:rsidRPr="00000000">
        <w:rPr>
          <w:rtl w:val="0"/>
        </w:rPr>
        <w:t xml:space="preserve">Socratic questioning provides a structured way to support reflection. Rather than giving answers, mentors ask questions that challenge thinking and encourage independence Paul et al (2006). This aligns with Whitmore (2009), who encourages the importance of questioning in coaching. questioning techniques that encourage mentees to think critically about their experiences. Rather than giving direct answers, mentors can ask open ended questions such as “What were you thinking at that moment?”, “What worked well and why?”,  or “What would you do differently next time?”. These types of questions encourage mentees to reflect on their actions, recognise patterns, and draw meaningful learning from different situations.</w:t>
      </w:r>
    </w:p>
    <w:p w:rsidR="00000000" w:rsidDel="00000000" w:rsidP="00000000" w:rsidRDefault="00000000" w:rsidRPr="00000000" w14:paraId="00000041">
      <w:pPr>
        <w:spacing w:after="240" w:before="240" w:lineRule="auto"/>
        <w:rPr/>
      </w:pPr>
      <w:r w:rsidDel="00000000" w:rsidR="00000000" w:rsidRPr="00000000">
        <w:rPr>
          <w:rtl w:val="0"/>
        </w:rPr>
        <w:t xml:space="preserve">In my own mentoring, asking questions rather than providing solutions has helped therapists develop confidence and independent thinking. However, this approach can be challenging if not balanced with support. The conclusion is that Socratic questioning is effective but must balance challenge with reassurance.</w:t>
      </w:r>
    </w:p>
    <w:p w:rsidR="00000000" w:rsidDel="00000000" w:rsidP="00000000" w:rsidRDefault="00000000" w:rsidRPr="00000000" w14:paraId="00000042">
      <w:pPr>
        <w:spacing w:after="240" w:before="240" w:lineRule="auto"/>
        <w:rPr/>
      </w:pPr>
      <w:r w:rsidDel="00000000" w:rsidR="00000000" w:rsidRPr="00000000">
        <w:rPr>
          <w:rtl w:val="0"/>
        </w:rPr>
        <w:t xml:space="preserve">Being aware of different learning styles can enhance the effectiveness of mentoring by allowing support to be adapted to the individual. When mentors recognise that people learn in different ways, such as through observation, practice, or discussion, they can tailor their approach to meet the mentee’s needs. This not only improves understanding and engagement but also helps build confidence and trust within the relationship. As a result, mentoring becomes more personalised and effective, supporting deeper learning and ongoing development.</w:t>
      </w:r>
    </w:p>
    <w:p w:rsidR="00000000" w:rsidDel="00000000" w:rsidP="00000000" w:rsidRDefault="00000000" w:rsidRPr="00000000" w14:paraId="00000043">
      <w:pPr>
        <w:spacing w:after="240" w:before="240" w:lineRule="auto"/>
        <w:rPr/>
      </w:pPr>
      <w:r w:rsidDel="00000000" w:rsidR="00000000" w:rsidRPr="00000000">
        <w:rPr>
          <w:rtl w:val="0"/>
        </w:rPr>
        <w:t xml:space="preserve">According to Bandura (1977)  learning occurs through observation. This differs from reflective approaches but complements them in practice. From my experience, sharing my own mistakes and modelling behaviour supports development. However, this also highlights the risk of modelling ineffective behaviours. </w:t>
      </w:r>
    </w:p>
    <w:p w:rsidR="00000000" w:rsidDel="00000000" w:rsidP="00000000" w:rsidRDefault="00000000" w:rsidRPr="00000000" w14:paraId="00000044">
      <w:pPr>
        <w:spacing w:after="240" w:before="240" w:lineRule="auto"/>
        <w:rPr/>
      </w:pPr>
      <w:r w:rsidDel="00000000" w:rsidR="00000000" w:rsidRPr="00000000">
        <w:rPr>
          <w:rtl w:val="0"/>
        </w:rPr>
        <w:t xml:space="preserve">Bandura's social learning theory highlights the importance of observation and modelling in skill development, which places significant responsibility on the mentor within a massage training environment. A mentor must demonstrate high levels of practical competence, as their techniques, posture and client interactions act as a model for learners to imitate. This requires not only technical skill, but also the ability to make clinical reasoning visible, allowing students to understand how and why decisions are made during treatment. In terms of behaviour, mentors must display professionalism, effective communication and adaptability, as these behaviours are also observed and replicated by learners.</w:t>
      </w:r>
    </w:p>
    <w:p w:rsidR="00000000" w:rsidDel="00000000" w:rsidP="00000000" w:rsidRDefault="00000000" w:rsidRPr="00000000" w14:paraId="00000045">
      <w:pPr>
        <w:spacing w:after="240" w:before="240" w:lineRule="auto"/>
        <w:rPr/>
      </w:pPr>
      <w:r w:rsidDel="00000000" w:rsidR="00000000" w:rsidRPr="00000000">
        <w:rPr>
          <w:rtl w:val="0"/>
        </w:rPr>
        <w:t xml:space="preserve">The mentor plays a key role in shaping the learner’s confidence and self belief. Therefore, effective mentoring requires a combination of demonstrative skill, positive behavioural modelling and supportive attitudes. By modelling both technical ability and confidence in practice, the mentor not only teaches skills but also fosters the belief systems necessary for learners to progress towards independent and intuitive practice. This aligns with Mezirow (1991), suggesting transformation involves changing perspectives. In mentoring, supporting confidence can improve performance. However, confidence must be supported by competence. The conclusion is that mentoring should develop both belief and skill.  </w:t>
      </w:r>
    </w:p>
    <w:p w:rsidR="00000000" w:rsidDel="00000000" w:rsidP="00000000" w:rsidRDefault="00000000" w:rsidRPr="00000000" w14:paraId="00000046">
      <w:pPr>
        <w:spacing w:after="240" w:before="240" w:lineRule="auto"/>
        <w:rPr/>
      </w:pPr>
      <w:r w:rsidDel="00000000" w:rsidR="00000000" w:rsidRPr="00000000">
        <w:rPr>
          <w:rtl w:val="0"/>
        </w:rPr>
        <w:t xml:space="preserve">Power also influences mentoring. Foucault (1980) highlights power dynamics and suggests that power is embedded within relationships rather than held by individuals. In mentoring, this positions the mentor as a figure of authority through their knowledge and experience, which can influence how the mentee engages and responds. These dynamics may shape communication, reinforce dependence, or limit open dialogue. Foucault’s perspective highlights the need for awareness of these power relations, encouraging mentoring approaches that promote critical thinking and more balanced interactions. </w:t>
      </w:r>
    </w:p>
    <w:p w:rsidR="00000000" w:rsidDel="00000000" w:rsidP="00000000" w:rsidRDefault="00000000" w:rsidRPr="00000000" w14:paraId="00000047">
      <w:pPr>
        <w:spacing w:after="240" w:before="240" w:lineRule="auto"/>
        <w:rPr/>
      </w:pPr>
      <w:r w:rsidDel="00000000" w:rsidR="00000000" w:rsidRPr="00000000">
        <w:rPr>
          <w:rtl w:val="0"/>
        </w:rPr>
        <w:t xml:space="preserve">Allen et al (2007) emphasises trust. These perspectives differ, showing mentoring can support or limit development. With trust identified as a key factor. They suggest that trust enables open communication, mutual respect, and the willingness of mentees to share experiences and seek guidance. A strong, trusting relationship supports both career development and psychosocial growth, allowing mentees to engage more fully in learning and development. Without trust, mentoring relationships are less effective, as individuals may be less open, reducing the depth of learning and support. </w:t>
      </w:r>
    </w:p>
    <w:p w:rsidR="00000000" w:rsidDel="00000000" w:rsidP="00000000" w:rsidRDefault="00000000" w:rsidRPr="00000000" w14:paraId="00000048">
      <w:pPr>
        <w:spacing w:after="240" w:before="240" w:lineRule="auto"/>
        <w:rPr/>
      </w:pPr>
      <w:r w:rsidDel="00000000" w:rsidR="00000000" w:rsidRPr="00000000">
        <w:rPr>
          <w:rtl w:val="0"/>
        </w:rPr>
        <w:t xml:space="preserve"> My own experience reflects this, where poor coaching due to power being enforced made for a bad working environment.  It gave the feeling of being unsupported and undervalued, as though efforts were being overlooked rather than guided in the right direction. Instead of building confidence, the style of coaching left one feeling confused and constantly second guessing. Over time, this created a sense of frustration and self doubt, questioning abilities in the caring sector. It left a feeling of being disconnected and unmotivated, dreading situations where I knew I would receive more unhelpful feedback. Eventually, it reached a point where leaving felt like the only way to protect my confidence and wellbeing.</w:t>
      </w:r>
    </w:p>
    <w:p w:rsidR="00000000" w:rsidDel="00000000" w:rsidP="00000000" w:rsidRDefault="00000000" w:rsidRPr="00000000" w14:paraId="00000049">
      <w:pPr>
        <w:spacing w:after="240" w:before="240" w:lineRule="auto"/>
        <w:rPr/>
      </w:pPr>
      <w:r w:rsidDel="00000000" w:rsidR="00000000" w:rsidRPr="00000000">
        <w:rPr>
          <w:rtl w:val="0"/>
        </w:rPr>
        <w:t xml:space="preserve">Senge emphasises the concept of the learning organisation, where individuals continuously develop their skills through shared learning, reflection and collaboration. This perspective aligns with the work of Lave et al (1991), who suggest that learning occurs through participation in social contexts and communities of practice. They argue that individuals learn by engaging with others, sharing experiences and gradually becoming more competent within a community. Together, these perspectives highlight that learning is not only an individual process but is also shaped by a safe and supportive environment. In conclusion Effective mentors act as facilitators rather than instructors, enabling mentees to build knowledge and confidence through shared experiences and active involvement within their professional setting.</w:t>
      </w:r>
    </w:p>
    <w:p w:rsidR="00000000" w:rsidDel="00000000" w:rsidP="00000000" w:rsidRDefault="00000000" w:rsidRPr="00000000" w14:paraId="0000004A">
      <w:pPr>
        <w:spacing w:after="240" w:before="240" w:lineRule="auto"/>
        <w:rPr/>
      </w:pPr>
      <w:r w:rsidDel="00000000" w:rsidR="00000000" w:rsidRPr="00000000">
        <w:rPr>
          <w:rtl w:val="0"/>
        </w:rPr>
      </w:r>
    </w:p>
    <w:p w:rsidR="00000000" w:rsidDel="00000000" w:rsidP="00000000" w:rsidRDefault="00000000" w:rsidRPr="00000000" w14:paraId="0000004B">
      <w:pPr>
        <w:pStyle w:val="Heading2"/>
        <w:rPr/>
      </w:pPr>
      <w:bookmarkStart w:colFirst="0" w:colLast="0" w:name="_heading=h.lr314hgevlyp" w:id="4"/>
      <w:bookmarkEnd w:id="4"/>
      <w:r w:rsidDel="00000000" w:rsidR="00000000" w:rsidRPr="00000000">
        <w:rPr>
          <w:rtl w:val="0"/>
        </w:rPr>
      </w:r>
    </w:p>
    <w:p w:rsidR="00000000" w:rsidDel="00000000" w:rsidP="00000000" w:rsidRDefault="00000000" w:rsidRPr="00000000" w14:paraId="0000004C">
      <w:pPr>
        <w:pStyle w:val="Heading2"/>
        <w:rPr/>
      </w:pPr>
      <w:bookmarkStart w:colFirst="0" w:colLast="0" w:name="_heading=h.9ejoste3yorb" w:id="5"/>
      <w:bookmarkEnd w:id="5"/>
      <w:r w:rsidDel="00000000" w:rsidR="00000000" w:rsidRPr="00000000">
        <w:rPr>
          <w:rtl w:val="0"/>
        </w:rPr>
        <w:t xml:space="preserve">3 critically assess a model or process that should be followed when formally coaching or mentoring.</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spacing w:after="240" w:before="240" w:lineRule="auto"/>
        <w:rPr/>
      </w:pPr>
      <w:r w:rsidDel="00000000" w:rsidR="00000000" w:rsidRPr="00000000">
        <w:rPr>
          <w:rtl w:val="0"/>
        </w:rPr>
        <w:t xml:space="preserve">Having explored the skills and behaviours required of effective mentors, it is also important to critically examine how mentoring operates as a developmental process within organisations. Mentoring involves more than the simple transfer of knowledge. Garvey et al (2014) suggest that mentoring should be understood as a relational learning process in which knowledge develops through dialogue, reflection and shared experience. This perspective highlights that mentoring evolves through interaction between mentor and mentee rather than following a rigid structure.</w:t>
      </w:r>
    </w:p>
    <w:p w:rsidR="00000000" w:rsidDel="00000000" w:rsidP="00000000" w:rsidRDefault="00000000" w:rsidRPr="00000000" w14:paraId="0000004F">
      <w:pPr>
        <w:spacing w:after="240" w:before="240" w:lineRule="auto"/>
        <w:rPr/>
      </w:pPr>
      <w:r w:rsidDel="00000000" w:rsidR="00000000" w:rsidRPr="00000000">
        <w:rPr>
          <w:rtl w:val="0"/>
        </w:rPr>
        <w:t xml:space="preserve">One important stage in the mentoring process involves developing self awareness. The Johari Window model demonstrates how individuals increase their understanding of their behaviour and attitudes through feedback and communication with others Luft (1955). Within mentoring relationships as previously discussed this process allows mentees to recognise behaviours or assumptions that may previously have been outside their awareness. In care environments this is particularly important because practitioners must continually reflect on their actions to ensure that they are providing safe and compassionate care. However, this process relies heavily on trust. If feedback is delivered in a judgemental way, mentees may become defensive rather than reflective. This suggests that mentors must create psychologically safe environments where feedback encourages learning and development.</w:t>
      </w:r>
    </w:p>
    <w:p w:rsidR="00000000" w:rsidDel="00000000" w:rsidP="00000000" w:rsidRDefault="00000000" w:rsidRPr="00000000" w14:paraId="00000050">
      <w:pPr>
        <w:spacing w:after="240" w:before="240" w:lineRule="auto"/>
        <w:rPr/>
      </w:pPr>
      <w:r w:rsidDel="00000000" w:rsidR="00000000" w:rsidRPr="00000000">
        <w:rPr>
          <w:rtl w:val="0"/>
        </w:rPr>
        <w:t xml:space="preserve">Communication and listening are also central elements of the mentoring process. Kline (1999) argues that individuals develop clearer thinking when they are given time and attentive listening to express their ideas. Similarly, Covey (1989) emphasises that effective communication begins with understanding another person’s perspective before offering advice. Within mentoring conversations this approach allows mentees to explore their experiences and develop their own insights. However, listening alone may not be sufficient. Mentors must also encourage constructive challenge so that mentees reflect critically on their actions and professional decisions.</w:t>
      </w:r>
    </w:p>
    <w:p w:rsidR="00000000" w:rsidDel="00000000" w:rsidP="00000000" w:rsidRDefault="00000000" w:rsidRPr="00000000" w14:paraId="00000051">
      <w:pPr>
        <w:spacing w:after="240" w:before="240" w:lineRule="auto"/>
        <w:rPr/>
      </w:pPr>
      <w:r w:rsidDel="00000000" w:rsidR="00000000" w:rsidRPr="00000000">
        <w:rPr>
          <w:rtl w:val="0"/>
        </w:rPr>
        <w:t xml:space="preserve">Another aspect of the mentoring process involves supporting learning and development. Bloom’s taxonomy demonstrates that learning develops from basic understanding to higher levels of thinking such as analysis and evaluation. Mentoring conversations can support this progression by encouraging mentees to analyse workplace experiences and consider alternative approaches to professional challenges. Tools such as mind mapping can also support reflective learning by helping individuals organise ideas and identify connections between problems and potential solutions Buzan et al  (1993). In complex care environments, where practitioners must make decisions about safeguarding and wellbeing, these </w:t>
      </w:r>
      <w:r w:rsidDel="00000000" w:rsidR="00000000" w:rsidRPr="00000000">
        <w:rPr>
          <w:rtl w:val="0"/>
        </w:rPr>
        <w:t xml:space="preserve">continous</w:t>
      </w:r>
      <w:r w:rsidDel="00000000" w:rsidR="00000000" w:rsidRPr="00000000">
        <w:rPr>
          <w:rtl w:val="0"/>
        </w:rPr>
        <w:t xml:space="preserve"> reflective approaches help staff develop confidence in their professional judgement.</w:t>
      </w:r>
    </w:p>
    <w:p w:rsidR="00000000" w:rsidDel="00000000" w:rsidP="00000000" w:rsidRDefault="00000000" w:rsidRPr="00000000" w14:paraId="00000052">
      <w:pPr>
        <w:spacing w:after="240" w:before="240" w:lineRule="auto"/>
        <w:rPr/>
      </w:pPr>
      <w:r w:rsidDel="00000000" w:rsidR="00000000" w:rsidRPr="00000000">
        <w:rPr>
          <w:rtl w:val="0"/>
        </w:rPr>
        <w:t xml:space="preserve">Contemporary mentoring moves away from a directive approach and instead focuses on facilitating reflection, dialogue, and self directed learning. Clutterbuck (2004) argues that developmental mentoring supports individuals to think critically and generate their own solutions rather than relying on instruction. This aligns with Schön (1983), who emphasises learning through reflection on experience, and Kolb (1984), who highlights learning as a continuous cycle of experience, reflection, and adaptation. Together, these theories position mentoring as a learner centred, reflective process that promotes deeper understanding and ongoing professional development.</w:t>
      </w:r>
    </w:p>
    <w:p w:rsidR="00000000" w:rsidDel="00000000" w:rsidP="00000000" w:rsidRDefault="00000000" w:rsidRPr="00000000" w14:paraId="00000053">
      <w:pPr>
        <w:spacing w:after="240" w:before="240" w:lineRule="auto"/>
        <w:rPr/>
      </w:pPr>
      <w:r w:rsidDel="00000000" w:rsidR="00000000" w:rsidRPr="00000000">
        <w:rPr>
          <w:rtl w:val="0"/>
        </w:rPr>
        <w:t xml:space="preserve">Clutterbuck (2004) suggests that effective mentoring involves “holding up a mirror” to the mentee, enabling them to see their own behaviours, thoughts, and patterns more clearly. Rather than giving direct advice, the mentor uses questioning and reflection to help the mentee gain insight into their own practice and decision making. This approach encourages greater self awareness and supports individuals in identifying their own solutions, promoting independence and deeper professional development. Clutterbuck (2004) suggests that the ultimate aim of mentoring is to make the mentor no longer needed, as the mentee develops confidence, independence, and the ability to think for themselves. Rather than creating reliance, effective mentoring supports individuals in building their own judgement and decision making skills. This highlights that successful mentoring is measured not by how much support is given, but by how capable the mentee becomes without it, reinforcing mentoring as a process focused on long term development and autonomy. Clutterbuck (2004) highlights that effective mentoring is not about rescuing mentees or stepping in too quickly with answers, but about stretching their thinking and capability. He suggests that when mentors take over, it can limit learning and create dependency. Instead, mentors should encourage mentees to work through challenges independently, using questioning and reflection to deepen understanding. This approach supports the development of resilience, confidence, and professional judgement, positioning mentoring as a process that challenges individuals to grow rather than protecting them from difficulty.</w:t>
      </w:r>
    </w:p>
    <w:p w:rsidR="00000000" w:rsidDel="00000000" w:rsidP="00000000" w:rsidRDefault="00000000" w:rsidRPr="00000000" w14:paraId="00000054">
      <w:pPr>
        <w:spacing w:after="240" w:before="240" w:lineRule="auto"/>
        <w:rPr/>
      </w:pPr>
      <w:r w:rsidDel="00000000" w:rsidR="00000000" w:rsidRPr="00000000">
        <w:rPr>
          <w:rtl w:val="0"/>
        </w:rPr>
        <w:t xml:space="preserve">Karpman’s Drama Triangle (1968) also highlights how individuals within relationships may adopt unhelpful roles such as rescuer, victim or persecutor. Within mentoring relationships mentors may unintentionally adopt a rescuing role by solving problems for the mentee rather than encouraging independent thinking. This can create dependency and reduce the mentee’s confidence in their own ability. Effective mentors must therefore support learning while encouraging autonomy and responsibility.</w:t>
      </w:r>
    </w:p>
    <w:p w:rsidR="00000000" w:rsidDel="00000000" w:rsidP="00000000" w:rsidRDefault="00000000" w:rsidRPr="00000000" w14:paraId="00000055">
      <w:pPr>
        <w:spacing w:after="240" w:before="240" w:lineRule="auto"/>
        <w:rPr/>
      </w:pPr>
      <w:r w:rsidDel="00000000" w:rsidR="00000000" w:rsidRPr="00000000">
        <w:rPr>
          <w:rtl w:val="0"/>
        </w:rPr>
        <w:t xml:space="preserve">Another perspective on mentoring involves peer mentoring or co mentoring. Kram et al (1985) argue that developmental relationships can also occur between colleagues who share experiences and professional challenges. In care settings, where teamwork and collaboration are essential, peer mentoring can provide valuable support for staff managing demanding roles. However, peer mentoring relationships may lack the experience or authority often associated with traditional mentoring relationships. As a result, the effectiveness of co-mentoring depends on the willingness of both individuals to engage in reflective dialogue and shared learning.</w:t>
      </w:r>
    </w:p>
    <w:p w:rsidR="00000000" w:rsidDel="00000000" w:rsidP="00000000" w:rsidRDefault="00000000" w:rsidRPr="00000000" w14:paraId="00000056">
      <w:pPr>
        <w:spacing w:after="240" w:before="240" w:lineRule="auto"/>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pStyle w:val="Heading2"/>
        <w:rPr/>
      </w:pPr>
      <w:bookmarkStart w:colFirst="0" w:colLast="0" w:name="_heading=h.bcun5twdbdov" w:id="6"/>
      <w:bookmarkEnd w:id="6"/>
      <w:r w:rsidDel="00000000" w:rsidR="00000000" w:rsidRPr="00000000">
        <w:rPr>
          <w:rtl w:val="0"/>
        </w:rPr>
        <w:t xml:space="preserve">Conclusion</w:t>
      </w:r>
    </w:p>
    <w:p w:rsidR="00000000" w:rsidDel="00000000" w:rsidP="00000000" w:rsidRDefault="00000000" w:rsidRPr="00000000" w14:paraId="00000059">
      <w:pPr>
        <w:spacing w:after="240" w:before="240" w:lineRule="auto"/>
        <w:rPr/>
      </w:pPr>
      <w:r w:rsidDel="00000000" w:rsidR="00000000" w:rsidRPr="00000000">
        <w:rPr>
          <w:rtl w:val="0"/>
        </w:rPr>
        <w:t xml:space="preserve">In conclusion, the process of mentoring is multifaceted, requiring a balance between structure, self awareness, ethical grounding, and the ability to facilitate independent thinking. </w:t>
      </w:r>
    </w:p>
    <w:p w:rsidR="00000000" w:rsidDel="00000000" w:rsidP="00000000" w:rsidRDefault="00000000" w:rsidRPr="00000000" w14:paraId="0000005A">
      <w:pPr>
        <w:spacing w:after="240" w:before="240" w:lineRule="auto"/>
        <w:rPr/>
      </w:pPr>
      <w:r w:rsidDel="00000000" w:rsidR="00000000" w:rsidRPr="00000000">
        <w:rPr>
          <w:rtl w:val="0"/>
        </w:rPr>
        <w:t xml:space="preserve">However, mentoring can become ineffective when it shifts into overly directive roles or unintentionally creates dependency Karpman (1968). Within the care sector, these issues are particularly significant, as practitioners must operate within strict legal and ethical frameworks. Legislation such as the Care Act (2014) requires professionals to prioritise safeguarding, accountability, and person centred practice. Effective mentoring therefore plays a crucial role in supporting practitioners to develop the confidence, knowledge, and professional judgement required to meet these responsibilities.</w:t>
      </w:r>
    </w:p>
    <w:p w:rsidR="00000000" w:rsidDel="00000000" w:rsidP="00000000" w:rsidRDefault="00000000" w:rsidRPr="00000000" w14:paraId="0000005B">
      <w:pPr>
        <w:spacing w:after="240" w:before="240" w:lineRule="auto"/>
        <w:rPr/>
      </w:pPr>
      <w:r w:rsidDel="00000000" w:rsidR="00000000" w:rsidRPr="00000000">
        <w:rPr>
          <w:rtl w:val="0"/>
        </w:rPr>
        <w:t xml:space="preserve">Reflecting on personal experience within a workplace environment further highlights the impact of mentoring approaches. Having personally benefited from a mentor who embodied many of these principles, particularly through asking the right questions rather than simply providing answers. This approach encouraged deep self reflection about my role, and recognised strengths, and also what needed more work and development. Ultimately I felt supported in my career progression within the care profession. This reinforces the idea that effective mentoring is not about directing individuals, but about empowering them to realise their own potential.</w:t>
      </w:r>
    </w:p>
    <w:p w:rsidR="00000000" w:rsidDel="00000000" w:rsidP="00000000" w:rsidRDefault="00000000" w:rsidRPr="00000000" w14:paraId="0000005C">
      <w:pPr>
        <w:spacing w:after="240" w:before="240" w:lineRule="auto"/>
        <w:rPr/>
      </w:pPr>
      <w:r w:rsidDel="00000000" w:rsidR="00000000" w:rsidRPr="00000000">
        <w:rPr>
          <w:rtl w:val="0"/>
        </w:rPr>
        <w:t xml:space="preserve">However, not all experiences with mentoring have been positive. Within the care sector, I have encountered approaches that lacked encouragement and support, and were paved with overall bad practice.</w:t>
      </w:r>
    </w:p>
    <w:p w:rsidR="00000000" w:rsidDel="00000000" w:rsidP="00000000" w:rsidRDefault="00000000" w:rsidRPr="00000000" w14:paraId="0000005D">
      <w:pPr>
        <w:spacing w:after="240" w:before="240" w:lineRule="auto"/>
        <w:rPr/>
      </w:pPr>
      <w:r w:rsidDel="00000000" w:rsidR="00000000" w:rsidRPr="00000000">
        <w:rPr>
          <w:rtl w:val="0"/>
        </w:rPr>
        <w:t xml:space="preserve">In addition, my experience within the food industry has further shaped my understanding of mentoring. I have supported individuals from diverse cultural backgrounds to establish their own businesses after gaining extensive experience in the sector. Through guidance, encouragement, and a genuine belief in their abilities, Our organisation helped them develop and go on to achieve significant success, including receiving awards within the Asian food sector. These experiences stem from a genuine passion for supporting others to develop and succeed. Therefore, when I observe practices within the care sector that do not prioritise growth, encouragement, or empowerment, it contrasts strongly with the positive mentoring environments previously experienced.</w:t>
      </w:r>
    </w:p>
    <w:p w:rsidR="00000000" w:rsidDel="00000000" w:rsidP="00000000" w:rsidRDefault="00000000" w:rsidRPr="00000000" w14:paraId="0000005E">
      <w:pPr>
        <w:spacing w:after="240" w:before="240" w:lineRule="auto"/>
        <w:rPr/>
      </w:pPr>
      <w:r w:rsidDel="00000000" w:rsidR="00000000" w:rsidRPr="00000000">
        <w:rPr>
          <w:rtl w:val="0"/>
        </w:rPr>
        <w:t xml:space="preserve">I value mentoring that pushes limitations and then challenges further, as this is where we will experience the most growth. </w:t>
      </w:r>
    </w:p>
    <w:p w:rsidR="00000000" w:rsidDel="00000000" w:rsidP="00000000" w:rsidRDefault="00000000" w:rsidRPr="00000000" w14:paraId="0000005F">
      <w:pPr>
        <w:spacing w:after="240" w:before="240" w:lineRule="auto"/>
        <w:rPr/>
      </w:pPr>
      <w:r w:rsidDel="00000000" w:rsidR="00000000" w:rsidRPr="00000000">
        <w:rPr>
          <w:rtl w:val="0"/>
        </w:rPr>
        <w:t xml:space="preserve">From a massage therapy perspective, mentoring should support continuous learning and encourage the exploration of new techniques and approaches that enhance client care. As therapists, we are constantly developing our skills to meet individual client needs, so being challenged and guided to expand our practice is essential. Effective mentoring helps us reflect on my treatments, refine techniques, and build confidence in applying new therapies. It also supports the development of transferable skills such as communication, adaptability, and clinical judgement, ensuring a more personalised and effective service for clients while continuing to grow professionally.</w:t>
      </w:r>
    </w:p>
    <w:p w:rsidR="00000000" w:rsidDel="00000000" w:rsidP="00000000" w:rsidRDefault="00000000" w:rsidRPr="00000000" w14:paraId="00000060">
      <w:pPr>
        <w:spacing w:after="240" w:before="240" w:lineRule="auto"/>
        <w:rPr/>
      </w:pPr>
      <w:r w:rsidDel="00000000" w:rsidR="00000000" w:rsidRPr="00000000">
        <w:rPr>
          <w:rtl w:val="0"/>
        </w:rPr>
        <w:t xml:space="preserve">Overall, these combined theoretical perspectives and personal experiences demonstrate that mentoring is most effective when it is underpinned by a genuine commitment to developing others. Whether in care or business contexts, by integrating structured approaches with trust, empathy, reflection, and empowerment, mentoring can become a transformative process that enables individuals to achieve both personal and professional success, while also contributing to wider organisational growth through improved staff capability, retention, and a culture of continuous development.</w:t>
      </w:r>
      <w:r w:rsidDel="00000000" w:rsidR="00000000" w:rsidRPr="00000000">
        <w:rPr>
          <w:rtl w:val="0"/>
        </w:rPr>
      </w:r>
    </w:p>
    <w:p w:rsidR="00000000" w:rsidDel="00000000" w:rsidP="00000000" w:rsidRDefault="00000000" w:rsidRPr="00000000" w14:paraId="00000061">
      <w:pPr>
        <w:pStyle w:val="Heading2"/>
        <w:rPr/>
      </w:pPr>
      <w:bookmarkStart w:colFirst="0" w:colLast="0" w:name="_heading=h.t0zpcwwypo0j" w:id="7"/>
      <w:bookmarkEnd w:id="7"/>
      <w:r w:rsidDel="00000000" w:rsidR="00000000" w:rsidRPr="00000000">
        <w:rPr>
          <w:rtl w:val="0"/>
        </w:rPr>
      </w:r>
    </w:p>
    <w:p w:rsidR="00000000" w:rsidDel="00000000" w:rsidP="00000000" w:rsidRDefault="00000000" w:rsidRPr="00000000" w14:paraId="00000062">
      <w:pPr>
        <w:pStyle w:val="Heading2"/>
        <w:rPr/>
      </w:pPr>
      <w:bookmarkStart w:colFirst="0" w:colLast="0" w:name="_heading=h.f33tvju62y5h" w:id="8"/>
      <w:bookmarkEnd w:id="8"/>
      <w:r w:rsidDel="00000000" w:rsidR="00000000" w:rsidRPr="00000000">
        <w:rPr>
          <w:rtl w:val="0"/>
        </w:rPr>
        <w:t xml:space="preserve">Reference </w:t>
      </w:r>
    </w:p>
    <w:p w:rsidR="00000000" w:rsidDel="00000000" w:rsidP="00000000" w:rsidRDefault="00000000" w:rsidRPr="00000000" w14:paraId="00000063">
      <w:pPr>
        <w:spacing w:after="240" w:before="240" w:lineRule="auto"/>
        <w:rPr/>
      </w:pPr>
      <w:r w:rsidDel="00000000" w:rsidR="00000000" w:rsidRPr="00000000">
        <w:rPr>
          <w:rtl w:val="0"/>
        </w:rPr>
        <w:t xml:space="preserve">Allen, T. D., &amp; Eby, L. T. (2007). The Blackwell handbook of mentoring: A multiple perspectives approach. Blackwell.</w:t>
      </w:r>
    </w:p>
    <w:p w:rsidR="00000000" w:rsidDel="00000000" w:rsidP="00000000" w:rsidRDefault="00000000" w:rsidRPr="00000000" w14:paraId="00000064">
      <w:pPr>
        <w:spacing w:after="240" w:before="240" w:lineRule="auto"/>
        <w:rPr/>
      </w:pPr>
      <w:r w:rsidDel="00000000" w:rsidR="00000000" w:rsidRPr="00000000">
        <w:rPr>
          <w:rtl w:val="0"/>
        </w:rPr>
        <w:t xml:space="preserve">Bandura, A. (1977). Social learning theory. Prentice Hall.</w:t>
      </w:r>
    </w:p>
    <w:p w:rsidR="00000000" w:rsidDel="00000000" w:rsidP="00000000" w:rsidRDefault="00000000" w:rsidRPr="00000000" w14:paraId="00000065">
      <w:pPr>
        <w:spacing w:after="240" w:before="240" w:lineRule="auto"/>
        <w:rPr/>
      </w:pPr>
      <w:r w:rsidDel="00000000" w:rsidR="00000000" w:rsidRPr="00000000">
        <w:rPr>
          <w:rtl w:val="0"/>
        </w:rPr>
        <w:t xml:space="preserve">Bloom, B. S. (1956). Taxonomy of educational objectives. Longmans.</w:t>
      </w:r>
    </w:p>
    <w:p w:rsidR="00000000" w:rsidDel="00000000" w:rsidP="00000000" w:rsidRDefault="00000000" w:rsidRPr="00000000" w14:paraId="00000066">
      <w:pPr>
        <w:spacing w:after="240" w:before="240" w:lineRule="auto"/>
        <w:rPr/>
      </w:pPr>
      <w:r w:rsidDel="00000000" w:rsidR="00000000" w:rsidRPr="00000000">
        <w:rPr>
          <w:rtl w:val="0"/>
        </w:rPr>
        <w:t xml:space="preserve">Brookfield, S. D. (1995). Becoming a critically reflective teacher. Jossey-Bass.</w:t>
      </w:r>
    </w:p>
    <w:p w:rsidR="00000000" w:rsidDel="00000000" w:rsidP="00000000" w:rsidRDefault="00000000" w:rsidRPr="00000000" w14:paraId="00000067">
      <w:pPr>
        <w:spacing w:after="240" w:before="240" w:lineRule="auto"/>
        <w:rPr/>
      </w:pPr>
      <w:r w:rsidDel="00000000" w:rsidR="00000000" w:rsidRPr="00000000">
        <w:rPr>
          <w:rtl w:val="0"/>
        </w:rPr>
        <w:t xml:space="preserve">Buzan, T., &amp; Buzan, B. (1993). The mind map book. BBC Books.</w:t>
      </w:r>
    </w:p>
    <w:p w:rsidR="00000000" w:rsidDel="00000000" w:rsidP="00000000" w:rsidRDefault="00000000" w:rsidRPr="00000000" w14:paraId="00000068">
      <w:pPr>
        <w:spacing w:after="240" w:before="240" w:lineRule="auto"/>
        <w:rPr/>
      </w:pPr>
      <w:r w:rsidDel="00000000" w:rsidR="00000000" w:rsidRPr="00000000">
        <w:rPr>
          <w:rtl w:val="0"/>
        </w:rPr>
        <w:t xml:space="preserve">Care Act 2014. (2014). UK Public General Acts. The Stationery Office.</w:t>
      </w:r>
    </w:p>
    <w:p w:rsidR="00000000" w:rsidDel="00000000" w:rsidP="00000000" w:rsidRDefault="00000000" w:rsidRPr="00000000" w14:paraId="00000069">
      <w:pPr>
        <w:spacing w:after="240" w:before="240" w:lineRule="auto"/>
        <w:rPr/>
      </w:pPr>
      <w:r w:rsidDel="00000000" w:rsidR="00000000" w:rsidRPr="00000000">
        <w:rPr>
          <w:rtl w:val="0"/>
        </w:rPr>
        <w:t xml:space="preserve">Clutterbuck, D. (2004) Everyone Needs a Mentor. London: CIPD. </w:t>
      </w:r>
    </w:p>
    <w:p w:rsidR="00000000" w:rsidDel="00000000" w:rsidP="00000000" w:rsidRDefault="00000000" w:rsidRPr="00000000" w14:paraId="0000006A">
      <w:pPr>
        <w:spacing w:after="240" w:before="240" w:lineRule="auto"/>
        <w:rPr/>
      </w:pPr>
      <w:r w:rsidDel="00000000" w:rsidR="00000000" w:rsidRPr="00000000">
        <w:rPr>
          <w:rtl w:val="0"/>
        </w:rPr>
        <w:t xml:space="preserve">Covey, S. R. (1989). The 7 habits of highly effective people. Simon &amp; Schuster. </w:t>
      </w:r>
    </w:p>
    <w:p w:rsidR="00000000" w:rsidDel="00000000" w:rsidP="00000000" w:rsidRDefault="00000000" w:rsidRPr="00000000" w14:paraId="0000006B">
      <w:pPr>
        <w:spacing w:after="240" w:before="240" w:lineRule="auto"/>
        <w:rPr/>
      </w:pPr>
      <w:r w:rsidDel="00000000" w:rsidR="00000000" w:rsidRPr="00000000">
        <w:rPr>
          <w:rtl w:val="0"/>
        </w:rPr>
        <w:t xml:space="preserve">Doran, G. T. (1981). SMART goals. Management Review, Foucault, M. (1980). Power/knowledge. Pantheon.</w:t>
      </w:r>
    </w:p>
    <w:p w:rsidR="00000000" w:rsidDel="00000000" w:rsidP="00000000" w:rsidRDefault="00000000" w:rsidRPr="00000000" w14:paraId="0000006C">
      <w:pPr>
        <w:spacing w:after="240" w:before="240" w:lineRule="auto"/>
        <w:rPr/>
      </w:pPr>
      <w:r w:rsidDel="00000000" w:rsidR="00000000" w:rsidRPr="00000000">
        <w:rPr>
          <w:rtl w:val="0"/>
        </w:rPr>
        <w:t xml:space="preserve">Foucault, M. (1980) Power/Knowledge: Selected Interviews and Other Writings 1972–1977. New York: Pantheon Books.</w:t>
      </w:r>
    </w:p>
    <w:p w:rsidR="00000000" w:rsidDel="00000000" w:rsidP="00000000" w:rsidRDefault="00000000" w:rsidRPr="00000000" w14:paraId="0000006D">
      <w:pPr>
        <w:spacing w:after="240" w:before="240" w:lineRule="auto"/>
        <w:rPr/>
      </w:pPr>
      <w:r w:rsidDel="00000000" w:rsidR="00000000" w:rsidRPr="00000000">
        <w:rPr>
          <w:rtl w:val="0"/>
        </w:rPr>
        <w:t xml:space="preserve">Garvey, R. (2004). The mentoring/councilling/coaching debate: Call a rose by any other name and perhaps it's a bramble? Development and Learning in Organisations, </w:t>
      </w:r>
    </w:p>
    <w:p w:rsidR="00000000" w:rsidDel="00000000" w:rsidP="00000000" w:rsidRDefault="00000000" w:rsidRPr="00000000" w14:paraId="0000006E">
      <w:pPr>
        <w:spacing w:after="240" w:before="240" w:lineRule="auto"/>
        <w:rPr/>
      </w:pPr>
      <w:r w:rsidDel="00000000" w:rsidR="00000000" w:rsidRPr="00000000">
        <w:rPr>
          <w:rtl w:val="0"/>
        </w:rPr>
        <w:t xml:space="preserve">Garvey, R., Stokes, P., &amp; Megginson, D. (2014). Coaching and mentoring. Sage.</w:t>
      </w:r>
    </w:p>
    <w:p w:rsidR="00000000" w:rsidDel="00000000" w:rsidP="00000000" w:rsidRDefault="00000000" w:rsidRPr="00000000" w14:paraId="0000006F">
      <w:pPr>
        <w:spacing w:after="240" w:before="240" w:lineRule="auto"/>
        <w:rPr/>
      </w:pPr>
      <w:r w:rsidDel="00000000" w:rsidR="00000000" w:rsidRPr="00000000">
        <w:rPr>
          <w:rtl w:val="0"/>
        </w:rPr>
        <w:t xml:space="preserve">Gilbert, W., &amp; Trudel, P. (2001). Learning through reflection. Journal of Teaching in Physical Education.</w:t>
      </w:r>
    </w:p>
    <w:p w:rsidR="00000000" w:rsidDel="00000000" w:rsidP="00000000" w:rsidRDefault="00000000" w:rsidRPr="00000000" w14:paraId="00000070">
      <w:pPr>
        <w:spacing w:after="240" w:before="240" w:lineRule="auto"/>
        <w:rPr/>
      </w:pPr>
      <w:r w:rsidDel="00000000" w:rsidR="00000000" w:rsidRPr="00000000">
        <w:rPr>
          <w:rtl w:val="0"/>
        </w:rPr>
        <w:t xml:space="preserve">Karpman, S. (1968). Drama triangle. Transactional Analysis Bulletin.</w:t>
      </w:r>
    </w:p>
    <w:p w:rsidR="00000000" w:rsidDel="00000000" w:rsidP="00000000" w:rsidRDefault="00000000" w:rsidRPr="00000000" w14:paraId="00000071">
      <w:pPr>
        <w:spacing w:after="240" w:before="240" w:lineRule="auto"/>
        <w:rPr/>
      </w:pPr>
      <w:r w:rsidDel="00000000" w:rsidR="00000000" w:rsidRPr="00000000">
        <w:rPr>
          <w:rtl w:val="0"/>
        </w:rPr>
        <w:t xml:space="preserve">Kline, N. (1999). Time to think. Cassell.</w:t>
      </w:r>
    </w:p>
    <w:p w:rsidR="00000000" w:rsidDel="00000000" w:rsidP="00000000" w:rsidRDefault="00000000" w:rsidRPr="00000000" w14:paraId="00000072">
      <w:pPr>
        <w:spacing w:after="240" w:before="240" w:lineRule="auto"/>
        <w:rPr/>
      </w:pPr>
      <w:r w:rsidDel="00000000" w:rsidR="00000000" w:rsidRPr="00000000">
        <w:rPr>
          <w:rtl w:val="0"/>
        </w:rPr>
        <w:t xml:space="preserve">Kram, K. E., &amp; Isabella, L. A. (1985). Peer mentoring. Academy of Management Journal.</w:t>
      </w:r>
    </w:p>
    <w:p w:rsidR="00000000" w:rsidDel="00000000" w:rsidP="00000000" w:rsidRDefault="00000000" w:rsidRPr="00000000" w14:paraId="00000073">
      <w:pPr>
        <w:spacing w:after="240" w:before="240" w:lineRule="auto"/>
        <w:rPr/>
      </w:pPr>
      <w:r w:rsidDel="00000000" w:rsidR="00000000" w:rsidRPr="00000000">
        <w:rPr>
          <w:rtl w:val="0"/>
        </w:rPr>
        <w:t xml:space="preserve">Lave, J., &amp; Wenger, E. (1991). Situated learning. Cambridge.</w:t>
      </w:r>
    </w:p>
    <w:p w:rsidR="00000000" w:rsidDel="00000000" w:rsidP="00000000" w:rsidRDefault="00000000" w:rsidRPr="00000000" w14:paraId="00000074">
      <w:pPr>
        <w:spacing w:after="240" w:before="240" w:lineRule="auto"/>
        <w:rPr/>
      </w:pPr>
      <w:r w:rsidDel="00000000" w:rsidR="00000000" w:rsidRPr="00000000">
        <w:rPr>
          <w:rtl w:val="0"/>
        </w:rPr>
        <w:t xml:space="preserve">Lewin, K. (1947). Frontiers in group dynamics. Human Relations. </w:t>
      </w:r>
    </w:p>
    <w:p w:rsidR="00000000" w:rsidDel="00000000" w:rsidP="00000000" w:rsidRDefault="00000000" w:rsidRPr="00000000" w14:paraId="00000075">
      <w:pPr>
        <w:spacing w:after="240" w:before="240" w:lineRule="auto"/>
        <w:rPr/>
      </w:pPr>
      <w:r w:rsidDel="00000000" w:rsidR="00000000" w:rsidRPr="00000000">
        <w:rPr>
          <w:rtl w:val="0"/>
        </w:rPr>
        <w:t xml:space="preserve">Luft, J., &amp; Ingham, H. (1955). Johari Window. UCLA.</w:t>
      </w:r>
    </w:p>
    <w:p w:rsidR="00000000" w:rsidDel="00000000" w:rsidP="00000000" w:rsidRDefault="00000000" w:rsidRPr="00000000" w14:paraId="00000076">
      <w:pPr>
        <w:spacing w:after="240" w:before="240" w:lineRule="auto"/>
        <w:rPr/>
      </w:pPr>
      <w:r w:rsidDel="00000000" w:rsidR="00000000" w:rsidRPr="00000000">
        <w:rPr>
          <w:rtl w:val="0"/>
        </w:rPr>
        <w:t xml:space="preserve">McCarthy, G. (2013). David Clutterbug, mentoring and coaching: A commentary. University of Wollongong.</w:t>
      </w:r>
    </w:p>
    <w:p w:rsidR="00000000" w:rsidDel="00000000" w:rsidP="00000000" w:rsidRDefault="00000000" w:rsidRPr="00000000" w14:paraId="00000077">
      <w:pPr>
        <w:spacing w:after="240" w:before="240" w:lineRule="auto"/>
        <w:rPr/>
      </w:pPr>
      <w:r w:rsidDel="00000000" w:rsidR="00000000" w:rsidRPr="00000000">
        <w:rPr>
          <w:rtl w:val="0"/>
        </w:rPr>
        <w:t xml:space="preserve">Mezirow, J. (1991). Transformative learning. Jossey-Bass.</w:t>
      </w:r>
    </w:p>
    <w:p w:rsidR="00000000" w:rsidDel="00000000" w:rsidP="00000000" w:rsidRDefault="00000000" w:rsidRPr="00000000" w14:paraId="00000078">
      <w:pPr>
        <w:spacing w:after="240" w:before="240" w:lineRule="auto"/>
        <w:rPr/>
      </w:pPr>
      <w:r w:rsidDel="00000000" w:rsidR="00000000" w:rsidRPr="00000000">
        <w:rPr>
          <w:rtl w:val="0"/>
        </w:rPr>
        <w:t xml:space="preserve">Paul, R., &amp; Elder, L. (2006). Critical thinking. Pearson.</w:t>
      </w:r>
    </w:p>
    <w:p w:rsidR="00000000" w:rsidDel="00000000" w:rsidP="00000000" w:rsidRDefault="00000000" w:rsidRPr="00000000" w14:paraId="00000079">
      <w:pPr>
        <w:spacing w:after="240" w:before="240" w:lineRule="auto"/>
        <w:rPr/>
      </w:pPr>
      <w:r w:rsidDel="00000000" w:rsidR="00000000" w:rsidRPr="00000000">
        <w:rPr>
          <w:rtl w:val="0"/>
        </w:rPr>
        <w:t xml:space="preserve">Schön, D. A. (1983). Reflective practitioner. Basic Books.</w:t>
      </w:r>
    </w:p>
    <w:p w:rsidR="00000000" w:rsidDel="00000000" w:rsidP="00000000" w:rsidRDefault="00000000" w:rsidRPr="00000000" w14:paraId="0000007A">
      <w:pPr>
        <w:spacing w:after="240" w:before="240" w:lineRule="auto"/>
        <w:rPr/>
      </w:pPr>
      <w:r w:rsidDel="00000000" w:rsidR="00000000" w:rsidRPr="00000000">
        <w:rPr>
          <w:rtl w:val="0"/>
        </w:rPr>
        <w:t xml:space="preserve">Senge, can beP. M. (2006).The fifth discipline: The art and practice of the learning organisation (Rev. Edd.). Doubleday.</w:t>
      </w:r>
    </w:p>
    <w:p w:rsidR="00000000" w:rsidDel="00000000" w:rsidP="00000000" w:rsidRDefault="00000000" w:rsidRPr="00000000" w14:paraId="0000007B">
      <w:pPr>
        <w:spacing w:after="240" w:before="240" w:lineRule="auto"/>
        <w:rPr/>
      </w:pPr>
      <w:r w:rsidDel="00000000" w:rsidR="00000000" w:rsidRPr="00000000">
        <w:rPr>
          <w:rtl w:val="0"/>
        </w:rPr>
        <w:t xml:space="preserve">Senge, P. M. (1990). The fifth discipline. Doubleday.</w:t>
      </w:r>
    </w:p>
    <w:p w:rsidR="00000000" w:rsidDel="00000000" w:rsidP="00000000" w:rsidRDefault="00000000" w:rsidRPr="00000000" w14:paraId="0000007C">
      <w:pPr>
        <w:spacing w:after="240" w:before="240" w:lineRule="auto"/>
        <w:rPr/>
      </w:pPr>
      <w:r w:rsidDel="00000000" w:rsidR="00000000" w:rsidRPr="00000000">
        <w:rPr>
          <w:rtl w:val="0"/>
        </w:rPr>
        <w:t xml:space="preserve">Whitmore, J. (2009). Coaching for performance. Nicholas Brealey.</w:t>
      </w:r>
    </w:p>
    <w:p w:rsidR="00000000" w:rsidDel="00000000" w:rsidP="00000000" w:rsidRDefault="00000000" w:rsidRPr="00000000" w14:paraId="0000007D">
      <w:pPr>
        <w:spacing w:after="240" w:before="240" w:lineRule="auto"/>
        <w:rPr/>
      </w:pPr>
      <w:r w:rsidDel="00000000" w:rsidR="00000000" w:rsidRPr="00000000">
        <w:rPr>
          <w:rtl w:val="0"/>
        </w:rPr>
      </w:r>
    </w:p>
    <w:p w:rsidR="00000000" w:rsidDel="00000000" w:rsidP="00000000" w:rsidRDefault="00000000" w:rsidRPr="00000000" w14:paraId="0000007E">
      <w:pPr>
        <w:spacing w:after="240" w:before="240" w:lineRule="auto"/>
        <w:rPr/>
      </w:pPr>
      <w:r w:rsidDel="00000000" w:rsidR="00000000" w:rsidRPr="00000000">
        <w:rPr>
          <w:rtl w:val="0"/>
        </w:rPr>
      </w:r>
    </w:p>
    <w:p w:rsidR="00000000" w:rsidDel="00000000" w:rsidP="00000000" w:rsidRDefault="00000000" w:rsidRPr="00000000" w14:paraId="0000007F">
      <w:pPr>
        <w:spacing w:after="240" w:before="240" w:lineRule="auto"/>
        <w:rPr/>
      </w:pPr>
      <w:r w:rsidDel="00000000" w:rsidR="00000000" w:rsidRPr="00000000">
        <w:rPr>
          <w:rtl w:val="0"/>
        </w:rPr>
      </w:r>
    </w:p>
    <w:p w:rsidR="00000000" w:rsidDel="00000000" w:rsidP="00000000" w:rsidRDefault="00000000" w:rsidRPr="00000000" w14:paraId="00000080">
      <w:pPr>
        <w:spacing w:after="240" w:before="240" w:lineRule="auto"/>
        <w:rPr/>
      </w:pPr>
      <w:r w:rsidDel="00000000" w:rsidR="00000000" w:rsidRPr="00000000">
        <w:rPr>
          <w:rtl w:val="0"/>
        </w:rPr>
      </w:r>
    </w:p>
    <w:p w:rsidR="00000000" w:rsidDel="00000000" w:rsidP="00000000" w:rsidRDefault="00000000" w:rsidRPr="00000000" w14:paraId="00000081">
      <w:pPr>
        <w:spacing w:after="240" w:before="240" w:lineRule="auto"/>
        <w:rPr/>
      </w:pPr>
      <w:r w:rsidDel="00000000" w:rsidR="00000000" w:rsidRPr="00000000">
        <w:rPr>
          <w:rtl w:val="0"/>
        </w:rPr>
      </w:r>
    </w:p>
    <w:p w:rsidR="00000000" w:rsidDel="00000000" w:rsidP="00000000" w:rsidRDefault="00000000" w:rsidRPr="00000000" w14:paraId="00000082">
      <w:pPr>
        <w:spacing w:after="240" w:before="240" w:lineRule="auto"/>
        <w:rPr/>
      </w:pPr>
      <w:r w:rsidDel="00000000" w:rsidR="00000000" w:rsidRPr="00000000">
        <w:rPr>
          <w:rtl w:val="0"/>
        </w:rPr>
      </w:r>
    </w:p>
    <w:p w:rsidR="00000000" w:rsidDel="00000000" w:rsidP="00000000" w:rsidRDefault="00000000" w:rsidRPr="00000000" w14:paraId="00000083">
      <w:pPr>
        <w:spacing w:after="240" w:before="240" w:lineRule="auto"/>
        <w:rPr/>
      </w:pPr>
      <w:r w:rsidDel="00000000" w:rsidR="00000000" w:rsidRPr="00000000">
        <w:rPr>
          <w:rtl w:val="0"/>
        </w:rPr>
      </w:r>
    </w:p>
    <w:p w:rsidR="00000000" w:rsidDel="00000000" w:rsidP="00000000" w:rsidRDefault="00000000" w:rsidRPr="00000000" w14:paraId="00000084">
      <w:pPr>
        <w:spacing w:after="240" w:before="240" w:lineRule="auto"/>
        <w:rPr/>
      </w:pPr>
      <w:r w:rsidDel="00000000" w:rsidR="00000000" w:rsidRPr="00000000">
        <w:rPr>
          <w:rtl w:val="0"/>
        </w:rPr>
      </w:r>
    </w:p>
    <w:p w:rsidR="00000000" w:rsidDel="00000000" w:rsidP="00000000" w:rsidRDefault="00000000" w:rsidRPr="00000000" w14:paraId="00000085">
      <w:pPr>
        <w:spacing w:after="240" w:before="240" w:lineRule="auto"/>
        <w:rPr/>
      </w:pPr>
      <w:r w:rsidDel="00000000" w:rsidR="00000000" w:rsidRPr="00000000">
        <w:rPr>
          <w:rtl w:val="0"/>
        </w:rPr>
      </w:r>
    </w:p>
    <w:p w:rsidR="00000000" w:rsidDel="00000000" w:rsidP="00000000" w:rsidRDefault="00000000" w:rsidRPr="00000000" w14:paraId="00000086">
      <w:pPr>
        <w:spacing w:after="240" w:before="240" w:lineRule="auto"/>
        <w:rPr/>
      </w:pPr>
      <w:r w:rsidDel="00000000" w:rsidR="00000000" w:rsidRPr="00000000">
        <w:rPr>
          <w:rtl w:val="0"/>
        </w:rPr>
      </w:r>
    </w:p>
    <w:p w:rsidR="00000000" w:rsidDel="00000000" w:rsidP="00000000" w:rsidRDefault="00000000" w:rsidRPr="00000000" w14:paraId="00000087">
      <w:pPr>
        <w:spacing w:after="240" w:before="240" w:lineRule="auto"/>
        <w:rPr/>
      </w:pPr>
      <w:r w:rsidDel="00000000" w:rsidR="00000000" w:rsidRPr="00000000">
        <w:rPr>
          <w:rtl w:val="0"/>
        </w:rPr>
      </w:r>
    </w:p>
    <w:p w:rsidR="00000000" w:rsidDel="00000000" w:rsidP="00000000" w:rsidRDefault="00000000" w:rsidRPr="00000000" w14:paraId="00000088">
      <w:pPr>
        <w:spacing w:after="240" w:before="240" w:lineRule="auto"/>
        <w:rPr/>
      </w:pPr>
      <w:r w:rsidDel="00000000" w:rsidR="00000000" w:rsidRPr="00000000">
        <w:rPr>
          <w:rtl w:val="0"/>
        </w:rPr>
      </w:r>
    </w:p>
    <w:p w:rsidR="00000000" w:rsidDel="00000000" w:rsidP="00000000" w:rsidRDefault="00000000" w:rsidRPr="00000000" w14:paraId="00000089">
      <w:pPr>
        <w:spacing w:after="240" w:before="240" w:lineRule="auto"/>
        <w:rPr/>
      </w:pPr>
      <w:r w:rsidDel="00000000" w:rsidR="00000000" w:rsidRPr="00000000">
        <w:rPr>
          <w:rtl w:val="0"/>
        </w:rPr>
      </w:r>
    </w:p>
    <w:p w:rsidR="00000000" w:rsidDel="00000000" w:rsidP="00000000" w:rsidRDefault="00000000" w:rsidRPr="00000000" w14:paraId="0000008A">
      <w:pPr>
        <w:spacing w:after="240" w:before="240" w:lineRule="auto"/>
        <w:rPr/>
      </w:pPr>
      <w:r w:rsidDel="00000000" w:rsidR="00000000" w:rsidRPr="00000000">
        <w:rPr>
          <w:rtl w:val="0"/>
        </w:rPr>
      </w:r>
    </w:p>
    <w:p w:rsidR="00000000" w:rsidDel="00000000" w:rsidP="00000000" w:rsidRDefault="00000000" w:rsidRPr="00000000" w14:paraId="0000008B">
      <w:pPr>
        <w:spacing w:after="240" w:before="240" w:lineRule="auto"/>
        <w:rPr/>
      </w:pPr>
      <w:r w:rsidDel="00000000" w:rsidR="00000000" w:rsidRPr="00000000">
        <w:rPr>
          <w:rtl w:val="0"/>
        </w:rPr>
      </w:r>
    </w:p>
    <w:p w:rsidR="00000000" w:rsidDel="00000000" w:rsidP="00000000" w:rsidRDefault="00000000" w:rsidRPr="00000000" w14:paraId="0000008C">
      <w:pPr>
        <w:spacing w:after="240" w:before="240" w:lineRule="auto"/>
        <w:rPr/>
      </w:pPr>
      <w:r w:rsidDel="00000000" w:rsidR="00000000" w:rsidRPr="00000000">
        <w:rPr>
          <w:rtl w:val="0"/>
        </w:rPr>
      </w:r>
    </w:p>
    <w:p w:rsidR="00000000" w:rsidDel="00000000" w:rsidP="00000000" w:rsidRDefault="00000000" w:rsidRPr="00000000" w14:paraId="0000008D">
      <w:pPr>
        <w:spacing w:after="240" w:before="240" w:lineRule="auto"/>
        <w:rPr/>
      </w:pPr>
      <w:r w:rsidDel="00000000" w:rsidR="00000000" w:rsidRPr="00000000">
        <w:rPr>
          <w:rtl w:val="0"/>
        </w:rPr>
      </w:r>
    </w:p>
    <w:p w:rsidR="00000000" w:rsidDel="00000000" w:rsidP="00000000" w:rsidRDefault="00000000" w:rsidRPr="00000000" w14:paraId="0000008E">
      <w:pPr>
        <w:spacing w:after="240" w:before="240" w:lineRule="auto"/>
        <w:rPr/>
      </w:pPr>
      <w:r w:rsidDel="00000000" w:rsidR="00000000" w:rsidRPr="00000000">
        <w:rPr>
          <w:rtl w:val="0"/>
        </w:rPr>
      </w:r>
    </w:p>
    <w:p w:rsidR="00000000" w:rsidDel="00000000" w:rsidP="00000000" w:rsidRDefault="00000000" w:rsidRPr="00000000" w14:paraId="0000008F">
      <w:pPr>
        <w:spacing w:after="240" w:before="240" w:lineRule="auto"/>
        <w:rPr/>
      </w:pPr>
      <w:r w:rsidDel="00000000" w:rsidR="00000000" w:rsidRPr="00000000">
        <w:rPr>
          <w:rtl w:val="0"/>
        </w:rPr>
      </w:r>
    </w:p>
    <w:p w:rsidR="00000000" w:rsidDel="00000000" w:rsidP="00000000" w:rsidRDefault="00000000" w:rsidRPr="00000000" w14:paraId="00000090">
      <w:pPr>
        <w:spacing w:after="240" w:before="240" w:lineRule="auto"/>
        <w:rPr/>
      </w:pPr>
      <w:r w:rsidDel="00000000" w:rsidR="00000000" w:rsidRPr="00000000">
        <w:rPr>
          <w:rtl w:val="0"/>
        </w:rPr>
      </w:r>
    </w:p>
    <w:p w:rsidR="00000000" w:rsidDel="00000000" w:rsidP="00000000" w:rsidRDefault="00000000" w:rsidRPr="00000000" w14:paraId="00000091">
      <w:pPr>
        <w:spacing w:after="240" w:before="240" w:lineRule="auto"/>
        <w:rPr/>
      </w:pPr>
      <w:r w:rsidDel="00000000" w:rsidR="00000000" w:rsidRPr="00000000">
        <w:rPr>
          <w:rtl w:val="0"/>
        </w:rPr>
      </w:r>
    </w:p>
    <w:p w:rsidR="00000000" w:rsidDel="00000000" w:rsidP="00000000" w:rsidRDefault="00000000" w:rsidRPr="00000000" w14:paraId="00000092">
      <w:pPr>
        <w:spacing w:after="240" w:before="240" w:lineRule="auto"/>
        <w:rPr/>
      </w:pPr>
      <w:r w:rsidDel="00000000" w:rsidR="00000000" w:rsidRPr="00000000">
        <w:rPr>
          <w:rtl w:val="0"/>
        </w:rPr>
      </w:r>
    </w:p>
    <w:p w:rsidR="00000000" w:rsidDel="00000000" w:rsidP="00000000" w:rsidRDefault="00000000" w:rsidRPr="00000000" w14:paraId="00000093">
      <w:pPr>
        <w:spacing w:after="240" w:before="240" w:lineRule="auto"/>
        <w:rPr/>
      </w:pPr>
      <w:r w:rsidDel="00000000" w:rsidR="00000000" w:rsidRPr="00000000">
        <w:rPr>
          <w:rtl w:val="0"/>
        </w:rPr>
      </w:r>
    </w:p>
    <w:p w:rsidR="00000000" w:rsidDel="00000000" w:rsidP="00000000" w:rsidRDefault="00000000" w:rsidRPr="00000000" w14:paraId="00000094">
      <w:pPr>
        <w:spacing w:after="240" w:before="240" w:lineRule="auto"/>
        <w:rPr/>
      </w:pPr>
      <w:r w:rsidDel="00000000" w:rsidR="00000000" w:rsidRPr="00000000">
        <w:rPr>
          <w:rtl w:val="0"/>
        </w:rPr>
      </w:r>
    </w:p>
    <w:p w:rsidR="00000000" w:rsidDel="00000000" w:rsidP="00000000" w:rsidRDefault="00000000" w:rsidRPr="00000000" w14:paraId="00000095">
      <w:pPr>
        <w:spacing w:after="240" w:before="240" w:lineRule="auto"/>
        <w:rPr/>
      </w:pPr>
      <w:r w:rsidDel="00000000" w:rsidR="00000000" w:rsidRPr="00000000">
        <w:rPr>
          <w:rtl w:val="0"/>
        </w:rPr>
      </w:r>
    </w:p>
    <w:p w:rsidR="00000000" w:rsidDel="00000000" w:rsidP="00000000" w:rsidRDefault="00000000" w:rsidRPr="00000000" w14:paraId="00000096">
      <w:pPr>
        <w:spacing w:after="240" w:before="240" w:lineRule="auto"/>
        <w:rPr/>
      </w:pPr>
      <w:r w:rsidDel="00000000" w:rsidR="00000000" w:rsidRPr="00000000">
        <w:rPr>
          <w:rtl w:val="0"/>
        </w:rPr>
      </w:r>
    </w:p>
    <w:p w:rsidR="00000000" w:rsidDel="00000000" w:rsidP="00000000" w:rsidRDefault="00000000" w:rsidRPr="00000000" w14:paraId="00000097">
      <w:pPr>
        <w:spacing w:after="240" w:before="240" w:lineRule="auto"/>
        <w:rPr/>
      </w:pPr>
      <w:r w:rsidDel="00000000" w:rsidR="00000000" w:rsidRPr="00000000">
        <w:rPr>
          <w:rtl w:val="0"/>
        </w:rPr>
      </w:r>
    </w:p>
    <w:p w:rsidR="00000000" w:rsidDel="00000000" w:rsidP="00000000" w:rsidRDefault="00000000" w:rsidRPr="00000000" w14:paraId="00000098">
      <w:pPr>
        <w:spacing w:after="240" w:before="240" w:lineRule="auto"/>
        <w:rPr/>
      </w:pPr>
      <w:r w:rsidDel="00000000" w:rsidR="00000000" w:rsidRPr="00000000">
        <w:rPr>
          <w:rtl w:val="0"/>
        </w:rPr>
      </w:r>
    </w:p>
    <w:p w:rsidR="00000000" w:rsidDel="00000000" w:rsidP="00000000" w:rsidRDefault="00000000" w:rsidRPr="00000000" w14:paraId="00000099">
      <w:pPr>
        <w:spacing w:after="240" w:before="240" w:lineRule="auto"/>
        <w:rPr/>
      </w:pPr>
      <w:r w:rsidDel="00000000" w:rsidR="00000000" w:rsidRPr="00000000">
        <w:rPr>
          <w:rtl w:val="0"/>
        </w:rPr>
      </w:r>
    </w:p>
    <w:p w:rsidR="00000000" w:rsidDel="00000000" w:rsidP="00000000" w:rsidRDefault="00000000" w:rsidRPr="00000000" w14:paraId="0000009A">
      <w:pPr>
        <w:spacing w:after="240" w:before="240" w:lineRule="auto"/>
        <w:rPr/>
      </w:pPr>
      <w:r w:rsidDel="00000000" w:rsidR="00000000" w:rsidRPr="00000000">
        <w:rPr>
          <w:rtl w:val="0"/>
        </w:rPr>
      </w:r>
    </w:p>
    <w:p w:rsidR="00000000" w:rsidDel="00000000" w:rsidP="00000000" w:rsidRDefault="00000000" w:rsidRPr="00000000" w14:paraId="0000009B">
      <w:pPr>
        <w:spacing w:after="240" w:before="240" w:lineRule="auto"/>
        <w:rPr/>
      </w:pPr>
      <w:r w:rsidDel="00000000" w:rsidR="00000000" w:rsidRPr="00000000">
        <w:rPr>
          <w:rtl w:val="0"/>
        </w:rPr>
      </w:r>
    </w:p>
    <w:p w:rsidR="00000000" w:rsidDel="00000000" w:rsidP="00000000" w:rsidRDefault="00000000" w:rsidRPr="00000000" w14:paraId="0000009C">
      <w:pPr>
        <w:spacing w:after="240" w:before="240" w:lineRule="auto"/>
        <w:rPr/>
      </w:pPr>
      <w:r w:rsidDel="00000000" w:rsidR="00000000" w:rsidRPr="00000000">
        <w:rPr>
          <w:rtl w:val="0"/>
        </w:rPr>
      </w:r>
    </w:p>
    <w:p w:rsidR="00000000" w:rsidDel="00000000" w:rsidP="00000000" w:rsidRDefault="00000000" w:rsidRPr="00000000" w14:paraId="0000009D">
      <w:pPr>
        <w:spacing w:after="240" w:before="240" w:lineRule="auto"/>
        <w:rPr/>
      </w:pPr>
      <w:r w:rsidDel="00000000" w:rsidR="00000000" w:rsidRPr="00000000">
        <w:rPr>
          <w:rtl w:val="0"/>
        </w:rPr>
      </w:r>
    </w:p>
    <w:p w:rsidR="00000000" w:rsidDel="00000000" w:rsidP="00000000" w:rsidRDefault="00000000" w:rsidRPr="00000000" w14:paraId="0000009E">
      <w:pPr>
        <w:spacing w:after="240" w:before="240" w:lineRule="auto"/>
        <w:rPr/>
      </w:pPr>
      <w:r w:rsidDel="00000000" w:rsidR="00000000" w:rsidRPr="00000000">
        <w:rPr>
          <w:rtl w:val="0"/>
        </w:rPr>
      </w:r>
    </w:p>
    <w:p w:rsidR="00000000" w:rsidDel="00000000" w:rsidP="00000000" w:rsidRDefault="00000000" w:rsidRPr="00000000" w14:paraId="0000009F">
      <w:pPr>
        <w:spacing w:after="240" w:before="240" w:lineRule="auto"/>
        <w:rPr/>
      </w:pPr>
      <w:r w:rsidDel="00000000" w:rsidR="00000000" w:rsidRPr="00000000">
        <w:rPr>
          <w:rtl w:val="0"/>
        </w:rPr>
      </w:r>
    </w:p>
    <w:p w:rsidR="00000000" w:rsidDel="00000000" w:rsidP="00000000" w:rsidRDefault="00000000" w:rsidRPr="00000000" w14:paraId="000000A0">
      <w:pPr>
        <w:spacing w:after="240" w:before="240" w:lineRule="auto"/>
        <w:rPr/>
      </w:pPr>
      <w:r w:rsidDel="00000000" w:rsidR="00000000" w:rsidRPr="00000000">
        <w:rPr>
          <w:rtl w:val="0"/>
        </w:rPr>
      </w:r>
    </w:p>
    <w:p w:rsidR="00000000" w:rsidDel="00000000" w:rsidP="00000000" w:rsidRDefault="00000000" w:rsidRPr="00000000" w14:paraId="000000A1">
      <w:pPr>
        <w:spacing w:after="240" w:before="240" w:lineRule="auto"/>
        <w:rPr/>
      </w:pPr>
      <w:r w:rsidDel="00000000" w:rsidR="00000000" w:rsidRPr="00000000">
        <w:rPr>
          <w:rtl w:val="0"/>
        </w:rPr>
      </w:r>
    </w:p>
    <w:p w:rsidR="00000000" w:rsidDel="00000000" w:rsidP="00000000" w:rsidRDefault="00000000" w:rsidRPr="00000000" w14:paraId="000000A2">
      <w:pPr>
        <w:spacing w:after="240" w:before="240" w:lineRule="auto"/>
        <w:rPr/>
      </w:pPr>
      <w:r w:rsidDel="00000000" w:rsidR="00000000" w:rsidRPr="00000000">
        <w:rPr>
          <w:rtl w:val="0"/>
        </w:rPr>
      </w:r>
    </w:p>
    <w:p w:rsidR="00000000" w:rsidDel="00000000" w:rsidP="00000000" w:rsidRDefault="00000000" w:rsidRPr="00000000" w14:paraId="000000A3">
      <w:pPr>
        <w:spacing w:after="240" w:before="240" w:lineRule="auto"/>
        <w:rPr/>
      </w:pPr>
      <w:r w:rsidDel="00000000" w:rsidR="00000000" w:rsidRPr="00000000">
        <w:rPr>
          <w:rtl w:val="0"/>
        </w:rPr>
      </w:r>
    </w:p>
    <w:p w:rsidR="00000000" w:rsidDel="00000000" w:rsidP="00000000" w:rsidRDefault="00000000" w:rsidRPr="00000000" w14:paraId="000000A4">
      <w:pPr>
        <w:spacing w:after="240" w:before="240" w:lineRule="auto"/>
        <w:rPr/>
      </w:pPr>
      <w:r w:rsidDel="00000000" w:rsidR="00000000" w:rsidRPr="00000000">
        <w:rPr>
          <w:rtl w:val="0"/>
        </w:rPr>
      </w:r>
    </w:p>
    <w:p w:rsidR="00000000" w:rsidDel="00000000" w:rsidP="00000000" w:rsidRDefault="00000000" w:rsidRPr="00000000" w14:paraId="000000A5">
      <w:pPr>
        <w:spacing w:after="240" w:before="240" w:lineRule="auto"/>
        <w:rPr/>
      </w:pPr>
      <w:r w:rsidDel="00000000" w:rsidR="00000000" w:rsidRPr="00000000">
        <w:rPr>
          <w:rtl w:val="0"/>
        </w:rPr>
      </w:r>
    </w:p>
    <w:p w:rsidR="00000000" w:rsidDel="00000000" w:rsidP="00000000" w:rsidRDefault="00000000" w:rsidRPr="00000000" w14:paraId="000000A6">
      <w:pPr>
        <w:spacing w:after="240" w:before="240" w:lineRule="auto"/>
        <w:rPr/>
      </w:pPr>
      <w:r w:rsidDel="00000000" w:rsidR="00000000" w:rsidRPr="00000000">
        <w:rPr>
          <w:rtl w:val="0"/>
        </w:rPr>
      </w:r>
    </w:p>
    <w:p w:rsidR="00000000" w:rsidDel="00000000" w:rsidP="00000000" w:rsidRDefault="00000000" w:rsidRPr="00000000" w14:paraId="000000A7">
      <w:pPr>
        <w:spacing w:after="240" w:before="240" w:lineRule="auto"/>
        <w:rPr/>
      </w:pPr>
      <w:r w:rsidDel="00000000" w:rsidR="00000000" w:rsidRPr="00000000">
        <w:rPr>
          <w:rtl w:val="0"/>
        </w:rPr>
      </w:r>
    </w:p>
    <w:p w:rsidR="00000000" w:rsidDel="00000000" w:rsidP="00000000" w:rsidRDefault="00000000" w:rsidRPr="00000000" w14:paraId="000000A8">
      <w:pPr>
        <w:spacing w:after="240" w:before="240" w:lineRule="auto"/>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r>
    </w:p>
    <w:p w:rsidR="00000000" w:rsidDel="00000000" w:rsidP="00000000" w:rsidRDefault="00000000" w:rsidRPr="00000000" w14:paraId="000000E0">
      <w:pPr>
        <w:rPr/>
      </w:pPr>
      <w:r w:rsidDel="00000000" w:rsidR="00000000" w:rsidRPr="00000000">
        <w:rPr>
          <w:rtl w:val="0"/>
        </w:rPr>
      </w:r>
    </w:p>
    <w:p w:rsidR="00000000" w:rsidDel="00000000" w:rsidP="00000000" w:rsidRDefault="00000000" w:rsidRPr="00000000" w14:paraId="000000E1">
      <w:pPr>
        <w:rPr/>
      </w:pPr>
      <w:r w:rsidDel="00000000" w:rsidR="00000000" w:rsidRPr="00000000">
        <w:rPr>
          <w:rtl w:val="0"/>
        </w:rPr>
      </w:r>
    </w:p>
    <w:p w:rsidR="00000000" w:rsidDel="00000000" w:rsidP="00000000" w:rsidRDefault="00000000" w:rsidRPr="00000000" w14:paraId="000000E2">
      <w:pPr>
        <w:rPr/>
      </w:pPr>
      <w:r w:rsidDel="00000000" w:rsidR="00000000" w:rsidRPr="00000000">
        <w:rPr>
          <w:rtl w:val="0"/>
        </w:rPr>
      </w:r>
    </w:p>
    <w:p w:rsidR="00000000" w:rsidDel="00000000" w:rsidP="00000000" w:rsidRDefault="00000000" w:rsidRPr="00000000" w14:paraId="000000E3">
      <w:pPr>
        <w:r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rPr/>
      </w:pPr>
      <w:r w:rsidDel="00000000" w:rsidR="00000000" w:rsidRPr="00000000">
        <w:rPr>
          <w:rtl w:val="0"/>
        </w:rPr>
      </w:r>
    </w:p>
    <w:p w:rsidR="00000000" w:rsidDel="00000000" w:rsidP="00000000" w:rsidRDefault="00000000" w:rsidRPr="00000000" w14:paraId="000000E6">
      <w:pPr>
        <w:rPr/>
      </w:pPr>
      <w:r w:rsidDel="00000000" w:rsidR="00000000" w:rsidRPr="00000000">
        <w:rPr>
          <w:rtl w:val="0"/>
        </w:rPr>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rPr/>
      </w:pPr>
      <w:r w:rsidDel="00000000" w:rsidR="00000000" w:rsidRPr="00000000">
        <w:rPr>
          <w:rtl w:val="0"/>
        </w:rPr>
      </w:r>
    </w:p>
    <w:p w:rsidR="00000000" w:rsidDel="00000000" w:rsidP="00000000" w:rsidRDefault="00000000" w:rsidRPr="00000000" w14:paraId="000000E9">
      <w:pPr>
        <w:rPr/>
      </w:pPr>
      <w:r w:rsidDel="00000000" w:rsidR="00000000" w:rsidRPr="00000000">
        <w:rPr>
          <w:rtl w:val="0"/>
        </w:rPr>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rPr/>
      </w:pPr>
      <w:r w:rsidDel="00000000" w:rsidR="00000000" w:rsidRPr="00000000">
        <w:rPr>
          <w:rtl w:val="0"/>
        </w:rPr>
      </w:r>
    </w:p>
    <w:p w:rsidR="00000000" w:rsidDel="00000000" w:rsidP="00000000" w:rsidRDefault="00000000" w:rsidRPr="00000000" w14:paraId="000000EC">
      <w:pPr>
        <w:rPr/>
      </w:pPr>
      <w:r w:rsidDel="00000000" w:rsidR="00000000" w:rsidRPr="00000000">
        <w:rPr>
          <w:rtl w:val="0"/>
        </w:rPr>
      </w:r>
    </w:p>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rPr/>
      </w:pPr>
      <w:r w:rsidDel="00000000" w:rsidR="00000000" w:rsidRPr="00000000">
        <w:rPr>
          <w:rtl w:val="0"/>
        </w:rPr>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rPr/>
      </w:pPr>
      <w:r w:rsidDel="00000000" w:rsidR="00000000" w:rsidRPr="00000000">
        <w:rPr>
          <w:rtl w:val="0"/>
        </w:rPr>
      </w:r>
    </w:p>
    <w:p w:rsidR="00000000" w:rsidDel="00000000" w:rsidP="00000000" w:rsidRDefault="00000000" w:rsidRPr="00000000" w14:paraId="000000F8">
      <w:pPr>
        <w:rPr/>
      </w:pPr>
      <w:r w:rsidDel="00000000" w:rsidR="00000000" w:rsidRPr="00000000">
        <w:rPr>
          <w:rtl w:val="0"/>
        </w:rPr>
      </w:r>
    </w:p>
    <w:p w:rsidR="00000000" w:rsidDel="00000000" w:rsidP="00000000" w:rsidRDefault="00000000" w:rsidRPr="00000000" w14:paraId="000000F9">
      <w:pPr>
        <w:rPr/>
      </w:pPr>
      <w:r w:rsidDel="00000000" w:rsidR="00000000" w:rsidRPr="00000000">
        <w:rPr>
          <w:rtl w:val="0"/>
        </w:rPr>
      </w:r>
    </w:p>
    <w:p w:rsidR="00000000" w:rsidDel="00000000" w:rsidP="00000000" w:rsidRDefault="00000000" w:rsidRPr="00000000" w14:paraId="000000FA">
      <w:pPr>
        <w:rPr/>
      </w:pPr>
      <w:r w:rsidDel="00000000" w:rsidR="00000000" w:rsidRPr="00000000">
        <w:rPr>
          <w:rtl w:val="0"/>
        </w:rPr>
      </w:r>
    </w:p>
    <w:p w:rsidR="00000000" w:rsidDel="00000000" w:rsidP="00000000" w:rsidRDefault="00000000" w:rsidRPr="00000000" w14:paraId="000000FB">
      <w:pPr>
        <w:rPr/>
      </w:pPr>
      <w:r w:rsidDel="00000000" w:rsidR="00000000" w:rsidRPr="00000000">
        <w:rPr>
          <w:rtl w:val="0"/>
        </w:rPr>
      </w:r>
    </w:p>
    <w:p w:rsidR="00000000" w:rsidDel="00000000" w:rsidP="00000000" w:rsidRDefault="00000000" w:rsidRPr="00000000" w14:paraId="000000FC">
      <w:pPr>
        <w:rPr/>
      </w:pPr>
      <w:r w:rsidDel="00000000" w:rsidR="00000000" w:rsidRPr="00000000">
        <w:rPr>
          <w:rtl w:val="0"/>
        </w:rPr>
      </w:r>
    </w:p>
    <w:p w:rsidR="00000000" w:rsidDel="00000000" w:rsidP="00000000" w:rsidRDefault="00000000" w:rsidRPr="00000000" w14:paraId="000000FD">
      <w:pPr>
        <w:rPr/>
      </w:pPr>
      <w:r w:rsidDel="00000000" w:rsidR="00000000" w:rsidRPr="00000000">
        <w:rPr>
          <w:rtl w:val="0"/>
        </w:rPr>
      </w:r>
    </w:p>
    <w:p w:rsidR="00000000" w:rsidDel="00000000" w:rsidP="00000000" w:rsidRDefault="00000000" w:rsidRPr="00000000" w14:paraId="000000FE">
      <w:pPr>
        <w:rPr/>
      </w:pPr>
      <w:r w:rsidDel="00000000" w:rsidR="00000000" w:rsidRPr="00000000">
        <w:rPr>
          <w:rtl w:val="0"/>
        </w:rPr>
      </w:r>
    </w:p>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p w:rsidR="00000000" w:rsidDel="00000000" w:rsidP="00000000" w:rsidRDefault="00000000" w:rsidRPr="00000000" w14:paraId="00000102">
      <w:pPr>
        <w:rPr/>
      </w:pPr>
      <w:r w:rsidDel="00000000" w:rsidR="00000000" w:rsidRPr="00000000">
        <w:rPr>
          <w:rtl w:val="0"/>
        </w:rPr>
      </w:r>
    </w:p>
    <w:p w:rsidR="00000000" w:rsidDel="00000000" w:rsidP="00000000" w:rsidRDefault="00000000" w:rsidRPr="00000000" w14:paraId="00000103">
      <w:pPr>
        <w:rPr/>
      </w:pPr>
      <w:r w:rsidDel="00000000" w:rsidR="00000000" w:rsidRPr="00000000">
        <w:rPr>
          <w:rtl w:val="0"/>
        </w:rPr>
      </w:r>
    </w:p>
    <w:p w:rsidR="00000000" w:rsidDel="00000000" w:rsidP="00000000" w:rsidRDefault="00000000" w:rsidRPr="00000000" w14:paraId="00000104">
      <w:pPr>
        <w:rPr/>
      </w:pPr>
      <w:r w:rsidDel="00000000" w:rsidR="00000000" w:rsidRPr="00000000">
        <w:rPr>
          <w:rtl w:val="0"/>
        </w:rPr>
      </w:r>
    </w:p>
    <w:p w:rsidR="00000000" w:rsidDel="00000000" w:rsidP="00000000" w:rsidRDefault="00000000" w:rsidRPr="00000000" w14:paraId="00000105">
      <w:pPr>
        <w:rPr/>
      </w:pPr>
      <w:r w:rsidDel="00000000" w:rsidR="00000000" w:rsidRPr="00000000">
        <w:rPr>
          <w:rtl w:val="0"/>
        </w:rPr>
      </w:r>
    </w:p>
    <w:p w:rsidR="00000000" w:rsidDel="00000000" w:rsidP="00000000" w:rsidRDefault="00000000" w:rsidRPr="00000000" w14:paraId="00000106">
      <w:pPr>
        <w:rPr/>
      </w:pPr>
      <w:r w:rsidDel="00000000" w:rsidR="00000000" w:rsidRPr="00000000">
        <w:rPr>
          <w:rtl w:val="0"/>
        </w:rPr>
      </w:r>
    </w:p>
    <w:p w:rsidR="00000000" w:rsidDel="00000000" w:rsidP="00000000" w:rsidRDefault="00000000" w:rsidRPr="00000000" w14:paraId="00000107">
      <w:pPr>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p w:rsidR="00000000" w:rsidDel="00000000" w:rsidP="00000000" w:rsidRDefault="00000000" w:rsidRPr="00000000" w14:paraId="00000123">
      <w:pPr>
        <w:rPr/>
      </w:pPr>
      <w:r w:rsidDel="00000000" w:rsidR="00000000" w:rsidRPr="00000000">
        <w:rPr>
          <w:rtl w:val="0"/>
        </w:rPr>
      </w:r>
    </w:p>
    <w:p w:rsidR="00000000" w:rsidDel="00000000" w:rsidP="00000000" w:rsidRDefault="00000000" w:rsidRPr="00000000" w14:paraId="00000124">
      <w:pPr>
        <w:rPr/>
      </w:pPr>
      <w:r w:rsidDel="00000000" w:rsidR="00000000" w:rsidRPr="00000000">
        <w:rPr>
          <w:rtl w:val="0"/>
        </w:rPr>
      </w:r>
    </w:p>
    <w:p w:rsidR="00000000" w:rsidDel="00000000" w:rsidP="00000000" w:rsidRDefault="00000000" w:rsidRPr="00000000" w14:paraId="00000125">
      <w:pPr>
        <w:rPr/>
      </w:pPr>
      <w:r w:rsidDel="00000000" w:rsidR="00000000" w:rsidRPr="00000000">
        <w:rPr>
          <w:rtl w:val="0"/>
        </w:rPr>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rPr/>
      </w:pPr>
      <w:r w:rsidDel="00000000" w:rsidR="00000000" w:rsidRPr="00000000">
        <w:rPr>
          <w:rtl w:val="0"/>
        </w:rPr>
      </w:r>
    </w:p>
    <w:p w:rsidR="00000000" w:rsidDel="00000000" w:rsidP="00000000" w:rsidRDefault="00000000" w:rsidRPr="00000000" w14:paraId="00000128">
      <w:pPr>
        <w:rPr/>
      </w:pPr>
      <w:r w:rsidDel="00000000" w:rsidR="00000000" w:rsidRPr="00000000">
        <w:rPr>
          <w:rtl w:val="0"/>
        </w:rPr>
      </w:r>
    </w:p>
    <w:p w:rsidR="00000000" w:rsidDel="00000000" w:rsidP="00000000" w:rsidRDefault="00000000" w:rsidRPr="00000000" w14:paraId="00000129">
      <w:pPr>
        <w:rPr/>
      </w:pPr>
      <w:r w:rsidDel="00000000" w:rsidR="00000000" w:rsidRPr="00000000">
        <w:rPr>
          <w:rtl w:val="0"/>
        </w:rPr>
      </w:r>
    </w:p>
    <w:p w:rsidR="00000000" w:rsidDel="00000000" w:rsidP="00000000" w:rsidRDefault="00000000" w:rsidRPr="00000000" w14:paraId="0000012A">
      <w:pPr>
        <w:rPr/>
      </w:pPr>
      <w:r w:rsidDel="00000000" w:rsidR="00000000" w:rsidRPr="00000000">
        <w:rPr>
          <w:rtl w:val="0"/>
        </w:rPr>
      </w:r>
    </w:p>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rPr/>
      </w:pPr>
      <w:r w:rsidDel="00000000" w:rsidR="00000000" w:rsidRPr="00000000">
        <w:rPr>
          <w:rtl w:val="0"/>
        </w:rPr>
      </w:r>
    </w:p>
    <w:p w:rsidR="00000000" w:rsidDel="00000000" w:rsidP="00000000" w:rsidRDefault="00000000" w:rsidRPr="00000000" w14:paraId="0000012D">
      <w:pPr>
        <w:rPr/>
      </w:pPr>
      <w:r w:rsidDel="00000000" w:rsidR="00000000" w:rsidRPr="00000000">
        <w:rPr>
          <w:rtl w:val="0"/>
        </w:rPr>
      </w:r>
    </w:p>
    <w:p w:rsidR="00000000" w:rsidDel="00000000" w:rsidP="00000000" w:rsidRDefault="00000000" w:rsidRPr="00000000" w14:paraId="0000012E">
      <w:pPr>
        <w:rPr/>
      </w:pPr>
      <w:r w:rsidDel="00000000" w:rsidR="00000000" w:rsidRPr="00000000">
        <w:rPr>
          <w:rtl w:val="0"/>
        </w:rPr>
      </w:r>
    </w:p>
    <w:p w:rsidR="00000000" w:rsidDel="00000000" w:rsidP="00000000" w:rsidRDefault="00000000" w:rsidRPr="00000000" w14:paraId="0000012F">
      <w:pPr>
        <w:rPr/>
      </w:pPr>
      <w:r w:rsidDel="00000000" w:rsidR="00000000" w:rsidRPr="00000000">
        <w:rPr>
          <w:rtl w:val="0"/>
        </w:rPr>
      </w:r>
    </w:p>
    <w:p w:rsidR="00000000" w:rsidDel="00000000" w:rsidP="00000000" w:rsidRDefault="00000000" w:rsidRPr="00000000" w14:paraId="00000130">
      <w:pPr>
        <w:rPr/>
      </w:pPr>
      <w:r w:rsidDel="00000000" w:rsidR="00000000" w:rsidRPr="00000000">
        <w:rPr>
          <w:rtl w:val="0"/>
        </w:rPr>
      </w:r>
    </w:p>
    <w:p w:rsidR="00000000" w:rsidDel="00000000" w:rsidP="00000000" w:rsidRDefault="00000000" w:rsidRPr="00000000" w14:paraId="00000131">
      <w:pPr>
        <w:rPr/>
      </w:pPr>
      <w:r w:rsidDel="00000000" w:rsidR="00000000" w:rsidRPr="00000000">
        <w:rPr>
          <w:rtl w:val="0"/>
        </w:rPr>
      </w:r>
    </w:p>
    <w:p w:rsidR="00000000" w:rsidDel="00000000" w:rsidP="00000000" w:rsidRDefault="00000000" w:rsidRPr="00000000" w14:paraId="00000132">
      <w:pPr>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rPr/>
      </w:pPr>
      <w:r w:rsidDel="00000000" w:rsidR="00000000" w:rsidRPr="00000000">
        <w:rPr>
          <w:rtl w:val="0"/>
        </w:rPr>
      </w:r>
    </w:p>
    <w:p w:rsidR="00000000" w:rsidDel="00000000" w:rsidP="00000000" w:rsidRDefault="00000000" w:rsidRPr="00000000" w14:paraId="00000135">
      <w:pPr>
        <w:rPr/>
      </w:pPr>
      <w:r w:rsidDel="00000000" w:rsidR="00000000" w:rsidRPr="00000000">
        <w:rPr>
          <w:rtl w:val="0"/>
        </w:rPr>
      </w:r>
    </w:p>
    <w:p w:rsidR="00000000" w:rsidDel="00000000" w:rsidP="00000000" w:rsidRDefault="00000000" w:rsidRPr="00000000" w14:paraId="00000136">
      <w:pPr>
        <w:rPr/>
      </w:pPr>
      <w:r w:rsidDel="00000000" w:rsidR="00000000" w:rsidRPr="00000000">
        <w:rPr>
          <w:rtl w:val="0"/>
        </w:rPr>
      </w:r>
    </w:p>
    <w:p w:rsidR="00000000" w:rsidDel="00000000" w:rsidP="00000000" w:rsidRDefault="00000000" w:rsidRPr="00000000" w14:paraId="00000137">
      <w:pPr>
        <w:rPr/>
      </w:pPr>
      <w:r w:rsidDel="00000000" w:rsidR="00000000" w:rsidRPr="00000000">
        <w:rPr>
          <w:rtl w:val="0"/>
        </w:rPr>
      </w:r>
    </w:p>
    <w:p w:rsidR="00000000" w:rsidDel="00000000" w:rsidP="00000000" w:rsidRDefault="00000000" w:rsidRPr="00000000" w14:paraId="00000138">
      <w:pPr>
        <w:rPr/>
      </w:pPr>
      <w:r w:rsidDel="00000000" w:rsidR="00000000" w:rsidRPr="00000000">
        <w:rPr>
          <w:rtl w:val="0"/>
        </w:rPr>
      </w:r>
    </w:p>
    <w:p w:rsidR="00000000" w:rsidDel="00000000" w:rsidP="00000000" w:rsidRDefault="00000000" w:rsidRPr="00000000" w14:paraId="00000139">
      <w:pPr>
        <w:rPr/>
      </w:pPr>
      <w:r w:rsidDel="00000000" w:rsidR="00000000" w:rsidRPr="00000000">
        <w:rPr>
          <w:rtl w:val="0"/>
        </w:rPr>
      </w:r>
    </w:p>
    <w:p w:rsidR="00000000" w:rsidDel="00000000" w:rsidP="00000000" w:rsidRDefault="00000000" w:rsidRPr="00000000" w14:paraId="0000013A">
      <w:pPr>
        <w:rPr/>
      </w:pPr>
      <w:r w:rsidDel="00000000" w:rsidR="00000000" w:rsidRPr="00000000">
        <w:rPr>
          <w:rtl w:val="0"/>
        </w:rPr>
      </w:r>
    </w:p>
    <w:p w:rsidR="00000000" w:rsidDel="00000000" w:rsidP="00000000" w:rsidRDefault="00000000" w:rsidRPr="00000000" w14:paraId="0000013B">
      <w:pPr>
        <w:rPr/>
      </w:pPr>
      <w:r w:rsidDel="00000000" w:rsidR="00000000" w:rsidRPr="00000000">
        <w:rPr>
          <w:rtl w:val="0"/>
        </w:rPr>
      </w:r>
    </w:p>
    <w:p w:rsidR="00000000" w:rsidDel="00000000" w:rsidP="00000000" w:rsidRDefault="00000000" w:rsidRPr="00000000" w14:paraId="0000013C">
      <w:pPr>
        <w:rPr/>
      </w:pPr>
      <w:r w:rsidDel="00000000" w:rsidR="00000000" w:rsidRPr="00000000">
        <w:rPr>
          <w:rtl w:val="0"/>
        </w:rPr>
      </w:r>
    </w:p>
    <w:p w:rsidR="00000000" w:rsidDel="00000000" w:rsidP="00000000" w:rsidRDefault="00000000" w:rsidRPr="00000000" w14:paraId="0000013D">
      <w:pPr>
        <w:rPr/>
      </w:pPr>
      <w:r w:rsidDel="00000000" w:rsidR="00000000" w:rsidRPr="00000000">
        <w:rPr>
          <w:rtl w:val="0"/>
        </w:rPr>
      </w:r>
    </w:p>
    <w:p w:rsidR="00000000" w:rsidDel="00000000" w:rsidP="00000000" w:rsidRDefault="00000000" w:rsidRPr="00000000" w14:paraId="0000013E">
      <w:pPr>
        <w:rPr/>
      </w:pPr>
      <w:r w:rsidDel="00000000" w:rsidR="00000000" w:rsidRPr="00000000">
        <w:rPr>
          <w:rtl w:val="0"/>
        </w:rPr>
      </w:r>
    </w:p>
    <w:p w:rsidR="00000000" w:rsidDel="00000000" w:rsidP="00000000" w:rsidRDefault="00000000" w:rsidRPr="00000000" w14:paraId="0000013F">
      <w:pPr>
        <w:rPr/>
      </w:pPr>
      <w:r w:rsidDel="00000000" w:rsidR="00000000" w:rsidRPr="00000000">
        <w:rPr>
          <w:rtl w:val="0"/>
        </w:rPr>
      </w:r>
    </w:p>
    <w:p w:rsidR="00000000" w:rsidDel="00000000" w:rsidP="00000000" w:rsidRDefault="00000000" w:rsidRPr="00000000" w14:paraId="00000140">
      <w:pPr>
        <w:rPr/>
      </w:pPr>
      <w:r w:rsidDel="00000000" w:rsidR="00000000" w:rsidRPr="00000000">
        <w:rPr>
          <w:rtl w:val="0"/>
        </w:rPr>
      </w:r>
    </w:p>
    <w:p w:rsidR="00000000" w:rsidDel="00000000" w:rsidP="00000000" w:rsidRDefault="00000000" w:rsidRPr="00000000" w14:paraId="00000141">
      <w:pPr>
        <w:rPr/>
      </w:pPr>
      <w:r w:rsidDel="00000000" w:rsidR="00000000" w:rsidRPr="00000000">
        <w:rPr>
          <w:rtl w:val="0"/>
        </w:rPr>
      </w:r>
    </w:p>
    <w:p w:rsidR="00000000" w:rsidDel="00000000" w:rsidP="00000000" w:rsidRDefault="00000000" w:rsidRPr="00000000" w14:paraId="00000142">
      <w:pPr>
        <w:rPr/>
      </w:pPr>
      <w:r w:rsidDel="00000000" w:rsidR="00000000" w:rsidRPr="00000000">
        <w:rPr>
          <w:rtl w:val="0"/>
        </w:rPr>
      </w:r>
    </w:p>
    <w:p w:rsidR="00000000" w:rsidDel="00000000" w:rsidP="00000000" w:rsidRDefault="00000000" w:rsidRPr="00000000" w14:paraId="00000143">
      <w:pPr>
        <w:rPr/>
      </w:pPr>
      <w:r w:rsidDel="00000000" w:rsidR="00000000" w:rsidRPr="00000000">
        <w:rPr>
          <w:rtl w:val="0"/>
        </w:rPr>
      </w:r>
    </w:p>
    <w:p w:rsidR="00000000" w:rsidDel="00000000" w:rsidP="00000000" w:rsidRDefault="00000000" w:rsidRPr="00000000" w14:paraId="00000144">
      <w:pPr>
        <w:rPr/>
      </w:pPr>
      <w:r w:rsidDel="00000000" w:rsidR="00000000" w:rsidRPr="00000000">
        <w:rPr>
          <w:rtl w:val="0"/>
        </w:rPr>
      </w:r>
    </w:p>
    <w:p w:rsidR="00000000" w:rsidDel="00000000" w:rsidP="00000000" w:rsidRDefault="00000000" w:rsidRPr="00000000" w14:paraId="00000145">
      <w:pPr>
        <w:rPr/>
      </w:pPr>
      <w:r w:rsidDel="00000000" w:rsidR="00000000" w:rsidRPr="00000000">
        <w:rPr>
          <w:rtl w:val="0"/>
        </w:rPr>
      </w:r>
    </w:p>
    <w:p w:rsidR="00000000" w:rsidDel="00000000" w:rsidP="00000000" w:rsidRDefault="00000000" w:rsidRPr="00000000" w14:paraId="00000146">
      <w:pPr>
        <w:rPr/>
      </w:pPr>
      <w:r w:rsidDel="00000000" w:rsidR="00000000" w:rsidRPr="00000000">
        <w:rPr>
          <w:rtl w:val="0"/>
        </w:rPr>
      </w:r>
    </w:p>
    <w:p w:rsidR="00000000" w:rsidDel="00000000" w:rsidP="00000000" w:rsidRDefault="00000000" w:rsidRPr="00000000" w14:paraId="00000147">
      <w:pPr>
        <w:rPr/>
      </w:pPr>
      <w:r w:rsidDel="00000000" w:rsidR="00000000" w:rsidRPr="00000000">
        <w:rPr>
          <w:rtl w:val="0"/>
        </w:rPr>
      </w:r>
    </w:p>
    <w:p w:rsidR="00000000" w:rsidDel="00000000" w:rsidP="00000000" w:rsidRDefault="00000000" w:rsidRPr="00000000" w14:paraId="00000148">
      <w:pPr>
        <w:rPr/>
      </w:pPr>
      <w:r w:rsidDel="00000000" w:rsidR="00000000" w:rsidRPr="00000000">
        <w:rPr>
          <w:rtl w:val="0"/>
        </w:rPr>
      </w:r>
    </w:p>
    <w:p w:rsidR="00000000" w:rsidDel="00000000" w:rsidP="00000000" w:rsidRDefault="00000000" w:rsidRPr="00000000" w14:paraId="00000149">
      <w:pPr>
        <w:rPr/>
      </w:pPr>
      <w:r w:rsidDel="00000000" w:rsidR="00000000" w:rsidRPr="00000000">
        <w:rPr>
          <w:rtl w:val="0"/>
        </w:rPr>
      </w:r>
    </w:p>
    <w:p w:rsidR="00000000" w:rsidDel="00000000" w:rsidP="00000000" w:rsidRDefault="00000000" w:rsidRPr="00000000" w14:paraId="0000014A">
      <w:pPr>
        <w:rPr/>
      </w:pPr>
      <w:r w:rsidDel="00000000" w:rsidR="00000000" w:rsidRPr="00000000">
        <w:rPr>
          <w:rtl w:val="0"/>
        </w:rPr>
      </w:r>
    </w:p>
    <w:p w:rsidR="00000000" w:rsidDel="00000000" w:rsidP="00000000" w:rsidRDefault="00000000" w:rsidRPr="00000000" w14:paraId="0000014B">
      <w:pPr>
        <w:rPr/>
      </w:pPr>
      <w:r w:rsidDel="00000000" w:rsidR="00000000" w:rsidRPr="00000000">
        <w:rPr>
          <w:rtl w:val="0"/>
        </w:rPr>
      </w:r>
    </w:p>
    <w:p w:rsidR="00000000" w:rsidDel="00000000" w:rsidP="00000000" w:rsidRDefault="00000000" w:rsidRPr="00000000" w14:paraId="0000014C">
      <w:pPr>
        <w:rPr/>
      </w:pPr>
      <w:r w:rsidDel="00000000" w:rsidR="00000000" w:rsidRPr="00000000">
        <w:rPr>
          <w:rtl w:val="0"/>
        </w:rPr>
      </w:r>
    </w:p>
    <w:p w:rsidR="00000000" w:rsidDel="00000000" w:rsidP="00000000" w:rsidRDefault="00000000" w:rsidRPr="00000000" w14:paraId="0000014D">
      <w:pPr>
        <w:rPr/>
      </w:pPr>
      <w:r w:rsidDel="00000000" w:rsidR="00000000" w:rsidRPr="00000000">
        <w:rPr>
          <w:rtl w:val="0"/>
        </w:rPr>
      </w:r>
    </w:p>
    <w:p w:rsidR="00000000" w:rsidDel="00000000" w:rsidP="00000000" w:rsidRDefault="00000000" w:rsidRPr="00000000" w14:paraId="0000014E">
      <w:pPr>
        <w:rPr/>
      </w:pPr>
      <w:r w:rsidDel="00000000" w:rsidR="00000000" w:rsidRPr="00000000">
        <w:rPr>
          <w:rtl w:val="0"/>
        </w:rPr>
      </w:r>
    </w:p>
    <w:p w:rsidR="00000000" w:rsidDel="00000000" w:rsidP="00000000" w:rsidRDefault="00000000" w:rsidRPr="00000000" w14:paraId="0000014F">
      <w:pPr>
        <w:rPr/>
      </w:pPr>
      <w:r w:rsidDel="00000000" w:rsidR="00000000" w:rsidRPr="00000000">
        <w:rPr>
          <w:rtl w:val="0"/>
        </w:rPr>
      </w:r>
    </w:p>
    <w:p w:rsidR="00000000" w:rsidDel="00000000" w:rsidP="00000000" w:rsidRDefault="00000000" w:rsidRPr="00000000" w14:paraId="00000150">
      <w:pPr>
        <w:rPr/>
      </w:pPr>
      <w:r w:rsidDel="00000000" w:rsidR="00000000" w:rsidRPr="00000000">
        <w:rPr>
          <w:rtl w:val="0"/>
        </w:rPr>
      </w:r>
    </w:p>
    <w:p w:rsidR="00000000" w:rsidDel="00000000" w:rsidP="00000000" w:rsidRDefault="00000000" w:rsidRPr="00000000" w14:paraId="00000151">
      <w:pPr>
        <w:rPr/>
      </w:pPr>
      <w:r w:rsidDel="00000000" w:rsidR="00000000" w:rsidRPr="00000000">
        <w:rPr>
          <w:rtl w:val="0"/>
        </w:rPr>
      </w:r>
    </w:p>
    <w:p w:rsidR="00000000" w:rsidDel="00000000" w:rsidP="00000000" w:rsidRDefault="00000000" w:rsidRPr="00000000" w14:paraId="00000152">
      <w:pPr>
        <w:rPr/>
      </w:pPr>
      <w:r w:rsidDel="00000000" w:rsidR="00000000" w:rsidRPr="00000000">
        <w:rPr>
          <w:rtl w:val="0"/>
        </w:rPr>
      </w:r>
    </w:p>
    <w:p w:rsidR="00000000" w:rsidDel="00000000" w:rsidP="00000000" w:rsidRDefault="00000000" w:rsidRPr="00000000" w14:paraId="00000153">
      <w:pPr>
        <w:rPr/>
      </w:pPr>
      <w:r w:rsidDel="00000000" w:rsidR="00000000" w:rsidRPr="00000000">
        <w:rPr>
          <w:rtl w:val="0"/>
        </w:rPr>
      </w:r>
    </w:p>
    <w:p w:rsidR="00000000" w:rsidDel="00000000" w:rsidP="00000000" w:rsidRDefault="00000000" w:rsidRPr="00000000" w14:paraId="00000154">
      <w:pPr>
        <w:rPr/>
      </w:pPr>
      <w:r w:rsidDel="00000000" w:rsidR="00000000" w:rsidRPr="00000000">
        <w:rPr>
          <w:rtl w:val="0"/>
        </w:rPr>
      </w:r>
    </w:p>
    <w:p w:rsidR="00000000" w:rsidDel="00000000" w:rsidP="00000000" w:rsidRDefault="00000000" w:rsidRPr="00000000" w14:paraId="00000155">
      <w:pPr>
        <w:rPr/>
      </w:pPr>
      <w:r w:rsidDel="00000000" w:rsidR="00000000" w:rsidRPr="00000000">
        <w:rPr>
          <w:rtl w:val="0"/>
        </w:rPr>
      </w:r>
    </w:p>
    <w:p w:rsidR="00000000" w:rsidDel="00000000" w:rsidP="00000000" w:rsidRDefault="00000000" w:rsidRPr="00000000" w14:paraId="00000156">
      <w:pPr>
        <w:rPr/>
      </w:pPr>
      <w:r w:rsidDel="00000000" w:rsidR="00000000" w:rsidRPr="00000000">
        <w:rPr>
          <w:rtl w:val="0"/>
        </w:rPr>
      </w:r>
    </w:p>
    <w:p w:rsidR="00000000" w:rsidDel="00000000" w:rsidP="00000000" w:rsidRDefault="00000000" w:rsidRPr="00000000" w14:paraId="00000157">
      <w:pPr>
        <w:rPr/>
      </w:pPr>
      <w:r w:rsidDel="00000000" w:rsidR="00000000" w:rsidRPr="00000000">
        <w:rPr>
          <w:rtl w:val="0"/>
        </w:rPr>
      </w:r>
    </w:p>
    <w:p w:rsidR="00000000" w:rsidDel="00000000" w:rsidP="00000000" w:rsidRDefault="00000000" w:rsidRPr="00000000" w14:paraId="00000158">
      <w:pPr>
        <w:rPr/>
      </w:pPr>
      <w:r w:rsidDel="00000000" w:rsidR="00000000" w:rsidRPr="00000000">
        <w:rPr>
          <w:rtl w:val="0"/>
        </w:rPr>
      </w:r>
    </w:p>
    <w:p w:rsidR="00000000" w:rsidDel="00000000" w:rsidP="00000000" w:rsidRDefault="00000000" w:rsidRPr="00000000" w14:paraId="00000159">
      <w:pPr>
        <w:rPr/>
      </w:pPr>
      <w:r w:rsidDel="00000000" w:rsidR="00000000" w:rsidRPr="00000000">
        <w:rPr>
          <w:rtl w:val="0"/>
        </w:rPr>
      </w:r>
    </w:p>
    <w:p w:rsidR="00000000" w:rsidDel="00000000" w:rsidP="00000000" w:rsidRDefault="00000000" w:rsidRPr="00000000" w14:paraId="0000015A">
      <w:pPr>
        <w:rPr/>
      </w:pPr>
      <w:r w:rsidDel="00000000" w:rsidR="00000000" w:rsidRPr="00000000">
        <w:rPr>
          <w:rtl w:val="0"/>
        </w:rPr>
      </w:r>
    </w:p>
    <w:p w:rsidR="00000000" w:rsidDel="00000000" w:rsidP="00000000" w:rsidRDefault="00000000" w:rsidRPr="00000000" w14:paraId="0000015B">
      <w:pPr>
        <w:rPr/>
      </w:pPr>
      <w:r w:rsidDel="00000000" w:rsidR="00000000" w:rsidRPr="00000000">
        <w:rPr>
          <w:rtl w:val="0"/>
        </w:rPr>
      </w:r>
    </w:p>
    <w:sectPr>
      <w:headerReference r:id="rId8"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6zkdp7cO67oStduTnYo7DHEawQ==">CgMxLjAyDmgucGpxOWFjaGQyd3FnMgxoLnN2anduNmhucG8yDmguZXpvdzNycnFwNzVlMg5oLml5OW13cjVxM2JhbDIOaC5scjMxNGhnZXZseXAyDmguOWVqb3N0ZTN5b3JiMg5oLmJjdW41dHdkYmRvdjIOaC50MHpwY3d3eXBvMGoyDmguZjMzdHZqdTYyeTVoOAByITFiSnJhREtaZ3BrWUZzc3pQNGoxZGVnYjN2ZE9TMVJGZg==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