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28BF" w:rsidRDefault="004728BF" w:rsidP="004728BF">
      <w:r>
        <w:rPr>
          <w:noProof/>
          <w:lang w:eastAsia="en-GB"/>
        </w:rPr>
        <w:drawing>
          <wp:inline distT="0" distB="0" distL="0" distR="0" wp14:anchorId="11974373" wp14:editId="73033E28">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4728BF" w:rsidRPr="00A47621" w:rsidRDefault="004728BF" w:rsidP="004728BF">
      <w:pPr>
        <w:rPr>
          <w:rFonts w:ascii="Times New Roman" w:hAnsi="Times New Roman" w:cs="Times New Roman"/>
          <w:sz w:val="24"/>
          <w:szCs w:val="24"/>
        </w:rPr>
      </w:pPr>
    </w:p>
    <w:p w:rsidR="004728BF" w:rsidRPr="00F927A1" w:rsidRDefault="004728BF" w:rsidP="004728BF">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rsidR="004728BF" w:rsidRPr="00DC2924" w:rsidRDefault="004728BF" w:rsidP="004728BF">
      <w:pPr>
        <w:ind w:right="-957"/>
        <w:rPr>
          <w:rFonts w:ascii="Times New Roman" w:hAnsi="Times New Roman" w:cs="Times New Roman"/>
          <w:b/>
          <w:sz w:val="48"/>
        </w:rPr>
      </w:pPr>
      <w:r w:rsidRPr="00DC2924">
        <w:rPr>
          <w:rFonts w:ascii="Times New Roman" w:hAnsi="Times New Roman" w:cs="Times New Roman"/>
          <w:b/>
          <w:sz w:val="48"/>
        </w:rPr>
        <w:t>LEVEL 6 - 60 Credits</w:t>
      </w:r>
    </w:p>
    <w:p w:rsidR="004728BF" w:rsidRPr="0085230E" w:rsidRDefault="004728BF" w:rsidP="004728BF">
      <w:pPr>
        <w:ind w:right="-957"/>
        <w:rPr>
          <w:rFonts w:ascii="Times New Roman" w:hAnsi="Times New Roman" w:cs="Times New Roman"/>
          <w:b/>
          <w:sz w:val="48"/>
        </w:rPr>
      </w:pPr>
      <w:r w:rsidRPr="00DC2924">
        <w:rPr>
          <w:rFonts w:ascii="Times New Roman" w:hAnsi="Times New Roman" w:cs="Times New Roman"/>
          <w:b/>
          <w:sz w:val="48"/>
        </w:rPr>
        <w:t>BMPF6044</w:t>
      </w:r>
    </w:p>
    <w:p w:rsidR="004728BF" w:rsidRDefault="004728BF" w:rsidP="004728BF">
      <w:pPr>
        <w:ind w:right="-957"/>
        <w:rPr>
          <w:rFonts w:ascii="Times New Roman" w:hAnsi="Times New Roman" w:cs="Times New Roman"/>
          <w:b/>
          <w:sz w:val="48"/>
        </w:rPr>
      </w:pPr>
    </w:p>
    <w:p w:rsidR="004728BF" w:rsidRPr="00FE5F90" w:rsidRDefault="004728BF" w:rsidP="004728BF">
      <w:pPr>
        <w:ind w:right="-957"/>
        <w:rPr>
          <w:rFonts w:ascii="Times New Roman" w:hAnsi="Times New Roman" w:cs="Times New Roman"/>
          <w:b/>
          <w:sz w:val="18"/>
          <w:szCs w:val="2"/>
        </w:rPr>
      </w:pPr>
    </w:p>
    <w:p w:rsidR="004728BF" w:rsidRPr="00F927A1" w:rsidRDefault="004728BF" w:rsidP="004728BF">
      <w:pPr>
        <w:ind w:right="-957"/>
        <w:rPr>
          <w:rFonts w:ascii="Times New Roman" w:hAnsi="Times New Roman" w:cs="Times New Roman"/>
          <w:b/>
          <w:sz w:val="48"/>
        </w:rPr>
      </w:pPr>
      <w:r>
        <w:rPr>
          <w:rFonts w:ascii="Times New Roman" w:hAnsi="Times New Roman" w:cs="Times New Roman"/>
          <w:b/>
          <w:sz w:val="48"/>
        </w:rPr>
        <w:t>LEARNER PORTFOLIO</w:t>
      </w:r>
    </w:p>
    <w:p w:rsidR="004728BF" w:rsidRPr="00706BB5" w:rsidRDefault="004728BF" w:rsidP="004728BF">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rsidR="004728BF" w:rsidRPr="00FE5F90" w:rsidRDefault="004728BF" w:rsidP="004728BF">
      <w:pPr>
        <w:ind w:right="-957"/>
        <w:rPr>
          <w:rFonts w:ascii="Times New Roman" w:hAnsi="Times New Roman" w:cs="Times New Roman"/>
          <w:b/>
          <w:sz w:val="14"/>
          <w:szCs w:val="2"/>
        </w:rPr>
      </w:pPr>
    </w:p>
    <w:p w:rsidR="004728BF" w:rsidRPr="00F927A1" w:rsidRDefault="004728BF" w:rsidP="004728BF">
      <w:pPr>
        <w:ind w:right="-957"/>
        <w:rPr>
          <w:rFonts w:ascii="Times New Roman" w:hAnsi="Times New Roman" w:cs="Times New Roman"/>
          <w:b/>
          <w:sz w:val="48"/>
        </w:rPr>
      </w:pPr>
    </w:p>
    <w:tbl>
      <w:tblPr>
        <w:tblW w:w="10368" w:type="dxa"/>
        <w:tblInd w:w="-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4728BF" w:rsidRPr="005D3F07" w:rsidTr="004728BF">
        <w:tc>
          <w:tcPr>
            <w:tcW w:w="10368" w:type="dxa"/>
            <w:shd w:val="clear" w:color="auto" w:fill="auto"/>
          </w:tcPr>
          <w:p w:rsidR="004728BF" w:rsidRDefault="004728BF" w:rsidP="00EA2812">
            <w:pPr>
              <w:ind w:right="-957"/>
              <w:rPr>
                <w:rFonts w:ascii="Times New Roman" w:hAnsi="Times New Roman" w:cs="Times New Roman"/>
                <w:b/>
                <w:sz w:val="48"/>
              </w:rPr>
            </w:pPr>
            <w:r>
              <w:rPr>
                <w:rFonts w:ascii="Times New Roman" w:hAnsi="Times New Roman" w:cs="Times New Roman"/>
                <w:b/>
                <w:sz w:val="48"/>
              </w:rPr>
              <w:lastRenderedPageBreak/>
              <w:t>Learner’s name: Francesca Mitchell</w:t>
            </w:r>
          </w:p>
          <w:p w:rsidR="004728BF" w:rsidRDefault="004728BF" w:rsidP="00EA2812">
            <w:pPr>
              <w:ind w:right="-957"/>
              <w:rPr>
                <w:rFonts w:ascii="Times New Roman" w:hAnsi="Times New Roman" w:cs="Times New Roman"/>
                <w:b/>
                <w:sz w:val="48"/>
              </w:rPr>
            </w:pPr>
          </w:p>
          <w:p w:rsidR="004728BF" w:rsidRDefault="004728BF" w:rsidP="00EA2812">
            <w:pPr>
              <w:ind w:right="-957"/>
              <w:rPr>
                <w:rFonts w:ascii="Times New Roman" w:hAnsi="Times New Roman" w:cs="Times New Roman"/>
                <w:b/>
                <w:sz w:val="48"/>
              </w:rPr>
            </w:pPr>
            <w:r>
              <w:rPr>
                <w:rFonts w:ascii="Times New Roman" w:hAnsi="Times New Roman" w:cs="Times New Roman"/>
                <w:b/>
                <w:sz w:val="48"/>
              </w:rPr>
              <w:t xml:space="preserve">Email address: </w:t>
            </w:r>
            <w:hyperlink r:id="rId5" w:history="1">
              <w:r w:rsidRPr="00285DAF">
                <w:rPr>
                  <w:rStyle w:val="Hyperlink"/>
                  <w:rFonts w:ascii="Times New Roman" w:hAnsi="Times New Roman" w:cs="Times New Roman"/>
                  <w:b/>
                  <w:sz w:val="48"/>
                </w:rPr>
                <w:t>Francesca.mitchell@thefca.co.uk/</w:t>
              </w:r>
            </w:hyperlink>
            <w:r>
              <w:rPr>
                <w:rFonts w:ascii="Times New Roman" w:hAnsi="Times New Roman" w:cs="Times New Roman"/>
                <w:b/>
                <w:sz w:val="48"/>
              </w:rPr>
              <w:t xml:space="preserve"> </w:t>
            </w:r>
            <w:hyperlink r:id="rId6" w:history="1">
              <w:r w:rsidRPr="00285DAF">
                <w:rPr>
                  <w:rStyle w:val="Hyperlink"/>
                  <w:rFonts w:ascii="Times New Roman" w:hAnsi="Times New Roman" w:cs="Times New Roman"/>
                  <w:b/>
                  <w:sz w:val="48"/>
                </w:rPr>
                <w:t>Francesca_mitchell3@hotmail.com</w:t>
              </w:r>
            </w:hyperlink>
            <w:r>
              <w:rPr>
                <w:rFonts w:ascii="Times New Roman" w:hAnsi="Times New Roman" w:cs="Times New Roman"/>
                <w:b/>
                <w:sz w:val="48"/>
              </w:rPr>
              <w:t xml:space="preserve"> </w:t>
            </w:r>
          </w:p>
          <w:p w:rsidR="004728BF" w:rsidRDefault="004728BF" w:rsidP="00EA2812">
            <w:pPr>
              <w:ind w:right="-957"/>
              <w:rPr>
                <w:rFonts w:ascii="Times New Roman" w:hAnsi="Times New Roman" w:cs="Times New Roman"/>
                <w:b/>
                <w:sz w:val="48"/>
              </w:rPr>
            </w:pPr>
          </w:p>
          <w:p w:rsidR="004728BF" w:rsidRPr="001701F7" w:rsidRDefault="004728BF" w:rsidP="00EA2812">
            <w:pPr>
              <w:ind w:right="-957"/>
              <w:rPr>
                <w:rFonts w:ascii="Times New Roman" w:hAnsi="Times New Roman" w:cs="Times New Roman"/>
                <w:b/>
                <w:sz w:val="36"/>
                <w:szCs w:val="36"/>
              </w:rPr>
            </w:pPr>
            <w:r w:rsidRPr="001701F7">
              <w:rPr>
                <w:rFonts w:ascii="Times New Roman" w:hAnsi="Times New Roman" w:cs="Times New Roman"/>
                <w:b/>
                <w:sz w:val="36"/>
                <w:szCs w:val="36"/>
              </w:rPr>
              <w:t>Learner’s University Registration Number: 2116421</w:t>
            </w:r>
          </w:p>
          <w:p w:rsidR="004728BF" w:rsidRPr="005D3F07" w:rsidRDefault="004728BF" w:rsidP="00EA2812">
            <w:pPr>
              <w:ind w:right="-957"/>
              <w:rPr>
                <w:rFonts w:ascii="Times New Roman" w:hAnsi="Times New Roman" w:cs="Times New Roman"/>
                <w:b/>
                <w:sz w:val="48"/>
              </w:rPr>
            </w:pPr>
          </w:p>
          <w:p w:rsidR="004728BF" w:rsidRPr="005D3F07" w:rsidRDefault="004728BF" w:rsidP="00EA2812">
            <w:pPr>
              <w:ind w:right="-957"/>
              <w:rPr>
                <w:rFonts w:ascii="Times New Roman" w:hAnsi="Times New Roman" w:cs="Times New Roman"/>
                <w:b/>
                <w:sz w:val="48"/>
              </w:rPr>
            </w:pPr>
            <w:r w:rsidRPr="00DC2924">
              <w:rPr>
                <w:rFonts w:ascii="Times New Roman" w:hAnsi="Times New Roman" w:cs="Times New Roman"/>
                <w:b/>
                <w:sz w:val="48"/>
              </w:rPr>
              <w:t>Cohort: 15</w:t>
            </w:r>
            <w:r>
              <w:rPr>
                <w:rFonts w:ascii="Times New Roman" w:hAnsi="Times New Roman" w:cs="Times New Roman"/>
                <w:b/>
                <w:sz w:val="48"/>
              </w:rPr>
              <w:t>, 16, 17</w:t>
            </w:r>
          </w:p>
        </w:tc>
      </w:tr>
    </w:tbl>
    <w:p w:rsidR="004728BF" w:rsidRPr="00F927A1" w:rsidRDefault="004728BF" w:rsidP="004728BF">
      <w:pPr>
        <w:ind w:right="-957"/>
        <w:rPr>
          <w:rFonts w:ascii="Times New Roman" w:hAnsi="Times New Roman" w:cs="Times New Roman"/>
          <w:b/>
          <w:sz w:val="48"/>
        </w:rPr>
      </w:pPr>
      <w:r>
        <w:rPr>
          <w:rFonts w:ascii="Times New Roman" w:hAnsi="Times New Roman" w:cs="Times New Roman"/>
          <w:b/>
          <w:sz w:val="48"/>
        </w:rPr>
        <w:t xml:space="preserve"> </w:t>
      </w:r>
    </w:p>
    <w:p w:rsidR="004728BF" w:rsidRPr="00F927A1" w:rsidRDefault="004728BF" w:rsidP="004728BF">
      <w:pPr>
        <w:rPr>
          <w:rFonts w:ascii="Times New Roman" w:hAnsi="Times New Roman" w:cs="Times New Roman"/>
          <w:sz w:val="24"/>
        </w:rPr>
      </w:pPr>
    </w:p>
    <w:p w:rsidR="004728BF" w:rsidRPr="00F927A1" w:rsidRDefault="004728BF" w:rsidP="004728BF">
      <w:pPr>
        <w:ind w:right="-957"/>
        <w:rPr>
          <w:rFonts w:ascii="Times New Roman" w:hAnsi="Times New Roman" w:cs="Times New Roman"/>
          <w:b/>
          <w:sz w:val="48"/>
        </w:rPr>
      </w:pPr>
    </w:p>
    <w:p w:rsidR="004728BF" w:rsidRPr="00706BB5" w:rsidRDefault="004728BF" w:rsidP="004728BF">
      <w:pPr>
        <w:ind w:right="-957"/>
        <w:jc w:val="center"/>
        <w:rPr>
          <w:rFonts w:ascii="Times New Roman" w:hAnsi="Times New Roman" w:cs="Times New Roman"/>
          <w:b/>
          <w:bCs/>
          <w:sz w:val="40"/>
          <w:szCs w:val="40"/>
        </w:rPr>
      </w:pPr>
      <w:r w:rsidRPr="00F15354">
        <w:rPr>
          <w:rFonts w:ascii="Times New Roman" w:hAnsi="Times New Roman" w:cs="Times New Roman"/>
          <w:b/>
          <w:bCs/>
          <w:sz w:val="40"/>
          <w:szCs w:val="40"/>
        </w:rPr>
        <w:t xml:space="preserve">WALES ACADEMY OF PROFESSIONAL PRACTICE </w:t>
      </w:r>
    </w:p>
    <w:p w:rsidR="004728BF" w:rsidRPr="00706BB5" w:rsidRDefault="004728BF" w:rsidP="004728BF">
      <w:pPr>
        <w:ind w:right="-957"/>
        <w:jc w:val="center"/>
        <w:rPr>
          <w:rFonts w:ascii="Times New Roman" w:hAnsi="Times New Roman" w:cs="Times New Roman"/>
          <w:b/>
          <w:bCs/>
          <w:sz w:val="40"/>
          <w:szCs w:val="40"/>
        </w:rPr>
      </w:pPr>
      <w:r w:rsidRPr="00F15354">
        <w:rPr>
          <w:rFonts w:ascii="Times New Roman" w:hAnsi="Times New Roman" w:cs="Times New Roman"/>
          <w:b/>
          <w:bCs/>
          <w:sz w:val="40"/>
          <w:szCs w:val="40"/>
        </w:rPr>
        <w:t>AND APPLIED RESEARCH</w:t>
      </w:r>
    </w:p>
    <w:p w:rsidR="008A0396" w:rsidRPr="00EE5BC3" w:rsidRDefault="004728BF" w:rsidP="004728BF">
      <w:pPr>
        <w:jc w:val="center"/>
        <w:rPr>
          <w:b/>
          <w:sz w:val="28"/>
          <w:szCs w:val="28"/>
        </w:rPr>
      </w:pPr>
      <w:r w:rsidRPr="00F927A1">
        <w:rPr>
          <w:rFonts w:ascii="Times New Roman" w:hAnsi="Times New Roman" w:cs="Times New Roman"/>
          <w:sz w:val="24"/>
        </w:rPr>
        <w:br w:type="page"/>
      </w:r>
      <w:r w:rsidR="008A0396" w:rsidRPr="00EE5BC3">
        <w:rPr>
          <w:b/>
          <w:sz w:val="28"/>
          <w:szCs w:val="28"/>
        </w:rPr>
        <w:lastRenderedPageBreak/>
        <w:t>Task 4</w:t>
      </w:r>
    </w:p>
    <w:p w:rsidR="008A0396" w:rsidRPr="00EE5BC3" w:rsidRDefault="008A0396" w:rsidP="008A0396">
      <w:pPr>
        <w:jc w:val="center"/>
        <w:rPr>
          <w:b/>
          <w:sz w:val="28"/>
          <w:szCs w:val="28"/>
        </w:rPr>
      </w:pPr>
    </w:p>
    <w:p w:rsidR="008A0396" w:rsidRPr="00EE5BC3" w:rsidRDefault="008A0396" w:rsidP="008A0396">
      <w:pPr>
        <w:jc w:val="center"/>
        <w:rPr>
          <w:b/>
          <w:sz w:val="28"/>
          <w:szCs w:val="28"/>
        </w:rPr>
      </w:pPr>
      <w:r w:rsidRPr="00EE5BC3">
        <w:rPr>
          <w:b/>
          <w:sz w:val="28"/>
          <w:szCs w:val="28"/>
        </w:rPr>
        <w:t>Safeguarding</w:t>
      </w:r>
      <w:r>
        <w:rPr>
          <w:b/>
          <w:sz w:val="28"/>
          <w:szCs w:val="28"/>
        </w:rPr>
        <w:t xml:space="preserve"> in an area which is not your main area of work</w:t>
      </w:r>
    </w:p>
    <w:p w:rsidR="008A0396" w:rsidRPr="008B28E7" w:rsidRDefault="008A0396" w:rsidP="008A0396">
      <w:pPr>
        <w:jc w:val="both"/>
        <w:rPr>
          <w:b/>
          <w:sz w:val="24"/>
          <w:szCs w:val="24"/>
        </w:rPr>
      </w:pPr>
    </w:p>
    <w:p w:rsidR="008A0396" w:rsidRPr="00EE5BC3" w:rsidRDefault="008A0396" w:rsidP="008A0396">
      <w:pPr>
        <w:ind w:left="-90"/>
        <w:jc w:val="both"/>
        <w:rPr>
          <w:b/>
          <w:i/>
          <w:sz w:val="24"/>
          <w:szCs w:val="24"/>
        </w:rPr>
      </w:pPr>
      <w:r w:rsidRPr="00EE5BC3">
        <w:rPr>
          <w:b/>
          <w:i/>
          <w:sz w:val="24"/>
          <w:szCs w:val="24"/>
        </w:rPr>
        <w:t xml:space="preserve">Guidance: </w:t>
      </w:r>
    </w:p>
    <w:p w:rsidR="008A0396" w:rsidRPr="00706BB5" w:rsidRDefault="008A0396" w:rsidP="008A0396">
      <w:pPr>
        <w:ind w:left="-90"/>
        <w:jc w:val="both"/>
        <w:rPr>
          <w:i/>
          <w:iCs/>
          <w:sz w:val="24"/>
          <w:szCs w:val="24"/>
        </w:rPr>
      </w:pPr>
      <w:r w:rsidRPr="00F15354">
        <w:rPr>
          <w:i/>
          <w:iCs/>
          <w:sz w:val="24"/>
          <w:szCs w:val="24"/>
        </w:rPr>
        <w:t>Social Care Wales</w:t>
      </w:r>
      <w:r w:rsidRPr="006179BB">
        <w:rPr>
          <w:i/>
          <w:iCs/>
          <w:sz w:val="24"/>
          <w:szCs w:val="24"/>
        </w:rPr>
        <w:t xml:space="preserve"> require newly qualified social workers to provide evidence of </w:t>
      </w:r>
      <w:r w:rsidRPr="00A5656A">
        <w:rPr>
          <w:i/>
          <w:iCs/>
          <w:sz w:val="24"/>
          <w:szCs w:val="24"/>
        </w:rPr>
        <w:t>their understanding of safeguarding work with adults and children</w:t>
      </w:r>
      <w:r w:rsidRPr="009C7342">
        <w:rPr>
          <w:i/>
          <w:iCs/>
          <w:sz w:val="24"/>
          <w:szCs w:val="24"/>
        </w:rPr>
        <w:t xml:space="preserve">. </w:t>
      </w:r>
      <w:r w:rsidRPr="00706BB5">
        <w:rPr>
          <w:i/>
          <w:iCs/>
          <w:sz w:val="24"/>
          <w:szCs w:val="24"/>
        </w:rPr>
        <w:t xml:space="preserve">The assignment below will enable you to demonstrate this. </w:t>
      </w:r>
      <w:r w:rsidRPr="00706BB5">
        <w:rPr>
          <w:b/>
          <w:bCs/>
          <w:i/>
          <w:iCs/>
          <w:sz w:val="24"/>
          <w:szCs w:val="24"/>
        </w:rPr>
        <w:t>N.B</w:t>
      </w:r>
      <w:r w:rsidRPr="00706BB5">
        <w:rPr>
          <w:i/>
          <w:iCs/>
          <w:sz w:val="24"/>
          <w:szCs w:val="24"/>
        </w:rPr>
        <w:t xml:space="preserve">. if your usual area of work is with children please write about adult safeguarding. If you usually work with adults, then write about child safeguarding.  Ensure you meet the learning out comes for this task (see appendix </w:t>
      </w:r>
      <w:r>
        <w:rPr>
          <w:i/>
          <w:iCs/>
          <w:sz w:val="24"/>
          <w:szCs w:val="24"/>
        </w:rPr>
        <w:t>5</w:t>
      </w:r>
      <w:r w:rsidRPr="00706BB5">
        <w:rPr>
          <w:i/>
          <w:iCs/>
          <w:sz w:val="24"/>
          <w:szCs w:val="24"/>
        </w:rPr>
        <w:t xml:space="preserve"> </w:t>
      </w:r>
      <w:r w:rsidRPr="00F15354">
        <w:rPr>
          <w:i/>
          <w:iCs/>
          <w:sz w:val="24"/>
          <w:szCs w:val="24"/>
        </w:rPr>
        <w:t>of the</w:t>
      </w:r>
      <w:r w:rsidRPr="4EC15626">
        <w:rPr>
          <w:i/>
          <w:iCs/>
          <w:sz w:val="24"/>
          <w:szCs w:val="24"/>
        </w:rPr>
        <w:t xml:space="preserve"> h</w:t>
      </w:r>
      <w:r w:rsidRPr="00F15354">
        <w:rPr>
          <w:i/>
          <w:iCs/>
          <w:sz w:val="24"/>
          <w:szCs w:val="24"/>
        </w:rPr>
        <w:t>andbook</w:t>
      </w:r>
      <w:r w:rsidRPr="006179BB">
        <w:rPr>
          <w:i/>
          <w:iCs/>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A0396" w:rsidRPr="008B28E7" w:rsidTr="00EA2812">
        <w:tc>
          <w:tcPr>
            <w:tcW w:w="10188" w:type="dxa"/>
            <w:shd w:val="clear" w:color="auto" w:fill="auto"/>
          </w:tcPr>
          <w:p w:rsidR="008A0396" w:rsidRPr="00EB695F" w:rsidRDefault="008A0396" w:rsidP="00EA2812">
            <w:pPr>
              <w:jc w:val="both"/>
              <w:rPr>
                <w:b/>
                <w:sz w:val="24"/>
                <w:szCs w:val="24"/>
              </w:rPr>
            </w:pPr>
            <w:r w:rsidRPr="00EB695F">
              <w:rPr>
                <w:b/>
                <w:sz w:val="24"/>
                <w:szCs w:val="24"/>
              </w:rPr>
              <w:t>Question</w:t>
            </w:r>
            <w:r>
              <w:rPr>
                <w:b/>
                <w:sz w:val="24"/>
                <w:szCs w:val="24"/>
              </w:rPr>
              <w:t xml:space="preserve"> a:</w:t>
            </w:r>
          </w:p>
          <w:p w:rsidR="008A0396" w:rsidRPr="008A0396" w:rsidRDefault="008A0396" w:rsidP="008A0396">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rsidR="008A0396" w:rsidRPr="00C70810" w:rsidRDefault="008A0396" w:rsidP="00EA2812">
            <w:pPr>
              <w:spacing w:line="360" w:lineRule="auto"/>
              <w:jc w:val="both"/>
              <w:rPr>
                <w:color w:val="000000" w:themeColor="text1"/>
                <w:sz w:val="24"/>
                <w:szCs w:val="24"/>
              </w:rPr>
            </w:pPr>
            <w:r>
              <w:rPr>
                <w:color w:val="000000" w:themeColor="text1"/>
                <w:sz w:val="24"/>
                <w:szCs w:val="24"/>
              </w:rPr>
              <w:t>Legislation</w:t>
            </w:r>
            <w:r w:rsidRPr="00C70810">
              <w:rPr>
                <w:color w:val="000000" w:themeColor="text1"/>
                <w:sz w:val="24"/>
                <w:szCs w:val="24"/>
              </w:rPr>
              <w:t xml:space="preserve"> and </w:t>
            </w:r>
            <w:r>
              <w:rPr>
                <w:color w:val="000000" w:themeColor="text1"/>
                <w:sz w:val="24"/>
                <w:szCs w:val="24"/>
              </w:rPr>
              <w:t xml:space="preserve">the </w:t>
            </w:r>
            <w:r w:rsidRPr="00C70810">
              <w:rPr>
                <w:color w:val="000000" w:themeColor="text1"/>
                <w:sz w:val="24"/>
                <w:szCs w:val="24"/>
              </w:rPr>
              <w:t>national, local and organisational policies and procedures in Wales set out guidelines t</w:t>
            </w:r>
            <w:r>
              <w:rPr>
                <w:color w:val="000000" w:themeColor="text1"/>
                <w:sz w:val="24"/>
                <w:szCs w:val="24"/>
              </w:rPr>
              <w:t>o protect and safeguard adults</w:t>
            </w:r>
            <w:r w:rsidRPr="00C70810">
              <w:rPr>
                <w:color w:val="000000" w:themeColor="text1"/>
                <w:sz w:val="24"/>
                <w:szCs w:val="24"/>
              </w:rPr>
              <w:t xml:space="preserve">. The Social Services and Wellbeing (Wales) Act (2014) (SSWBA), section 126, states that if a Local Authority (LA) has reasonable cause to suspect that </w:t>
            </w:r>
            <w:r>
              <w:rPr>
                <w:color w:val="000000" w:themeColor="text1"/>
                <w:sz w:val="24"/>
                <w:szCs w:val="24"/>
              </w:rPr>
              <w:t>an adult</w:t>
            </w:r>
            <w:r w:rsidRPr="00C70810">
              <w:rPr>
                <w:color w:val="000000" w:themeColor="text1"/>
                <w:sz w:val="24"/>
                <w:szCs w:val="24"/>
              </w:rPr>
              <w:t xml:space="preserve"> a) has experienced or is at risk of experiencing abuse or neglect or b) has care and support </w:t>
            </w:r>
            <w:r>
              <w:rPr>
                <w:color w:val="000000" w:themeColor="text1"/>
                <w:sz w:val="24"/>
                <w:szCs w:val="24"/>
              </w:rPr>
              <w:t xml:space="preserve">needs </w:t>
            </w:r>
            <w:r w:rsidRPr="00C70810">
              <w:rPr>
                <w:color w:val="000000" w:themeColor="text1"/>
                <w:sz w:val="24"/>
                <w:szCs w:val="24"/>
              </w:rPr>
              <w:t>and as a result is unable to protect themsel</w:t>
            </w:r>
            <w:r>
              <w:rPr>
                <w:color w:val="000000" w:themeColor="text1"/>
                <w:sz w:val="24"/>
                <w:szCs w:val="24"/>
              </w:rPr>
              <w:t>ves against abuse or neglect,</w:t>
            </w:r>
            <w:r w:rsidRPr="00C70810">
              <w:rPr>
                <w:color w:val="000000" w:themeColor="text1"/>
                <w:sz w:val="24"/>
                <w:szCs w:val="24"/>
              </w:rPr>
              <w:t xml:space="preserve"> must </w:t>
            </w:r>
            <w:r>
              <w:rPr>
                <w:color w:val="000000" w:themeColor="text1"/>
                <w:sz w:val="24"/>
                <w:szCs w:val="24"/>
              </w:rPr>
              <w:t xml:space="preserve">make the necessary </w:t>
            </w:r>
            <w:r w:rsidRPr="00C70810">
              <w:rPr>
                <w:color w:val="000000" w:themeColor="text1"/>
                <w:sz w:val="24"/>
                <w:szCs w:val="24"/>
              </w:rPr>
              <w:t xml:space="preserve">enquiries </w:t>
            </w:r>
            <w:r>
              <w:rPr>
                <w:color w:val="000000" w:themeColor="text1"/>
                <w:sz w:val="24"/>
                <w:szCs w:val="24"/>
              </w:rPr>
              <w:t>to determine</w:t>
            </w:r>
            <w:r w:rsidRPr="00C70810">
              <w:rPr>
                <w:color w:val="000000" w:themeColor="text1"/>
                <w:sz w:val="24"/>
                <w:szCs w:val="24"/>
              </w:rPr>
              <w:t xml:space="preserve"> whether action should be taken, if so by whom. The statutory guidance for Adult Protection and Support Orders (APSO’s) must be followed in all but exceptional circumstances. APSO’s are used to enable an ‘authorised officer’ and any other person specified in the order, to speak to an adult suspected of being at risk of abuse or neglect, in private, to establish whether the adult can make decisions freely, to assess </w:t>
            </w:r>
            <w:r w:rsidRPr="00C70810">
              <w:rPr>
                <w:color w:val="000000" w:themeColor="text1"/>
                <w:sz w:val="24"/>
                <w:szCs w:val="24"/>
              </w:rPr>
              <w:lastRenderedPageBreak/>
              <w:t>whether a person is an adult at risk a</w:t>
            </w:r>
            <w:r>
              <w:rPr>
                <w:color w:val="000000" w:themeColor="text1"/>
                <w:sz w:val="24"/>
                <w:szCs w:val="24"/>
              </w:rPr>
              <w:t>n</w:t>
            </w:r>
            <w:r w:rsidRPr="00C70810">
              <w:rPr>
                <w:color w:val="000000" w:themeColor="text1"/>
                <w:sz w:val="24"/>
                <w:szCs w:val="24"/>
              </w:rPr>
              <w:t>d to establish if any action should be taken</w:t>
            </w:r>
            <w:r>
              <w:rPr>
                <w:color w:val="000000" w:themeColor="text1"/>
                <w:sz w:val="24"/>
                <w:szCs w:val="24"/>
              </w:rPr>
              <w:t xml:space="preserve">. </w:t>
            </w:r>
            <w:r w:rsidRPr="00C70810">
              <w:rPr>
                <w:color w:val="000000" w:themeColor="text1"/>
                <w:sz w:val="24"/>
                <w:szCs w:val="24"/>
              </w:rPr>
              <w:t>Section 164(4) of the SSWBA (2014) states that relevant partners should understand</w:t>
            </w:r>
            <w:r>
              <w:rPr>
                <w:color w:val="000000" w:themeColor="text1"/>
                <w:sz w:val="24"/>
                <w:szCs w:val="24"/>
              </w:rPr>
              <w:t xml:space="preserve"> their statutory duty to report, </w:t>
            </w:r>
            <w:r w:rsidRPr="00C70810">
              <w:rPr>
                <w:color w:val="000000" w:themeColor="text1"/>
                <w:sz w:val="24"/>
                <w:szCs w:val="24"/>
              </w:rPr>
              <w:t xml:space="preserve">where there is reasonable cause to suspect that an adult is at risk. </w:t>
            </w:r>
          </w:p>
          <w:p w:rsidR="008A0396" w:rsidRPr="00C70810" w:rsidRDefault="008A0396" w:rsidP="00EA2812">
            <w:pPr>
              <w:spacing w:line="360" w:lineRule="auto"/>
              <w:jc w:val="both"/>
              <w:rPr>
                <w:color w:val="000000" w:themeColor="text1"/>
                <w:sz w:val="24"/>
                <w:szCs w:val="24"/>
              </w:rPr>
            </w:pPr>
          </w:p>
          <w:p w:rsidR="008A0396" w:rsidRPr="00C70810" w:rsidRDefault="008A0396" w:rsidP="00EA2812">
            <w:pPr>
              <w:spacing w:line="360" w:lineRule="auto"/>
              <w:jc w:val="both"/>
              <w:rPr>
                <w:color w:val="000000" w:themeColor="text1"/>
                <w:sz w:val="24"/>
                <w:szCs w:val="24"/>
              </w:rPr>
            </w:pPr>
            <w:r w:rsidRPr="00C70810">
              <w:rPr>
                <w:color w:val="000000" w:themeColor="text1"/>
                <w:sz w:val="24"/>
                <w:szCs w:val="24"/>
              </w:rPr>
              <w:t>The Mental Capacit</w:t>
            </w:r>
            <w:r>
              <w:rPr>
                <w:color w:val="000000" w:themeColor="text1"/>
                <w:sz w:val="24"/>
                <w:szCs w:val="24"/>
              </w:rPr>
              <w:t>y Act (MCA) (2005) sets out 5 principles which underpin its</w:t>
            </w:r>
            <w:r w:rsidRPr="00C70810">
              <w:rPr>
                <w:color w:val="000000" w:themeColor="text1"/>
                <w:sz w:val="24"/>
                <w:szCs w:val="24"/>
              </w:rPr>
              <w:t xml:space="preserve"> legal requi</w:t>
            </w:r>
            <w:r>
              <w:rPr>
                <w:color w:val="000000" w:themeColor="text1"/>
                <w:sz w:val="24"/>
                <w:szCs w:val="24"/>
              </w:rPr>
              <w:t>rements. These relate</w:t>
            </w:r>
            <w:r w:rsidRPr="00C70810">
              <w:rPr>
                <w:color w:val="000000" w:themeColor="text1"/>
                <w:sz w:val="24"/>
                <w:szCs w:val="24"/>
              </w:rPr>
              <w:t xml:space="preserve"> to, assumed capacity, unless deemed as lacking capacity; practicable steps taken to support decision making, </w:t>
            </w:r>
            <w:r>
              <w:rPr>
                <w:color w:val="000000" w:themeColor="text1"/>
                <w:sz w:val="24"/>
                <w:szCs w:val="24"/>
              </w:rPr>
              <w:t xml:space="preserve">prior to deeming ‘lack of capacity’; </w:t>
            </w:r>
            <w:r w:rsidRPr="00C70810">
              <w:rPr>
                <w:color w:val="000000" w:themeColor="text1"/>
                <w:sz w:val="24"/>
                <w:szCs w:val="24"/>
              </w:rPr>
              <w:t xml:space="preserve">individuals not being treated as ‘lacking capacity’ </w:t>
            </w:r>
            <w:r>
              <w:rPr>
                <w:color w:val="000000" w:themeColor="text1"/>
                <w:sz w:val="24"/>
                <w:szCs w:val="24"/>
              </w:rPr>
              <w:t>due to</w:t>
            </w:r>
            <w:r w:rsidRPr="00C70810">
              <w:rPr>
                <w:color w:val="000000" w:themeColor="text1"/>
                <w:sz w:val="24"/>
                <w:szCs w:val="24"/>
              </w:rPr>
              <w:t xml:space="preserve"> ‘unwise decisions’; decisions made in best interests; </w:t>
            </w:r>
            <w:r>
              <w:rPr>
                <w:color w:val="000000" w:themeColor="text1"/>
                <w:sz w:val="24"/>
                <w:szCs w:val="24"/>
              </w:rPr>
              <w:t xml:space="preserve">consideration </w:t>
            </w:r>
            <w:r w:rsidRPr="00C70810">
              <w:rPr>
                <w:color w:val="000000" w:themeColor="text1"/>
                <w:sz w:val="24"/>
                <w:szCs w:val="24"/>
              </w:rPr>
              <w:t xml:space="preserve">given to whether an outcome can be </w:t>
            </w:r>
            <w:r>
              <w:rPr>
                <w:color w:val="000000" w:themeColor="text1"/>
                <w:sz w:val="24"/>
                <w:szCs w:val="24"/>
              </w:rPr>
              <w:t>achieved by</w:t>
            </w:r>
            <w:r w:rsidRPr="00C70810">
              <w:rPr>
                <w:color w:val="000000" w:themeColor="text1"/>
                <w:sz w:val="24"/>
                <w:szCs w:val="24"/>
              </w:rPr>
              <w:t xml:space="preserve"> less restrictive of </w:t>
            </w:r>
            <w:r>
              <w:rPr>
                <w:color w:val="000000" w:themeColor="text1"/>
                <w:sz w:val="24"/>
                <w:szCs w:val="24"/>
              </w:rPr>
              <w:t>rights and freedom.</w:t>
            </w:r>
          </w:p>
          <w:p w:rsidR="008A0396" w:rsidRPr="00C70810" w:rsidRDefault="008A0396" w:rsidP="00EA2812">
            <w:pPr>
              <w:spacing w:line="360" w:lineRule="auto"/>
              <w:jc w:val="both"/>
              <w:rPr>
                <w:color w:val="000000" w:themeColor="text1"/>
                <w:sz w:val="24"/>
                <w:szCs w:val="24"/>
              </w:rPr>
            </w:pPr>
          </w:p>
          <w:p w:rsidR="008A0396" w:rsidRPr="00C70810" w:rsidRDefault="008A0396" w:rsidP="00EA2812">
            <w:pPr>
              <w:spacing w:line="360" w:lineRule="auto"/>
              <w:jc w:val="both"/>
              <w:rPr>
                <w:color w:val="000000" w:themeColor="text1"/>
                <w:sz w:val="24"/>
                <w:szCs w:val="24"/>
              </w:rPr>
            </w:pPr>
            <w:r w:rsidRPr="00C70810">
              <w:rPr>
                <w:color w:val="000000" w:themeColor="text1"/>
                <w:sz w:val="24"/>
                <w:szCs w:val="24"/>
              </w:rPr>
              <w:t xml:space="preserve">All safeguarding considerations should take into account the legal requirements of the MCA (2005) and associated code of practice, chapter 14, which sets out ‘what means of protection exist for people who lack capacity to make decisions for themselves’. </w:t>
            </w:r>
            <w:r>
              <w:rPr>
                <w:color w:val="000000" w:themeColor="text1"/>
                <w:sz w:val="24"/>
                <w:szCs w:val="24"/>
              </w:rPr>
              <w:t xml:space="preserve">The </w:t>
            </w:r>
            <w:r w:rsidRPr="00C70810">
              <w:rPr>
                <w:color w:val="000000" w:themeColor="text1"/>
                <w:sz w:val="24"/>
                <w:szCs w:val="24"/>
              </w:rPr>
              <w:t>code of practice for Wales to the MCA (1983 (revised in 2016) sets out guidance on the relationship between the Mental Health Act</w:t>
            </w:r>
            <w:r>
              <w:rPr>
                <w:color w:val="000000" w:themeColor="text1"/>
                <w:sz w:val="24"/>
                <w:szCs w:val="24"/>
              </w:rPr>
              <w:t xml:space="preserve"> (2007)</w:t>
            </w:r>
            <w:r w:rsidRPr="00C70810">
              <w:rPr>
                <w:color w:val="000000" w:themeColor="text1"/>
                <w:sz w:val="24"/>
                <w:szCs w:val="24"/>
              </w:rPr>
              <w:t>, Mental Capacity Act</w:t>
            </w:r>
            <w:r w:rsidR="004F2FDC">
              <w:rPr>
                <w:color w:val="000000" w:themeColor="text1"/>
                <w:sz w:val="24"/>
                <w:szCs w:val="24"/>
              </w:rPr>
              <w:t xml:space="preserve"> (2005), which </w:t>
            </w:r>
            <w:r w:rsidR="003D65FB">
              <w:rPr>
                <w:color w:val="000000" w:themeColor="text1"/>
                <w:sz w:val="24"/>
                <w:szCs w:val="24"/>
              </w:rPr>
              <w:t>incorporates</w:t>
            </w:r>
            <w:bookmarkStart w:id="0" w:name="_GoBack"/>
            <w:bookmarkEnd w:id="0"/>
            <w:r w:rsidRPr="00C70810">
              <w:rPr>
                <w:color w:val="000000" w:themeColor="text1"/>
                <w:sz w:val="24"/>
                <w:szCs w:val="24"/>
              </w:rPr>
              <w:t xml:space="preserve"> the Deprivation of Liberty Safeguards</w:t>
            </w:r>
            <w:r w:rsidR="004F2FDC">
              <w:rPr>
                <w:color w:val="000000" w:themeColor="text1"/>
                <w:sz w:val="24"/>
                <w:szCs w:val="24"/>
              </w:rPr>
              <w:t xml:space="preserve"> (MCA, 2005)</w:t>
            </w:r>
            <w:r w:rsidRPr="00C70810">
              <w:rPr>
                <w:color w:val="000000" w:themeColor="text1"/>
                <w:sz w:val="24"/>
                <w:szCs w:val="24"/>
              </w:rPr>
              <w:t xml:space="preserve">. </w:t>
            </w:r>
          </w:p>
          <w:p w:rsidR="008A0396" w:rsidRPr="00C70810" w:rsidRDefault="008A0396" w:rsidP="00EA2812">
            <w:pPr>
              <w:spacing w:line="360" w:lineRule="auto"/>
              <w:jc w:val="both"/>
              <w:rPr>
                <w:color w:val="000000" w:themeColor="text1"/>
                <w:sz w:val="24"/>
                <w:szCs w:val="24"/>
              </w:rPr>
            </w:pPr>
          </w:p>
          <w:p w:rsidR="008A0396" w:rsidRPr="00C70810" w:rsidRDefault="008A0396" w:rsidP="008A0396">
            <w:pPr>
              <w:spacing w:line="360" w:lineRule="auto"/>
              <w:jc w:val="both"/>
              <w:rPr>
                <w:color w:val="000000" w:themeColor="text1"/>
                <w:sz w:val="24"/>
                <w:szCs w:val="24"/>
              </w:rPr>
            </w:pPr>
            <w:r>
              <w:rPr>
                <w:color w:val="000000" w:themeColor="text1"/>
                <w:sz w:val="24"/>
                <w:szCs w:val="24"/>
              </w:rPr>
              <w:t>Sections 19 &amp; 24</w:t>
            </w:r>
            <w:r w:rsidRPr="00C70810">
              <w:rPr>
                <w:color w:val="000000" w:themeColor="text1"/>
                <w:sz w:val="24"/>
                <w:szCs w:val="24"/>
              </w:rPr>
              <w:t xml:space="preserve"> SSWBA </w:t>
            </w:r>
            <w:r>
              <w:rPr>
                <w:color w:val="000000" w:themeColor="text1"/>
                <w:sz w:val="24"/>
                <w:szCs w:val="24"/>
              </w:rPr>
              <w:t>set out duties for</w:t>
            </w:r>
            <w:r w:rsidRPr="00C70810">
              <w:rPr>
                <w:color w:val="000000" w:themeColor="text1"/>
                <w:sz w:val="24"/>
                <w:szCs w:val="24"/>
              </w:rPr>
              <w:t xml:space="preserve"> LA</w:t>
            </w:r>
            <w:r>
              <w:rPr>
                <w:color w:val="000000" w:themeColor="text1"/>
                <w:sz w:val="24"/>
                <w:szCs w:val="24"/>
              </w:rPr>
              <w:t xml:space="preserve">’s </w:t>
            </w:r>
            <w:r w:rsidRPr="00C70810">
              <w:rPr>
                <w:color w:val="000000" w:themeColor="text1"/>
                <w:sz w:val="24"/>
                <w:szCs w:val="24"/>
              </w:rPr>
              <w:t xml:space="preserve">to assess an adult’s needs for care and support. The Care and Support (Assessment) (Wales) Regulations 2015, make further provision about such assessments. The process of assessment set out under Part 3 of the SSWBA will apply when an adult is suspected to be at risk of abuse or harm. The assessment for an adult at risk should include emphasis on the risks in the 5 key elements </w:t>
            </w:r>
            <w:r>
              <w:rPr>
                <w:color w:val="000000" w:themeColor="text1"/>
                <w:sz w:val="24"/>
                <w:szCs w:val="24"/>
              </w:rPr>
              <w:t>of</w:t>
            </w:r>
            <w:r w:rsidRPr="00C70810">
              <w:rPr>
                <w:color w:val="000000" w:themeColor="text1"/>
                <w:sz w:val="24"/>
                <w:szCs w:val="24"/>
              </w:rPr>
              <w:t xml:space="preserve"> Part 3 Code of Practice, through the </w:t>
            </w:r>
            <w:r>
              <w:rPr>
                <w:color w:val="000000" w:themeColor="text1"/>
                <w:sz w:val="24"/>
                <w:szCs w:val="24"/>
              </w:rPr>
              <w:t>‘</w:t>
            </w:r>
            <w:r w:rsidRPr="00C70810">
              <w:rPr>
                <w:color w:val="000000" w:themeColor="text1"/>
                <w:sz w:val="24"/>
                <w:szCs w:val="24"/>
              </w:rPr>
              <w:t>what matters</w:t>
            </w:r>
            <w:r>
              <w:rPr>
                <w:color w:val="000000" w:themeColor="text1"/>
                <w:sz w:val="24"/>
                <w:szCs w:val="24"/>
              </w:rPr>
              <w:t>’ conversation</w:t>
            </w:r>
            <w:r w:rsidRPr="00C70810">
              <w:rPr>
                <w:color w:val="000000" w:themeColor="text1"/>
                <w:sz w:val="24"/>
                <w:szCs w:val="24"/>
              </w:rPr>
              <w:t xml:space="preserve">. </w:t>
            </w:r>
          </w:p>
          <w:p w:rsidR="008A0396" w:rsidRPr="00C70810" w:rsidRDefault="008A0396" w:rsidP="00EA2812">
            <w:pPr>
              <w:spacing w:line="360" w:lineRule="auto"/>
              <w:rPr>
                <w:color w:val="000000" w:themeColor="text1"/>
                <w:sz w:val="24"/>
                <w:szCs w:val="24"/>
              </w:rPr>
            </w:pPr>
            <w:r w:rsidRPr="00C70810">
              <w:rPr>
                <w:color w:val="000000" w:themeColor="text1"/>
                <w:sz w:val="24"/>
                <w:szCs w:val="24"/>
              </w:rPr>
              <w:lastRenderedPageBreak/>
              <w:t>The Welsh Government released a ‘National Outcomes Framework’ for individuals who are in need of care and support, this extends to those considered ‘carers’ (Welsh Government, 2019).  This national outcomes framework outlines individ</w:t>
            </w:r>
            <w:r>
              <w:rPr>
                <w:color w:val="000000" w:themeColor="text1"/>
                <w:sz w:val="24"/>
                <w:szCs w:val="24"/>
              </w:rPr>
              <w:t>ual well-being with more depth.</w:t>
            </w:r>
          </w:p>
          <w:p w:rsidR="008A0396" w:rsidRPr="00C70810" w:rsidRDefault="008A0396" w:rsidP="00EA2812">
            <w:pPr>
              <w:spacing w:line="360" w:lineRule="auto"/>
              <w:rPr>
                <w:color w:val="000000" w:themeColor="text1"/>
                <w:sz w:val="24"/>
                <w:szCs w:val="24"/>
              </w:rPr>
            </w:pPr>
            <w:r w:rsidRPr="00C70810">
              <w:rPr>
                <w:color w:val="000000" w:themeColor="text1"/>
                <w:sz w:val="24"/>
                <w:szCs w:val="24"/>
              </w:rPr>
              <w:t>The Working Together to Safeguard people was brought together in 2019</w:t>
            </w:r>
            <w:r w:rsidR="004F2FDC">
              <w:rPr>
                <w:color w:val="000000" w:themeColor="text1"/>
                <w:sz w:val="24"/>
                <w:szCs w:val="24"/>
              </w:rPr>
              <w:t xml:space="preserve"> (SSWBA, 2019)</w:t>
            </w:r>
            <w:r w:rsidRPr="00C70810">
              <w:rPr>
                <w:color w:val="000000" w:themeColor="text1"/>
                <w:sz w:val="24"/>
                <w:szCs w:val="24"/>
              </w:rPr>
              <w:t xml:space="preserve">, and targeted support for </w:t>
            </w:r>
            <w:r>
              <w:rPr>
                <w:color w:val="000000" w:themeColor="text1"/>
                <w:sz w:val="24"/>
                <w:szCs w:val="24"/>
              </w:rPr>
              <w:t>social workers</w:t>
            </w:r>
            <w:r w:rsidRPr="00C70810">
              <w:rPr>
                <w:color w:val="000000" w:themeColor="text1"/>
                <w:sz w:val="24"/>
                <w:szCs w:val="24"/>
              </w:rPr>
              <w:t xml:space="preserve"> incorporating the legislation under the SSWBA, whilst maintaining safeguarding between organisations in Wales. This also allowed consideration of underpinnings from the ‘more than words’, </w:t>
            </w:r>
            <w:proofErr w:type="gramStart"/>
            <w:r w:rsidRPr="00C70810">
              <w:rPr>
                <w:color w:val="000000" w:themeColor="text1"/>
                <w:sz w:val="24"/>
                <w:szCs w:val="24"/>
              </w:rPr>
              <w:t>‘ MCA</w:t>
            </w:r>
            <w:proofErr w:type="gramEnd"/>
            <w:r w:rsidRPr="00C70810">
              <w:rPr>
                <w:color w:val="000000" w:themeColor="text1"/>
                <w:sz w:val="24"/>
                <w:szCs w:val="24"/>
              </w:rPr>
              <w:t xml:space="preserve"> (2005) and European Convention of Human Rights. </w:t>
            </w:r>
          </w:p>
          <w:p w:rsidR="008A0396" w:rsidRPr="00C70810" w:rsidRDefault="008A0396" w:rsidP="00EA2812">
            <w:pPr>
              <w:spacing w:line="360" w:lineRule="auto"/>
              <w:jc w:val="both"/>
              <w:rPr>
                <w:color w:val="000000" w:themeColor="text1"/>
                <w:sz w:val="24"/>
                <w:szCs w:val="24"/>
              </w:rPr>
            </w:pPr>
          </w:p>
          <w:p w:rsidR="008A0396" w:rsidRPr="00C70810" w:rsidRDefault="008A0396" w:rsidP="00EA2812">
            <w:pPr>
              <w:spacing w:line="360" w:lineRule="auto"/>
              <w:jc w:val="both"/>
              <w:rPr>
                <w:color w:val="000000" w:themeColor="text1"/>
                <w:sz w:val="24"/>
                <w:szCs w:val="24"/>
              </w:rPr>
            </w:pPr>
            <w:r w:rsidRPr="00C70810">
              <w:rPr>
                <w:color w:val="000000" w:themeColor="text1"/>
                <w:sz w:val="24"/>
                <w:szCs w:val="24"/>
              </w:rPr>
              <w:t xml:space="preserve">Particularly relevant to safeguarding adults, are article 2, 3, 5 and 8 of the Human Rights Act (1998) which outline </w:t>
            </w:r>
            <w:r>
              <w:rPr>
                <w:color w:val="000000" w:themeColor="text1"/>
                <w:sz w:val="24"/>
                <w:szCs w:val="24"/>
              </w:rPr>
              <w:t>a person’s basic rights in law.</w:t>
            </w:r>
            <w:r w:rsidRPr="00C70810">
              <w:rPr>
                <w:color w:val="000000" w:themeColor="text1"/>
                <w:sz w:val="24"/>
                <w:szCs w:val="24"/>
              </w:rPr>
              <w:t xml:space="preserve"> The Equality Act (2010) </w:t>
            </w:r>
            <w:r>
              <w:rPr>
                <w:color w:val="000000" w:themeColor="text1"/>
                <w:sz w:val="24"/>
                <w:szCs w:val="24"/>
              </w:rPr>
              <w:t xml:space="preserve">also </w:t>
            </w:r>
            <w:r w:rsidRPr="00C70810">
              <w:rPr>
                <w:color w:val="000000" w:themeColor="text1"/>
                <w:sz w:val="24"/>
                <w:szCs w:val="24"/>
              </w:rPr>
              <w:t xml:space="preserve">protects those receiving care and the workers that provide it from being treated unfairly because of any characteristics that are protected under the legislation. </w:t>
            </w:r>
          </w:p>
          <w:p w:rsidR="008A0396" w:rsidRDefault="008A0396" w:rsidP="00EA2812">
            <w:pPr>
              <w:jc w:val="both"/>
              <w:rPr>
                <w:sz w:val="24"/>
                <w:szCs w:val="24"/>
              </w:rPr>
            </w:pPr>
          </w:p>
          <w:p w:rsidR="008A0396" w:rsidRDefault="008A0396" w:rsidP="00EA2812">
            <w:pPr>
              <w:jc w:val="both"/>
              <w:rPr>
                <w:sz w:val="24"/>
                <w:szCs w:val="24"/>
              </w:rPr>
            </w:pPr>
            <w:r>
              <w:rPr>
                <w:sz w:val="24"/>
                <w:szCs w:val="24"/>
              </w:rPr>
              <w:t>541 Words (excluding citations).</w:t>
            </w:r>
          </w:p>
          <w:p w:rsidR="008A0396" w:rsidRDefault="008A0396" w:rsidP="00EA2812">
            <w:pPr>
              <w:jc w:val="both"/>
              <w:rPr>
                <w:sz w:val="24"/>
                <w:szCs w:val="24"/>
              </w:rPr>
            </w:pPr>
          </w:p>
          <w:p w:rsidR="008A0396" w:rsidRPr="00C33BCF" w:rsidRDefault="008A0396" w:rsidP="00EA2812">
            <w:pPr>
              <w:jc w:val="both"/>
              <w:rPr>
                <w:b/>
                <w:sz w:val="24"/>
                <w:szCs w:val="24"/>
                <w:u w:val="single"/>
              </w:rPr>
            </w:pPr>
            <w:r w:rsidRPr="00C33BCF">
              <w:rPr>
                <w:b/>
                <w:sz w:val="24"/>
                <w:szCs w:val="24"/>
                <w:u w:val="single"/>
              </w:rPr>
              <w:t>Reference list</w:t>
            </w:r>
          </w:p>
          <w:p w:rsidR="008A0396" w:rsidRDefault="004F2FDC" w:rsidP="004F2FDC">
            <w:pPr>
              <w:pStyle w:val="NormalWeb"/>
            </w:pPr>
            <w:r>
              <w:t xml:space="preserve">Participation, E. (2019) </w:t>
            </w:r>
            <w:r>
              <w:rPr>
                <w:i/>
                <w:iCs/>
              </w:rPr>
              <w:t>Social Services and well-being (wales) act 2014</w:t>
            </w:r>
            <w:r>
              <w:t xml:space="preserve">, </w:t>
            </w:r>
            <w:r>
              <w:rPr>
                <w:i/>
                <w:iCs/>
              </w:rPr>
              <w:t>Legislation.gov.uk</w:t>
            </w:r>
            <w:r>
              <w:t xml:space="preserve">. Statute Law Database. Available at: https://www.legislation.gov.uk/anaw/2014/4/contents (Accessed: March 13, 2023). </w:t>
            </w:r>
          </w:p>
          <w:p w:rsidR="008A0396" w:rsidRPr="004F2FDC" w:rsidRDefault="004F2FDC" w:rsidP="004F2FDC">
            <w:pPr>
              <w:pStyle w:val="NormalWeb"/>
            </w:pPr>
            <w:r>
              <w:t xml:space="preserve">Participation, E. (2005) </w:t>
            </w:r>
            <w:r>
              <w:rPr>
                <w:i/>
                <w:iCs/>
              </w:rPr>
              <w:t>Mental capacity act 2005</w:t>
            </w:r>
            <w:r>
              <w:t xml:space="preserve">, </w:t>
            </w:r>
            <w:r>
              <w:rPr>
                <w:i/>
                <w:iCs/>
              </w:rPr>
              <w:t>Legislation.gov.uk</w:t>
            </w:r>
            <w:r>
              <w:t xml:space="preserve">. Statute Law Database. Available at: https://www.legislation.gov.uk/ukpga/2005/9/contents (Accessed: March 13, 2023). </w:t>
            </w:r>
          </w:p>
          <w:p w:rsidR="008A0396" w:rsidRDefault="008A0396" w:rsidP="004F2FDC">
            <w:pPr>
              <w:pStyle w:val="NormalWeb"/>
            </w:pPr>
            <w:r>
              <w:t xml:space="preserve">Participation, E. (1983) </w:t>
            </w:r>
            <w:r>
              <w:rPr>
                <w:i/>
                <w:iCs/>
              </w:rPr>
              <w:t>Mental health act 1983</w:t>
            </w:r>
            <w:r>
              <w:t xml:space="preserve">, </w:t>
            </w:r>
            <w:r>
              <w:rPr>
                <w:i/>
                <w:iCs/>
              </w:rPr>
              <w:t>Legislation.gov.uk</w:t>
            </w:r>
            <w:r>
              <w:t xml:space="preserve">. Statute Law Database. Available at: https://www.legislation.gov.uk/ukpga/1983/20/contents (Accessed: March 13, 2023). </w:t>
            </w:r>
          </w:p>
          <w:p w:rsidR="008A0396" w:rsidRPr="004F2FDC" w:rsidRDefault="004F2FDC" w:rsidP="004F2FDC">
            <w:pPr>
              <w:pStyle w:val="NormalWeb"/>
            </w:pPr>
            <w:r>
              <w:rPr>
                <w:i/>
                <w:iCs/>
              </w:rPr>
              <w:lastRenderedPageBreak/>
              <w:t>Mental capacity act (northern Ireland) 2016</w:t>
            </w:r>
            <w:r>
              <w:t xml:space="preserve"> (2016) </w:t>
            </w:r>
            <w:r>
              <w:rPr>
                <w:i/>
                <w:iCs/>
              </w:rPr>
              <w:t>Legislation.gov.uk</w:t>
            </w:r>
            <w:r>
              <w:t xml:space="preserve">. Government Printer for Northern Ireland. Available at: https://www.legislation.gov.uk/nia/2016/18/contents/enacted (Accessed: March 13, 2023). </w:t>
            </w:r>
          </w:p>
          <w:p w:rsidR="008A0396" w:rsidRDefault="008A0396" w:rsidP="004F2FDC">
            <w:pPr>
              <w:pStyle w:val="NormalWeb"/>
            </w:pPr>
            <w:r>
              <w:rPr>
                <w:i/>
                <w:iCs/>
              </w:rPr>
              <w:t>The care and support (assessment) (wales) regulations 2015</w:t>
            </w:r>
            <w:r>
              <w:t xml:space="preserve"> (2015) </w:t>
            </w:r>
            <w:r>
              <w:rPr>
                <w:i/>
                <w:iCs/>
              </w:rPr>
              <w:t>Legislation.gov.uk</w:t>
            </w:r>
            <w:r w:rsidR="004F2FDC">
              <w:t xml:space="preserve">. </w:t>
            </w:r>
            <w:r>
              <w:t xml:space="preserve">Queen's Printer of Acts of Parliament. Available at: https://www.legislation.gov.uk/wsi/2015/1305/made (Accessed: March 13, 2023). </w:t>
            </w:r>
          </w:p>
          <w:p w:rsidR="008A0396" w:rsidRDefault="008A0396" w:rsidP="004F2FDC">
            <w:pPr>
              <w:pStyle w:val="NormalWeb"/>
            </w:pPr>
            <w:r>
              <w:t xml:space="preserve">Participation, E. (1998) </w:t>
            </w:r>
            <w:r>
              <w:rPr>
                <w:i/>
                <w:iCs/>
              </w:rPr>
              <w:t>Human rights act 1998</w:t>
            </w:r>
            <w:r>
              <w:t xml:space="preserve">, </w:t>
            </w:r>
            <w:r>
              <w:rPr>
                <w:i/>
                <w:iCs/>
              </w:rPr>
              <w:t>Legislation.gov.uk</w:t>
            </w:r>
            <w:r>
              <w:t xml:space="preserve">. Statute Law Database. Available at: https://www.legislation.gov.uk/ukpga/1998/42/contents (Accessed: March 13, 2023). </w:t>
            </w:r>
          </w:p>
          <w:p w:rsidR="008A0396" w:rsidRDefault="008A0396" w:rsidP="004F2FDC">
            <w:pPr>
              <w:pStyle w:val="NormalWeb"/>
            </w:pPr>
            <w:r>
              <w:rPr>
                <w:i/>
                <w:iCs/>
              </w:rPr>
              <w:t>Equality act 2010</w:t>
            </w:r>
            <w:r>
              <w:t xml:space="preserve"> (2010) </w:t>
            </w:r>
            <w:r>
              <w:rPr>
                <w:i/>
                <w:iCs/>
              </w:rPr>
              <w:t>Legislation.gov.uk</w:t>
            </w:r>
            <w:r>
              <w:t xml:space="preserve">. Statute Law Database. Available at: https://www.legislation.gov.uk/ukpga/2010/15/contents (Accessed: March 13, 2023). </w:t>
            </w:r>
          </w:p>
          <w:p w:rsidR="008A0396" w:rsidRDefault="008A0396" w:rsidP="004F2FDC">
            <w:pPr>
              <w:pStyle w:val="NormalWeb"/>
            </w:pPr>
            <w:r>
              <w:rPr>
                <w:i/>
                <w:iCs/>
              </w:rPr>
              <w:t>Measuring national well-being: A report on the national outcomes ...</w:t>
            </w:r>
            <w:r>
              <w:t xml:space="preserve"> (2019). Available at: https://www.gov.wales/sites/default/files/publications/2022-04/a-report-on-the-national-outcomes-framework-for-people-who-need-care-and-support-and-for-carers-who-need-support-2020-2021.pdf (Accessed: March 13, 2023). </w:t>
            </w:r>
            <w:r>
              <w:br/>
            </w:r>
          </w:p>
          <w:p w:rsidR="008A0396" w:rsidRDefault="004F2FDC" w:rsidP="004F2FDC">
            <w:pPr>
              <w:pStyle w:val="NormalWeb"/>
            </w:pPr>
            <w:r>
              <w:t>P</w:t>
            </w:r>
            <w:r w:rsidR="008A0396">
              <w:t xml:space="preserve">articipation, E. (2007) </w:t>
            </w:r>
            <w:r w:rsidR="008A0396">
              <w:rPr>
                <w:i/>
                <w:iCs/>
              </w:rPr>
              <w:t>Mental health act 2007</w:t>
            </w:r>
            <w:r w:rsidR="008A0396">
              <w:t xml:space="preserve">, </w:t>
            </w:r>
            <w:r w:rsidR="008A0396">
              <w:rPr>
                <w:i/>
                <w:iCs/>
              </w:rPr>
              <w:t>Legislation.gov.uk</w:t>
            </w:r>
            <w:r w:rsidR="008A0396">
              <w:t xml:space="preserve">. Statute Law Database. Available at: https://www.legislation.gov.uk/ukpga/2007/12/contents (Accessed: March 13, 2023). </w:t>
            </w:r>
          </w:p>
          <w:p w:rsidR="008A0396" w:rsidRPr="006108C9" w:rsidRDefault="008A0396" w:rsidP="00EA2812">
            <w:pPr>
              <w:jc w:val="both"/>
              <w:rPr>
                <w:sz w:val="24"/>
                <w:szCs w:val="24"/>
              </w:rPr>
            </w:pPr>
          </w:p>
          <w:p w:rsidR="008A0396" w:rsidRDefault="008A0396" w:rsidP="00EA2812">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rsidR="008A0396" w:rsidRPr="008B28E7" w:rsidRDefault="008A0396" w:rsidP="00EA2812">
            <w:pPr>
              <w:jc w:val="both"/>
              <w:rPr>
                <w:b/>
                <w:sz w:val="24"/>
                <w:szCs w:val="24"/>
              </w:rPr>
            </w:pPr>
          </w:p>
        </w:tc>
      </w:tr>
    </w:tbl>
    <w:p w:rsidR="008A0396" w:rsidRPr="008B28E7" w:rsidRDefault="008A0396" w:rsidP="008A0396">
      <w:pPr>
        <w:jc w:val="both"/>
        <w:rPr>
          <w:sz w:val="24"/>
          <w:szCs w:val="24"/>
        </w:rPr>
      </w:pPr>
    </w:p>
    <w:p w:rsidR="008A0396" w:rsidRPr="008B28E7" w:rsidRDefault="008A0396" w:rsidP="008A0396">
      <w:pPr>
        <w:jc w:val="both"/>
        <w:rPr>
          <w:sz w:val="24"/>
          <w:szCs w:val="24"/>
        </w:rPr>
      </w:pPr>
    </w:p>
    <w:p w:rsidR="008A0396" w:rsidRDefault="008A0396" w:rsidP="008A0396">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A0396" w:rsidRPr="008B28E7" w:rsidTr="00EA2812">
        <w:tc>
          <w:tcPr>
            <w:tcW w:w="10278" w:type="dxa"/>
            <w:shd w:val="clear" w:color="auto" w:fill="auto"/>
          </w:tcPr>
          <w:p w:rsidR="008A0396" w:rsidRPr="00EB695F" w:rsidRDefault="008A0396" w:rsidP="00EA2812">
            <w:pPr>
              <w:jc w:val="both"/>
              <w:rPr>
                <w:b/>
                <w:sz w:val="24"/>
                <w:szCs w:val="24"/>
              </w:rPr>
            </w:pPr>
            <w:r w:rsidRPr="00EB695F">
              <w:rPr>
                <w:b/>
                <w:sz w:val="24"/>
                <w:szCs w:val="24"/>
              </w:rPr>
              <w:t>Question</w:t>
            </w:r>
            <w:r>
              <w:rPr>
                <w:b/>
                <w:sz w:val="24"/>
                <w:szCs w:val="24"/>
              </w:rPr>
              <w:t xml:space="preserve"> b</w:t>
            </w:r>
            <w:r w:rsidRPr="00EB695F">
              <w:rPr>
                <w:b/>
                <w:sz w:val="24"/>
                <w:szCs w:val="24"/>
              </w:rPr>
              <w:t>:</w:t>
            </w:r>
          </w:p>
          <w:p w:rsidR="008A0396" w:rsidRDefault="008A0396" w:rsidP="00EA2812">
            <w:pPr>
              <w:jc w:val="both"/>
              <w:rPr>
                <w:sz w:val="24"/>
                <w:szCs w:val="24"/>
              </w:rPr>
            </w:pPr>
            <w:r w:rsidRPr="006108C9">
              <w:rPr>
                <w:sz w:val="24"/>
                <w:szCs w:val="24"/>
              </w:rPr>
              <w:t>Reflect on the difference between safeguarding in adul</w:t>
            </w:r>
            <w:r w:rsidRPr="00EC3A85">
              <w:rPr>
                <w:sz w:val="24"/>
                <w:szCs w:val="24"/>
              </w:rPr>
              <w:t>ts’</w:t>
            </w:r>
            <w:r w:rsidRPr="006108C9">
              <w:rPr>
                <w:sz w:val="24"/>
                <w:szCs w:val="24"/>
              </w:rPr>
              <w:t xml:space="preserve"> and children</w:t>
            </w:r>
            <w:r>
              <w:rPr>
                <w:sz w:val="24"/>
                <w:szCs w:val="24"/>
              </w:rPr>
              <w:t>’s</w:t>
            </w:r>
            <w:r w:rsidRPr="006108C9">
              <w:rPr>
                <w:sz w:val="24"/>
                <w:szCs w:val="24"/>
              </w:rPr>
              <w:t xml:space="preserve"> work</w:t>
            </w:r>
          </w:p>
          <w:p w:rsidR="008A0396" w:rsidRDefault="008A0396" w:rsidP="00EA2812">
            <w:pPr>
              <w:jc w:val="both"/>
              <w:rPr>
                <w:sz w:val="24"/>
                <w:szCs w:val="24"/>
              </w:rPr>
            </w:pPr>
          </w:p>
          <w:p w:rsidR="008A0396" w:rsidRPr="00C71175" w:rsidRDefault="008A0396" w:rsidP="00EA2812">
            <w:pPr>
              <w:spacing w:line="360" w:lineRule="auto"/>
              <w:rPr>
                <w:color w:val="000000" w:themeColor="text1"/>
                <w:sz w:val="24"/>
                <w:szCs w:val="24"/>
              </w:rPr>
            </w:pPr>
            <w:r w:rsidRPr="00C71175">
              <w:rPr>
                <w:color w:val="000000" w:themeColor="text1"/>
                <w:sz w:val="24"/>
                <w:szCs w:val="24"/>
              </w:rPr>
              <w:t>Safeguarding is everybody’s responsibility, all organisations and individuals that work with or have contact with children and/ or adults at risk must demonstrate compliance with this responsibility. Notably, there are a number of differences between safeguarding in adults and children’s social work.</w:t>
            </w:r>
            <w:r w:rsidR="004F2FDC">
              <w:rPr>
                <w:color w:val="000000" w:themeColor="text1"/>
                <w:sz w:val="24"/>
                <w:szCs w:val="24"/>
              </w:rPr>
              <w:br/>
            </w:r>
          </w:p>
          <w:p w:rsidR="008A0396" w:rsidRPr="00C71175" w:rsidRDefault="008A0396" w:rsidP="00EA2812">
            <w:pPr>
              <w:spacing w:line="360" w:lineRule="auto"/>
              <w:rPr>
                <w:color w:val="000000" w:themeColor="text1"/>
                <w:sz w:val="24"/>
                <w:szCs w:val="24"/>
              </w:rPr>
            </w:pPr>
            <w:r w:rsidRPr="00C71175">
              <w:rPr>
                <w:color w:val="000000" w:themeColor="text1"/>
                <w:sz w:val="24"/>
                <w:szCs w:val="24"/>
              </w:rPr>
              <w:t>For example, the definition of ‘child at risk’ and ‘adult at risk’ differ in legislation. Part 7, section 131(4) of the SSWBA (2014) referring to a ‘child at risk’ as a child who a) is experiencing or is at risk of abuse, neglect or other kinds of harm and b) has needs for care and support (whether or not the authority is meeting any of those needs). In contrast, part 7, section 126(1) refers to an ‘adult at risk’ as an adult who a) is experiencing or is at risk of abuse or neglect, b) has needs for care and support (whether or not the authority is meeting any of those needs) and c) as a result of those needs is unable to protect themselves against the abuse of neglect or the risk of it.</w:t>
            </w:r>
            <w:r w:rsidR="004F2FDC">
              <w:rPr>
                <w:color w:val="000000" w:themeColor="text1"/>
                <w:sz w:val="24"/>
                <w:szCs w:val="24"/>
              </w:rPr>
              <w:br/>
            </w:r>
          </w:p>
          <w:p w:rsidR="008A0396" w:rsidRPr="00C71175" w:rsidRDefault="008A0396" w:rsidP="00EA2812">
            <w:pPr>
              <w:spacing w:line="360" w:lineRule="auto"/>
              <w:rPr>
                <w:color w:val="000000" w:themeColor="text1"/>
                <w:sz w:val="24"/>
                <w:szCs w:val="24"/>
              </w:rPr>
            </w:pPr>
            <w:r w:rsidRPr="00C71175">
              <w:rPr>
                <w:color w:val="000000" w:themeColor="text1"/>
                <w:sz w:val="24"/>
                <w:szCs w:val="24"/>
              </w:rPr>
              <w:t>Adults and children’s safeguarding legislation also differ in their categories of abuse. For</w:t>
            </w:r>
            <w:r w:rsidRPr="001B673F">
              <w:rPr>
                <w:color w:val="111111"/>
                <w:sz w:val="24"/>
                <w:szCs w:val="24"/>
                <w:shd w:val="clear" w:color="auto" w:fill="FFFFFF"/>
              </w:rPr>
              <w:t xml:space="preserve"> example, The Children Act (1989) (CA) introduced ‘significant harm’ as the threshold which justifies compulsory intervention in the best interests of </w:t>
            </w:r>
            <w:r>
              <w:rPr>
                <w:color w:val="111111"/>
                <w:sz w:val="24"/>
                <w:szCs w:val="24"/>
                <w:shd w:val="clear" w:color="auto" w:fill="FFFFFF"/>
              </w:rPr>
              <w:t>a child</w:t>
            </w:r>
            <w:r w:rsidRPr="001B673F">
              <w:rPr>
                <w:color w:val="111111"/>
                <w:sz w:val="24"/>
                <w:szCs w:val="24"/>
                <w:shd w:val="clear" w:color="auto" w:fill="FFFFFF"/>
              </w:rPr>
              <w:t xml:space="preserve">. Under the categories of </w:t>
            </w:r>
            <w:r w:rsidRPr="00C71175">
              <w:rPr>
                <w:color w:val="000000" w:themeColor="text1"/>
                <w:sz w:val="24"/>
                <w:szCs w:val="24"/>
              </w:rPr>
              <w:t>significant harm are, physical abuse, sexual abuse, emotional abuse and neglect. Whereas, the categories of abuse for adults under the Wales Safeguarding Procedures (Social Care Wales</w:t>
            </w:r>
            <w:r w:rsidR="00FF52C3">
              <w:rPr>
                <w:color w:val="000000" w:themeColor="text1"/>
                <w:sz w:val="24"/>
                <w:szCs w:val="24"/>
              </w:rPr>
              <w:t>, 2019</w:t>
            </w:r>
            <w:r w:rsidRPr="00C71175">
              <w:rPr>
                <w:color w:val="000000" w:themeColor="text1"/>
                <w:sz w:val="24"/>
                <w:szCs w:val="24"/>
              </w:rPr>
              <w:t>) outline physical abuse, sexual abuse, psychological/ emotional abuse, neglect and financial abuse (including theft, fraud, pressure about money or misuse of money). Whilst financial abuse is not a category of abuse under children’s safeguarding legislation, it is particularly interesting in relation to fostering, whereby foster parents could potentially withhold a child’s pocket money, savings or disability living allowance (DLA). Whilst this would not be considered as abuse under legislation, it would be considered within fostering regulations as a breach of foster parent’s contracts.</w:t>
            </w:r>
          </w:p>
          <w:p w:rsidR="008A0396" w:rsidRPr="00C71175" w:rsidRDefault="008A0396" w:rsidP="00EA2812">
            <w:pPr>
              <w:spacing w:line="360" w:lineRule="auto"/>
              <w:rPr>
                <w:color w:val="000000" w:themeColor="text1"/>
                <w:sz w:val="24"/>
                <w:szCs w:val="24"/>
              </w:rPr>
            </w:pPr>
            <w:r w:rsidRPr="00C71175">
              <w:rPr>
                <w:color w:val="000000" w:themeColor="text1"/>
                <w:sz w:val="24"/>
                <w:szCs w:val="24"/>
              </w:rPr>
              <w:t>The most significant difference amongst adults and children’s safeguarding, appears to be the issue of consent. For example, adults are able to consent to intervention and make personal decisions regarding their lives, unless it is deemed that they lack capacity. However, children cannot give their consent to intervention nor can they make decisions surrounding their day to day life, unless they are considered ‘</w:t>
            </w:r>
            <w:proofErr w:type="spellStart"/>
            <w:r w:rsidRPr="00C71175">
              <w:rPr>
                <w:color w:val="000000" w:themeColor="text1"/>
                <w:sz w:val="24"/>
                <w:szCs w:val="24"/>
              </w:rPr>
              <w:t>Gillick</w:t>
            </w:r>
            <w:proofErr w:type="spellEnd"/>
            <w:r w:rsidRPr="00C71175">
              <w:rPr>
                <w:color w:val="000000" w:themeColor="text1"/>
                <w:sz w:val="24"/>
                <w:szCs w:val="24"/>
              </w:rPr>
              <w:t xml:space="preserve"> competent’, which is a concept widely adopted by </w:t>
            </w:r>
            <w:r w:rsidRPr="00C71175">
              <w:rPr>
                <w:color w:val="000000" w:themeColor="text1"/>
                <w:sz w:val="24"/>
                <w:szCs w:val="24"/>
              </w:rPr>
              <w:lastRenderedPageBreak/>
              <w:t>safeguarding agencies, to help guide professionals in assessing a child’s maturity and understanding when making their own decisions</w:t>
            </w:r>
            <w:r w:rsidR="00FF52C3">
              <w:rPr>
                <w:color w:val="000000" w:themeColor="text1"/>
                <w:sz w:val="24"/>
                <w:szCs w:val="24"/>
              </w:rPr>
              <w:t xml:space="preserve"> (NSPCC, 2022)</w:t>
            </w:r>
            <w:r w:rsidRPr="00C71175">
              <w:rPr>
                <w:color w:val="000000" w:themeColor="text1"/>
                <w:sz w:val="24"/>
                <w:szCs w:val="24"/>
              </w:rPr>
              <w:t>.</w:t>
            </w:r>
          </w:p>
          <w:p w:rsidR="008A0396" w:rsidRDefault="008A0396" w:rsidP="00EA2812">
            <w:pPr>
              <w:jc w:val="both"/>
              <w:rPr>
                <w:sz w:val="24"/>
                <w:szCs w:val="24"/>
              </w:rPr>
            </w:pPr>
          </w:p>
          <w:p w:rsidR="008A0396" w:rsidRDefault="008A0396" w:rsidP="00EA2812">
            <w:pPr>
              <w:jc w:val="both"/>
              <w:rPr>
                <w:sz w:val="24"/>
                <w:szCs w:val="24"/>
              </w:rPr>
            </w:pPr>
            <w:r>
              <w:rPr>
                <w:sz w:val="24"/>
                <w:szCs w:val="24"/>
              </w:rPr>
              <w:t>Word Count: 417</w:t>
            </w:r>
          </w:p>
          <w:p w:rsidR="008A0396" w:rsidRDefault="008A0396" w:rsidP="00EA2812">
            <w:pPr>
              <w:jc w:val="both"/>
              <w:rPr>
                <w:sz w:val="24"/>
                <w:szCs w:val="24"/>
              </w:rPr>
            </w:pPr>
          </w:p>
          <w:p w:rsidR="008A0396" w:rsidRPr="00FF52C3" w:rsidRDefault="00FF52C3" w:rsidP="00EA2812">
            <w:pPr>
              <w:jc w:val="both"/>
              <w:rPr>
                <w:b/>
                <w:sz w:val="24"/>
                <w:szCs w:val="24"/>
                <w:u w:val="single"/>
              </w:rPr>
            </w:pPr>
            <w:r w:rsidRPr="00FF52C3">
              <w:rPr>
                <w:b/>
                <w:sz w:val="24"/>
                <w:szCs w:val="24"/>
                <w:u w:val="single"/>
              </w:rPr>
              <w:t>Reference List Question B</w:t>
            </w:r>
          </w:p>
          <w:p w:rsidR="008A0396" w:rsidRDefault="004F2FDC" w:rsidP="004F2FDC">
            <w:pPr>
              <w:pStyle w:val="NormalWeb"/>
            </w:pPr>
            <w:r>
              <w:t xml:space="preserve">Participation, E. (1989) </w:t>
            </w:r>
            <w:r>
              <w:rPr>
                <w:i/>
                <w:iCs/>
              </w:rPr>
              <w:t>Children act 1989</w:t>
            </w:r>
            <w:r>
              <w:t xml:space="preserve">, </w:t>
            </w:r>
            <w:r>
              <w:rPr>
                <w:i/>
                <w:iCs/>
              </w:rPr>
              <w:t>Legislation.gov.uk</w:t>
            </w:r>
            <w:r>
              <w:t xml:space="preserve">. Statute Law Database. Available at: https://www.legislation.gov.uk/ukpga/1989/41/contents (Accessed: March 13, 2023). </w:t>
            </w:r>
          </w:p>
          <w:p w:rsidR="004F2FDC" w:rsidRDefault="004F2FDC" w:rsidP="004F2FDC">
            <w:pPr>
              <w:pStyle w:val="NormalWeb"/>
            </w:pPr>
            <w:r>
              <w:t xml:space="preserve">Participation, E. (2019) </w:t>
            </w:r>
            <w:r>
              <w:rPr>
                <w:i/>
                <w:iCs/>
              </w:rPr>
              <w:t>Social Services and well-being (wales) act 2014</w:t>
            </w:r>
            <w:r>
              <w:t xml:space="preserve">, </w:t>
            </w:r>
            <w:r>
              <w:rPr>
                <w:i/>
                <w:iCs/>
              </w:rPr>
              <w:t>Legislation.gov.uk</w:t>
            </w:r>
            <w:r>
              <w:t xml:space="preserve">. Statute Law Database. Available at: https://www.legislation.gov.uk/anaw/2014/4/contents (Accessed: March 13, 2023). </w:t>
            </w:r>
          </w:p>
          <w:p w:rsidR="004F2FDC" w:rsidRDefault="004F2FDC" w:rsidP="004F2FDC">
            <w:pPr>
              <w:pStyle w:val="NormalWeb"/>
            </w:pPr>
            <w:r>
              <w:rPr>
                <w:i/>
                <w:iCs/>
              </w:rPr>
              <w:t>The Wales safeguarding procedures for children and adults at risk of abuse and neglect</w:t>
            </w:r>
            <w:r>
              <w:t xml:space="preserve"> (2019) </w:t>
            </w:r>
            <w:r>
              <w:rPr>
                <w:i/>
                <w:iCs/>
              </w:rPr>
              <w:t>Safeguarding Wales</w:t>
            </w:r>
            <w:r>
              <w:t xml:space="preserve">. Available at: https://safeguarding.wales/en/int-i/int-i-i1/i1-p1/#:~:text=The%20Wales%20Safeguarding%20Procedures%20seek%20to%3A%201%20Ensure,adult%E2%80%99s%20care%2C%20support%20and%20protection%20needs%3B%20More%20items (Accessed: March 13, 2023). </w:t>
            </w:r>
          </w:p>
          <w:p w:rsidR="00FF52C3" w:rsidRDefault="00FF52C3" w:rsidP="00FF52C3">
            <w:pPr>
              <w:pStyle w:val="NormalWeb"/>
            </w:pPr>
            <w:proofErr w:type="spellStart"/>
            <w:r>
              <w:rPr>
                <w:i/>
                <w:iCs/>
              </w:rPr>
              <w:t>Gillick</w:t>
            </w:r>
            <w:proofErr w:type="spellEnd"/>
            <w:r>
              <w:rPr>
                <w:i/>
                <w:iCs/>
              </w:rPr>
              <w:t xml:space="preserve"> competence and Fraser Guidelines</w:t>
            </w:r>
            <w:r>
              <w:t xml:space="preserve"> (2022) </w:t>
            </w:r>
            <w:r>
              <w:rPr>
                <w:i/>
                <w:iCs/>
              </w:rPr>
              <w:t>NSPCC Learning</w:t>
            </w:r>
            <w:r>
              <w:t xml:space="preserve">. Available at: https://learning.nspcc.org.uk/child-protection-system/gillick-competence-fraser-guidelines (Accessed: March 13, 2023). </w:t>
            </w:r>
          </w:p>
          <w:p w:rsidR="008A0396" w:rsidRDefault="008A0396" w:rsidP="00EA2812">
            <w:pPr>
              <w:jc w:val="both"/>
              <w:rPr>
                <w:sz w:val="24"/>
                <w:szCs w:val="24"/>
              </w:rPr>
            </w:pPr>
          </w:p>
          <w:p w:rsidR="008A0396" w:rsidRDefault="008A0396" w:rsidP="00EA2812">
            <w:pPr>
              <w:jc w:val="both"/>
              <w:rPr>
                <w:sz w:val="24"/>
                <w:szCs w:val="24"/>
              </w:rPr>
            </w:pPr>
          </w:p>
          <w:p w:rsidR="008A0396" w:rsidRPr="006108C9" w:rsidRDefault="008A0396" w:rsidP="00EA2812">
            <w:pPr>
              <w:jc w:val="both"/>
              <w:rPr>
                <w:sz w:val="24"/>
                <w:szCs w:val="24"/>
              </w:rPr>
            </w:pPr>
          </w:p>
          <w:p w:rsidR="008A0396" w:rsidRDefault="008A0396" w:rsidP="00EA2812">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rsidR="008A0396" w:rsidRPr="006108C9" w:rsidRDefault="008A0396" w:rsidP="00EA2812">
            <w:pPr>
              <w:jc w:val="both"/>
              <w:rPr>
                <w:sz w:val="24"/>
                <w:szCs w:val="24"/>
              </w:rPr>
            </w:pPr>
          </w:p>
        </w:tc>
      </w:tr>
    </w:tbl>
    <w:p w:rsidR="000C1F03" w:rsidRDefault="00617934"/>
    <w:sectPr w:rsidR="000C1F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396"/>
    <w:rsid w:val="00253C29"/>
    <w:rsid w:val="003D65FB"/>
    <w:rsid w:val="004728BF"/>
    <w:rsid w:val="004F2FDC"/>
    <w:rsid w:val="00617934"/>
    <w:rsid w:val="008A0396"/>
    <w:rsid w:val="0092214E"/>
    <w:rsid w:val="00FF5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845FE1-8435-4A47-B00B-8E09EFC93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A03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rsid w:val="004728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159014">
      <w:bodyDiv w:val="1"/>
      <w:marLeft w:val="0"/>
      <w:marRight w:val="0"/>
      <w:marTop w:val="0"/>
      <w:marBottom w:val="0"/>
      <w:divBdr>
        <w:top w:val="none" w:sz="0" w:space="0" w:color="auto"/>
        <w:left w:val="none" w:sz="0" w:space="0" w:color="auto"/>
        <w:bottom w:val="none" w:sz="0" w:space="0" w:color="auto"/>
        <w:right w:val="none" w:sz="0" w:space="0" w:color="auto"/>
      </w:divBdr>
    </w:div>
    <w:div w:id="395713596">
      <w:bodyDiv w:val="1"/>
      <w:marLeft w:val="0"/>
      <w:marRight w:val="0"/>
      <w:marTop w:val="0"/>
      <w:marBottom w:val="0"/>
      <w:divBdr>
        <w:top w:val="none" w:sz="0" w:space="0" w:color="auto"/>
        <w:left w:val="none" w:sz="0" w:space="0" w:color="auto"/>
        <w:bottom w:val="none" w:sz="0" w:space="0" w:color="auto"/>
        <w:right w:val="none" w:sz="0" w:space="0" w:color="auto"/>
      </w:divBdr>
    </w:div>
    <w:div w:id="437025232">
      <w:bodyDiv w:val="1"/>
      <w:marLeft w:val="0"/>
      <w:marRight w:val="0"/>
      <w:marTop w:val="0"/>
      <w:marBottom w:val="0"/>
      <w:divBdr>
        <w:top w:val="none" w:sz="0" w:space="0" w:color="auto"/>
        <w:left w:val="none" w:sz="0" w:space="0" w:color="auto"/>
        <w:bottom w:val="none" w:sz="0" w:space="0" w:color="auto"/>
        <w:right w:val="none" w:sz="0" w:space="0" w:color="auto"/>
      </w:divBdr>
    </w:div>
    <w:div w:id="451018983">
      <w:bodyDiv w:val="1"/>
      <w:marLeft w:val="0"/>
      <w:marRight w:val="0"/>
      <w:marTop w:val="0"/>
      <w:marBottom w:val="0"/>
      <w:divBdr>
        <w:top w:val="none" w:sz="0" w:space="0" w:color="auto"/>
        <w:left w:val="none" w:sz="0" w:space="0" w:color="auto"/>
        <w:bottom w:val="none" w:sz="0" w:space="0" w:color="auto"/>
        <w:right w:val="none" w:sz="0" w:space="0" w:color="auto"/>
      </w:divBdr>
    </w:div>
    <w:div w:id="598567348">
      <w:bodyDiv w:val="1"/>
      <w:marLeft w:val="0"/>
      <w:marRight w:val="0"/>
      <w:marTop w:val="0"/>
      <w:marBottom w:val="0"/>
      <w:divBdr>
        <w:top w:val="none" w:sz="0" w:space="0" w:color="auto"/>
        <w:left w:val="none" w:sz="0" w:space="0" w:color="auto"/>
        <w:bottom w:val="none" w:sz="0" w:space="0" w:color="auto"/>
        <w:right w:val="none" w:sz="0" w:space="0" w:color="auto"/>
      </w:divBdr>
    </w:div>
    <w:div w:id="982200753">
      <w:bodyDiv w:val="1"/>
      <w:marLeft w:val="0"/>
      <w:marRight w:val="0"/>
      <w:marTop w:val="0"/>
      <w:marBottom w:val="0"/>
      <w:divBdr>
        <w:top w:val="none" w:sz="0" w:space="0" w:color="auto"/>
        <w:left w:val="none" w:sz="0" w:space="0" w:color="auto"/>
        <w:bottom w:val="none" w:sz="0" w:space="0" w:color="auto"/>
        <w:right w:val="none" w:sz="0" w:space="0" w:color="auto"/>
      </w:divBdr>
    </w:div>
    <w:div w:id="1307516949">
      <w:bodyDiv w:val="1"/>
      <w:marLeft w:val="0"/>
      <w:marRight w:val="0"/>
      <w:marTop w:val="0"/>
      <w:marBottom w:val="0"/>
      <w:divBdr>
        <w:top w:val="none" w:sz="0" w:space="0" w:color="auto"/>
        <w:left w:val="none" w:sz="0" w:space="0" w:color="auto"/>
        <w:bottom w:val="none" w:sz="0" w:space="0" w:color="auto"/>
        <w:right w:val="none" w:sz="0" w:space="0" w:color="auto"/>
      </w:divBdr>
    </w:div>
    <w:div w:id="1321739773">
      <w:bodyDiv w:val="1"/>
      <w:marLeft w:val="0"/>
      <w:marRight w:val="0"/>
      <w:marTop w:val="0"/>
      <w:marBottom w:val="0"/>
      <w:divBdr>
        <w:top w:val="none" w:sz="0" w:space="0" w:color="auto"/>
        <w:left w:val="none" w:sz="0" w:space="0" w:color="auto"/>
        <w:bottom w:val="none" w:sz="0" w:space="0" w:color="auto"/>
        <w:right w:val="none" w:sz="0" w:space="0" w:color="auto"/>
      </w:divBdr>
    </w:div>
    <w:div w:id="1328439892">
      <w:bodyDiv w:val="1"/>
      <w:marLeft w:val="0"/>
      <w:marRight w:val="0"/>
      <w:marTop w:val="0"/>
      <w:marBottom w:val="0"/>
      <w:divBdr>
        <w:top w:val="none" w:sz="0" w:space="0" w:color="auto"/>
        <w:left w:val="none" w:sz="0" w:space="0" w:color="auto"/>
        <w:bottom w:val="none" w:sz="0" w:space="0" w:color="auto"/>
        <w:right w:val="none" w:sz="0" w:space="0" w:color="auto"/>
      </w:divBdr>
    </w:div>
    <w:div w:id="1536430498">
      <w:bodyDiv w:val="1"/>
      <w:marLeft w:val="0"/>
      <w:marRight w:val="0"/>
      <w:marTop w:val="0"/>
      <w:marBottom w:val="0"/>
      <w:divBdr>
        <w:top w:val="none" w:sz="0" w:space="0" w:color="auto"/>
        <w:left w:val="none" w:sz="0" w:space="0" w:color="auto"/>
        <w:bottom w:val="none" w:sz="0" w:space="0" w:color="auto"/>
        <w:right w:val="none" w:sz="0" w:space="0" w:color="auto"/>
      </w:divBdr>
    </w:div>
    <w:div w:id="1600991230">
      <w:bodyDiv w:val="1"/>
      <w:marLeft w:val="0"/>
      <w:marRight w:val="0"/>
      <w:marTop w:val="0"/>
      <w:marBottom w:val="0"/>
      <w:divBdr>
        <w:top w:val="none" w:sz="0" w:space="0" w:color="auto"/>
        <w:left w:val="none" w:sz="0" w:space="0" w:color="auto"/>
        <w:bottom w:val="none" w:sz="0" w:space="0" w:color="auto"/>
        <w:right w:val="none" w:sz="0" w:space="0" w:color="auto"/>
      </w:divBdr>
    </w:div>
    <w:div w:id="1601448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rancesca_mitchell3@hotmail.com" TargetMode="External"/><Relationship Id="rId5" Type="http://schemas.openxmlformats.org/officeDocument/2006/relationships/hyperlink" Target="mailto:Francesca.mitchell@thefca.co.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1610</Words>
  <Characters>9181</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Mitchell</dc:creator>
  <cp:keywords/>
  <dc:description/>
  <cp:lastModifiedBy>Anna Pearson</cp:lastModifiedBy>
  <cp:revision>2</cp:revision>
  <dcterms:created xsi:type="dcterms:W3CDTF">2023-03-21T14:57:00Z</dcterms:created>
  <dcterms:modified xsi:type="dcterms:W3CDTF">2023-03-21T14:57:00Z</dcterms:modified>
</cp:coreProperties>
</file>