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stheme="minorHAnsi"/>
          <w:lang w:val="en-GB"/>
        </w:rPr>
        <w:id w:val="-1522475554"/>
        <w:docPartObj>
          <w:docPartGallery w:val="Cover Pages"/>
          <w:docPartUnique/>
        </w:docPartObj>
      </w:sdtPr>
      <w:sdtEndPr>
        <w:rPr>
          <w:rFonts w:ascii="Calibri" w:hAnsi="Calibri" w:cs="Calibri"/>
          <w:sz w:val="40"/>
          <w:szCs w:val="40"/>
          <w:highlight w:val="red"/>
        </w:rPr>
      </w:sdtEndPr>
      <w:sdtContent>
        <w:p w14:paraId="02833DCC" w14:textId="77777777" w:rsidR="00BD4F7A" w:rsidRPr="004944F4" w:rsidRDefault="00BD4F7A" w:rsidP="00BD4F7A">
          <w:pPr>
            <w:pStyle w:val="NoSpacing"/>
            <w:spacing w:before="1540" w:after="240"/>
            <w:jc w:val="center"/>
            <w:rPr>
              <w:rFonts w:cstheme="minorHAnsi"/>
            </w:rPr>
          </w:pPr>
          <w:r w:rsidRPr="004944F4">
            <w:rPr>
              <w:rFonts w:cstheme="minorHAnsi"/>
              <w:noProof/>
              <w:lang w:val="en-GB" w:eastAsia="en-GB"/>
            </w:rPr>
            <w:drawing>
              <wp:inline distT="0" distB="0" distL="0" distR="0" wp14:anchorId="529DF376" wp14:editId="1091C75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eastAsiaTheme="majorEastAsia" w:hAnsi="Calibri" w:cs="Calibri"/>
              <w:caps/>
              <w:sz w:val="72"/>
              <w:szCs w:val="72"/>
            </w:rPr>
            <w:alias w:val="Title"/>
            <w:tag w:val=""/>
            <w:id w:val="1735040861"/>
            <w:placeholder>
              <w:docPart w:val="0AAFF14E62F7425B8FBBE04136C105D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FE66DFB" w14:textId="6BA521C4" w:rsidR="00BD4F7A" w:rsidRPr="00BD4F7A" w:rsidRDefault="00BD4F7A" w:rsidP="00BD4F7A">
              <w:pPr>
                <w:pStyle w:val="NoSpacing"/>
                <w:pBdr>
                  <w:top w:val="single" w:sz="6" w:space="6" w:color="156082" w:themeColor="accent1"/>
                  <w:bottom w:val="single" w:sz="6" w:space="6" w:color="156082" w:themeColor="accent1"/>
                </w:pBdr>
                <w:spacing w:after="240"/>
                <w:jc w:val="center"/>
                <w:rPr>
                  <w:rFonts w:ascii="Calibri" w:eastAsiaTheme="majorEastAsia" w:hAnsi="Calibri" w:cs="Calibri"/>
                  <w:caps/>
                  <w:sz w:val="80"/>
                  <w:szCs w:val="80"/>
                </w:rPr>
              </w:pPr>
              <w:r w:rsidRPr="00BD4F7A">
                <w:rPr>
                  <w:rFonts w:ascii="Calibri" w:eastAsiaTheme="majorEastAsia" w:hAnsi="Calibri" w:cs="Calibri"/>
                  <w:caps/>
                  <w:sz w:val="72"/>
                  <w:szCs w:val="72"/>
                </w:rPr>
                <w:t>Why organisational change requires careful implimentation</w:t>
              </w:r>
            </w:p>
          </w:sdtContent>
        </w:sdt>
        <w:sdt>
          <w:sdtPr>
            <w:rPr>
              <w:rFonts w:ascii="Calibri" w:hAnsi="Calibri" w:cs="Calibri"/>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6164333" w14:textId="507A62A5" w:rsidR="00BD4F7A" w:rsidRPr="00BD4F7A" w:rsidRDefault="00BD4F7A" w:rsidP="00BD4F7A">
              <w:pPr>
                <w:pStyle w:val="NoSpacing"/>
                <w:jc w:val="center"/>
                <w:rPr>
                  <w:rFonts w:ascii="Calibri" w:hAnsi="Calibri" w:cs="Calibri"/>
                  <w:sz w:val="28"/>
                  <w:szCs w:val="28"/>
                </w:rPr>
              </w:pPr>
              <w:r w:rsidRPr="00BD4F7A">
                <w:rPr>
                  <w:rFonts w:ascii="Calibri" w:hAnsi="Calibri" w:cs="Calibri"/>
                  <w:sz w:val="28"/>
                  <w:szCs w:val="28"/>
                </w:rPr>
                <w:t>Deep dive into changes in IVS</w:t>
              </w:r>
            </w:p>
          </w:sdtContent>
        </w:sdt>
        <w:p w14:paraId="5F1CE699" w14:textId="3D61AD9F" w:rsidR="00BD4F7A" w:rsidRPr="004944F4" w:rsidRDefault="00BD4F7A" w:rsidP="00BD4F7A">
          <w:pPr>
            <w:pStyle w:val="NoSpacing"/>
            <w:spacing w:before="480"/>
            <w:jc w:val="center"/>
            <w:rPr>
              <w:rFonts w:cstheme="minorHAnsi"/>
            </w:rPr>
          </w:pPr>
          <w:r w:rsidRPr="004944F4">
            <w:rPr>
              <w:rFonts w:cstheme="minorHAnsi"/>
              <w:noProof/>
              <w:lang w:val="en-GB" w:eastAsia="en-GB"/>
            </w:rPr>
            <mc:AlternateContent>
              <mc:Choice Requires="wps">
                <w:drawing>
                  <wp:anchor distT="0" distB="0" distL="114300" distR="114300" simplePos="0" relativeHeight="251659264" behindDoc="0" locked="0" layoutInCell="1" allowOverlap="1" wp14:anchorId="439832E9" wp14:editId="40E5EF3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Calibri"/>
                                    <w:caps/>
                                    <w:color w:val="156082" w:themeColor="accent1"/>
                                    <w:kern w:val="2"/>
                                    <w:sz w:val="24"/>
                                    <w:szCs w:val="24"/>
                                    <w14:ligatures w14:val="standardContextual"/>
                                  </w:rPr>
                                  <w:alias w:val="Date"/>
                                  <w:tag w:val=""/>
                                  <w:id w:val="197127006"/>
                                  <w:dataBinding w:prefixMappings="xmlns:ns0='http://schemas.microsoft.com/office/2006/coverPageProps' " w:xpath="/ns0:CoverPageProperties[1]/ns0:PublishDate[1]" w:storeItemID="{55AF091B-3C7A-41E3-B477-F2FDAA23CFDA}"/>
                                  <w:date w:fullDate="2026-04-26T00:00:00Z">
                                    <w:dateFormat w:val="MMMM d, yyyy"/>
                                    <w:lid w:val="en-US"/>
                                    <w:storeMappedDataAs w:val="dateTime"/>
                                    <w:calendar w:val="gregorian"/>
                                  </w:date>
                                </w:sdtPr>
                                <w:sdtContent>
                                  <w:p w14:paraId="0EC4012A" w14:textId="21CC0263" w:rsidR="00BD4F7A" w:rsidRPr="00BD4F7A" w:rsidRDefault="00BD4F7A" w:rsidP="00BD4F7A">
                                    <w:pPr>
                                      <w:pStyle w:val="NoSpacing"/>
                                      <w:spacing w:after="40"/>
                                      <w:jc w:val="center"/>
                                      <w:rPr>
                                        <w:rFonts w:ascii="Calibri" w:hAnsi="Calibri" w:cs="Calibri"/>
                                        <w:caps/>
                                        <w:color w:val="156082" w:themeColor="accent1"/>
                                        <w:sz w:val="24"/>
                                        <w:szCs w:val="24"/>
                                      </w:rPr>
                                    </w:pPr>
                                    <w:r w:rsidRPr="00BD4F7A">
                                      <w:rPr>
                                        <w:rFonts w:ascii="Calibri" w:hAnsi="Calibri" w:cs="Calibri"/>
                                        <w:caps/>
                                        <w:color w:val="156082" w:themeColor="accent1"/>
                                        <w:kern w:val="2"/>
                                        <w:sz w:val="24"/>
                                        <w:szCs w:val="24"/>
                                        <w14:ligatures w14:val="standardContextual"/>
                                      </w:rPr>
                                      <w:t>April 26, 2026</w:t>
                                    </w:r>
                                  </w:p>
                                </w:sdtContent>
                              </w:sdt>
                              <w:p w14:paraId="106D646E" w14:textId="08792DFF" w:rsidR="00BD4F7A" w:rsidRPr="00BD4F7A" w:rsidRDefault="00BD4F7A" w:rsidP="00BD4F7A">
                                <w:pPr>
                                  <w:pStyle w:val="NoSpacing"/>
                                  <w:jc w:val="center"/>
                                  <w:rPr>
                                    <w:rFonts w:ascii="Calibri" w:hAnsi="Calibri" w:cs="Calibri"/>
                                    <w:color w:val="156082" w:themeColor="accent1"/>
                                    <w:sz w:val="24"/>
                                    <w:szCs w:val="24"/>
                                  </w:rPr>
                                </w:pPr>
                                <w:sdt>
                                  <w:sdtPr>
                                    <w:rPr>
                                      <w:rFonts w:ascii="Calibri" w:hAnsi="Calibri" w:cs="Calibri"/>
                                      <w:caps/>
                                      <w:color w:val="156082" w:themeColor="accent1"/>
                                      <w:kern w:val="2"/>
                                      <w:sz w:val="24"/>
                                      <w:szCs w:val="24"/>
                                      <w14:ligatures w14:val="standardContextual"/>
                                    </w:rPr>
                                    <w:alias w:val="Company"/>
                                    <w:tag w:val=""/>
                                    <w:id w:val="1390145197"/>
                                    <w:dataBinding w:prefixMappings="xmlns:ns0='http://schemas.openxmlformats.org/officeDocument/2006/extended-properties' " w:xpath="/ns0:Properties[1]/ns0:Company[1]" w:storeItemID="{6668398D-A668-4E3E-A5EB-62B293D839F1}"/>
                                    <w:text/>
                                  </w:sdtPr>
                                  <w:sdtContent>
                                    <w:r w:rsidRPr="00BD4F7A">
                                      <w:rPr>
                                        <w:rFonts w:ascii="Calibri" w:hAnsi="Calibri" w:cs="Calibri"/>
                                        <w:caps/>
                                        <w:color w:val="156082" w:themeColor="accent1"/>
                                        <w:kern w:val="2"/>
                                        <w:sz w:val="24"/>
                                        <w:szCs w:val="24"/>
                                        <w14:ligatures w14:val="standardContextual"/>
                                      </w:rPr>
                                      <w:t>UNIVERSITY OF WALES TRINITY SAINT DAVID</w:t>
                                    </w:r>
                                  </w:sdtContent>
                                </w:sdt>
                              </w:p>
                              <w:p w14:paraId="4FB27DF7" w14:textId="77777777" w:rsidR="00BD4F7A" w:rsidRPr="00BD4F7A" w:rsidRDefault="00BD4F7A" w:rsidP="00BD4F7A">
                                <w:pPr>
                                  <w:pStyle w:val="NoSpacing"/>
                                  <w:jc w:val="center"/>
                                  <w:rPr>
                                    <w:rFonts w:ascii="Calibri" w:hAnsi="Calibri" w:cs="Calibri"/>
                                    <w:color w:val="156082" w:themeColor="accent1"/>
                                    <w:sz w:val="24"/>
                                    <w:szCs w:val="24"/>
                                  </w:rPr>
                                </w:pPr>
                                <w:sdt>
                                  <w:sdtPr>
                                    <w:rPr>
                                      <w:rFonts w:ascii="Calibri" w:hAnsi="Calibri" w:cs="Calibri"/>
                                      <w:color w:val="156082" w:themeColor="accent1"/>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Pr="00BD4F7A">
                                      <w:rPr>
                                        <w:rFonts w:ascii="Calibri" w:hAnsi="Calibri" w:cs="Calibri"/>
                                        <w:color w:val="156082" w:themeColor="accent1"/>
                                        <w:sz w:val="24"/>
                                        <w:szCs w:val="2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39832E9"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rFonts w:ascii="Calibri" w:hAnsi="Calibri" w:cs="Calibri"/>
                              <w:caps/>
                              <w:color w:val="156082" w:themeColor="accent1"/>
                              <w:kern w:val="2"/>
                              <w:sz w:val="24"/>
                              <w:szCs w:val="24"/>
                              <w14:ligatures w14:val="standardContextual"/>
                            </w:rPr>
                            <w:alias w:val="Date"/>
                            <w:tag w:val=""/>
                            <w:id w:val="197127006"/>
                            <w:dataBinding w:prefixMappings="xmlns:ns0='http://schemas.microsoft.com/office/2006/coverPageProps' " w:xpath="/ns0:CoverPageProperties[1]/ns0:PublishDate[1]" w:storeItemID="{55AF091B-3C7A-41E3-B477-F2FDAA23CFDA}"/>
                            <w:date w:fullDate="2026-04-26T00:00:00Z">
                              <w:dateFormat w:val="MMMM d, yyyy"/>
                              <w:lid w:val="en-US"/>
                              <w:storeMappedDataAs w:val="dateTime"/>
                              <w:calendar w:val="gregorian"/>
                            </w:date>
                          </w:sdtPr>
                          <w:sdtContent>
                            <w:p w14:paraId="0EC4012A" w14:textId="21CC0263" w:rsidR="00BD4F7A" w:rsidRPr="00BD4F7A" w:rsidRDefault="00BD4F7A" w:rsidP="00BD4F7A">
                              <w:pPr>
                                <w:pStyle w:val="NoSpacing"/>
                                <w:spacing w:after="40"/>
                                <w:jc w:val="center"/>
                                <w:rPr>
                                  <w:rFonts w:ascii="Calibri" w:hAnsi="Calibri" w:cs="Calibri"/>
                                  <w:caps/>
                                  <w:color w:val="156082" w:themeColor="accent1"/>
                                  <w:sz w:val="24"/>
                                  <w:szCs w:val="24"/>
                                </w:rPr>
                              </w:pPr>
                              <w:r w:rsidRPr="00BD4F7A">
                                <w:rPr>
                                  <w:rFonts w:ascii="Calibri" w:hAnsi="Calibri" w:cs="Calibri"/>
                                  <w:caps/>
                                  <w:color w:val="156082" w:themeColor="accent1"/>
                                  <w:kern w:val="2"/>
                                  <w:sz w:val="24"/>
                                  <w:szCs w:val="24"/>
                                  <w14:ligatures w14:val="standardContextual"/>
                                </w:rPr>
                                <w:t>April 26, 2026</w:t>
                              </w:r>
                            </w:p>
                          </w:sdtContent>
                        </w:sdt>
                        <w:p w14:paraId="106D646E" w14:textId="08792DFF" w:rsidR="00BD4F7A" w:rsidRPr="00BD4F7A" w:rsidRDefault="00BD4F7A" w:rsidP="00BD4F7A">
                          <w:pPr>
                            <w:pStyle w:val="NoSpacing"/>
                            <w:jc w:val="center"/>
                            <w:rPr>
                              <w:rFonts w:ascii="Calibri" w:hAnsi="Calibri" w:cs="Calibri"/>
                              <w:color w:val="156082" w:themeColor="accent1"/>
                              <w:sz w:val="24"/>
                              <w:szCs w:val="24"/>
                            </w:rPr>
                          </w:pPr>
                          <w:sdt>
                            <w:sdtPr>
                              <w:rPr>
                                <w:rFonts w:ascii="Calibri" w:hAnsi="Calibri" w:cs="Calibri"/>
                                <w:caps/>
                                <w:color w:val="156082" w:themeColor="accent1"/>
                                <w:kern w:val="2"/>
                                <w:sz w:val="24"/>
                                <w:szCs w:val="24"/>
                                <w14:ligatures w14:val="standardContextual"/>
                              </w:rPr>
                              <w:alias w:val="Company"/>
                              <w:tag w:val=""/>
                              <w:id w:val="1390145197"/>
                              <w:dataBinding w:prefixMappings="xmlns:ns0='http://schemas.openxmlformats.org/officeDocument/2006/extended-properties' " w:xpath="/ns0:Properties[1]/ns0:Company[1]" w:storeItemID="{6668398D-A668-4E3E-A5EB-62B293D839F1}"/>
                              <w:text/>
                            </w:sdtPr>
                            <w:sdtContent>
                              <w:r w:rsidRPr="00BD4F7A">
                                <w:rPr>
                                  <w:rFonts w:ascii="Calibri" w:hAnsi="Calibri" w:cs="Calibri"/>
                                  <w:caps/>
                                  <w:color w:val="156082" w:themeColor="accent1"/>
                                  <w:kern w:val="2"/>
                                  <w:sz w:val="24"/>
                                  <w:szCs w:val="24"/>
                                  <w14:ligatures w14:val="standardContextual"/>
                                </w:rPr>
                                <w:t>UNIVERSITY OF WALES TRINITY SAINT DAVID</w:t>
                              </w:r>
                            </w:sdtContent>
                          </w:sdt>
                        </w:p>
                        <w:p w14:paraId="4FB27DF7" w14:textId="77777777" w:rsidR="00BD4F7A" w:rsidRPr="00BD4F7A" w:rsidRDefault="00BD4F7A" w:rsidP="00BD4F7A">
                          <w:pPr>
                            <w:pStyle w:val="NoSpacing"/>
                            <w:jc w:val="center"/>
                            <w:rPr>
                              <w:rFonts w:ascii="Calibri" w:hAnsi="Calibri" w:cs="Calibri"/>
                              <w:color w:val="156082" w:themeColor="accent1"/>
                              <w:sz w:val="24"/>
                              <w:szCs w:val="24"/>
                            </w:rPr>
                          </w:pPr>
                          <w:sdt>
                            <w:sdtPr>
                              <w:rPr>
                                <w:rFonts w:ascii="Calibri" w:hAnsi="Calibri" w:cs="Calibri"/>
                                <w:color w:val="156082" w:themeColor="accent1"/>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Pr="00BD4F7A">
                                <w:rPr>
                                  <w:rFonts w:ascii="Calibri" w:hAnsi="Calibri" w:cs="Calibri"/>
                                  <w:color w:val="156082" w:themeColor="accent1"/>
                                  <w:sz w:val="24"/>
                                  <w:szCs w:val="24"/>
                                </w:rPr>
                                <w:t xml:space="preserve">     </w:t>
                              </w:r>
                            </w:sdtContent>
                          </w:sdt>
                        </w:p>
                      </w:txbxContent>
                    </v:textbox>
                    <w10:wrap anchorx="margin" anchory="page"/>
                  </v:shape>
                </w:pict>
              </mc:Fallback>
            </mc:AlternateContent>
          </w:r>
          <w:r w:rsidRPr="004944F4">
            <w:rPr>
              <w:rFonts w:cstheme="minorHAnsi"/>
              <w:noProof/>
              <w:lang w:val="en-GB" w:eastAsia="en-GB"/>
            </w:rPr>
            <w:drawing>
              <wp:inline distT="0" distB="0" distL="0" distR="0" wp14:anchorId="50179B6D" wp14:editId="1058857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2C76B13" w14:textId="6957E851" w:rsidR="00BD4F7A" w:rsidRPr="00BD4F7A" w:rsidRDefault="00BD4F7A" w:rsidP="00E2232E">
          <w:pPr>
            <w:spacing w:line="240" w:lineRule="auto"/>
            <w:rPr>
              <w:rFonts w:ascii="Calibri" w:hAnsi="Calibri" w:cs="Calibri"/>
            </w:rPr>
          </w:pPr>
          <w:r w:rsidRPr="00BD4F7A">
            <w:rPr>
              <w:rFonts w:ascii="Calibri Light" w:hAnsi="Calibri Light" w:cs="Calibri Light"/>
            </w:rPr>
            <w:br w:type="page"/>
          </w:r>
          <w:bookmarkStart w:id="0" w:name="_Toc228108809"/>
          <w:r w:rsidRPr="0074096F">
            <w:rPr>
              <w:rFonts w:ascii="Calibri" w:hAnsi="Calibri" w:cs="Calibri"/>
              <w:sz w:val="40"/>
              <w:szCs w:val="40"/>
            </w:rPr>
            <w:lastRenderedPageBreak/>
            <w:t>Executive Summary</w:t>
          </w:r>
          <w:bookmarkEnd w:id="0"/>
        </w:p>
        <w:p w14:paraId="67639C87" w14:textId="7777777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Organisational change refers to significant changes in how work is done within a workplace, ranging from new structures and technologies to alterations in the company’s strategy and/or culture. With changes within an organisation, there are structures that can assist management during the planning and implementation stages, focusing especially on supporting and preparing their employees throughout the transition. There are often key drivers that cause organisations to make these changes, with these often being external forces such as technological innovation, shifts in markets and regulations, and internal forces such as new leadership or strategies within the company, lack of performance, growth stages, and employee needs.</w:t>
          </w:r>
        </w:p>
        <w:p w14:paraId="7378E525" w14:textId="7777777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Within the category of change there are really two different types which can be considered such as, Large scale change and small scale changes, with the large one often being referred to as transformational, in which a company can experience massive sweeping changes with a key example of this being Netflix changing from a DVD mail based system to a streaming system, as well as small scale changes, often referred as incremental, in which the change can be more of an tactical/incremental process, this being the change referred to within this report.</w:t>
          </w:r>
        </w:p>
        <w:p w14:paraId="7FFBB12D" w14:textId="7777777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This report evaluates the implementation of a new clocking-in system, SAGE HR, within a well-established organisation, IVS, as well as defining the concepts within the category of change, summarising the driving forces and types of change, comparing many different models of change, and evaluating the employee motivation/support and the success/failure of the implementation. </w:t>
          </w:r>
        </w:p>
        <w:p w14:paraId="75C90B8C" w14:textId="7777777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The analysis of the report applies key changes in management theories, including Lewin’s Force field analysis as-well as his Three step Model (Unfreeze-Change-Refreeze), Herzberg’s Two factor Theory, Kotter’s eight-step model &amp; ADKAR’s model, since many issues with the systems implementation stemmed from failing to adhere to these exact theories listed throughout the report, since these theories are widely used to guide various changes within an organisation. While the findings within the report suggest that the organisation achieved the technical implementation, it failed to effectively consider/manage the employee resistance due to a breakdown in communication, minimal training, and a lack of engagement during and after implementation. </w:t>
          </w:r>
        </w:p>
        <w:p w14:paraId="3CCCF1F8" w14:textId="7777777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Recommendations are provided at the latter end of the report to provide improvements that could be made during the implementation of any future changes within the organisation, emphasising employee involvement during the process, applying more of a phased implementation, and providing the employees with continuous support during the process.</w:t>
          </w:r>
        </w:p>
        <w:p w14:paraId="1D6B9787" w14:textId="77777777" w:rsidR="00BD4F7A" w:rsidRPr="00BD4F7A" w:rsidRDefault="00BD4F7A" w:rsidP="00E2232E">
          <w:pPr>
            <w:spacing w:line="240" w:lineRule="auto"/>
            <w:rPr>
              <w:rFonts w:ascii="Calibri" w:hAnsi="Calibri" w:cs="Calibri"/>
            </w:rPr>
          </w:pPr>
          <w:r w:rsidRPr="00BD4F7A">
            <w:rPr>
              <w:rFonts w:ascii="Calibri" w:hAnsi="Calibri" w:cs="Calibri"/>
            </w:rPr>
            <w:br w:type="page"/>
          </w:r>
        </w:p>
        <w:sdt>
          <w:sdtPr>
            <w:rPr>
              <w:rFonts w:ascii="Calibri" w:eastAsiaTheme="minorHAnsi" w:hAnsi="Calibri" w:cs="Calibri"/>
              <w:color w:val="auto"/>
              <w:sz w:val="22"/>
              <w:szCs w:val="22"/>
              <w:lang w:val="en-GB"/>
            </w:rPr>
            <w:id w:val="-1297214018"/>
            <w:docPartObj>
              <w:docPartGallery w:val="Table of Contents"/>
              <w:docPartUnique/>
            </w:docPartObj>
          </w:sdtPr>
          <w:sdtEndPr>
            <w:rPr>
              <w:b/>
              <w:bCs/>
              <w:noProof/>
            </w:rPr>
          </w:sdtEndPr>
          <w:sdtContent>
            <w:p w14:paraId="43A0E71E" w14:textId="77777777" w:rsidR="00BD4F7A" w:rsidRPr="00BD4F7A" w:rsidRDefault="00BD4F7A" w:rsidP="00E2232E">
              <w:pPr>
                <w:pStyle w:val="TOCHeading"/>
                <w:spacing w:line="240" w:lineRule="auto"/>
                <w:rPr>
                  <w:rFonts w:ascii="Calibri" w:hAnsi="Calibri" w:cs="Calibri"/>
                  <w:color w:val="auto"/>
                </w:rPr>
              </w:pPr>
              <w:r w:rsidRPr="00BD4F7A">
                <w:rPr>
                  <w:rFonts w:ascii="Calibri" w:hAnsi="Calibri" w:cs="Calibri"/>
                  <w:color w:val="auto"/>
                </w:rPr>
                <w:t>Table of Contents</w:t>
              </w:r>
            </w:p>
            <w:p w14:paraId="56A047C0" w14:textId="2F8882E6" w:rsidR="0074096F" w:rsidRDefault="00BD4F7A" w:rsidP="00E2232E">
              <w:pPr>
                <w:pStyle w:val="TOC1"/>
                <w:tabs>
                  <w:tab w:val="right" w:leader="dot" w:pos="9016"/>
                </w:tabs>
                <w:spacing w:line="240" w:lineRule="auto"/>
                <w:rPr>
                  <w:rFonts w:eastAsiaTheme="minorEastAsia"/>
                  <w:noProof/>
                  <w:kern w:val="2"/>
                  <w:sz w:val="24"/>
                  <w:szCs w:val="24"/>
                  <w:lang w:eastAsia="en-GB"/>
                  <w14:ligatures w14:val="standardContextual"/>
                </w:rPr>
              </w:pPr>
              <w:r w:rsidRPr="00BD4F7A">
                <w:rPr>
                  <w:rFonts w:ascii="Calibri" w:hAnsi="Calibri" w:cs="Calibri"/>
                </w:rPr>
                <w:fldChar w:fldCharType="begin"/>
              </w:r>
              <w:r w:rsidRPr="00BD4F7A">
                <w:rPr>
                  <w:rFonts w:ascii="Calibri" w:hAnsi="Calibri" w:cs="Calibri"/>
                </w:rPr>
                <w:instrText xml:space="preserve"> TOC \o "1-3" \h \z \u </w:instrText>
              </w:r>
              <w:r w:rsidRPr="00BD4F7A">
                <w:rPr>
                  <w:rFonts w:ascii="Calibri" w:hAnsi="Calibri" w:cs="Calibri"/>
                </w:rPr>
                <w:fldChar w:fldCharType="separate"/>
              </w:r>
              <w:hyperlink w:anchor="_Toc228108809" w:history="1">
                <w:r w:rsidR="0074096F" w:rsidRPr="00941F5B">
                  <w:rPr>
                    <w:rStyle w:val="Hyperlink"/>
                    <w:rFonts w:ascii="Calibri" w:hAnsi="Calibri" w:cs="Calibri"/>
                    <w:noProof/>
                  </w:rPr>
                  <w:t>Executive Summary</w:t>
                </w:r>
                <w:r w:rsidR="0074096F">
                  <w:rPr>
                    <w:noProof/>
                    <w:webHidden/>
                  </w:rPr>
                  <w:tab/>
                </w:r>
                <w:r w:rsidR="0074096F">
                  <w:rPr>
                    <w:noProof/>
                    <w:webHidden/>
                  </w:rPr>
                  <w:fldChar w:fldCharType="begin"/>
                </w:r>
                <w:r w:rsidR="0074096F">
                  <w:rPr>
                    <w:noProof/>
                    <w:webHidden/>
                  </w:rPr>
                  <w:instrText xml:space="preserve"> PAGEREF _Toc228108809 \h </w:instrText>
                </w:r>
                <w:r w:rsidR="0074096F">
                  <w:rPr>
                    <w:noProof/>
                    <w:webHidden/>
                  </w:rPr>
                </w:r>
                <w:r w:rsidR="0074096F">
                  <w:rPr>
                    <w:noProof/>
                    <w:webHidden/>
                  </w:rPr>
                  <w:fldChar w:fldCharType="separate"/>
                </w:r>
                <w:r w:rsidR="0074096F">
                  <w:rPr>
                    <w:noProof/>
                    <w:webHidden/>
                  </w:rPr>
                  <w:t>2</w:t>
                </w:r>
                <w:r w:rsidR="0074096F">
                  <w:rPr>
                    <w:noProof/>
                    <w:webHidden/>
                  </w:rPr>
                  <w:fldChar w:fldCharType="end"/>
                </w:r>
              </w:hyperlink>
            </w:p>
            <w:p w14:paraId="5DED8364" w14:textId="19E4CE95" w:rsidR="0074096F" w:rsidRDefault="0074096F" w:rsidP="00E2232E">
              <w:pPr>
                <w:pStyle w:val="TOC1"/>
                <w:tabs>
                  <w:tab w:val="right" w:leader="dot" w:pos="9016"/>
                </w:tabs>
                <w:spacing w:line="240" w:lineRule="auto"/>
                <w:rPr>
                  <w:rFonts w:eastAsiaTheme="minorEastAsia"/>
                  <w:noProof/>
                  <w:kern w:val="2"/>
                  <w:sz w:val="24"/>
                  <w:szCs w:val="24"/>
                  <w:lang w:eastAsia="en-GB"/>
                  <w14:ligatures w14:val="standardContextual"/>
                </w:rPr>
              </w:pPr>
              <w:hyperlink w:anchor="_Toc228108810" w:history="1">
                <w:r w:rsidRPr="00941F5B">
                  <w:rPr>
                    <w:rStyle w:val="Hyperlink"/>
                    <w:rFonts w:ascii="Calibri" w:hAnsi="Calibri" w:cs="Calibri"/>
                    <w:noProof/>
                  </w:rPr>
                  <w:t>Table of Figures</w:t>
                </w:r>
                <w:r>
                  <w:rPr>
                    <w:noProof/>
                    <w:webHidden/>
                  </w:rPr>
                  <w:tab/>
                </w:r>
                <w:r>
                  <w:rPr>
                    <w:noProof/>
                    <w:webHidden/>
                  </w:rPr>
                  <w:fldChar w:fldCharType="begin"/>
                </w:r>
                <w:r>
                  <w:rPr>
                    <w:noProof/>
                    <w:webHidden/>
                  </w:rPr>
                  <w:instrText xml:space="preserve"> PAGEREF _Toc228108810 \h </w:instrText>
                </w:r>
                <w:r>
                  <w:rPr>
                    <w:noProof/>
                    <w:webHidden/>
                  </w:rPr>
                </w:r>
                <w:r>
                  <w:rPr>
                    <w:noProof/>
                    <w:webHidden/>
                  </w:rPr>
                  <w:fldChar w:fldCharType="separate"/>
                </w:r>
                <w:r>
                  <w:rPr>
                    <w:noProof/>
                    <w:webHidden/>
                  </w:rPr>
                  <w:t>3</w:t>
                </w:r>
                <w:r>
                  <w:rPr>
                    <w:noProof/>
                    <w:webHidden/>
                  </w:rPr>
                  <w:fldChar w:fldCharType="end"/>
                </w:r>
              </w:hyperlink>
            </w:p>
            <w:p w14:paraId="7BD669B8" w14:textId="1CB77414" w:rsidR="0074096F" w:rsidRDefault="0074096F" w:rsidP="00E2232E">
              <w:pPr>
                <w:pStyle w:val="TOC1"/>
                <w:tabs>
                  <w:tab w:val="right" w:leader="dot" w:pos="9016"/>
                </w:tabs>
                <w:spacing w:line="240" w:lineRule="auto"/>
                <w:rPr>
                  <w:rFonts w:eastAsiaTheme="minorEastAsia"/>
                  <w:noProof/>
                  <w:kern w:val="2"/>
                  <w:sz w:val="24"/>
                  <w:szCs w:val="24"/>
                  <w:lang w:eastAsia="en-GB"/>
                  <w14:ligatures w14:val="standardContextual"/>
                </w:rPr>
              </w:pPr>
              <w:hyperlink w:anchor="_Toc228108811" w:history="1">
                <w:r w:rsidRPr="00941F5B">
                  <w:rPr>
                    <w:rStyle w:val="Hyperlink"/>
                    <w:rFonts w:ascii="Calibri" w:hAnsi="Calibri" w:cs="Calibri"/>
                    <w:noProof/>
                  </w:rPr>
                  <w:t>1.Introduction</w:t>
                </w:r>
                <w:r>
                  <w:rPr>
                    <w:noProof/>
                    <w:webHidden/>
                  </w:rPr>
                  <w:tab/>
                </w:r>
                <w:r>
                  <w:rPr>
                    <w:noProof/>
                    <w:webHidden/>
                  </w:rPr>
                  <w:fldChar w:fldCharType="begin"/>
                </w:r>
                <w:r>
                  <w:rPr>
                    <w:noProof/>
                    <w:webHidden/>
                  </w:rPr>
                  <w:instrText xml:space="preserve"> PAGEREF _Toc228108811 \h </w:instrText>
                </w:r>
                <w:r>
                  <w:rPr>
                    <w:noProof/>
                    <w:webHidden/>
                  </w:rPr>
                </w:r>
                <w:r>
                  <w:rPr>
                    <w:noProof/>
                    <w:webHidden/>
                  </w:rPr>
                  <w:fldChar w:fldCharType="separate"/>
                </w:r>
                <w:r>
                  <w:rPr>
                    <w:noProof/>
                    <w:webHidden/>
                  </w:rPr>
                  <w:t>4</w:t>
                </w:r>
                <w:r>
                  <w:rPr>
                    <w:noProof/>
                    <w:webHidden/>
                  </w:rPr>
                  <w:fldChar w:fldCharType="end"/>
                </w:r>
              </w:hyperlink>
            </w:p>
            <w:p w14:paraId="6BA2A23D" w14:textId="4E55B8EB" w:rsidR="0074096F" w:rsidRDefault="0074096F" w:rsidP="00E2232E">
              <w:pPr>
                <w:pStyle w:val="TOC1"/>
                <w:tabs>
                  <w:tab w:val="right" w:leader="dot" w:pos="9016"/>
                </w:tabs>
                <w:spacing w:line="240" w:lineRule="auto"/>
                <w:rPr>
                  <w:rFonts w:eastAsiaTheme="minorEastAsia"/>
                  <w:noProof/>
                  <w:kern w:val="2"/>
                  <w:sz w:val="24"/>
                  <w:szCs w:val="24"/>
                  <w:lang w:eastAsia="en-GB"/>
                  <w14:ligatures w14:val="standardContextual"/>
                </w:rPr>
              </w:pPr>
              <w:hyperlink w:anchor="_Toc228108812" w:history="1">
                <w:r w:rsidRPr="00941F5B">
                  <w:rPr>
                    <w:rStyle w:val="Hyperlink"/>
                    <w:rFonts w:ascii="Calibri" w:hAnsi="Calibri" w:cs="Calibri"/>
                    <w:noProof/>
                  </w:rPr>
                  <w:t>2.Main Findings</w:t>
                </w:r>
                <w:r>
                  <w:rPr>
                    <w:noProof/>
                    <w:webHidden/>
                  </w:rPr>
                  <w:tab/>
                </w:r>
                <w:r>
                  <w:rPr>
                    <w:noProof/>
                    <w:webHidden/>
                  </w:rPr>
                  <w:fldChar w:fldCharType="begin"/>
                </w:r>
                <w:r>
                  <w:rPr>
                    <w:noProof/>
                    <w:webHidden/>
                  </w:rPr>
                  <w:instrText xml:space="preserve"> PAGEREF _Toc228108812 \h </w:instrText>
                </w:r>
                <w:r>
                  <w:rPr>
                    <w:noProof/>
                    <w:webHidden/>
                  </w:rPr>
                </w:r>
                <w:r>
                  <w:rPr>
                    <w:noProof/>
                    <w:webHidden/>
                  </w:rPr>
                  <w:fldChar w:fldCharType="separate"/>
                </w:r>
                <w:r>
                  <w:rPr>
                    <w:noProof/>
                    <w:webHidden/>
                  </w:rPr>
                  <w:t>5</w:t>
                </w:r>
                <w:r>
                  <w:rPr>
                    <w:noProof/>
                    <w:webHidden/>
                  </w:rPr>
                  <w:fldChar w:fldCharType="end"/>
                </w:r>
              </w:hyperlink>
            </w:p>
            <w:p w14:paraId="5936FBAA" w14:textId="2F8A160D" w:rsidR="0074096F" w:rsidRDefault="0074096F" w:rsidP="00E2232E">
              <w:pPr>
                <w:pStyle w:val="TOC2"/>
                <w:tabs>
                  <w:tab w:val="right" w:leader="dot" w:pos="9016"/>
                </w:tabs>
                <w:spacing w:line="240" w:lineRule="auto"/>
                <w:rPr>
                  <w:rFonts w:eastAsiaTheme="minorEastAsia"/>
                  <w:noProof/>
                  <w:kern w:val="2"/>
                  <w:sz w:val="24"/>
                  <w:szCs w:val="24"/>
                  <w:lang w:eastAsia="en-GB"/>
                  <w14:ligatures w14:val="standardContextual"/>
                </w:rPr>
              </w:pPr>
              <w:hyperlink w:anchor="_Toc228108813" w:history="1">
                <w:r w:rsidRPr="00941F5B">
                  <w:rPr>
                    <w:rStyle w:val="Hyperlink"/>
                    <w:rFonts w:ascii="Calibri" w:hAnsi="Calibri" w:cs="Calibri"/>
                    <w:noProof/>
                  </w:rPr>
                  <w:t>2.1. Evaluation of the change within management.</w:t>
                </w:r>
                <w:r>
                  <w:rPr>
                    <w:noProof/>
                    <w:webHidden/>
                  </w:rPr>
                  <w:tab/>
                </w:r>
                <w:r>
                  <w:rPr>
                    <w:noProof/>
                    <w:webHidden/>
                  </w:rPr>
                  <w:fldChar w:fldCharType="begin"/>
                </w:r>
                <w:r>
                  <w:rPr>
                    <w:noProof/>
                    <w:webHidden/>
                  </w:rPr>
                  <w:instrText xml:space="preserve"> PAGEREF _Toc228108813 \h </w:instrText>
                </w:r>
                <w:r>
                  <w:rPr>
                    <w:noProof/>
                    <w:webHidden/>
                  </w:rPr>
                </w:r>
                <w:r>
                  <w:rPr>
                    <w:noProof/>
                    <w:webHidden/>
                  </w:rPr>
                  <w:fldChar w:fldCharType="separate"/>
                </w:r>
                <w:r>
                  <w:rPr>
                    <w:noProof/>
                    <w:webHidden/>
                  </w:rPr>
                  <w:t>5</w:t>
                </w:r>
                <w:r>
                  <w:rPr>
                    <w:noProof/>
                    <w:webHidden/>
                  </w:rPr>
                  <w:fldChar w:fldCharType="end"/>
                </w:r>
              </w:hyperlink>
            </w:p>
            <w:p w14:paraId="2D618C30" w14:textId="4E322D7D" w:rsidR="0074096F" w:rsidRDefault="0074096F" w:rsidP="00E2232E">
              <w:pPr>
                <w:pStyle w:val="TOC2"/>
                <w:tabs>
                  <w:tab w:val="right" w:leader="dot" w:pos="9016"/>
                </w:tabs>
                <w:spacing w:line="240" w:lineRule="auto"/>
                <w:rPr>
                  <w:rFonts w:eastAsiaTheme="minorEastAsia"/>
                  <w:noProof/>
                  <w:kern w:val="2"/>
                  <w:sz w:val="24"/>
                  <w:szCs w:val="24"/>
                  <w:lang w:eastAsia="en-GB"/>
                  <w14:ligatures w14:val="standardContextual"/>
                </w:rPr>
              </w:pPr>
              <w:hyperlink w:anchor="_Toc228108814" w:history="1">
                <w:r w:rsidRPr="00941F5B">
                  <w:rPr>
                    <w:rStyle w:val="Hyperlink"/>
                    <w:rFonts w:ascii="Calibri" w:hAnsi="Calibri" w:cs="Calibri"/>
                    <w:noProof/>
                  </w:rPr>
                  <w:t>2.2. Force field analysis</w:t>
                </w:r>
                <w:r>
                  <w:rPr>
                    <w:noProof/>
                    <w:webHidden/>
                  </w:rPr>
                  <w:tab/>
                </w:r>
                <w:r>
                  <w:rPr>
                    <w:noProof/>
                    <w:webHidden/>
                  </w:rPr>
                  <w:fldChar w:fldCharType="begin"/>
                </w:r>
                <w:r>
                  <w:rPr>
                    <w:noProof/>
                    <w:webHidden/>
                  </w:rPr>
                  <w:instrText xml:space="preserve"> PAGEREF _Toc228108814 \h </w:instrText>
                </w:r>
                <w:r>
                  <w:rPr>
                    <w:noProof/>
                    <w:webHidden/>
                  </w:rPr>
                </w:r>
                <w:r>
                  <w:rPr>
                    <w:noProof/>
                    <w:webHidden/>
                  </w:rPr>
                  <w:fldChar w:fldCharType="separate"/>
                </w:r>
                <w:r>
                  <w:rPr>
                    <w:noProof/>
                    <w:webHidden/>
                  </w:rPr>
                  <w:t>6</w:t>
                </w:r>
                <w:r>
                  <w:rPr>
                    <w:noProof/>
                    <w:webHidden/>
                  </w:rPr>
                  <w:fldChar w:fldCharType="end"/>
                </w:r>
              </w:hyperlink>
            </w:p>
            <w:p w14:paraId="124BE8B4" w14:textId="2A1AD59D" w:rsidR="0074096F" w:rsidRDefault="0074096F" w:rsidP="00E2232E">
              <w:pPr>
                <w:pStyle w:val="TOC2"/>
                <w:tabs>
                  <w:tab w:val="right" w:leader="dot" w:pos="9016"/>
                </w:tabs>
                <w:spacing w:line="240" w:lineRule="auto"/>
                <w:rPr>
                  <w:rFonts w:eastAsiaTheme="minorEastAsia"/>
                  <w:noProof/>
                  <w:kern w:val="2"/>
                  <w:sz w:val="24"/>
                  <w:szCs w:val="24"/>
                  <w:lang w:eastAsia="en-GB"/>
                  <w14:ligatures w14:val="standardContextual"/>
                </w:rPr>
              </w:pPr>
              <w:hyperlink w:anchor="_Toc228108815" w:history="1">
                <w:r w:rsidRPr="00941F5B">
                  <w:rPr>
                    <w:rStyle w:val="Hyperlink"/>
                    <w:rFonts w:ascii="Calibri" w:hAnsi="Calibri" w:cs="Calibri"/>
                    <w:noProof/>
                  </w:rPr>
                  <w:t>2.3. Application of Lewin’s Three-Step Model</w:t>
                </w:r>
                <w:r>
                  <w:rPr>
                    <w:noProof/>
                    <w:webHidden/>
                  </w:rPr>
                  <w:tab/>
                </w:r>
                <w:r>
                  <w:rPr>
                    <w:noProof/>
                    <w:webHidden/>
                  </w:rPr>
                  <w:fldChar w:fldCharType="begin"/>
                </w:r>
                <w:r>
                  <w:rPr>
                    <w:noProof/>
                    <w:webHidden/>
                  </w:rPr>
                  <w:instrText xml:space="preserve"> PAGEREF _Toc228108815 \h </w:instrText>
                </w:r>
                <w:r>
                  <w:rPr>
                    <w:noProof/>
                    <w:webHidden/>
                  </w:rPr>
                </w:r>
                <w:r>
                  <w:rPr>
                    <w:noProof/>
                    <w:webHidden/>
                  </w:rPr>
                  <w:fldChar w:fldCharType="separate"/>
                </w:r>
                <w:r>
                  <w:rPr>
                    <w:noProof/>
                    <w:webHidden/>
                  </w:rPr>
                  <w:t>7</w:t>
                </w:r>
                <w:r>
                  <w:rPr>
                    <w:noProof/>
                    <w:webHidden/>
                  </w:rPr>
                  <w:fldChar w:fldCharType="end"/>
                </w:r>
              </w:hyperlink>
            </w:p>
            <w:p w14:paraId="052AFE03" w14:textId="22B33131" w:rsidR="0074096F" w:rsidRDefault="0074096F" w:rsidP="00E2232E">
              <w:pPr>
                <w:pStyle w:val="TOC3"/>
                <w:tabs>
                  <w:tab w:val="right" w:leader="dot" w:pos="9016"/>
                </w:tabs>
                <w:spacing w:line="240" w:lineRule="auto"/>
                <w:rPr>
                  <w:rFonts w:eastAsiaTheme="minorEastAsia"/>
                  <w:noProof/>
                  <w:kern w:val="2"/>
                  <w:sz w:val="24"/>
                  <w:szCs w:val="24"/>
                  <w:lang w:eastAsia="en-GB"/>
                  <w14:ligatures w14:val="standardContextual"/>
                </w:rPr>
              </w:pPr>
              <w:hyperlink w:anchor="_Toc228108816" w:history="1">
                <w:r w:rsidRPr="00941F5B">
                  <w:rPr>
                    <w:rStyle w:val="Hyperlink"/>
                    <w:rFonts w:ascii="Calibri" w:hAnsi="Calibri" w:cs="Calibri"/>
                    <w:noProof/>
                  </w:rPr>
                  <w:t>2.3.1 Unfreeze</w:t>
                </w:r>
                <w:r>
                  <w:rPr>
                    <w:noProof/>
                    <w:webHidden/>
                  </w:rPr>
                  <w:tab/>
                </w:r>
                <w:r>
                  <w:rPr>
                    <w:noProof/>
                    <w:webHidden/>
                  </w:rPr>
                  <w:fldChar w:fldCharType="begin"/>
                </w:r>
                <w:r>
                  <w:rPr>
                    <w:noProof/>
                    <w:webHidden/>
                  </w:rPr>
                  <w:instrText xml:space="preserve"> PAGEREF _Toc228108816 \h </w:instrText>
                </w:r>
                <w:r>
                  <w:rPr>
                    <w:noProof/>
                    <w:webHidden/>
                  </w:rPr>
                </w:r>
                <w:r>
                  <w:rPr>
                    <w:noProof/>
                    <w:webHidden/>
                  </w:rPr>
                  <w:fldChar w:fldCharType="separate"/>
                </w:r>
                <w:r>
                  <w:rPr>
                    <w:noProof/>
                    <w:webHidden/>
                  </w:rPr>
                  <w:t>7</w:t>
                </w:r>
                <w:r>
                  <w:rPr>
                    <w:noProof/>
                    <w:webHidden/>
                  </w:rPr>
                  <w:fldChar w:fldCharType="end"/>
                </w:r>
              </w:hyperlink>
            </w:p>
            <w:p w14:paraId="5D5F6A8B" w14:textId="0885F7ED" w:rsidR="0074096F" w:rsidRDefault="0074096F" w:rsidP="00E2232E">
              <w:pPr>
                <w:pStyle w:val="TOC3"/>
                <w:tabs>
                  <w:tab w:val="right" w:leader="dot" w:pos="9016"/>
                </w:tabs>
                <w:spacing w:line="240" w:lineRule="auto"/>
                <w:rPr>
                  <w:rFonts w:eastAsiaTheme="minorEastAsia"/>
                  <w:noProof/>
                  <w:kern w:val="2"/>
                  <w:sz w:val="24"/>
                  <w:szCs w:val="24"/>
                  <w:lang w:eastAsia="en-GB"/>
                  <w14:ligatures w14:val="standardContextual"/>
                </w:rPr>
              </w:pPr>
              <w:hyperlink w:anchor="_Toc228108817" w:history="1">
                <w:r w:rsidRPr="00941F5B">
                  <w:rPr>
                    <w:rStyle w:val="Hyperlink"/>
                    <w:rFonts w:ascii="Calibri" w:hAnsi="Calibri" w:cs="Calibri"/>
                    <w:noProof/>
                  </w:rPr>
                  <w:t>2.3.2 Change</w:t>
                </w:r>
                <w:r>
                  <w:rPr>
                    <w:noProof/>
                    <w:webHidden/>
                  </w:rPr>
                  <w:tab/>
                </w:r>
                <w:r>
                  <w:rPr>
                    <w:noProof/>
                    <w:webHidden/>
                  </w:rPr>
                  <w:fldChar w:fldCharType="begin"/>
                </w:r>
                <w:r>
                  <w:rPr>
                    <w:noProof/>
                    <w:webHidden/>
                  </w:rPr>
                  <w:instrText xml:space="preserve"> PAGEREF _Toc228108817 \h </w:instrText>
                </w:r>
                <w:r>
                  <w:rPr>
                    <w:noProof/>
                    <w:webHidden/>
                  </w:rPr>
                </w:r>
                <w:r>
                  <w:rPr>
                    <w:noProof/>
                    <w:webHidden/>
                  </w:rPr>
                  <w:fldChar w:fldCharType="separate"/>
                </w:r>
                <w:r>
                  <w:rPr>
                    <w:noProof/>
                    <w:webHidden/>
                  </w:rPr>
                  <w:t>7</w:t>
                </w:r>
                <w:r>
                  <w:rPr>
                    <w:noProof/>
                    <w:webHidden/>
                  </w:rPr>
                  <w:fldChar w:fldCharType="end"/>
                </w:r>
              </w:hyperlink>
            </w:p>
            <w:p w14:paraId="30872BD7" w14:textId="0851A0F0" w:rsidR="0074096F" w:rsidRDefault="0074096F" w:rsidP="00E2232E">
              <w:pPr>
                <w:pStyle w:val="TOC3"/>
                <w:tabs>
                  <w:tab w:val="right" w:leader="dot" w:pos="9016"/>
                </w:tabs>
                <w:spacing w:line="240" w:lineRule="auto"/>
                <w:rPr>
                  <w:rFonts w:eastAsiaTheme="minorEastAsia"/>
                  <w:noProof/>
                  <w:kern w:val="2"/>
                  <w:sz w:val="24"/>
                  <w:szCs w:val="24"/>
                  <w:lang w:eastAsia="en-GB"/>
                  <w14:ligatures w14:val="standardContextual"/>
                </w:rPr>
              </w:pPr>
              <w:hyperlink w:anchor="_Toc228108818" w:history="1">
                <w:r w:rsidRPr="00941F5B">
                  <w:rPr>
                    <w:rStyle w:val="Hyperlink"/>
                    <w:rFonts w:ascii="Calibri" w:hAnsi="Calibri" w:cs="Calibri"/>
                    <w:noProof/>
                  </w:rPr>
                  <w:t>2.3.3 Refreeze</w:t>
                </w:r>
                <w:r>
                  <w:rPr>
                    <w:noProof/>
                    <w:webHidden/>
                  </w:rPr>
                  <w:tab/>
                </w:r>
                <w:r>
                  <w:rPr>
                    <w:noProof/>
                    <w:webHidden/>
                  </w:rPr>
                  <w:fldChar w:fldCharType="begin"/>
                </w:r>
                <w:r>
                  <w:rPr>
                    <w:noProof/>
                    <w:webHidden/>
                  </w:rPr>
                  <w:instrText xml:space="preserve"> PAGEREF _Toc228108818 \h </w:instrText>
                </w:r>
                <w:r>
                  <w:rPr>
                    <w:noProof/>
                    <w:webHidden/>
                  </w:rPr>
                </w:r>
                <w:r>
                  <w:rPr>
                    <w:noProof/>
                    <w:webHidden/>
                  </w:rPr>
                  <w:fldChar w:fldCharType="separate"/>
                </w:r>
                <w:r>
                  <w:rPr>
                    <w:noProof/>
                    <w:webHidden/>
                  </w:rPr>
                  <w:t>8</w:t>
                </w:r>
                <w:r>
                  <w:rPr>
                    <w:noProof/>
                    <w:webHidden/>
                  </w:rPr>
                  <w:fldChar w:fldCharType="end"/>
                </w:r>
              </w:hyperlink>
            </w:p>
            <w:p w14:paraId="4CA9ACAC" w14:textId="5E248600" w:rsidR="0074096F" w:rsidRDefault="0074096F" w:rsidP="00E2232E">
              <w:pPr>
                <w:pStyle w:val="TOC2"/>
                <w:tabs>
                  <w:tab w:val="right" w:leader="dot" w:pos="9016"/>
                </w:tabs>
                <w:spacing w:line="240" w:lineRule="auto"/>
                <w:rPr>
                  <w:rFonts w:eastAsiaTheme="minorEastAsia"/>
                  <w:noProof/>
                  <w:kern w:val="2"/>
                  <w:sz w:val="24"/>
                  <w:szCs w:val="24"/>
                  <w:lang w:eastAsia="en-GB"/>
                  <w14:ligatures w14:val="standardContextual"/>
                </w:rPr>
              </w:pPr>
              <w:hyperlink w:anchor="_Toc228108819" w:history="1">
                <w:r w:rsidRPr="00941F5B">
                  <w:rPr>
                    <w:rStyle w:val="Hyperlink"/>
                    <w:rFonts w:ascii="Calibri" w:hAnsi="Calibri" w:cs="Calibri"/>
                    <w:noProof/>
                  </w:rPr>
                  <w:t>2.4. Critical Comparison of Change Models (Lewin vs Kotter vs ADKAR)</w:t>
                </w:r>
                <w:r>
                  <w:rPr>
                    <w:noProof/>
                    <w:webHidden/>
                  </w:rPr>
                  <w:tab/>
                </w:r>
                <w:r>
                  <w:rPr>
                    <w:noProof/>
                    <w:webHidden/>
                  </w:rPr>
                  <w:fldChar w:fldCharType="begin"/>
                </w:r>
                <w:r>
                  <w:rPr>
                    <w:noProof/>
                    <w:webHidden/>
                  </w:rPr>
                  <w:instrText xml:space="preserve"> PAGEREF _Toc228108819 \h </w:instrText>
                </w:r>
                <w:r>
                  <w:rPr>
                    <w:noProof/>
                    <w:webHidden/>
                  </w:rPr>
                </w:r>
                <w:r>
                  <w:rPr>
                    <w:noProof/>
                    <w:webHidden/>
                  </w:rPr>
                  <w:fldChar w:fldCharType="separate"/>
                </w:r>
                <w:r>
                  <w:rPr>
                    <w:noProof/>
                    <w:webHidden/>
                  </w:rPr>
                  <w:t>8</w:t>
                </w:r>
                <w:r>
                  <w:rPr>
                    <w:noProof/>
                    <w:webHidden/>
                  </w:rPr>
                  <w:fldChar w:fldCharType="end"/>
                </w:r>
              </w:hyperlink>
            </w:p>
            <w:p w14:paraId="24522CF6" w14:textId="34F37A65" w:rsidR="0074096F" w:rsidRDefault="0074096F" w:rsidP="00E2232E">
              <w:pPr>
                <w:pStyle w:val="TOC2"/>
                <w:tabs>
                  <w:tab w:val="right" w:leader="dot" w:pos="9016"/>
                </w:tabs>
                <w:spacing w:line="240" w:lineRule="auto"/>
                <w:rPr>
                  <w:rFonts w:eastAsiaTheme="minorEastAsia"/>
                  <w:noProof/>
                  <w:kern w:val="2"/>
                  <w:sz w:val="24"/>
                  <w:szCs w:val="24"/>
                  <w:lang w:eastAsia="en-GB"/>
                  <w14:ligatures w14:val="standardContextual"/>
                </w:rPr>
              </w:pPr>
              <w:hyperlink w:anchor="_Toc228108820" w:history="1">
                <w:r w:rsidRPr="00941F5B">
                  <w:rPr>
                    <w:rStyle w:val="Hyperlink"/>
                    <w:rFonts w:ascii="Calibri" w:hAnsi="Calibri" w:cs="Calibri"/>
                    <w:noProof/>
                  </w:rPr>
                  <w:t>2.5 Employee Motivation and Support</w:t>
                </w:r>
                <w:r>
                  <w:rPr>
                    <w:noProof/>
                    <w:webHidden/>
                  </w:rPr>
                  <w:tab/>
                </w:r>
                <w:r>
                  <w:rPr>
                    <w:noProof/>
                    <w:webHidden/>
                  </w:rPr>
                  <w:fldChar w:fldCharType="begin"/>
                </w:r>
                <w:r>
                  <w:rPr>
                    <w:noProof/>
                    <w:webHidden/>
                  </w:rPr>
                  <w:instrText xml:space="preserve"> PAGEREF _Toc228108820 \h </w:instrText>
                </w:r>
                <w:r>
                  <w:rPr>
                    <w:noProof/>
                    <w:webHidden/>
                  </w:rPr>
                </w:r>
                <w:r>
                  <w:rPr>
                    <w:noProof/>
                    <w:webHidden/>
                  </w:rPr>
                  <w:fldChar w:fldCharType="separate"/>
                </w:r>
                <w:r>
                  <w:rPr>
                    <w:noProof/>
                    <w:webHidden/>
                  </w:rPr>
                  <w:t>9</w:t>
                </w:r>
                <w:r>
                  <w:rPr>
                    <w:noProof/>
                    <w:webHidden/>
                  </w:rPr>
                  <w:fldChar w:fldCharType="end"/>
                </w:r>
              </w:hyperlink>
            </w:p>
            <w:p w14:paraId="7F93911C" w14:textId="765DC429" w:rsidR="0074096F" w:rsidRDefault="0074096F" w:rsidP="00E2232E">
              <w:pPr>
                <w:pStyle w:val="TOC2"/>
                <w:tabs>
                  <w:tab w:val="right" w:leader="dot" w:pos="9016"/>
                </w:tabs>
                <w:spacing w:line="240" w:lineRule="auto"/>
                <w:rPr>
                  <w:rFonts w:eastAsiaTheme="minorEastAsia"/>
                  <w:noProof/>
                  <w:kern w:val="2"/>
                  <w:sz w:val="24"/>
                  <w:szCs w:val="24"/>
                  <w:lang w:eastAsia="en-GB"/>
                  <w14:ligatures w14:val="standardContextual"/>
                </w:rPr>
              </w:pPr>
              <w:hyperlink w:anchor="_Toc228108821" w:history="1">
                <w:r w:rsidRPr="00941F5B">
                  <w:rPr>
                    <w:rStyle w:val="Hyperlink"/>
                    <w:rFonts w:ascii="Calibri" w:hAnsi="Calibri" w:cs="Calibri"/>
                    <w:noProof/>
                  </w:rPr>
                  <w:t>2.6. Evaluation of Success/Failure</w:t>
                </w:r>
                <w:r>
                  <w:rPr>
                    <w:noProof/>
                    <w:webHidden/>
                  </w:rPr>
                  <w:tab/>
                </w:r>
                <w:r>
                  <w:rPr>
                    <w:noProof/>
                    <w:webHidden/>
                  </w:rPr>
                  <w:fldChar w:fldCharType="begin"/>
                </w:r>
                <w:r>
                  <w:rPr>
                    <w:noProof/>
                    <w:webHidden/>
                  </w:rPr>
                  <w:instrText xml:space="preserve"> PAGEREF _Toc228108821 \h </w:instrText>
                </w:r>
                <w:r>
                  <w:rPr>
                    <w:noProof/>
                    <w:webHidden/>
                  </w:rPr>
                </w:r>
                <w:r>
                  <w:rPr>
                    <w:noProof/>
                    <w:webHidden/>
                  </w:rPr>
                  <w:fldChar w:fldCharType="separate"/>
                </w:r>
                <w:r>
                  <w:rPr>
                    <w:noProof/>
                    <w:webHidden/>
                  </w:rPr>
                  <w:t>10</w:t>
                </w:r>
                <w:r>
                  <w:rPr>
                    <w:noProof/>
                    <w:webHidden/>
                  </w:rPr>
                  <w:fldChar w:fldCharType="end"/>
                </w:r>
              </w:hyperlink>
            </w:p>
            <w:p w14:paraId="5B32E4C5" w14:textId="2D4BEC0A" w:rsidR="0074096F" w:rsidRDefault="0074096F" w:rsidP="00E2232E">
              <w:pPr>
                <w:pStyle w:val="TOC2"/>
                <w:tabs>
                  <w:tab w:val="right" w:leader="dot" w:pos="9016"/>
                </w:tabs>
                <w:spacing w:line="240" w:lineRule="auto"/>
                <w:rPr>
                  <w:rFonts w:eastAsiaTheme="minorEastAsia"/>
                  <w:noProof/>
                  <w:kern w:val="2"/>
                  <w:sz w:val="24"/>
                  <w:szCs w:val="24"/>
                  <w:lang w:eastAsia="en-GB"/>
                  <w14:ligatures w14:val="standardContextual"/>
                </w:rPr>
              </w:pPr>
              <w:hyperlink w:anchor="_Toc228108822" w:history="1">
                <w:r w:rsidRPr="00941F5B">
                  <w:rPr>
                    <w:rStyle w:val="Hyperlink"/>
                    <w:rFonts w:ascii="Calibri" w:hAnsi="Calibri" w:cs="Calibri"/>
                    <w:noProof/>
                  </w:rPr>
                  <w:t>2.7 Recommendations</w:t>
                </w:r>
                <w:r>
                  <w:rPr>
                    <w:noProof/>
                    <w:webHidden/>
                  </w:rPr>
                  <w:tab/>
                </w:r>
                <w:r>
                  <w:rPr>
                    <w:noProof/>
                    <w:webHidden/>
                  </w:rPr>
                  <w:fldChar w:fldCharType="begin"/>
                </w:r>
                <w:r>
                  <w:rPr>
                    <w:noProof/>
                    <w:webHidden/>
                  </w:rPr>
                  <w:instrText xml:space="preserve"> PAGEREF _Toc228108822 \h </w:instrText>
                </w:r>
                <w:r>
                  <w:rPr>
                    <w:noProof/>
                    <w:webHidden/>
                  </w:rPr>
                </w:r>
                <w:r>
                  <w:rPr>
                    <w:noProof/>
                    <w:webHidden/>
                  </w:rPr>
                  <w:fldChar w:fldCharType="separate"/>
                </w:r>
                <w:r>
                  <w:rPr>
                    <w:noProof/>
                    <w:webHidden/>
                  </w:rPr>
                  <w:t>11</w:t>
                </w:r>
                <w:r>
                  <w:rPr>
                    <w:noProof/>
                    <w:webHidden/>
                  </w:rPr>
                  <w:fldChar w:fldCharType="end"/>
                </w:r>
              </w:hyperlink>
            </w:p>
            <w:p w14:paraId="4A7F2E4F" w14:textId="3E83E13F" w:rsidR="0074096F" w:rsidRDefault="0074096F" w:rsidP="00E2232E">
              <w:pPr>
                <w:pStyle w:val="TOC1"/>
                <w:tabs>
                  <w:tab w:val="right" w:leader="dot" w:pos="9016"/>
                </w:tabs>
                <w:spacing w:line="240" w:lineRule="auto"/>
                <w:rPr>
                  <w:rFonts w:eastAsiaTheme="minorEastAsia"/>
                  <w:noProof/>
                  <w:kern w:val="2"/>
                  <w:sz w:val="24"/>
                  <w:szCs w:val="24"/>
                  <w:lang w:eastAsia="en-GB"/>
                  <w14:ligatures w14:val="standardContextual"/>
                </w:rPr>
              </w:pPr>
              <w:hyperlink w:anchor="_Toc228108823" w:history="1">
                <w:r w:rsidRPr="00941F5B">
                  <w:rPr>
                    <w:rStyle w:val="Hyperlink"/>
                    <w:rFonts w:ascii="Calibri" w:hAnsi="Calibri" w:cs="Calibri"/>
                    <w:noProof/>
                  </w:rPr>
                  <w:t>3. Conclusion</w:t>
                </w:r>
                <w:r>
                  <w:rPr>
                    <w:noProof/>
                    <w:webHidden/>
                  </w:rPr>
                  <w:tab/>
                </w:r>
                <w:r>
                  <w:rPr>
                    <w:noProof/>
                    <w:webHidden/>
                  </w:rPr>
                  <w:fldChar w:fldCharType="begin"/>
                </w:r>
                <w:r>
                  <w:rPr>
                    <w:noProof/>
                    <w:webHidden/>
                  </w:rPr>
                  <w:instrText xml:space="preserve"> PAGEREF _Toc228108823 \h </w:instrText>
                </w:r>
                <w:r>
                  <w:rPr>
                    <w:noProof/>
                    <w:webHidden/>
                  </w:rPr>
                </w:r>
                <w:r>
                  <w:rPr>
                    <w:noProof/>
                    <w:webHidden/>
                  </w:rPr>
                  <w:fldChar w:fldCharType="separate"/>
                </w:r>
                <w:r>
                  <w:rPr>
                    <w:noProof/>
                    <w:webHidden/>
                  </w:rPr>
                  <w:t>12</w:t>
                </w:r>
                <w:r>
                  <w:rPr>
                    <w:noProof/>
                    <w:webHidden/>
                  </w:rPr>
                  <w:fldChar w:fldCharType="end"/>
                </w:r>
              </w:hyperlink>
            </w:p>
            <w:p w14:paraId="0C207740" w14:textId="132E1903" w:rsidR="0074096F" w:rsidRDefault="0074096F" w:rsidP="00E2232E">
              <w:pPr>
                <w:pStyle w:val="TOC1"/>
                <w:tabs>
                  <w:tab w:val="right" w:leader="dot" w:pos="9016"/>
                </w:tabs>
                <w:spacing w:line="240" w:lineRule="auto"/>
                <w:rPr>
                  <w:rFonts w:eastAsiaTheme="minorEastAsia"/>
                  <w:noProof/>
                  <w:kern w:val="2"/>
                  <w:sz w:val="24"/>
                  <w:szCs w:val="24"/>
                  <w:lang w:eastAsia="en-GB"/>
                  <w14:ligatures w14:val="standardContextual"/>
                </w:rPr>
              </w:pPr>
              <w:hyperlink w:anchor="_Toc228108824" w:history="1">
                <w:r w:rsidRPr="00941F5B">
                  <w:rPr>
                    <w:rStyle w:val="Hyperlink"/>
                    <w:rFonts w:ascii="Calibri" w:hAnsi="Calibri" w:cs="Calibri"/>
                    <w:noProof/>
                  </w:rPr>
                  <w:t>Bibliography</w:t>
                </w:r>
                <w:r>
                  <w:rPr>
                    <w:noProof/>
                    <w:webHidden/>
                  </w:rPr>
                  <w:tab/>
                </w:r>
                <w:r>
                  <w:rPr>
                    <w:noProof/>
                    <w:webHidden/>
                  </w:rPr>
                  <w:fldChar w:fldCharType="begin"/>
                </w:r>
                <w:r>
                  <w:rPr>
                    <w:noProof/>
                    <w:webHidden/>
                  </w:rPr>
                  <w:instrText xml:space="preserve"> PAGEREF _Toc228108824 \h </w:instrText>
                </w:r>
                <w:r>
                  <w:rPr>
                    <w:noProof/>
                    <w:webHidden/>
                  </w:rPr>
                </w:r>
                <w:r>
                  <w:rPr>
                    <w:noProof/>
                    <w:webHidden/>
                  </w:rPr>
                  <w:fldChar w:fldCharType="separate"/>
                </w:r>
                <w:r>
                  <w:rPr>
                    <w:noProof/>
                    <w:webHidden/>
                  </w:rPr>
                  <w:t>13</w:t>
                </w:r>
                <w:r>
                  <w:rPr>
                    <w:noProof/>
                    <w:webHidden/>
                  </w:rPr>
                  <w:fldChar w:fldCharType="end"/>
                </w:r>
              </w:hyperlink>
            </w:p>
            <w:p w14:paraId="5D22B8ED" w14:textId="548B90F7" w:rsidR="00BD4F7A" w:rsidRPr="00BD4F7A" w:rsidRDefault="00BD4F7A" w:rsidP="00E2232E">
              <w:pPr>
                <w:spacing w:line="240" w:lineRule="auto"/>
                <w:rPr>
                  <w:rFonts w:ascii="Calibri" w:hAnsi="Calibri" w:cs="Calibri"/>
                </w:rPr>
              </w:pPr>
              <w:r w:rsidRPr="00BD4F7A">
                <w:rPr>
                  <w:rFonts w:ascii="Calibri" w:hAnsi="Calibri" w:cs="Calibri"/>
                  <w:b/>
                  <w:bCs/>
                  <w:noProof/>
                </w:rPr>
                <w:fldChar w:fldCharType="end"/>
              </w:r>
            </w:p>
          </w:sdtContent>
        </w:sdt>
        <w:p w14:paraId="181D3E68" w14:textId="77777777" w:rsidR="00BD4F7A" w:rsidRPr="00BD4F7A" w:rsidRDefault="00BD4F7A" w:rsidP="00E2232E">
          <w:pPr>
            <w:spacing w:line="240" w:lineRule="auto"/>
            <w:rPr>
              <w:rFonts w:ascii="Calibri" w:hAnsi="Calibri" w:cs="Calibri"/>
            </w:rPr>
          </w:pPr>
        </w:p>
        <w:p w14:paraId="34EFDB3F" w14:textId="77777777" w:rsidR="00BD4F7A" w:rsidRPr="00BD4F7A" w:rsidRDefault="00BD4F7A" w:rsidP="00E2232E">
          <w:pPr>
            <w:pStyle w:val="Heading1"/>
            <w:spacing w:line="240" w:lineRule="auto"/>
            <w:rPr>
              <w:rFonts w:ascii="Calibri" w:hAnsi="Calibri" w:cs="Calibri"/>
              <w:color w:val="000000" w:themeColor="text1"/>
            </w:rPr>
          </w:pPr>
          <w:bookmarkStart w:id="1" w:name="_Toc228108810"/>
          <w:r w:rsidRPr="00BD4F7A">
            <w:rPr>
              <w:rFonts w:ascii="Calibri" w:hAnsi="Calibri" w:cs="Calibri"/>
              <w:color w:val="000000" w:themeColor="text1"/>
            </w:rPr>
            <w:t>Table of Figures</w:t>
          </w:r>
          <w:bookmarkEnd w:id="1"/>
        </w:p>
        <w:p w14:paraId="70BAD3F4" w14:textId="77777777" w:rsidR="00BD4F7A" w:rsidRPr="00BD4F7A" w:rsidRDefault="00BD4F7A" w:rsidP="00E2232E">
          <w:pPr>
            <w:pStyle w:val="TableofFigures"/>
            <w:tabs>
              <w:tab w:val="right" w:leader="dot" w:pos="9016"/>
            </w:tabs>
            <w:spacing w:line="240" w:lineRule="auto"/>
            <w:rPr>
              <w:rFonts w:ascii="Calibri" w:eastAsiaTheme="minorEastAsia" w:hAnsi="Calibri" w:cs="Calibri"/>
              <w:noProof/>
              <w:kern w:val="2"/>
              <w:sz w:val="24"/>
              <w:szCs w:val="24"/>
              <w:lang w:eastAsia="en-GB"/>
              <w14:ligatures w14:val="standardContextual"/>
            </w:rPr>
          </w:pPr>
          <w:r w:rsidRPr="00BD4F7A">
            <w:rPr>
              <w:rFonts w:ascii="Calibri" w:hAnsi="Calibri" w:cs="Calibri"/>
            </w:rPr>
            <w:fldChar w:fldCharType="begin"/>
          </w:r>
          <w:r w:rsidRPr="00BD4F7A">
            <w:rPr>
              <w:rFonts w:ascii="Calibri" w:hAnsi="Calibri" w:cs="Calibri"/>
            </w:rPr>
            <w:instrText xml:space="preserve"> TOC \h \z \c "Figure" </w:instrText>
          </w:r>
          <w:r w:rsidRPr="00BD4F7A">
            <w:rPr>
              <w:rFonts w:ascii="Calibri" w:hAnsi="Calibri" w:cs="Calibri"/>
            </w:rPr>
            <w:fldChar w:fldCharType="separate"/>
          </w:r>
          <w:hyperlink w:anchor="_Toc228103889" w:history="1">
            <w:r w:rsidRPr="00BD4F7A">
              <w:rPr>
                <w:rStyle w:val="Hyperlink"/>
                <w:rFonts w:ascii="Calibri" w:hAnsi="Calibri" w:cs="Calibri"/>
                <w:noProof/>
                <w:sz w:val="24"/>
                <w:szCs w:val="24"/>
              </w:rPr>
              <w:t>Figure 1: Force Field Analysis of Sage HR Implementation</w:t>
            </w:r>
            <w:r w:rsidRPr="00BD4F7A">
              <w:rPr>
                <w:rFonts w:ascii="Calibri" w:hAnsi="Calibri" w:cs="Calibri"/>
                <w:noProof/>
                <w:webHidden/>
                <w:sz w:val="24"/>
                <w:szCs w:val="24"/>
              </w:rPr>
              <w:tab/>
            </w:r>
            <w:r w:rsidRPr="00BD4F7A">
              <w:rPr>
                <w:rFonts w:ascii="Calibri" w:hAnsi="Calibri" w:cs="Calibri"/>
                <w:noProof/>
                <w:webHidden/>
                <w:sz w:val="24"/>
                <w:szCs w:val="24"/>
              </w:rPr>
              <w:fldChar w:fldCharType="begin"/>
            </w:r>
            <w:r w:rsidRPr="00BD4F7A">
              <w:rPr>
                <w:rFonts w:ascii="Calibri" w:hAnsi="Calibri" w:cs="Calibri"/>
                <w:noProof/>
                <w:webHidden/>
                <w:sz w:val="24"/>
                <w:szCs w:val="24"/>
              </w:rPr>
              <w:instrText xml:space="preserve"> PAGEREF _Toc228103889 \h </w:instrText>
            </w:r>
            <w:r w:rsidRPr="00BD4F7A">
              <w:rPr>
                <w:rFonts w:ascii="Calibri" w:hAnsi="Calibri" w:cs="Calibri"/>
                <w:noProof/>
                <w:webHidden/>
                <w:sz w:val="24"/>
                <w:szCs w:val="24"/>
              </w:rPr>
            </w:r>
            <w:r w:rsidRPr="00BD4F7A">
              <w:rPr>
                <w:rFonts w:ascii="Calibri" w:hAnsi="Calibri" w:cs="Calibri"/>
                <w:noProof/>
                <w:webHidden/>
                <w:sz w:val="24"/>
                <w:szCs w:val="24"/>
              </w:rPr>
              <w:fldChar w:fldCharType="separate"/>
            </w:r>
            <w:r w:rsidRPr="00BD4F7A">
              <w:rPr>
                <w:rFonts w:ascii="Calibri" w:hAnsi="Calibri" w:cs="Calibri"/>
                <w:noProof/>
                <w:webHidden/>
                <w:sz w:val="24"/>
                <w:szCs w:val="24"/>
              </w:rPr>
              <w:t>5</w:t>
            </w:r>
            <w:r w:rsidRPr="00BD4F7A">
              <w:rPr>
                <w:rFonts w:ascii="Calibri" w:hAnsi="Calibri" w:cs="Calibri"/>
                <w:noProof/>
                <w:webHidden/>
                <w:sz w:val="24"/>
                <w:szCs w:val="24"/>
              </w:rPr>
              <w:fldChar w:fldCharType="end"/>
            </w:r>
          </w:hyperlink>
        </w:p>
        <w:p w14:paraId="4A623033" w14:textId="77777777" w:rsidR="00BD4F7A" w:rsidRPr="00BD4F7A" w:rsidRDefault="00BD4F7A" w:rsidP="00E2232E">
          <w:pPr>
            <w:pStyle w:val="TableofFigures"/>
            <w:tabs>
              <w:tab w:val="right" w:leader="dot" w:pos="9016"/>
            </w:tabs>
            <w:spacing w:line="240" w:lineRule="auto"/>
            <w:rPr>
              <w:rFonts w:ascii="Calibri" w:eastAsiaTheme="minorEastAsia" w:hAnsi="Calibri" w:cs="Calibri"/>
              <w:noProof/>
              <w:kern w:val="2"/>
              <w:sz w:val="24"/>
              <w:szCs w:val="24"/>
              <w:lang w:eastAsia="en-GB"/>
              <w14:ligatures w14:val="standardContextual"/>
            </w:rPr>
          </w:pPr>
          <w:hyperlink w:anchor="_Toc228103890" w:history="1">
            <w:r w:rsidRPr="00BD4F7A">
              <w:rPr>
                <w:rStyle w:val="Hyperlink"/>
                <w:rFonts w:ascii="Calibri" w:hAnsi="Calibri" w:cs="Calibri"/>
                <w:noProof/>
                <w:sz w:val="24"/>
                <w:szCs w:val="24"/>
              </w:rPr>
              <w:t>Figure 2 - Herzberg’s Two-Factor Theory</w:t>
            </w:r>
            <w:r w:rsidRPr="00BD4F7A">
              <w:rPr>
                <w:rFonts w:ascii="Calibri" w:hAnsi="Calibri" w:cs="Calibri"/>
                <w:noProof/>
                <w:webHidden/>
                <w:sz w:val="24"/>
                <w:szCs w:val="24"/>
              </w:rPr>
              <w:tab/>
            </w:r>
            <w:r w:rsidRPr="00BD4F7A">
              <w:rPr>
                <w:rFonts w:ascii="Calibri" w:hAnsi="Calibri" w:cs="Calibri"/>
                <w:noProof/>
                <w:webHidden/>
                <w:sz w:val="24"/>
                <w:szCs w:val="24"/>
              </w:rPr>
              <w:fldChar w:fldCharType="begin"/>
            </w:r>
            <w:r w:rsidRPr="00BD4F7A">
              <w:rPr>
                <w:rFonts w:ascii="Calibri" w:hAnsi="Calibri" w:cs="Calibri"/>
                <w:noProof/>
                <w:webHidden/>
                <w:sz w:val="24"/>
                <w:szCs w:val="24"/>
              </w:rPr>
              <w:instrText xml:space="preserve"> PAGEREF _Toc228103890 \h </w:instrText>
            </w:r>
            <w:r w:rsidRPr="00BD4F7A">
              <w:rPr>
                <w:rFonts w:ascii="Calibri" w:hAnsi="Calibri" w:cs="Calibri"/>
                <w:noProof/>
                <w:webHidden/>
                <w:sz w:val="24"/>
                <w:szCs w:val="24"/>
              </w:rPr>
            </w:r>
            <w:r w:rsidRPr="00BD4F7A">
              <w:rPr>
                <w:rFonts w:ascii="Calibri" w:hAnsi="Calibri" w:cs="Calibri"/>
                <w:noProof/>
                <w:webHidden/>
                <w:sz w:val="24"/>
                <w:szCs w:val="24"/>
              </w:rPr>
              <w:fldChar w:fldCharType="separate"/>
            </w:r>
            <w:r w:rsidRPr="00BD4F7A">
              <w:rPr>
                <w:rFonts w:ascii="Calibri" w:hAnsi="Calibri" w:cs="Calibri"/>
                <w:noProof/>
                <w:webHidden/>
                <w:sz w:val="24"/>
                <w:szCs w:val="24"/>
              </w:rPr>
              <w:t>8</w:t>
            </w:r>
            <w:r w:rsidRPr="00BD4F7A">
              <w:rPr>
                <w:rFonts w:ascii="Calibri" w:hAnsi="Calibri" w:cs="Calibri"/>
                <w:noProof/>
                <w:webHidden/>
                <w:sz w:val="24"/>
                <w:szCs w:val="24"/>
              </w:rPr>
              <w:fldChar w:fldCharType="end"/>
            </w:r>
          </w:hyperlink>
        </w:p>
        <w:p w14:paraId="33DFF868" w14:textId="77777777" w:rsidR="00BD4F7A" w:rsidRPr="00BD4F7A" w:rsidRDefault="00BD4F7A" w:rsidP="00E2232E">
          <w:pPr>
            <w:spacing w:line="240" w:lineRule="auto"/>
            <w:rPr>
              <w:rFonts w:ascii="Calibri" w:hAnsi="Calibri" w:cs="Calibri"/>
            </w:rPr>
          </w:pPr>
          <w:r w:rsidRPr="00BD4F7A">
            <w:rPr>
              <w:rFonts w:ascii="Calibri" w:hAnsi="Calibri" w:cs="Calibri"/>
            </w:rPr>
            <w:fldChar w:fldCharType="end"/>
          </w:r>
          <w:r w:rsidRPr="00BD4F7A">
            <w:rPr>
              <w:rFonts w:ascii="Calibri" w:hAnsi="Calibri" w:cs="Calibri"/>
            </w:rPr>
            <w:br w:type="page"/>
          </w:r>
        </w:p>
        <w:p w14:paraId="32498C7E" w14:textId="77777777" w:rsidR="00BD4F7A" w:rsidRPr="00BD4F7A" w:rsidRDefault="00BD4F7A" w:rsidP="00E2232E">
          <w:pPr>
            <w:pStyle w:val="Heading1"/>
            <w:spacing w:line="240" w:lineRule="auto"/>
            <w:rPr>
              <w:rFonts w:ascii="Calibri" w:hAnsi="Calibri" w:cs="Calibri"/>
              <w:color w:val="auto"/>
            </w:rPr>
          </w:pPr>
          <w:bookmarkStart w:id="2" w:name="_Toc228108811"/>
          <w:r w:rsidRPr="00BD4F7A">
            <w:rPr>
              <w:rFonts w:ascii="Calibri" w:hAnsi="Calibri" w:cs="Calibri"/>
              <w:color w:val="auto"/>
            </w:rPr>
            <w:lastRenderedPageBreak/>
            <w:t>1.Introduction</w:t>
          </w:r>
          <w:bookmarkEnd w:id="2"/>
          <w:r w:rsidRPr="00BD4F7A">
            <w:rPr>
              <w:rFonts w:ascii="Calibri" w:hAnsi="Calibri" w:cs="Calibri"/>
              <w:color w:val="auto"/>
            </w:rPr>
            <w:t xml:space="preserve">  </w:t>
          </w:r>
        </w:p>
        <w:p w14:paraId="4A9F8807" w14:textId="7777777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IVS (Industrial Valve Services) is a valve technician-based company based in Pembroke-dock, Swansea, and recently in Southampton, which specializes in maintenance, repair, and testing of various valves, ranging from control valves, pilot-operated relief valves to PSVs (pressure safety valves) or PRVs (pressure relief valves). Across the years, IVS has gone through many changes, ranging from changes with management to clock-in systems &amp; new software, replacing its manual clocking-in system with a new digital platform (SAGE HR) to track employee hours and to manage payroll more efficiently. The main driving force for this change was due to the major changes in management, as well as the fact that IVS went public with backing from </w:t>
          </w:r>
          <w:proofErr w:type="spellStart"/>
          <w:r w:rsidRPr="00BD4F7A">
            <w:rPr>
              <w:rFonts w:ascii="Calibri" w:hAnsi="Calibri" w:cs="Calibri"/>
              <w:sz w:val="24"/>
              <w:szCs w:val="24"/>
            </w:rPr>
            <w:t>Amcomri</w:t>
          </w:r>
          <w:proofErr w:type="spellEnd"/>
          <w:r w:rsidRPr="00BD4F7A">
            <w:rPr>
              <w:rFonts w:ascii="Calibri" w:hAnsi="Calibri" w:cs="Calibri"/>
              <w:sz w:val="24"/>
              <w:szCs w:val="24"/>
            </w:rPr>
            <w:t xml:space="preserve"> Group plc, enforcing new rules with the need for more efficient timekeeping and integration with HR systems. However, with new changes come issues, including many senior and long-term serving employees expressing resistance to these changes, due to differences in expectations employees have over their managerial/employer counterparts, which creates a lot of tension in the workplace. </w:t>
          </w:r>
        </w:p>
        <w:p w14:paraId="65324E9B" w14:textId="7777777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They found the new systems unfamiliar and were more comfortable with the old systems in place, with many also expressing that they don’t have the required digital literacy skills to use the required app, meaning the company had to train and purchase company devices so that they could implement these systems fully.</w:t>
          </w:r>
        </w:p>
        <w:p w14:paraId="55FE76E2" w14:textId="65FF2D64"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The reason why organisational change is required within IVS is that it is an essential tool used for a company to stay competitive within its operational efficiency (Mullins &amp; Rees., </w:t>
          </w:r>
          <w:r w:rsidR="0074096F" w:rsidRPr="00BD4F7A">
            <w:rPr>
              <w:rFonts w:ascii="Calibri" w:hAnsi="Calibri" w:cs="Calibri"/>
              <w:sz w:val="24"/>
              <w:szCs w:val="24"/>
            </w:rPr>
            <w:t>2023) (</w:t>
          </w:r>
          <w:r w:rsidRPr="00BD4F7A">
            <w:rPr>
              <w:rFonts w:ascii="Calibri" w:hAnsi="Calibri" w:cs="Calibri"/>
              <w:sz w:val="24"/>
              <w:szCs w:val="24"/>
            </w:rPr>
            <w:t xml:space="preserve">Burnes, Managing change, 2017). However, having poorly managed change can make this implementation much harder, with resistance and reduced morale, possibly leading to implementation failure (Kotter, 1995). </w:t>
          </w:r>
        </w:p>
        <w:p w14:paraId="1E23AF7E" w14:textId="7777777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This report examines how the SAGE HR Implementation was managed within the company, evaluating its effectiveness, applying various theories of change, such as Lewin’s Force Field analysis, to identify the driving and restraining factors within the changes made, to evaluate the process of its implementation, and to provide recommendations for future implementations.</w:t>
          </w:r>
        </w:p>
        <w:p w14:paraId="5A10441F" w14:textId="77777777" w:rsidR="00BD4F7A" w:rsidRPr="00BD4F7A" w:rsidRDefault="00BD4F7A" w:rsidP="00E2232E">
          <w:pPr>
            <w:spacing w:line="240" w:lineRule="auto"/>
            <w:ind w:firstLine="720"/>
            <w:rPr>
              <w:rFonts w:ascii="Calibri" w:hAnsi="Calibri" w:cs="Calibri"/>
            </w:rPr>
          </w:pPr>
          <w:r w:rsidRPr="00BD4F7A">
            <w:rPr>
              <w:rFonts w:ascii="Calibri" w:hAnsi="Calibri" w:cs="Calibri"/>
            </w:rPr>
            <w:br w:type="page"/>
          </w:r>
        </w:p>
        <w:p w14:paraId="3D1240D0" w14:textId="77777777" w:rsidR="00BD4F7A" w:rsidRPr="00BD4F7A" w:rsidRDefault="00BD4F7A" w:rsidP="00E2232E">
          <w:pPr>
            <w:pStyle w:val="Heading1"/>
            <w:spacing w:line="240" w:lineRule="auto"/>
            <w:rPr>
              <w:rFonts w:ascii="Calibri" w:hAnsi="Calibri" w:cs="Calibri"/>
              <w:color w:val="auto"/>
            </w:rPr>
          </w:pPr>
          <w:bookmarkStart w:id="3" w:name="_Toc228108812"/>
          <w:r w:rsidRPr="00BD4F7A">
            <w:rPr>
              <w:rFonts w:ascii="Calibri" w:hAnsi="Calibri" w:cs="Calibri"/>
              <w:color w:val="auto"/>
            </w:rPr>
            <w:lastRenderedPageBreak/>
            <w:t>2.Main Findings</w:t>
          </w:r>
          <w:bookmarkEnd w:id="3"/>
        </w:p>
        <w:p w14:paraId="004D4674" w14:textId="77777777" w:rsidR="00BD4F7A" w:rsidRPr="00BD4F7A" w:rsidRDefault="00BD4F7A" w:rsidP="00E2232E">
          <w:pPr>
            <w:pStyle w:val="Heading2"/>
            <w:spacing w:line="240" w:lineRule="auto"/>
            <w:rPr>
              <w:rFonts w:ascii="Calibri" w:hAnsi="Calibri" w:cs="Calibri"/>
              <w:color w:val="auto"/>
            </w:rPr>
          </w:pPr>
          <w:bookmarkStart w:id="4" w:name="_Toc228108813"/>
          <w:r w:rsidRPr="00BD4F7A">
            <w:rPr>
              <w:rFonts w:ascii="Calibri" w:hAnsi="Calibri" w:cs="Calibri"/>
              <w:color w:val="auto"/>
            </w:rPr>
            <w:t>2.1. Evaluation of the change within management.</w:t>
          </w:r>
          <w:bookmarkEnd w:id="4"/>
        </w:p>
        <w:p w14:paraId="2F949048" w14:textId="10D08F5A"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The implementation of the new system, SAGE HR, was a completely top-down idea, with minimal employee involvement. With simply one meeting prior to its implementation, followed by a very basic training session, mainly consisting of just installing the app on the devices &amp; providing logins to the system, the meeting lasted 10 minutes with the employees, being told to figure it out. According to Kotter </w:t>
          </w:r>
          <w:sdt>
            <w:sdtPr>
              <w:rPr>
                <w:rFonts w:ascii="Calibri" w:hAnsi="Calibri" w:cs="Calibri"/>
                <w:sz w:val="24"/>
                <w:szCs w:val="24"/>
              </w:rPr>
              <w:id w:val="455685721"/>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App12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(Appelbaum, Habashy, Malo, &amp; Shafiq, 2012)</w:t>
              </w:r>
              <w:r w:rsidRPr="00BD4F7A">
                <w:rPr>
                  <w:rFonts w:ascii="Calibri" w:hAnsi="Calibri" w:cs="Calibri"/>
                  <w:sz w:val="24"/>
                  <w:szCs w:val="24"/>
                </w:rPr>
                <w:fldChar w:fldCharType="end"/>
              </w:r>
            </w:sdtContent>
          </w:sdt>
          <w:sdt>
            <w:sdtPr>
              <w:rPr>
                <w:rFonts w:ascii="Calibri" w:hAnsi="Calibri" w:cs="Calibri"/>
                <w:sz w:val="24"/>
                <w:szCs w:val="24"/>
              </w:rPr>
              <w:id w:val="1208676257"/>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Kot95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(Kotter, 1995)</w:t>
              </w:r>
              <w:r w:rsidRPr="00BD4F7A">
                <w:rPr>
                  <w:rFonts w:ascii="Calibri" w:hAnsi="Calibri" w:cs="Calibri"/>
                  <w:sz w:val="24"/>
                  <w:szCs w:val="24"/>
                </w:rPr>
                <w:fldChar w:fldCharType="end"/>
              </w:r>
            </w:sdtContent>
          </w:sdt>
          <w:r w:rsidRPr="00BD4F7A">
            <w:rPr>
              <w:rFonts w:ascii="Calibri" w:hAnsi="Calibri" w:cs="Calibri"/>
              <w:sz w:val="24"/>
              <w:szCs w:val="24"/>
            </w:rPr>
            <w:t>, achieving effective change requires creating urgency within the company, enabling participation, and building coalitions, which were largely absent when it came to the implementation within IVS.</w:t>
          </w:r>
        </w:p>
        <w:p w14:paraId="716FE037" w14:textId="25DB5AE2"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The lack of input from the employees, regarding the implementation, contributed to significantly more employee resistance. </w:t>
          </w:r>
          <w:sdt>
            <w:sdtPr>
              <w:rPr>
                <w:rFonts w:ascii="Calibri" w:hAnsi="Calibri" w:cs="Calibri"/>
                <w:sz w:val="24"/>
                <w:szCs w:val="24"/>
              </w:rPr>
              <w:id w:val="540175156"/>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Lau23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(Mullins &amp; Rees., 2023)</w:t>
              </w:r>
              <w:r w:rsidRPr="00BD4F7A">
                <w:rPr>
                  <w:rFonts w:ascii="Calibri" w:hAnsi="Calibri" w:cs="Calibri"/>
                  <w:sz w:val="24"/>
                  <w:szCs w:val="24"/>
                </w:rPr>
                <w:fldChar w:fldCharType="end"/>
              </w:r>
            </w:sdtContent>
          </w:sdt>
          <w:r w:rsidRPr="00BD4F7A">
            <w:rPr>
              <w:rFonts w:ascii="Calibri" w:hAnsi="Calibri" w:cs="Calibri"/>
              <w:sz w:val="24"/>
              <w:szCs w:val="24"/>
            </w:rPr>
            <w:t xml:space="preserve"> </w:t>
          </w:r>
          <w:sdt>
            <w:sdtPr>
              <w:rPr>
                <w:rFonts w:ascii="Calibri" w:hAnsi="Calibri" w:cs="Calibri"/>
                <w:sz w:val="24"/>
                <w:szCs w:val="24"/>
              </w:rPr>
              <w:id w:val="1857304271"/>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Ore06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(Oreg, Personality, context, and resistance to organizational change, 2006)</w:t>
              </w:r>
              <w:r w:rsidRPr="00BD4F7A">
                <w:rPr>
                  <w:rFonts w:ascii="Calibri" w:hAnsi="Calibri" w:cs="Calibri"/>
                  <w:sz w:val="24"/>
                  <w:szCs w:val="24"/>
                </w:rPr>
                <w:fldChar w:fldCharType="end"/>
              </w:r>
            </w:sdtContent>
          </w:sdt>
          <w:r w:rsidRPr="00BD4F7A">
            <w:rPr>
              <w:rFonts w:ascii="Calibri" w:hAnsi="Calibri" w:cs="Calibri"/>
              <w:sz w:val="24"/>
              <w:szCs w:val="24"/>
            </w:rPr>
            <w:t xml:space="preserve"> argue that when applying change within the workplace, employee involvement is a critical component for it to succeed, due to reducing the uncertainty and improving the commitment employees have towards the change. In the case of IVS, the employees, in this case, the older workers, felt massively excluded, which led to resistance and disengagement </w:t>
          </w:r>
          <w:sdt>
            <w:sdtPr>
              <w:rPr>
                <w:rFonts w:ascii="Calibri" w:hAnsi="Calibri" w:cs="Calibri"/>
                <w:sz w:val="24"/>
                <w:szCs w:val="24"/>
              </w:rPr>
              <w:id w:val="-1295677340"/>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Ore11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(Oreg, Vakola, &amp; Armenakis, Change Recipients’ Reactions to Organizational Change, 2011)</w:t>
              </w:r>
              <w:r w:rsidRPr="00BD4F7A">
                <w:rPr>
                  <w:rFonts w:ascii="Calibri" w:hAnsi="Calibri" w:cs="Calibri"/>
                  <w:sz w:val="24"/>
                  <w:szCs w:val="24"/>
                </w:rPr>
                <w:fldChar w:fldCharType="end"/>
              </w:r>
            </w:sdtContent>
          </w:sdt>
          <w:r w:rsidRPr="00BD4F7A">
            <w:rPr>
              <w:rFonts w:ascii="Calibri" w:hAnsi="Calibri" w:cs="Calibri"/>
              <w:sz w:val="24"/>
              <w:szCs w:val="24"/>
            </w:rPr>
            <w:t>. This led to key workers within the company sadly departing, stating that the company didn’t require the change and that it wasn’t worth spending their remaining years relearning new systems when they could just retire.</w:t>
          </w:r>
        </w:p>
        <w:p w14:paraId="6BF97FD6" w14:textId="60189E32"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With the implementation of these new systems, one of the key contributors to the Pushback by the older employees was due to the Training and provision being inadequate for the speed at which it was implemented, requiring employees to go home and by the morning completely understand the new system and all of its kinks, without any training at all. The only meeting that we had on the app was just the downloading of the application on either company devices or personal ones, which many employees weren’t happy with due to failing to accommodate different learning needs, particularly for employees with lower digital literacy </w:t>
          </w:r>
          <w:sdt>
            <w:sdtPr>
              <w:rPr>
                <w:rFonts w:ascii="Calibri" w:hAnsi="Calibri" w:cs="Calibri"/>
                <w:sz w:val="24"/>
                <w:szCs w:val="24"/>
              </w:rPr>
              <w:id w:val="-683676324"/>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Per89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(Davis, 1989)</w:t>
              </w:r>
              <w:r w:rsidRPr="00BD4F7A">
                <w:rPr>
                  <w:rFonts w:ascii="Calibri" w:hAnsi="Calibri" w:cs="Calibri"/>
                  <w:sz w:val="24"/>
                  <w:szCs w:val="24"/>
                </w:rPr>
                <w:fldChar w:fldCharType="end"/>
              </w:r>
            </w:sdtContent>
          </w:sdt>
          <w:r w:rsidRPr="00BD4F7A">
            <w:rPr>
              <w:rFonts w:ascii="Calibri" w:hAnsi="Calibri" w:cs="Calibri"/>
              <w:sz w:val="24"/>
              <w:szCs w:val="24"/>
            </w:rPr>
            <w:t xml:space="preserve">, as well as the possible invasion of privacy, led by downloading on personal devices. Research by Burnes </w:t>
          </w:r>
          <w:sdt>
            <w:sdtPr>
              <w:rPr>
                <w:rFonts w:ascii="Calibri" w:hAnsi="Calibri" w:cs="Calibri"/>
                <w:sz w:val="24"/>
                <w:szCs w:val="24"/>
              </w:rPr>
              <w:id w:val="-745030790"/>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Ber17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(Burnes, Managing change, 2017)</w:t>
              </w:r>
              <w:r w:rsidRPr="00BD4F7A">
                <w:rPr>
                  <w:rFonts w:ascii="Calibri" w:hAnsi="Calibri" w:cs="Calibri"/>
                  <w:sz w:val="24"/>
                  <w:szCs w:val="24"/>
                </w:rPr>
                <w:fldChar w:fldCharType="end"/>
              </w:r>
            </w:sdtContent>
          </w:sdt>
          <w:r w:rsidRPr="00BD4F7A">
            <w:rPr>
              <w:rFonts w:ascii="Calibri" w:hAnsi="Calibri" w:cs="Calibri"/>
              <w:sz w:val="24"/>
              <w:szCs w:val="24"/>
            </w:rPr>
            <w:t xml:space="preserve">and Venkatesh et al. </w:t>
          </w:r>
          <w:sdt>
            <w:sdtPr>
              <w:rPr>
                <w:rFonts w:ascii="Calibri" w:hAnsi="Calibri" w:cs="Calibri"/>
                <w:sz w:val="24"/>
                <w:szCs w:val="24"/>
              </w:rPr>
              <w:id w:val="-675579700"/>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Ven03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(Venkatesh, Morris, Davis, &amp; Davis, 2003)</w:t>
              </w:r>
              <w:r w:rsidRPr="00BD4F7A">
                <w:rPr>
                  <w:rFonts w:ascii="Calibri" w:hAnsi="Calibri" w:cs="Calibri"/>
                  <w:sz w:val="24"/>
                  <w:szCs w:val="24"/>
                </w:rPr>
                <w:fldChar w:fldCharType="end"/>
              </w:r>
            </w:sdtContent>
          </w:sdt>
          <w:r w:rsidRPr="00BD4F7A">
            <w:rPr>
              <w:rFonts w:ascii="Calibri" w:hAnsi="Calibri" w:cs="Calibri"/>
              <w:sz w:val="24"/>
              <w:szCs w:val="24"/>
            </w:rPr>
            <w:t xml:space="preserve"> mentions that continuous learning and perceived ease of use are essential requirements when implementing technological change.</w:t>
          </w:r>
        </w:p>
        <w:p w14:paraId="5DAA1745" w14:textId="638B0B75"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Additionally, IVS failed to implement a phased transition of the new changes, which Hayes </w:t>
          </w:r>
          <w:sdt>
            <w:sdtPr>
              <w:rPr>
                <w:rFonts w:ascii="Calibri" w:hAnsi="Calibri" w:cs="Calibri"/>
                <w:sz w:val="24"/>
                <w:szCs w:val="24"/>
              </w:rPr>
              <w:id w:val="-688295884"/>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Joh25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(Hayes, 2025)</w:t>
              </w:r>
              <w:r w:rsidRPr="00BD4F7A">
                <w:rPr>
                  <w:rFonts w:ascii="Calibri" w:hAnsi="Calibri" w:cs="Calibri"/>
                  <w:sz w:val="24"/>
                  <w:szCs w:val="24"/>
                </w:rPr>
                <w:fldChar w:fldCharType="end"/>
              </w:r>
            </w:sdtContent>
          </w:sdt>
          <w:r w:rsidRPr="00BD4F7A">
            <w:rPr>
              <w:rFonts w:ascii="Calibri" w:hAnsi="Calibri" w:cs="Calibri"/>
              <w:sz w:val="24"/>
              <w:szCs w:val="24"/>
            </w:rPr>
            <w:t xml:space="preserve"> suggests that a more gradual approach to implementing change reduces the possible disruption and allows for feedback on where it can improve, further allowing the older lot to get comfortable with the change more gradually. The instant switch to the new systems introduced major stresses on not just employees but also payroll staff which resulted in errors on Payday, which further disoriented the employees to the new changes, highlighting that issues like this never happened during the old system, reinforcing the findings of Bordia on the uncertainty within the company during major organisational change </w:t>
          </w:r>
          <w:sdt>
            <w:sdtPr>
              <w:rPr>
                <w:rFonts w:ascii="Calibri" w:hAnsi="Calibri" w:cs="Calibri"/>
                <w:sz w:val="24"/>
                <w:szCs w:val="24"/>
              </w:rPr>
              <w:id w:val="-1898664407"/>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Bor04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(Bordia, Hobman, Jones, Gallois, &amp; Callan, 2004)</w:t>
              </w:r>
              <w:r w:rsidRPr="00BD4F7A">
                <w:rPr>
                  <w:rFonts w:ascii="Calibri" w:hAnsi="Calibri" w:cs="Calibri"/>
                  <w:sz w:val="24"/>
                  <w:szCs w:val="24"/>
                </w:rPr>
                <w:fldChar w:fldCharType="end"/>
              </w:r>
            </w:sdtContent>
          </w:sdt>
          <w:r w:rsidRPr="00BD4F7A">
            <w:rPr>
              <w:rFonts w:ascii="Calibri" w:hAnsi="Calibri" w:cs="Calibri"/>
              <w:sz w:val="24"/>
              <w:szCs w:val="24"/>
            </w:rPr>
            <w:t>.</w:t>
          </w:r>
        </w:p>
        <w:p w14:paraId="614BACDF" w14:textId="554EF330"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In total, the process of implementation was completely ineffective, as while the system was implemented within the company, the acceptance of the employees was very low, eventually leading to returning to the old system of time clocking, with everyone </w:t>
          </w:r>
          <w:r w:rsidRPr="00BD4F7A">
            <w:rPr>
              <w:rFonts w:ascii="Calibri" w:hAnsi="Calibri" w:cs="Calibri"/>
              <w:sz w:val="24"/>
              <w:szCs w:val="24"/>
            </w:rPr>
            <w:lastRenderedPageBreak/>
            <w:t xml:space="preserve">returning to a paper based system in which we log all of our work done during the day, showing job numbers and date, in which we return to the office at end of day. The only thing that stuck with the implementation was the payroll system and holiday booking, since the cost of implementation was too great for the employer to go back on, with them spending great sums of money training the payroll staff before implementation, demonstrating a failure in managing the human aspects of change </w:t>
          </w:r>
          <w:sdt>
            <w:sdtPr>
              <w:rPr>
                <w:rFonts w:ascii="Calibri" w:hAnsi="Calibri" w:cs="Calibri"/>
                <w:sz w:val="24"/>
                <w:szCs w:val="24"/>
              </w:rPr>
              <w:id w:val="705138093"/>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CITATION ByR05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(Todnem, 2005)</w:t>
              </w:r>
              <w:r w:rsidRPr="00BD4F7A">
                <w:rPr>
                  <w:rFonts w:ascii="Calibri" w:hAnsi="Calibri" w:cs="Calibri"/>
                  <w:sz w:val="24"/>
                  <w:szCs w:val="24"/>
                </w:rPr>
                <w:fldChar w:fldCharType="end"/>
              </w:r>
            </w:sdtContent>
          </w:sdt>
          <w:r w:rsidRPr="00BD4F7A">
            <w:rPr>
              <w:rFonts w:ascii="Calibri" w:hAnsi="Calibri" w:cs="Calibri"/>
              <w:sz w:val="24"/>
              <w:szCs w:val="24"/>
            </w:rPr>
            <w:t>.</w:t>
          </w:r>
        </w:p>
        <w:p w14:paraId="2F33DC0D" w14:textId="77777777" w:rsidR="00BD4F7A" w:rsidRPr="00BD4F7A" w:rsidRDefault="00BD4F7A" w:rsidP="00E2232E">
          <w:pPr>
            <w:spacing w:line="240" w:lineRule="auto"/>
            <w:rPr>
              <w:rFonts w:ascii="Calibri" w:hAnsi="Calibri" w:cs="Calibri"/>
            </w:rPr>
          </w:pPr>
        </w:p>
        <w:p w14:paraId="738DADEB" w14:textId="77777777" w:rsidR="00BD4F7A" w:rsidRPr="00BD4F7A" w:rsidRDefault="00BD4F7A" w:rsidP="00E2232E">
          <w:pPr>
            <w:pStyle w:val="Heading2"/>
            <w:spacing w:line="240" w:lineRule="auto"/>
            <w:rPr>
              <w:rFonts w:ascii="Calibri" w:hAnsi="Calibri" w:cs="Calibri"/>
              <w:color w:val="auto"/>
            </w:rPr>
          </w:pPr>
          <w:bookmarkStart w:id="5" w:name="_Toc228108814"/>
          <w:r w:rsidRPr="00BD4F7A">
            <w:rPr>
              <w:rFonts w:ascii="Calibri" w:hAnsi="Calibri" w:cs="Calibri"/>
              <w:color w:val="auto"/>
            </w:rPr>
            <w:t>2.2. Force field analysis</w:t>
          </w:r>
          <w:bookmarkEnd w:id="5"/>
        </w:p>
        <w:p w14:paraId="1D56105A" w14:textId="77777777" w:rsidR="00BD4F7A" w:rsidRPr="00BD4F7A" w:rsidRDefault="00BD4F7A" w:rsidP="00E2232E">
          <w:pPr>
            <w:spacing w:line="240" w:lineRule="auto"/>
            <w:jc w:val="center"/>
            <w:rPr>
              <w:rFonts w:ascii="Calibri" w:hAnsi="Calibri" w:cs="Calibri"/>
            </w:rPr>
          </w:pPr>
          <w:r w:rsidRPr="00BD4F7A">
            <w:rPr>
              <w:rFonts w:ascii="Calibri" w:hAnsi="Calibri" w:cs="Calibri"/>
              <w:noProof/>
            </w:rPr>
            <w:drawing>
              <wp:inline distT="0" distB="0" distL="0" distR="0" wp14:anchorId="3E2AE60D" wp14:editId="0EC84FA0">
                <wp:extent cx="5731510" cy="3848100"/>
                <wp:effectExtent l="0" t="0" r="2540" b="0"/>
                <wp:docPr id="12450709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70938" name="Picture 1245070938"/>
                        <pic:cNvPicPr/>
                      </pic:nvPicPr>
                      <pic:blipFill rotWithShape="1">
                        <a:blip r:embed="rId11" cstate="print">
                          <a:extLst>
                            <a:ext uri="{28A0092B-C50C-407E-A947-70E740481C1C}">
                              <a14:useLocalDpi xmlns:a14="http://schemas.microsoft.com/office/drawing/2010/main" val="0"/>
                            </a:ext>
                          </a:extLst>
                        </a:blip>
                        <a:srcRect b="5030"/>
                        <a:stretch>
                          <a:fillRect/>
                        </a:stretch>
                      </pic:blipFill>
                      <pic:spPr bwMode="auto">
                        <a:xfrm>
                          <a:off x="0" y="0"/>
                          <a:ext cx="5731510" cy="3848100"/>
                        </a:xfrm>
                        <a:prstGeom prst="rect">
                          <a:avLst/>
                        </a:prstGeom>
                        <a:ln>
                          <a:noFill/>
                        </a:ln>
                        <a:extLst>
                          <a:ext uri="{53640926-AAD7-44D8-BBD7-CCE9431645EC}">
                            <a14:shadowObscured xmlns:a14="http://schemas.microsoft.com/office/drawing/2010/main"/>
                          </a:ext>
                        </a:extLst>
                      </pic:spPr>
                    </pic:pic>
                  </a:graphicData>
                </a:graphic>
              </wp:inline>
            </w:drawing>
          </w:r>
        </w:p>
        <w:p w14:paraId="09BE0977" w14:textId="77777777" w:rsidR="00BD4F7A" w:rsidRPr="00BD4F7A" w:rsidRDefault="00BD4F7A" w:rsidP="00E2232E">
          <w:pPr>
            <w:pStyle w:val="Caption"/>
            <w:jc w:val="center"/>
            <w:rPr>
              <w:rFonts w:ascii="Calibri" w:hAnsi="Calibri" w:cs="Calibri"/>
              <w:color w:val="auto"/>
              <w:sz w:val="20"/>
              <w:szCs w:val="20"/>
            </w:rPr>
          </w:pPr>
          <w:bookmarkStart w:id="6" w:name="_Toc228103889"/>
          <w:r w:rsidRPr="00BD4F7A">
            <w:rPr>
              <w:rFonts w:ascii="Calibri" w:hAnsi="Calibri" w:cs="Calibri"/>
              <w:color w:val="auto"/>
              <w:sz w:val="20"/>
              <w:szCs w:val="20"/>
            </w:rPr>
            <w:t xml:space="preserve">Figure </w:t>
          </w:r>
          <w:r w:rsidRPr="00BD4F7A">
            <w:rPr>
              <w:rFonts w:ascii="Calibri" w:hAnsi="Calibri" w:cs="Calibri"/>
              <w:color w:val="auto"/>
              <w:sz w:val="20"/>
              <w:szCs w:val="20"/>
            </w:rPr>
            <w:fldChar w:fldCharType="begin"/>
          </w:r>
          <w:r w:rsidRPr="00BD4F7A">
            <w:rPr>
              <w:rFonts w:ascii="Calibri" w:hAnsi="Calibri" w:cs="Calibri"/>
              <w:color w:val="auto"/>
              <w:sz w:val="20"/>
              <w:szCs w:val="20"/>
            </w:rPr>
            <w:instrText xml:space="preserve"> SEQ Figure \* ARABIC </w:instrText>
          </w:r>
          <w:r w:rsidRPr="00BD4F7A">
            <w:rPr>
              <w:rFonts w:ascii="Calibri" w:hAnsi="Calibri" w:cs="Calibri"/>
              <w:color w:val="auto"/>
              <w:sz w:val="20"/>
              <w:szCs w:val="20"/>
            </w:rPr>
            <w:fldChar w:fldCharType="separate"/>
          </w:r>
          <w:r w:rsidRPr="00BD4F7A">
            <w:rPr>
              <w:rFonts w:ascii="Calibri" w:hAnsi="Calibri" w:cs="Calibri"/>
              <w:noProof/>
              <w:color w:val="auto"/>
              <w:sz w:val="20"/>
              <w:szCs w:val="20"/>
            </w:rPr>
            <w:t>1</w:t>
          </w:r>
          <w:r w:rsidRPr="00BD4F7A">
            <w:rPr>
              <w:rFonts w:ascii="Calibri" w:hAnsi="Calibri" w:cs="Calibri"/>
              <w:color w:val="auto"/>
              <w:sz w:val="20"/>
              <w:szCs w:val="20"/>
            </w:rPr>
            <w:fldChar w:fldCharType="end"/>
          </w:r>
          <w:r w:rsidRPr="00BD4F7A">
            <w:rPr>
              <w:rFonts w:ascii="Calibri" w:hAnsi="Calibri" w:cs="Calibri"/>
              <w:color w:val="auto"/>
              <w:sz w:val="20"/>
              <w:szCs w:val="20"/>
            </w:rPr>
            <w:t>: Force Field Analysis of Sage HR Implementation</w:t>
          </w:r>
          <w:bookmarkEnd w:id="6"/>
        </w:p>
        <w:p w14:paraId="5A7DD99E" w14:textId="4DD2EE90"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Figure 1 above shows the balance between the restraining forces and the driving forces that affect the implementation of the new SAGE HR system. This diagram highlights the type of restraining forces that were seen during the implementation of a new system, such as employee resistance, lack of training, Habit/status quo &amp; poor communication, which outweighed the driving forces of efficiency &amp; accuracy, management vision &amp; modernisation pressure, which contributed to the limited adoption of the new system. Lewin’s Force Field Analysis is used to provide a framework for understanding the dynamics of change </w:t>
          </w:r>
          <w:sdt>
            <w:sdtPr>
              <w:rPr>
                <w:rFonts w:ascii="Calibri" w:hAnsi="Calibri" w:cs="Calibri"/>
                <w:sz w:val="24"/>
                <w:szCs w:val="24"/>
              </w:rPr>
              <w:id w:val="-464426794"/>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Lew51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(Lewin, 1951)</w:t>
              </w:r>
              <w:r w:rsidRPr="00BD4F7A">
                <w:rPr>
                  <w:rFonts w:ascii="Calibri" w:hAnsi="Calibri" w:cs="Calibri"/>
                  <w:sz w:val="24"/>
                  <w:szCs w:val="24"/>
                </w:rPr>
                <w:fldChar w:fldCharType="end"/>
              </w:r>
            </w:sdtContent>
          </w:sdt>
          <w:sdt>
            <w:sdtPr>
              <w:rPr>
                <w:rFonts w:ascii="Calibri" w:hAnsi="Calibri" w:cs="Calibri"/>
                <w:sz w:val="24"/>
                <w:szCs w:val="24"/>
              </w:rPr>
              <w:id w:val="-1027484961"/>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Bur17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(Burnes &amp; Bargal, Kurt Lewin: 70 Years on, 2017)</w:t>
              </w:r>
              <w:r w:rsidRPr="00BD4F7A">
                <w:rPr>
                  <w:rFonts w:ascii="Calibri" w:hAnsi="Calibri" w:cs="Calibri"/>
                  <w:sz w:val="24"/>
                  <w:szCs w:val="24"/>
                </w:rPr>
                <w:fldChar w:fldCharType="end"/>
              </w:r>
            </w:sdtContent>
          </w:sdt>
          <w:r w:rsidRPr="00BD4F7A">
            <w:rPr>
              <w:rFonts w:ascii="Calibri" w:hAnsi="Calibri" w:cs="Calibri"/>
              <w:sz w:val="24"/>
              <w:szCs w:val="24"/>
            </w:rPr>
            <w:t>.</w:t>
          </w:r>
        </w:p>
        <w:p w14:paraId="291275DD" w14:textId="77777777" w:rsidR="00BD4F7A" w:rsidRPr="00BD4F7A" w:rsidRDefault="00BD4F7A" w:rsidP="00E2232E">
          <w:pPr>
            <w:spacing w:line="240" w:lineRule="auto"/>
            <w:ind w:firstLine="360"/>
            <w:rPr>
              <w:rFonts w:ascii="Calibri" w:hAnsi="Calibri" w:cs="Calibri"/>
            </w:rPr>
          </w:pPr>
        </w:p>
        <w:p w14:paraId="4440759A" w14:textId="77777777" w:rsidR="00BD4F7A" w:rsidRPr="00BD4F7A" w:rsidRDefault="00BD4F7A" w:rsidP="00E2232E">
          <w:pPr>
            <w:spacing w:line="240" w:lineRule="auto"/>
            <w:rPr>
              <w:rFonts w:ascii="Calibri" w:hAnsi="Calibri" w:cs="Calibri"/>
              <w:sz w:val="24"/>
              <w:szCs w:val="24"/>
            </w:rPr>
          </w:pPr>
        </w:p>
        <w:p w14:paraId="77EC785F" w14:textId="77777777" w:rsidR="00BD4F7A" w:rsidRPr="00BD4F7A" w:rsidRDefault="00BD4F7A" w:rsidP="00E2232E">
          <w:pPr>
            <w:spacing w:line="240" w:lineRule="auto"/>
            <w:rPr>
              <w:rFonts w:ascii="Calibri" w:hAnsi="Calibri" w:cs="Calibri"/>
              <w:sz w:val="24"/>
              <w:szCs w:val="24"/>
            </w:rPr>
          </w:pPr>
          <w:r w:rsidRPr="00BD4F7A">
            <w:rPr>
              <w:rFonts w:ascii="Calibri" w:hAnsi="Calibri" w:cs="Calibri"/>
              <w:sz w:val="24"/>
              <w:szCs w:val="24"/>
            </w:rPr>
            <w:t xml:space="preserve">Driving Forces </w:t>
          </w:r>
        </w:p>
        <w:p w14:paraId="45D2D623" w14:textId="40093651" w:rsidR="00BD4F7A" w:rsidRPr="00BD4F7A" w:rsidRDefault="00BD4F7A" w:rsidP="00E2232E">
          <w:pPr>
            <w:spacing w:line="240" w:lineRule="auto"/>
            <w:rPr>
              <w:rFonts w:ascii="Calibri" w:hAnsi="Calibri" w:cs="Calibri"/>
              <w:sz w:val="24"/>
              <w:szCs w:val="24"/>
            </w:rPr>
          </w:pPr>
          <w:r w:rsidRPr="00BD4F7A">
            <w:rPr>
              <w:rFonts w:ascii="Calibri" w:hAnsi="Calibri" w:cs="Calibri"/>
              <w:sz w:val="24"/>
              <w:szCs w:val="24"/>
            </w:rPr>
            <w:t>• Desire for increased efficiency and accuracy</w:t>
          </w:r>
          <w:sdt>
            <w:sdtPr>
              <w:rPr>
                <w:rFonts w:ascii="Calibri" w:hAnsi="Calibri" w:cs="Calibri"/>
                <w:sz w:val="24"/>
                <w:szCs w:val="24"/>
              </w:rPr>
              <w:id w:val="104084145"/>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Kot95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(Kotter, 1995)</w:t>
              </w:r>
              <w:r w:rsidRPr="00BD4F7A">
                <w:rPr>
                  <w:rFonts w:ascii="Calibri" w:hAnsi="Calibri" w:cs="Calibri"/>
                  <w:sz w:val="24"/>
                  <w:szCs w:val="24"/>
                </w:rPr>
                <w:fldChar w:fldCharType="end"/>
              </w:r>
            </w:sdtContent>
          </w:sdt>
          <w:r w:rsidRPr="00BD4F7A">
            <w:rPr>
              <w:rFonts w:ascii="Calibri" w:hAnsi="Calibri" w:cs="Calibri"/>
              <w:sz w:val="24"/>
              <w:szCs w:val="24"/>
            </w:rPr>
            <w:t xml:space="preserve"> </w:t>
          </w:r>
        </w:p>
        <w:p w14:paraId="446DDFD8" w14:textId="2CA20681" w:rsidR="00BD4F7A" w:rsidRPr="00BD4F7A" w:rsidRDefault="00BD4F7A" w:rsidP="00E2232E">
          <w:pPr>
            <w:spacing w:line="240" w:lineRule="auto"/>
            <w:rPr>
              <w:rFonts w:ascii="Calibri" w:hAnsi="Calibri" w:cs="Calibri"/>
              <w:sz w:val="24"/>
              <w:szCs w:val="24"/>
            </w:rPr>
          </w:pPr>
          <w:r w:rsidRPr="00BD4F7A">
            <w:rPr>
              <w:rFonts w:ascii="Calibri" w:hAnsi="Calibri" w:cs="Calibri"/>
              <w:sz w:val="24"/>
              <w:szCs w:val="24"/>
            </w:rPr>
            <w:lastRenderedPageBreak/>
            <w:t xml:space="preserve">• Management’s strategic vision for digital transformation </w:t>
          </w:r>
          <w:sdt>
            <w:sdtPr>
              <w:rPr>
                <w:rFonts w:ascii="Calibri" w:hAnsi="Calibri" w:cs="Calibri"/>
                <w:sz w:val="24"/>
                <w:szCs w:val="24"/>
              </w:rPr>
              <w:id w:val="-13776132"/>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Bee00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(Beer &amp; Nohria, 2000)</w:t>
              </w:r>
              <w:r w:rsidRPr="00BD4F7A">
                <w:rPr>
                  <w:rFonts w:ascii="Calibri" w:hAnsi="Calibri" w:cs="Calibri"/>
                  <w:sz w:val="24"/>
                  <w:szCs w:val="24"/>
                </w:rPr>
                <w:fldChar w:fldCharType="end"/>
              </w:r>
            </w:sdtContent>
          </w:sdt>
        </w:p>
        <w:p w14:paraId="46314739" w14:textId="52733229" w:rsidR="00BD4F7A" w:rsidRPr="00BD4F7A" w:rsidRDefault="00BD4F7A" w:rsidP="00E2232E">
          <w:pPr>
            <w:spacing w:line="240" w:lineRule="auto"/>
            <w:rPr>
              <w:rFonts w:ascii="Calibri" w:hAnsi="Calibri" w:cs="Calibri"/>
              <w:sz w:val="24"/>
              <w:szCs w:val="24"/>
            </w:rPr>
          </w:pPr>
          <w:r w:rsidRPr="00BD4F7A">
            <w:rPr>
              <w:rFonts w:ascii="Calibri" w:hAnsi="Calibri" w:cs="Calibri"/>
              <w:sz w:val="24"/>
              <w:szCs w:val="24"/>
            </w:rPr>
            <w:t xml:space="preserve">• External pressures to modernise HR systems </w:t>
          </w:r>
          <w:sdt>
            <w:sdtPr>
              <w:rPr>
                <w:rFonts w:ascii="Calibri" w:hAnsi="Calibri" w:cs="Calibri"/>
                <w:sz w:val="24"/>
                <w:szCs w:val="24"/>
              </w:rPr>
              <w:id w:val="2068222559"/>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Pet12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(Pettigrew, 2012)</w:t>
              </w:r>
              <w:r w:rsidRPr="00BD4F7A">
                <w:rPr>
                  <w:rFonts w:ascii="Calibri" w:hAnsi="Calibri" w:cs="Calibri"/>
                  <w:sz w:val="24"/>
                  <w:szCs w:val="24"/>
                </w:rPr>
                <w:fldChar w:fldCharType="end"/>
              </w:r>
            </w:sdtContent>
          </w:sdt>
        </w:p>
        <w:p w14:paraId="6B8622CE" w14:textId="77777777" w:rsidR="00BD4F7A" w:rsidRPr="00BD4F7A" w:rsidRDefault="00BD4F7A" w:rsidP="00E2232E">
          <w:pPr>
            <w:spacing w:line="240" w:lineRule="auto"/>
            <w:rPr>
              <w:rFonts w:ascii="Calibri" w:hAnsi="Calibri" w:cs="Calibri"/>
              <w:sz w:val="24"/>
              <w:szCs w:val="24"/>
            </w:rPr>
          </w:pPr>
        </w:p>
        <w:p w14:paraId="13F23585" w14:textId="77777777" w:rsidR="00BD4F7A" w:rsidRPr="00BD4F7A" w:rsidRDefault="00BD4F7A" w:rsidP="00E2232E">
          <w:pPr>
            <w:spacing w:line="240" w:lineRule="auto"/>
            <w:rPr>
              <w:rFonts w:ascii="Calibri" w:hAnsi="Calibri" w:cs="Calibri"/>
              <w:sz w:val="24"/>
              <w:szCs w:val="24"/>
            </w:rPr>
          </w:pPr>
          <w:r w:rsidRPr="00BD4F7A">
            <w:rPr>
              <w:rFonts w:ascii="Calibri" w:hAnsi="Calibri" w:cs="Calibri"/>
              <w:sz w:val="24"/>
              <w:szCs w:val="24"/>
            </w:rPr>
            <w:t xml:space="preserve">Restraining Forces </w:t>
          </w:r>
        </w:p>
        <w:p w14:paraId="4DFBEC62" w14:textId="5CFFDF13" w:rsidR="00BD4F7A" w:rsidRPr="00BD4F7A" w:rsidRDefault="00BD4F7A" w:rsidP="00E2232E">
          <w:pPr>
            <w:spacing w:line="240" w:lineRule="auto"/>
            <w:rPr>
              <w:rFonts w:ascii="Calibri" w:hAnsi="Calibri" w:cs="Calibri"/>
              <w:sz w:val="24"/>
              <w:szCs w:val="24"/>
            </w:rPr>
          </w:pPr>
          <w:r w:rsidRPr="00BD4F7A">
            <w:rPr>
              <w:rFonts w:ascii="Calibri" w:hAnsi="Calibri" w:cs="Calibri"/>
              <w:sz w:val="24"/>
              <w:szCs w:val="24"/>
            </w:rPr>
            <w:t xml:space="preserve">• Employee resistance and fear of technology </w:t>
          </w:r>
          <w:sdt>
            <w:sdtPr>
              <w:rPr>
                <w:rFonts w:ascii="Calibri" w:hAnsi="Calibri" w:cs="Calibri"/>
                <w:sz w:val="24"/>
                <w:szCs w:val="24"/>
              </w:rPr>
              <w:id w:val="-1615284390"/>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Ore06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(Oreg, Personality, context, and resistance to organizational change, 2006)</w:t>
              </w:r>
              <w:r w:rsidRPr="00BD4F7A">
                <w:rPr>
                  <w:rFonts w:ascii="Calibri" w:hAnsi="Calibri" w:cs="Calibri"/>
                  <w:sz w:val="24"/>
                  <w:szCs w:val="24"/>
                </w:rPr>
                <w:fldChar w:fldCharType="end"/>
              </w:r>
            </w:sdtContent>
          </w:sdt>
        </w:p>
        <w:p w14:paraId="54A846DD" w14:textId="4368A457" w:rsidR="00BD4F7A" w:rsidRPr="00BD4F7A" w:rsidRDefault="00BD4F7A" w:rsidP="00E2232E">
          <w:pPr>
            <w:spacing w:line="240" w:lineRule="auto"/>
            <w:rPr>
              <w:rFonts w:ascii="Calibri" w:hAnsi="Calibri" w:cs="Calibri"/>
              <w:sz w:val="24"/>
              <w:szCs w:val="24"/>
            </w:rPr>
          </w:pPr>
          <w:r w:rsidRPr="00BD4F7A">
            <w:rPr>
              <w:rFonts w:ascii="Calibri" w:hAnsi="Calibri" w:cs="Calibri"/>
              <w:sz w:val="24"/>
              <w:szCs w:val="24"/>
            </w:rPr>
            <w:t xml:space="preserve">• Lack of training and digital skills </w:t>
          </w:r>
          <w:sdt>
            <w:sdtPr>
              <w:rPr>
                <w:rFonts w:ascii="Calibri" w:hAnsi="Calibri" w:cs="Calibri"/>
                <w:sz w:val="24"/>
                <w:szCs w:val="24"/>
              </w:rPr>
              <w:id w:val="1252861978"/>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Ven03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(Venkatesh, Morris, Davis, &amp; Davis, 2003)</w:t>
              </w:r>
              <w:r w:rsidRPr="00BD4F7A">
                <w:rPr>
                  <w:rFonts w:ascii="Calibri" w:hAnsi="Calibri" w:cs="Calibri"/>
                  <w:sz w:val="24"/>
                  <w:szCs w:val="24"/>
                </w:rPr>
                <w:fldChar w:fldCharType="end"/>
              </w:r>
            </w:sdtContent>
          </w:sdt>
        </w:p>
        <w:p w14:paraId="56B36F44" w14:textId="51BFF7D6" w:rsidR="00BD4F7A" w:rsidRPr="00BD4F7A" w:rsidRDefault="00BD4F7A" w:rsidP="00E2232E">
          <w:pPr>
            <w:spacing w:line="240" w:lineRule="auto"/>
            <w:rPr>
              <w:rFonts w:ascii="Calibri" w:hAnsi="Calibri" w:cs="Calibri"/>
              <w:sz w:val="24"/>
              <w:szCs w:val="24"/>
            </w:rPr>
          </w:pPr>
          <w:r w:rsidRPr="00BD4F7A">
            <w:rPr>
              <w:rFonts w:ascii="Calibri" w:hAnsi="Calibri" w:cs="Calibri"/>
              <w:sz w:val="24"/>
              <w:szCs w:val="24"/>
            </w:rPr>
            <w:t xml:space="preserve">• Strong attachment to existing routines </w:t>
          </w:r>
          <w:sdt>
            <w:sdtPr>
              <w:rPr>
                <w:rFonts w:ascii="Calibri" w:hAnsi="Calibri" w:cs="Calibri"/>
                <w:sz w:val="24"/>
                <w:szCs w:val="24"/>
              </w:rPr>
              <w:id w:val="-997183825"/>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Wei99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(Weick &amp; Quinn, 1999)</w:t>
              </w:r>
              <w:r w:rsidRPr="00BD4F7A">
                <w:rPr>
                  <w:rFonts w:ascii="Calibri" w:hAnsi="Calibri" w:cs="Calibri"/>
                  <w:sz w:val="24"/>
                  <w:szCs w:val="24"/>
                </w:rPr>
                <w:fldChar w:fldCharType="end"/>
              </w:r>
            </w:sdtContent>
          </w:sdt>
        </w:p>
        <w:p w14:paraId="3CC05B85" w14:textId="7C79D298" w:rsidR="00BD4F7A" w:rsidRPr="00BD4F7A" w:rsidRDefault="00BD4F7A" w:rsidP="00E2232E">
          <w:pPr>
            <w:spacing w:line="240" w:lineRule="auto"/>
            <w:rPr>
              <w:rFonts w:ascii="Calibri" w:hAnsi="Calibri" w:cs="Calibri"/>
              <w:sz w:val="24"/>
              <w:szCs w:val="24"/>
            </w:rPr>
          </w:pPr>
          <w:r w:rsidRPr="00BD4F7A">
            <w:rPr>
              <w:rFonts w:ascii="Calibri" w:hAnsi="Calibri" w:cs="Calibri"/>
              <w:sz w:val="24"/>
              <w:szCs w:val="24"/>
            </w:rPr>
            <w:t xml:space="preserve">• Poor communication and lack of trust </w:t>
          </w:r>
          <w:sdt>
            <w:sdtPr>
              <w:rPr>
                <w:rFonts w:ascii="Calibri" w:hAnsi="Calibri" w:cs="Calibri"/>
                <w:sz w:val="24"/>
                <w:szCs w:val="24"/>
              </w:rPr>
              <w:id w:val="1238057656"/>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Bor04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(Bordia, Hobman, Jones, Gallois, &amp; Callan, 2004)</w:t>
              </w:r>
              <w:r w:rsidRPr="00BD4F7A">
                <w:rPr>
                  <w:rFonts w:ascii="Calibri" w:hAnsi="Calibri" w:cs="Calibri"/>
                  <w:sz w:val="24"/>
                  <w:szCs w:val="24"/>
                </w:rPr>
                <w:fldChar w:fldCharType="end"/>
              </w:r>
            </w:sdtContent>
          </w:sdt>
        </w:p>
        <w:p w14:paraId="3A83D2A9" w14:textId="77777777" w:rsidR="00BD4F7A" w:rsidRPr="00BD4F7A" w:rsidRDefault="00BD4F7A" w:rsidP="00E2232E">
          <w:pPr>
            <w:spacing w:line="240" w:lineRule="auto"/>
            <w:rPr>
              <w:rFonts w:ascii="Calibri" w:hAnsi="Calibri" w:cs="Calibri"/>
              <w:sz w:val="24"/>
              <w:szCs w:val="24"/>
            </w:rPr>
          </w:pPr>
        </w:p>
        <w:p w14:paraId="6E3572F6" w14:textId="33241331"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According to Burnes </w:t>
          </w:r>
          <w:sdt>
            <w:sdtPr>
              <w:rPr>
                <w:rFonts w:ascii="Calibri" w:hAnsi="Calibri" w:cs="Calibri"/>
                <w:sz w:val="24"/>
                <w:szCs w:val="24"/>
              </w:rPr>
              <w:id w:val="326798332"/>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Ber17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(Burnes, Managing change, 2017)</w:t>
              </w:r>
              <w:r w:rsidRPr="00BD4F7A">
                <w:rPr>
                  <w:rFonts w:ascii="Calibri" w:hAnsi="Calibri" w:cs="Calibri"/>
                  <w:sz w:val="24"/>
                  <w:szCs w:val="24"/>
                </w:rPr>
                <w:fldChar w:fldCharType="end"/>
              </w:r>
            </w:sdtContent>
          </w:sdt>
          <w:r w:rsidRPr="00BD4F7A">
            <w:rPr>
              <w:rFonts w:ascii="Calibri" w:hAnsi="Calibri" w:cs="Calibri"/>
              <w:sz w:val="24"/>
              <w:szCs w:val="24"/>
            </w:rPr>
            <w:t xml:space="preserve">, achieving successful change requires strengthening the driving forces within the new system, while also reducing the restraining forces, ensuring an easy adoption of new systems. In the case of the adoption within IVS, this structure was not followed, in which the restraining forces were not addressed adequately, leading to a failure in adoption. This then shows that even with the best adoption of a new system, failing to minimise the restraining forces will lead to a failure in adoption to some level </w:t>
          </w:r>
          <w:sdt>
            <w:sdtPr>
              <w:rPr>
                <w:rFonts w:ascii="Calibri" w:hAnsi="Calibri" w:cs="Calibri"/>
                <w:sz w:val="24"/>
                <w:szCs w:val="24"/>
              </w:rPr>
              <w:id w:val="1563213079"/>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Swa14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(Swanson &amp; Creed, 2014)</w:t>
              </w:r>
              <w:r w:rsidRPr="00BD4F7A">
                <w:rPr>
                  <w:rFonts w:ascii="Calibri" w:hAnsi="Calibri" w:cs="Calibri"/>
                  <w:sz w:val="24"/>
                  <w:szCs w:val="24"/>
                </w:rPr>
                <w:fldChar w:fldCharType="end"/>
              </w:r>
            </w:sdtContent>
          </w:sdt>
          <w:r w:rsidRPr="00BD4F7A">
            <w:rPr>
              <w:rFonts w:ascii="Calibri" w:hAnsi="Calibri" w:cs="Calibri"/>
              <w:sz w:val="24"/>
              <w:szCs w:val="24"/>
            </w:rPr>
            <w:t>.</w:t>
          </w:r>
        </w:p>
        <w:p w14:paraId="138831D8" w14:textId="77777777" w:rsidR="00BD4F7A" w:rsidRPr="00BD4F7A" w:rsidRDefault="00BD4F7A" w:rsidP="00E2232E">
          <w:pPr>
            <w:spacing w:line="240" w:lineRule="auto"/>
            <w:rPr>
              <w:rFonts w:ascii="Calibri" w:hAnsi="Calibri" w:cs="Calibri"/>
            </w:rPr>
          </w:pPr>
          <w:r w:rsidRPr="00BD4F7A">
            <w:rPr>
              <w:rFonts w:ascii="Calibri" w:hAnsi="Calibri" w:cs="Calibri"/>
            </w:rPr>
            <w:t xml:space="preserve"> </w:t>
          </w:r>
        </w:p>
        <w:p w14:paraId="6AECE34A" w14:textId="77777777" w:rsidR="00BD4F7A" w:rsidRPr="00BD4F7A" w:rsidRDefault="00BD4F7A" w:rsidP="00E2232E">
          <w:pPr>
            <w:pStyle w:val="Heading2"/>
            <w:spacing w:line="240" w:lineRule="auto"/>
            <w:rPr>
              <w:rFonts w:ascii="Calibri" w:hAnsi="Calibri" w:cs="Calibri"/>
              <w:color w:val="auto"/>
            </w:rPr>
          </w:pPr>
          <w:bookmarkStart w:id="7" w:name="_Toc228108815"/>
          <w:r w:rsidRPr="00BD4F7A">
            <w:rPr>
              <w:rFonts w:ascii="Calibri" w:hAnsi="Calibri" w:cs="Calibri"/>
              <w:color w:val="auto"/>
            </w:rPr>
            <w:t>2.3. Application of Lewin’s Three-Step Model</w:t>
          </w:r>
          <w:bookmarkEnd w:id="7"/>
        </w:p>
        <w:p w14:paraId="1CD87416" w14:textId="77777777" w:rsidR="00BD4F7A" w:rsidRPr="00BD4F7A" w:rsidRDefault="00BD4F7A" w:rsidP="00E2232E">
          <w:pPr>
            <w:pStyle w:val="Heading3"/>
            <w:spacing w:line="240" w:lineRule="auto"/>
            <w:rPr>
              <w:rFonts w:ascii="Calibri" w:hAnsi="Calibri" w:cs="Calibri"/>
              <w:color w:val="auto"/>
            </w:rPr>
          </w:pPr>
          <w:bookmarkStart w:id="8" w:name="_Toc228108816"/>
          <w:r w:rsidRPr="00BD4F7A">
            <w:rPr>
              <w:rFonts w:ascii="Calibri" w:hAnsi="Calibri" w:cs="Calibri"/>
              <w:color w:val="auto"/>
            </w:rPr>
            <w:t>2.3.1 Unfreeze</w:t>
          </w:r>
          <w:bookmarkEnd w:id="8"/>
        </w:p>
        <w:p w14:paraId="36EA408A" w14:textId="39AC750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Due to the Company IVS having failed to correctly prepare its employees for a new change within the workplace, the implementation of the new systems was not accepted by the employees. </w:t>
          </w:r>
          <w:sdt>
            <w:sdtPr>
              <w:rPr>
                <w:rFonts w:ascii="Calibri" w:hAnsi="Calibri" w:cs="Calibri"/>
                <w:sz w:val="24"/>
                <w:szCs w:val="24"/>
              </w:rPr>
              <w:id w:val="-57096048"/>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Lew51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(Lewin, 1951)</w:t>
              </w:r>
              <w:r w:rsidRPr="00BD4F7A">
                <w:rPr>
                  <w:rFonts w:ascii="Calibri" w:hAnsi="Calibri" w:cs="Calibri"/>
                  <w:sz w:val="24"/>
                  <w:szCs w:val="24"/>
                </w:rPr>
                <w:fldChar w:fldCharType="end"/>
              </w:r>
            </w:sdtContent>
          </w:sdt>
          <w:r w:rsidRPr="00BD4F7A">
            <w:rPr>
              <w:rFonts w:ascii="Calibri" w:hAnsi="Calibri" w:cs="Calibri"/>
              <w:sz w:val="24"/>
              <w:szCs w:val="24"/>
            </w:rPr>
            <w:t xml:space="preserve"> emphasises that it is important to initially break down the existing mindsets for old systems before implementing a new change, as doing so will allow the employees to more happily adopt the new systems more freely. Improving the communication, employee involvement, &amp; more training prior to the adoption of the system would’ve reduced the resistance experienced </w:t>
          </w:r>
          <w:sdt>
            <w:sdtPr>
              <w:rPr>
                <w:rFonts w:ascii="Calibri" w:hAnsi="Calibri" w:cs="Calibri"/>
                <w:sz w:val="24"/>
                <w:szCs w:val="24"/>
              </w:rPr>
              <w:id w:val="-238474793"/>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Hus18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(Hussain, et al., 2018)</w:t>
              </w:r>
              <w:r w:rsidRPr="00BD4F7A">
                <w:rPr>
                  <w:rFonts w:ascii="Calibri" w:hAnsi="Calibri" w:cs="Calibri"/>
                  <w:sz w:val="24"/>
                  <w:szCs w:val="24"/>
                </w:rPr>
                <w:fldChar w:fldCharType="end"/>
              </w:r>
            </w:sdtContent>
          </w:sdt>
        </w:p>
        <w:p w14:paraId="53BAD216" w14:textId="77777777" w:rsidR="00BD4F7A" w:rsidRPr="00BD4F7A" w:rsidRDefault="00BD4F7A" w:rsidP="00E2232E">
          <w:pPr>
            <w:pStyle w:val="Heading3"/>
            <w:spacing w:line="240" w:lineRule="auto"/>
            <w:rPr>
              <w:rFonts w:ascii="Calibri" w:hAnsi="Calibri" w:cs="Calibri"/>
              <w:color w:val="auto"/>
            </w:rPr>
          </w:pPr>
          <w:bookmarkStart w:id="9" w:name="_Toc228108817"/>
          <w:r w:rsidRPr="00BD4F7A">
            <w:rPr>
              <w:rFonts w:ascii="Calibri" w:hAnsi="Calibri" w:cs="Calibri"/>
              <w:color w:val="auto"/>
            </w:rPr>
            <w:t>2.3.2 Change</w:t>
          </w:r>
          <w:bookmarkEnd w:id="9"/>
        </w:p>
        <w:p w14:paraId="411A7BAC" w14:textId="4B8FB8F2"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During the phase of transitioning from one system to another, there were no support mechanisms in place to assist with the change, which Hayes </w:t>
          </w:r>
          <w:sdt>
            <w:sdtPr>
              <w:rPr>
                <w:rFonts w:ascii="Calibri" w:hAnsi="Calibri" w:cs="Calibri"/>
                <w:sz w:val="24"/>
                <w:szCs w:val="24"/>
              </w:rPr>
              <w:id w:val="207532595"/>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Joh25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(Hayes, 2025)</w:t>
              </w:r>
              <w:r w:rsidRPr="00BD4F7A">
                <w:rPr>
                  <w:rFonts w:ascii="Calibri" w:hAnsi="Calibri" w:cs="Calibri"/>
                  <w:sz w:val="24"/>
                  <w:szCs w:val="24"/>
                </w:rPr>
                <w:fldChar w:fldCharType="end"/>
              </w:r>
            </w:sdtContent>
          </w:sdt>
          <w:r w:rsidRPr="00BD4F7A">
            <w:rPr>
              <w:rFonts w:ascii="Calibri" w:hAnsi="Calibri" w:cs="Calibri"/>
              <w:sz w:val="24"/>
              <w:szCs w:val="24"/>
            </w:rPr>
            <w:t xml:space="preserve"> then highlights the importance of these systems of continuous feedback and engagement between the employer and employees during its implementation. Improving adoption through introducing ideas such as mentoring, tailored training &amp; pilot testing prior to its complete adoption </w:t>
          </w:r>
          <w:sdt>
            <w:sdtPr>
              <w:rPr>
                <w:rFonts w:ascii="Calibri" w:hAnsi="Calibri" w:cs="Calibri"/>
                <w:sz w:val="24"/>
                <w:szCs w:val="24"/>
              </w:rPr>
              <w:id w:val="-1959411613"/>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App12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(Appelbaum, Habashy, Malo, &amp; Shafiq, 2012)</w:t>
              </w:r>
              <w:r w:rsidRPr="00BD4F7A">
                <w:rPr>
                  <w:rFonts w:ascii="Calibri" w:hAnsi="Calibri" w:cs="Calibri"/>
                  <w:sz w:val="24"/>
                  <w:szCs w:val="24"/>
                </w:rPr>
                <w:fldChar w:fldCharType="end"/>
              </w:r>
            </w:sdtContent>
          </w:sdt>
          <w:r w:rsidRPr="00BD4F7A">
            <w:rPr>
              <w:rFonts w:ascii="Calibri" w:hAnsi="Calibri" w:cs="Calibri"/>
              <w:sz w:val="24"/>
              <w:szCs w:val="24"/>
            </w:rPr>
            <w:t>.</w:t>
          </w:r>
        </w:p>
        <w:p w14:paraId="30073B9E" w14:textId="77777777" w:rsidR="00BD4F7A" w:rsidRPr="00BD4F7A" w:rsidRDefault="00BD4F7A" w:rsidP="00E2232E">
          <w:pPr>
            <w:pStyle w:val="Heading3"/>
            <w:spacing w:line="240" w:lineRule="auto"/>
            <w:rPr>
              <w:rFonts w:ascii="Calibri" w:hAnsi="Calibri" w:cs="Calibri"/>
              <w:color w:val="auto"/>
            </w:rPr>
          </w:pPr>
          <w:bookmarkStart w:id="10" w:name="_Toc228108818"/>
          <w:r w:rsidRPr="00BD4F7A">
            <w:rPr>
              <w:rFonts w:ascii="Calibri" w:hAnsi="Calibri" w:cs="Calibri"/>
              <w:color w:val="auto"/>
            </w:rPr>
            <w:t>2.3.3 Refreeze</w:t>
          </w:r>
          <w:bookmarkEnd w:id="10"/>
        </w:p>
        <w:p w14:paraId="2086F6D7" w14:textId="08A28D70"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Due to the new systems not being fully embedded into the company before passing out to the employees there was very limited reinforcement to these new behaviours from the new systems in place, &amp; according to Mullins </w:t>
          </w:r>
          <w:sdt>
            <w:sdtPr>
              <w:rPr>
                <w:rFonts w:ascii="Calibri" w:hAnsi="Calibri" w:cs="Calibri"/>
                <w:sz w:val="24"/>
                <w:szCs w:val="24"/>
              </w:rPr>
              <w:id w:val="115499325"/>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Lau23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(Mullins &amp; Rees., 2023)</w:t>
              </w:r>
              <w:r w:rsidRPr="00BD4F7A">
                <w:rPr>
                  <w:rFonts w:ascii="Calibri" w:hAnsi="Calibri" w:cs="Calibri"/>
                  <w:sz w:val="24"/>
                  <w:szCs w:val="24"/>
                </w:rPr>
                <w:fldChar w:fldCharType="end"/>
              </w:r>
            </w:sdtContent>
          </w:sdt>
          <w:r w:rsidRPr="00BD4F7A">
            <w:rPr>
              <w:rFonts w:ascii="Calibri" w:hAnsi="Calibri" w:cs="Calibri"/>
              <w:sz w:val="24"/>
              <w:szCs w:val="24"/>
            </w:rPr>
            <w:t xml:space="preserve">, having these </w:t>
          </w:r>
          <w:r w:rsidRPr="00BD4F7A">
            <w:rPr>
              <w:rFonts w:ascii="Calibri" w:hAnsi="Calibri" w:cs="Calibri"/>
              <w:sz w:val="24"/>
              <w:szCs w:val="24"/>
            </w:rPr>
            <w:lastRenderedPageBreak/>
            <w:t xml:space="preserve">reinforcement mechanisms in place such as policy integration and recognition are essential to sustain change, which also aligns with Cummings, Bridgeman and Browns theory of the importance of stabilising the change within the company prior to full implementation </w:t>
          </w:r>
          <w:sdt>
            <w:sdtPr>
              <w:rPr>
                <w:rFonts w:ascii="Calibri" w:hAnsi="Calibri" w:cs="Calibri"/>
                <w:sz w:val="24"/>
                <w:szCs w:val="24"/>
              </w:rPr>
              <w:id w:val="-402458493"/>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Cum16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(Cummings, Bridgman, &amp; Brown, 2016)</w:t>
              </w:r>
              <w:r w:rsidRPr="00BD4F7A">
                <w:rPr>
                  <w:rFonts w:ascii="Calibri" w:hAnsi="Calibri" w:cs="Calibri"/>
                  <w:sz w:val="24"/>
                  <w:szCs w:val="24"/>
                </w:rPr>
                <w:fldChar w:fldCharType="end"/>
              </w:r>
            </w:sdtContent>
          </w:sdt>
          <w:r w:rsidRPr="00BD4F7A">
            <w:rPr>
              <w:rFonts w:ascii="Calibri" w:hAnsi="Calibri" w:cs="Calibri"/>
              <w:sz w:val="24"/>
              <w:szCs w:val="24"/>
            </w:rPr>
            <w:t>.</w:t>
          </w:r>
        </w:p>
        <w:p w14:paraId="74B852CB" w14:textId="77777777" w:rsidR="00BD4F7A" w:rsidRPr="00BD4F7A" w:rsidRDefault="00BD4F7A" w:rsidP="00E2232E">
          <w:pPr>
            <w:spacing w:line="240" w:lineRule="auto"/>
            <w:rPr>
              <w:rFonts w:ascii="Calibri" w:hAnsi="Calibri" w:cs="Calibri"/>
            </w:rPr>
          </w:pPr>
        </w:p>
        <w:p w14:paraId="5E4D3AE4" w14:textId="77777777" w:rsidR="00BD4F7A" w:rsidRPr="00BD4F7A" w:rsidRDefault="00BD4F7A" w:rsidP="00E2232E">
          <w:pPr>
            <w:pStyle w:val="Heading2"/>
            <w:spacing w:line="240" w:lineRule="auto"/>
            <w:rPr>
              <w:rFonts w:ascii="Calibri" w:hAnsi="Calibri" w:cs="Calibri"/>
              <w:color w:val="auto"/>
            </w:rPr>
          </w:pPr>
          <w:bookmarkStart w:id="11" w:name="_Toc228108819"/>
          <w:r w:rsidRPr="00BD4F7A">
            <w:rPr>
              <w:rFonts w:ascii="Calibri" w:hAnsi="Calibri" w:cs="Calibri"/>
              <w:color w:val="auto"/>
            </w:rPr>
            <w:t>2.4. Critical Comparison of Change Models (Lewin vs Kotter vs ADKAR)</w:t>
          </w:r>
          <w:bookmarkEnd w:id="11"/>
        </w:p>
        <w:p w14:paraId="53D9347D" w14:textId="4E3DDB6D"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A critical comparison of these change models within companies provides a clearer picture of the effectiveness they may have over different approaches, such as Lewin’s Three-Step model, which is widely used for its simplicity and foundational contribution to change management</w:t>
          </w:r>
          <w:sdt>
            <w:sdtPr>
              <w:rPr>
                <w:rFonts w:ascii="Calibri" w:hAnsi="Calibri" w:cs="Calibri"/>
                <w:sz w:val="24"/>
                <w:szCs w:val="24"/>
              </w:rPr>
              <w:id w:val="-662703726"/>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Bur17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(Burnes &amp; Bargal, Kurt Lewin: 70 Years on, 2017)</w:t>
              </w:r>
              <w:r w:rsidRPr="00BD4F7A">
                <w:rPr>
                  <w:rFonts w:ascii="Calibri" w:hAnsi="Calibri" w:cs="Calibri"/>
                  <w:sz w:val="24"/>
                  <w:szCs w:val="24"/>
                </w:rPr>
                <w:fldChar w:fldCharType="end"/>
              </w:r>
            </w:sdtContent>
          </w:sdt>
          <w:r w:rsidRPr="00BD4F7A">
            <w:rPr>
              <w:rFonts w:ascii="Calibri" w:hAnsi="Calibri" w:cs="Calibri"/>
              <w:sz w:val="24"/>
              <w:szCs w:val="24"/>
            </w:rPr>
            <w:t>. Lewin’s offers a clear structure, such as (unfreeze-Chance-Refreeze), which makes it much more useful in understanding the planned change within the company. It is argued, however, that it is overly simplistic and linear, and doesn’t reflect the reality of the complexity within a modern organisation, where change is often a continuous process rather than in stages</w:t>
          </w:r>
          <w:sdt>
            <w:sdtPr>
              <w:rPr>
                <w:rFonts w:ascii="Calibri" w:hAnsi="Calibri" w:cs="Calibri"/>
                <w:sz w:val="24"/>
                <w:szCs w:val="24"/>
              </w:rPr>
              <w:id w:val="-1652126467"/>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Cum16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(Cummings, Bridgman, &amp; Brown, 2016)</w:t>
              </w:r>
              <w:r w:rsidRPr="00BD4F7A">
                <w:rPr>
                  <w:rFonts w:ascii="Calibri" w:hAnsi="Calibri" w:cs="Calibri"/>
                  <w:sz w:val="24"/>
                  <w:szCs w:val="24"/>
                </w:rPr>
                <w:fldChar w:fldCharType="end"/>
              </w:r>
            </w:sdtContent>
          </w:sdt>
          <w:r w:rsidRPr="00BD4F7A">
            <w:rPr>
              <w:rFonts w:ascii="Calibri" w:hAnsi="Calibri" w:cs="Calibri"/>
              <w:sz w:val="24"/>
              <w:szCs w:val="24"/>
            </w:rPr>
            <w:t>.</w:t>
          </w:r>
        </w:p>
        <w:p w14:paraId="4EBF7C52" w14:textId="37FE12FD"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In comparison, Kotter’s eight-step Model provides a more detailed and practically realistic framework for implementation </w:t>
          </w:r>
          <w:sdt>
            <w:sdtPr>
              <w:rPr>
                <w:rFonts w:ascii="Calibri" w:hAnsi="Calibri" w:cs="Calibri"/>
                <w:sz w:val="24"/>
                <w:szCs w:val="24"/>
              </w:rPr>
              <w:id w:val="243933836"/>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App12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(Appelbaum, Habashy, Malo, &amp; Shafiq, 2012)</w:t>
              </w:r>
              <w:r w:rsidRPr="00BD4F7A">
                <w:rPr>
                  <w:rFonts w:ascii="Calibri" w:hAnsi="Calibri" w:cs="Calibri"/>
                  <w:sz w:val="24"/>
                  <w:szCs w:val="24"/>
                </w:rPr>
                <w:fldChar w:fldCharType="end"/>
              </w:r>
            </w:sdtContent>
          </w:sdt>
          <w:sdt>
            <w:sdtPr>
              <w:rPr>
                <w:rFonts w:ascii="Calibri" w:hAnsi="Calibri" w:cs="Calibri"/>
                <w:sz w:val="24"/>
                <w:szCs w:val="24"/>
              </w:rPr>
              <w:id w:val="-1546597400"/>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Kot95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(Kotter, 1995)</w:t>
              </w:r>
              <w:r w:rsidRPr="00BD4F7A">
                <w:rPr>
                  <w:rFonts w:ascii="Calibri" w:hAnsi="Calibri" w:cs="Calibri"/>
                  <w:sz w:val="24"/>
                  <w:szCs w:val="24"/>
                </w:rPr>
                <w:fldChar w:fldCharType="end"/>
              </w:r>
            </w:sdtContent>
          </w:sdt>
          <w:r w:rsidRPr="00BD4F7A">
            <w:rPr>
              <w:rFonts w:ascii="Calibri" w:hAnsi="Calibri" w:cs="Calibri"/>
              <w:sz w:val="24"/>
              <w:szCs w:val="24"/>
            </w:rPr>
            <w:t xml:space="preserve">, which emphasises that good leadership, vision, and communication are required in order to successfully implement change in the workplace, which was sorely lacking in the case of the implementation of the SAGE HR system. Kotter’s Model is great for highlighting the importance of creating urgency within the company and creating a guiding coalition towards the change. Kotter’s model, however, has also been criticised for being greatly time-consuming and too top-down heavy, which may be detrimental to a fast-changing environment </w:t>
          </w:r>
          <w:sdt>
            <w:sdtPr>
              <w:rPr>
                <w:rFonts w:ascii="Calibri" w:hAnsi="Calibri" w:cs="Calibri"/>
                <w:sz w:val="24"/>
                <w:szCs w:val="24"/>
              </w:rPr>
              <w:id w:val="-1592773393"/>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App12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(Appelbaum, Habashy, Malo, &amp; Shafiq, 2012)</w:t>
              </w:r>
              <w:r w:rsidRPr="00BD4F7A">
                <w:rPr>
                  <w:rFonts w:ascii="Calibri" w:hAnsi="Calibri" w:cs="Calibri"/>
                  <w:sz w:val="24"/>
                  <w:szCs w:val="24"/>
                </w:rPr>
                <w:fldChar w:fldCharType="end"/>
              </w:r>
            </w:sdtContent>
          </w:sdt>
          <w:r w:rsidRPr="00BD4F7A">
            <w:rPr>
              <w:rFonts w:ascii="Calibri" w:hAnsi="Calibri" w:cs="Calibri"/>
              <w:sz w:val="24"/>
              <w:szCs w:val="24"/>
            </w:rPr>
            <w:t>.</w:t>
          </w:r>
        </w:p>
        <w:p w14:paraId="2311389F" w14:textId="65121C2C"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The last model for change is the ADKAR model, which stands for The (Awareness, Desire, Knowledge, Ability, Reinforcement) focuses more heavily on the Individual levels of change within the workplace </w:t>
          </w:r>
          <w:sdt>
            <w:sdtPr>
              <w:rPr>
                <w:rFonts w:ascii="Calibri" w:hAnsi="Calibri" w:cs="Calibri"/>
                <w:sz w:val="24"/>
                <w:szCs w:val="24"/>
              </w:rPr>
              <w:id w:val="468016088"/>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Jef06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(Hiatt, 2006)</w:t>
              </w:r>
              <w:r w:rsidRPr="00BD4F7A">
                <w:rPr>
                  <w:rFonts w:ascii="Calibri" w:hAnsi="Calibri" w:cs="Calibri"/>
                  <w:sz w:val="24"/>
                  <w:szCs w:val="24"/>
                </w:rPr>
                <w:fldChar w:fldCharType="end"/>
              </w:r>
            </w:sdtContent>
          </w:sdt>
          <w:r w:rsidRPr="00BD4F7A">
            <w:rPr>
              <w:rFonts w:ascii="Calibri" w:hAnsi="Calibri" w:cs="Calibri"/>
              <w:sz w:val="24"/>
              <w:szCs w:val="24"/>
            </w:rPr>
            <w:t>, whereas unlike Lewin's and Kotter, ADKAR Addresses the employees experiences rather than the employers, making this model much more acceptable in cases where there may be heavy resistance. Such as in the case of The SAGE HR in IVS, this model may have made the implementation much more successful by looking clearly at its framework and applying its principles, looking at the failures made with its awareness being the poor communication, the knowledge which would be the training provided, and the ability with the lack of support provided after its implementation. However, ADKAR from an organisational perspective is much less focused on the strategy of the organisation and the leadership than Kotter’s model.</w:t>
          </w:r>
        </w:p>
        <w:p w14:paraId="66B5F5A4" w14:textId="2DFAE854"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In conclusion, Lewin’s model is great for conceptual understanding of change within the organisation, Kotter’s model is an effective tool for a more structured change within the organisation, and lastly, ADKAR provides a Strong insight into the employee’s individual behaviours when change is implemented. Therefore, to provide the organisation with the best and most effective ability to apply change, a combined approach would be the most suitable, such as for the example of the SAGE HR within IVS, Lewin’s could’ve provided the overall structure to follow, Kotter could’ve provided a guide of its implementation, with ADKAR ensuring that the employees engagement and adoption of the new systems go as </w:t>
          </w:r>
          <w:r w:rsidRPr="00BD4F7A">
            <w:rPr>
              <w:rFonts w:ascii="Calibri" w:hAnsi="Calibri" w:cs="Calibri"/>
              <w:sz w:val="24"/>
              <w:szCs w:val="24"/>
            </w:rPr>
            <w:lastRenderedPageBreak/>
            <w:t xml:space="preserve">smoothly as possible. This approach reflects the contemporary idea that no single model is better than the other in guiding/managing organisational change </w:t>
          </w:r>
          <w:sdt>
            <w:sdtPr>
              <w:rPr>
                <w:rFonts w:ascii="Calibri" w:hAnsi="Calibri" w:cs="Calibri"/>
                <w:sz w:val="24"/>
                <w:szCs w:val="24"/>
              </w:rPr>
              <w:id w:val="-2981514"/>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AlH15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(Al-Haddad &amp; Kotnour, 2015)</w:t>
              </w:r>
              <w:r w:rsidRPr="00BD4F7A">
                <w:rPr>
                  <w:rFonts w:ascii="Calibri" w:hAnsi="Calibri" w:cs="Calibri"/>
                  <w:sz w:val="24"/>
                  <w:szCs w:val="24"/>
                </w:rPr>
                <w:fldChar w:fldCharType="end"/>
              </w:r>
            </w:sdtContent>
          </w:sdt>
          <w:r w:rsidRPr="00BD4F7A">
            <w:rPr>
              <w:rFonts w:ascii="Calibri" w:hAnsi="Calibri" w:cs="Calibri"/>
              <w:sz w:val="24"/>
              <w:szCs w:val="24"/>
            </w:rPr>
            <w:t>.</w:t>
          </w:r>
        </w:p>
        <w:p w14:paraId="6D9D7229" w14:textId="77777777" w:rsidR="00BD4F7A" w:rsidRPr="00BD4F7A" w:rsidRDefault="00BD4F7A" w:rsidP="00E2232E">
          <w:pPr>
            <w:spacing w:line="240" w:lineRule="auto"/>
            <w:rPr>
              <w:rFonts w:ascii="Calibri" w:hAnsi="Calibri" w:cs="Calibri"/>
            </w:rPr>
          </w:pPr>
        </w:p>
        <w:p w14:paraId="4C318A14" w14:textId="77777777" w:rsidR="00BD4F7A" w:rsidRPr="00BD4F7A" w:rsidRDefault="00BD4F7A" w:rsidP="00E2232E">
          <w:pPr>
            <w:pStyle w:val="Heading2"/>
            <w:spacing w:line="240" w:lineRule="auto"/>
            <w:rPr>
              <w:rFonts w:ascii="Calibri" w:hAnsi="Calibri" w:cs="Calibri"/>
              <w:color w:val="auto"/>
            </w:rPr>
          </w:pPr>
          <w:bookmarkStart w:id="12" w:name="_Toc228108820"/>
          <w:r w:rsidRPr="00BD4F7A">
            <w:rPr>
              <w:rFonts w:ascii="Calibri" w:hAnsi="Calibri" w:cs="Calibri"/>
              <w:color w:val="auto"/>
            </w:rPr>
            <w:t>2.5 Employee Motivation and Support</w:t>
          </w:r>
          <w:bookmarkEnd w:id="12"/>
        </w:p>
        <w:p w14:paraId="238AEC6C" w14:textId="49F2AE2B"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When making organisational change, it is important to consider the Motivation as well as support for your employees, which is why considering the Herzberg’s Two-Factor Theory (Motivation-Hygiene Theory) throughout the process is an important consideration, as this theory states that to have a highly motivated and productive workforce, companies must satisfy both hygiene needs and motivator needs to keep your workforce happy </w:t>
          </w:r>
          <w:sdt>
            <w:sdtPr>
              <w:rPr>
                <w:rFonts w:ascii="Calibri" w:hAnsi="Calibri" w:cs="Calibri"/>
                <w:sz w:val="24"/>
                <w:szCs w:val="24"/>
              </w:rPr>
              <w:id w:val="-637415347"/>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Her68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(Herzberg, 1968)</w:t>
              </w:r>
              <w:r w:rsidRPr="00BD4F7A">
                <w:rPr>
                  <w:rFonts w:ascii="Calibri" w:hAnsi="Calibri" w:cs="Calibri"/>
                  <w:sz w:val="24"/>
                  <w:szCs w:val="24"/>
                </w:rPr>
                <w:fldChar w:fldCharType="end"/>
              </w:r>
            </w:sdtContent>
          </w:sdt>
          <w:r w:rsidRPr="00BD4F7A">
            <w:rPr>
              <w:rFonts w:ascii="Calibri" w:hAnsi="Calibri" w:cs="Calibri"/>
              <w:sz w:val="24"/>
              <w:szCs w:val="24"/>
            </w:rPr>
            <w:t xml:space="preserve">. This theory states that job satisfaction and dissatisfaction are driven by two independent sets of factors, including hygiene factors, which are used to prevent dissatisfaction, as well as motivators to create satisfaction, which can be further explained in Figure 2. Key takeaways for management when implementing the theory would be firstly focusing on the hygiene factors within the organisation, ensuring to minimise any dissatisfaction within before trying to increase the motivation within the organisation, as an employee can be motivated in their job while still being dissatisfied, such as with a poor salary. </w:t>
          </w:r>
        </w:p>
        <w:p w14:paraId="239CA5D5" w14:textId="77777777" w:rsidR="00BD4F7A" w:rsidRPr="00BD4F7A" w:rsidRDefault="00BD4F7A" w:rsidP="00E2232E">
          <w:pPr>
            <w:spacing w:line="240" w:lineRule="auto"/>
            <w:ind w:firstLine="720"/>
            <w:rPr>
              <w:rFonts w:ascii="Calibri" w:hAnsi="Calibri" w:cs="Calibri"/>
            </w:rPr>
          </w:pPr>
          <w:r w:rsidRPr="00BD4F7A">
            <w:rPr>
              <w:rFonts w:ascii="Calibri" w:hAnsi="Calibri" w:cs="Calibri"/>
            </w:rPr>
            <w:t xml:space="preserve"> </w:t>
          </w:r>
        </w:p>
        <w:p w14:paraId="4B929181" w14:textId="77777777" w:rsidR="00BD4F7A" w:rsidRPr="00BD4F7A" w:rsidRDefault="00BD4F7A" w:rsidP="00E2232E">
          <w:pPr>
            <w:spacing w:line="240" w:lineRule="auto"/>
            <w:jc w:val="center"/>
            <w:rPr>
              <w:rFonts w:ascii="Calibri" w:hAnsi="Calibri" w:cs="Calibri"/>
            </w:rPr>
          </w:pPr>
          <w:r w:rsidRPr="00BD4F7A">
            <w:rPr>
              <w:rFonts w:ascii="Calibri" w:hAnsi="Calibri" w:cs="Calibri"/>
              <w:noProof/>
            </w:rPr>
            <w:drawing>
              <wp:inline distT="0" distB="0" distL="0" distR="0" wp14:anchorId="35A36ADE" wp14:editId="594793E6">
                <wp:extent cx="4296516" cy="3222625"/>
                <wp:effectExtent l="0" t="0" r="8890" b="0"/>
                <wp:docPr id="13480720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072057" name="Picture 134807205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99642" cy="3224970"/>
                        </a:xfrm>
                        <a:prstGeom prst="rect">
                          <a:avLst/>
                        </a:prstGeom>
                      </pic:spPr>
                    </pic:pic>
                  </a:graphicData>
                </a:graphic>
              </wp:inline>
            </w:drawing>
          </w:r>
        </w:p>
        <w:p w14:paraId="50E4D362" w14:textId="77777777" w:rsidR="00BD4F7A" w:rsidRPr="00BD4F7A" w:rsidRDefault="00BD4F7A" w:rsidP="00E2232E">
          <w:pPr>
            <w:pStyle w:val="Caption"/>
            <w:jc w:val="center"/>
            <w:rPr>
              <w:rFonts w:ascii="Calibri" w:hAnsi="Calibri" w:cs="Calibri"/>
              <w:color w:val="auto"/>
            </w:rPr>
          </w:pPr>
          <w:bookmarkStart w:id="13" w:name="_Toc228103890"/>
          <w:r w:rsidRPr="00BD4F7A">
            <w:rPr>
              <w:rFonts w:ascii="Calibri" w:hAnsi="Calibri" w:cs="Calibri"/>
              <w:color w:val="auto"/>
            </w:rPr>
            <w:t xml:space="preserve">Figure </w:t>
          </w:r>
          <w:r w:rsidRPr="00BD4F7A">
            <w:rPr>
              <w:rFonts w:ascii="Calibri" w:hAnsi="Calibri" w:cs="Calibri"/>
              <w:color w:val="auto"/>
            </w:rPr>
            <w:fldChar w:fldCharType="begin"/>
          </w:r>
          <w:r w:rsidRPr="00BD4F7A">
            <w:rPr>
              <w:rFonts w:ascii="Calibri" w:hAnsi="Calibri" w:cs="Calibri"/>
              <w:color w:val="auto"/>
            </w:rPr>
            <w:instrText xml:space="preserve"> SEQ Figure \* ARABIC </w:instrText>
          </w:r>
          <w:r w:rsidRPr="00BD4F7A">
            <w:rPr>
              <w:rFonts w:ascii="Calibri" w:hAnsi="Calibri" w:cs="Calibri"/>
              <w:color w:val="auto"/>
            </w:rPr>
            <w:fldChar w:fldCharType="separate"/>
          </w:r>
          <w:r w:rsidRPr="00BD4F7A">
            <w:rPr>
              <w:rFonts w:ascii="Calibri" w:hAnsi="Calibri" w:cs="Calibri"/>
              <w:noProof/>
              <w:color w:val="auto"/>
            </w:rPr>
            <w:t>2</w:t>
          </w:r>
          <w:r w:rsidRPr="00BD4F7A">
            <w:rPr>
              <w:rFonts w:ascii="Calibri" w:hAnsi="Calibri" w:cs="Calibri"/>
              <w:noProof/>
              <w:color w:val="auto"/>
            </w:rPr>
            <w:fldChar w:fldCharType="end"/>
          </w:r>
          <w:r w:rsidRPr="00BD4F7A">
            <w:rPr>
              <w:rFonts w:ascii="Calibri" w:hAnsi="Calibri" w:cs="Calibri"/>
              <w:color w:val="auto"/>
            </w:rPr>
            <w:t xml:space="preserve"> - Herzberg’s Two-Factor Theory</w:t>
          </w:r>
          <w:bookmarkEnd w:id="13"/>
        </w:p>
        <w:p w14:paraId="758E486A" w14:textId="2635BBF2"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This was clearly apparent, during the implementation of the new SAGE HR system since they failed to consider both the hygiene and motivating factors of the employees, expecting the change to satisfy the workforces needs without any consideration of current working conditions, which is shown by the workforces attitude after its implementation, showing clear discontent and many choosing to retire/leave the company after its implementation, showing clear dissatisfaction with current conditions, due to hygiene and </w:t>
          </w:r>
          <w:r w:rsidRPr="00BD4F7A">
            <w:rPr>
              <w:rFonts w:ascii="Calibri" w:hAnsi="Calibri" w:cs="Calibri"/>
              <w:sz w:val="24"/>
              <w:szCs w:val="24"/>
            </w:rPr>
            <w:lastRenderedPageBreak/>
            <w:t xml:space="preserve">motivational factors not being examined within the company over the many years. </w:t>
          </w:r>
          <w:sdt>
            <w:sdtPr>
              <w:rPr>
                <w:rFonts w:ascii="Calibri" w:hAnsi="Calibri" w:cs="Calibri"/>
                <w:sz w:val="24"/>
                <w:szCs w:val="24"/>
              </w:rPr>
              <w:id w:val="-2019308522"/>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Mic26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(Taylor &amp; Armstrong, 2026)</w:t>
              </w:r>
              <w:r w:rsidRPr="00BD4F7A">
                <w:rPr>
                  <w:rFonts w:ascii="Calibri" w:hAnsi="Calibri" w:cs="Calibri"/>
                  <w:sz w:val="24"/>
                  <w:szCs w:val="24"/>
                </w:rPr>
                <w:fldChar w:fldCharType="end"/>
              </w:r>
            </w:sdtContent>
          </w:sdt>
          <w:r w:rsidRPr="00BD4F7A">
            <w:rPr>
              <w:rFonts w:ascii="Calibri" w:hAnsi="Calibri" w:cs="Calibri"/>
              <w:sz w:val="24"/>
              <w:szCs w:val="24"/>
            </w:rPr>
            <w:t xml:space="preserve"> and Deci and Ryan</w:t>
          </w:r>
          <w:sdt>
            <w:sdtPr>
              <w:rPr>
                <w:rFonts w:ascii="Calibri" w:hAnsi="Calibri" w:cs="Calibri"/>
                <w:sz w:val="24"/>
                <w:szCs w:val="24"/>
              </w:rPr>
              <w:id w:val="-596332849"/>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Dec00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(Deci &amp; Ryan, 2000)</w:t>
              </w:r>
              <w:r w:rsidRPr="00BD4F7A">
                <w:rPr>
                  <w:rFonts w:ascii="Calibri" w:hAnsi="Calibri" w:cs="Calibri"/>
                  <w:sz w:val="24"/>
                  <w:szCs w:val="24"/>
                </w:rPr>
                <w:fldChar w:fldCharType="end"/>
              </w:r>
            </w:sdtContent>
          </w:sdt>
          <w:r w:rsidRPr="00BD4F7A">
            <w:rPr>
              <w:rFonts w:ascii="Calibri" w:hAnsi="Calibri" w:cs="Calibri"/>
              <w:sz w:val="24"/>
              <w:szCs w:val="24"/>
            </w:rPr>
            <w:t xml:space="preserve"> also suggest that having intrinsic motivation is a key part of retaining employee engagement during the changes in the organisation.</w:t>
          </w:r>
        </w:p>
        <w:p w14:paraId="6E7D0756" w14:textId="23A41993"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Furthermore, Vroom’s Expectancy Theory states that employees must believe that they can successfully perform the new tasks set for them</w:t>
          </w:r>
          <w:sdt>
            <w:sdtPr>
              <w:rPr>
                <w:rFonts w:ascii="Calibri" w:hAnsi="Calibri" w:cs="Calibri"/>
                <w:sz w:val="24"/>
                <w:szCs w:val="24"/>
              </w:rPr>
              <w:id w:val="2095280057"/>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Ste64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(Steele, 1964)</w:t>
              </w:r>
              <w:r w:rsidRPr="00BD4F7A">
                <w:rPr>
                  <w:rFonts w:ascii="Calibri" w:hAnsi="Calibri" w:cs="Calibri"/>
                  <w:sz w:val="24"/>
                  <w:szCs w:val="24"/>
                </w:rPr>
                <w:fldChar w:fldCharType="end"/>
              </w:r>
            </w:sdtContent>
          </w:sdt>
          <w:r w:rsidRPr="00BD4F7A">
            <w:rPr>
              <w:rFonts w:ascii="Calibri" w:hAnsi="Calibri" w:cs="Calibri"/>
              <w:sz w:val="24"/>
              <w:szCs w:val="24"/>
            </w:rPr>
            <w:t>, further clarifying why the implementation of SAGE HR within IVS failed, as many of the senior employees lacked the digital literacy skills required to be successful. This, coupled with the fact that there was inadequate training, further reduced the employees' confidence in the new system, lowering the workforce's motivation, leading to a complete breakdown of this new system</w:t>
          </w:r>
          <w:sdt>
            <w:sdtPr>
              <w:rPr>
                <w:rFonts w:ascii="Calibri" w:hAnsi="Calibri" w:cs="Calibri"/>
                <w:sz w:val="24"/>
                <w:szCs w:val="24"/>
              </w:rPr>
              <w:id w:val="-1767529592"/>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Wan00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(Wanberg &amp; Banas, 2000)</w:t>
              </w:r>
              <w:r w:rsidRPr="00BD4F7A">
                <w:rPr>
                  <w:rFonts w:ascii="Calibri" w:hAnsi="Calibri" w:cs="Calibri"/>
                  <w:sz w:val="24"/>
                  <w:szCs w:val="24"/>
                </w:rPr>
                <w:fldChar w:fldCharType="end"/>
              </w:r>
            </w:sdtContent>
          </w:sdt>
          <w:r w:rsidRPr="00BD4F7A">
            <w:rPr>
              <w:rFonts w:ascii="Calibri" w:hAnsi="Calibri" w:cs="Calibri"/>
              <w:sz w:val="24"/>
              <w:szCs w:val="24"/>
            </w:rPr>
            <w:t>.</w:t>
          </w:r>
        </w:p>
        <w:p w14:paraId="4D8F5FC2" w14:textId="77777777" w:rsidR="00BD4F7A" w:rsidRPr="00BD4F7A" w:rsidRDefault="00BD4F7A" w:rsidP="00E2232E">
          <w:pPr>
            <w:spacing w:line="240" w:lineRule="auto"/>
            <w:rPr>
              <w:rFonts w:ascii="Calibri" w:hAnsi="Calibri" w:cs="Calibri"/>
            </w:rPr>
          </w:pPr>
        </w:p>
        <w:p w14:paraId="10597683" w14:textId="77777777" w:rsidR="00BD4F7A" w:rsidRPr="00BD4F7A" w:rsidRDefault="00BD4F7A" w:rsidP="00E2232E">
          <w:pPr>
            <w:pStyle w:val="Heading2"/>
            <w:spacing w:line="240" w:lineRule="auto"/>
            <w:rPr>
              <w:rFonts w:ascii="Calibri" w:hAnsi="Calibri" w:cs="Calibri"/>
              <w:color w:val="auto"/>
            </w:rPr>
          </w:pPr>
          <w:bookmarkStart w:id="14" w:name="_Toc228108821"/>
          <w:r w:rsidRPr="00BD4F7A">
            <w:rPr>
              <w:rFonts w:ascii="Calibri" w:hAnsi="Calibri" w:cs="Calibri"/>
              <w:color w:val="auto"/>
            </w:rPr>
            <w:t>2.6. Evaluation of Success/Failure</w:t>
          </w:r>
          <w:bookmarkEnd w:id="14"/>
          <w:r w:rsidRPr="00BD4F7A">
            <w:rPr>
              <w:rFonts w:ascii="Calibri" w:hAnsi="Calibri" w:cs="Calibri"/>
              <w:color w:val="auto"/>
            </w:rPr>
            <w:t xml:space="preserve"> </w:t>
          </w:r>
        </w:p>
        <w:p w14:paraId="53243BAE" w14:textId="10414878" w:rsidR="00BD4F7A" w:rsidRPr="00BD4F7A" w:rsidRDefault="00BD4F7A" w:rsidP="00E2232E">
          <w:pPr>
            <w:spacing w:line="240" w:lineRule="auto"/>
            <w:rPr>
              <w:rFonts w:ascii="Calibri" w:hAnsi="Calibri" w:cs="Calibri"/>
              <w:sz w:val="24"/>
              <w:szCs w:val="24"/>
            </w:rPr>
          </w:pPr>
          <w:r w:rsidRPr="00BD4F7A">
            <w:rPr>
              <w:rFonts w:ascii="Calibri" w:hAnsi="Calibri" w:cs="Calibri"/>
              <w:sz w:val="24"/>
              <w:szCs w:val="24"/>
            </w:rPr>
            <w:tab/>
            <w:t xml:space="preserve">The implementation of the SAGE HR system within IVS could possibly be considered a small success, with many of the systems still in use by management to provide payslips and to apply for annual leave. However, with one of the key components being the clock-in system, the change process failed to achieve any kind of employee acceptance. This would align with Kotter’s </w:t>
          </w:r>
          <w:sdt>
            <w:sdtPr>
              <w:rPr>
                <w:rFonts w:ascii="Calibri" w:hAnsi="Calibri" w:cs="Calibri"/>
                <w:sz w:val="24"/>
                <w:szCs w:val="24"/>
              </w:rPr>
              <w:id w:val="-1206867516"/>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Kot95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(Kotter, 1995)</w:t>
              </w:r>
              <w:r w:rsidRPr="00BD4F7A">
                <w:rPr>
                  <w:rFonts w:ascii="Calibri" w:hAnsi="Calibri" w:cs="Calibri"/>
                  <w:sz w:val="24"/>
                  <w:szCs w:val="24"/>
                </w:rPr>
                <w:fldChar w:fldCharType="end"/>
              </w:r>
            </w:sdtContent>
          </w:sdt>
          <w:r w:rsidRPr="00BD4F7A">
            <w:rPr>
              <w:rFonts w:ascii="Calibri" w:hAnsi="Calibri" w:cs="Calibri"/>
              <w:sz w:val="24"/>
              <w:szCs w:val="24"/>
            </w:rPr>
            <w:t xml:space="preserve"> argument that neglecting the human element is a common mistake and cause of failure in organisational change, with the key components of failures including;</w:t>
          </w:r>
        </w:p>
        <w:p w14:paraId="301275FA" w14:textId="77777777" w:rsidR="00BD4F7A" w:rsidRPr="00BD4F7A" w:rsidRDefault="00BD4F7A" w:rsidP="00E2232E">
          <w:pPr>
            <w:spacing w:line="240" w:lineRule="auto"/>
            <w:ind w:left="360"/>
            <w:rPr>
              <w:rFonts w:ascii="Calibri" w:hAnsi="Calibri" w:cs="Calibri"/>
              <w:sz w:val="24"/>
              <w:szCs w:val="24"/>
            </w:rPr>
          </w:pPr>
          <w:r w:rsidRPr="00BD4F7A">
            <w:rPr>
              <w:rFonts w:ascii="Calibri" w:hAnsi="Calibri" w:cs="Calibri"/>
              <w:sz w:val="24"/>
              <w:szCs w:val="24"/>
            </w:rPr>
            <w:t xml:space="preserve">• Poor communication </w:t>
          </w:r>
        </w:p>
        <w:p w14:paraId="4F44C3A6" w14:textId="77777777" w:rsidR="00BD4F7A" w:rsidRPr="00BD4F7A" w:rsidRDefault="00BD4F7A" w:rsidP="00E2232E">
          <w:pPr>
            <w:spacing w:line="240" w:lineRule="auto"/>
            <w:ind w:left="360"/>
            <w:rPr>
              <w:rFonts w:ascii="Calibri" w:hAnsi="Calibri" w:cs="Calibri"/>
              <w:sz w:val="24"/>
              <w:szCs w:val="24"/>
            </w:rPr>
          </w:pPr>
          <w:r w:rsidRPr="00BD4F7A">
            <w:rPr>
              <w:rFonts w:ascii="Calibri" w:hAnsi="Calibri" w:cs="Calibri"/>
              <w:sz w:val="24"/>
              <w:szCs w:val="24"/>
            </w:rPr>
            <w:t xml:space="preserve">• Lack of employee involvement </w:t>
          </w:r>
        </w:p>
        <w:p w14:paraId="1C128A41" w14:textId="77777777" w:rsidR="00BD4F7A" w:rsidRPr="00BD4F7A" w:rsidRDefault="00BD4F7A" w:rsidP="00E2232E">
          <w:pPr>
            <w:spacing w:line="240" w:lineRule="auto"/>
            <w:ind w:left="360"/>
            <w:rPr>
              <w:rFonts w:ascii="Calibri" w:hAnsi="Calibri" w:cs="Calibri"/>
              <w:sz w:val="24"/>
              <w:szCs w:val="24"/>
            </w:rPr>
          </w:pPr>
          <w:r w:rsidRPr="00BD4F7A">
            <w:rPr>
              <w:rFonts w:ascii="Calibri" w:hAnsi="Calibri" w:cs="Calibri"/>
              <w:sz w:val="24"/>
              <w:szCs w:val="24"/>
            </w:rPr>
            <w:t xml:space="preserve">• Inadequate training </w:t>
          </w:r>
        </w:p>
        <w:p w14:paraId="0E4E9604" w14:textId="77777777" w:rsidR="00BD4F7A" w:rsidRPr="00BD4F7A" w:rsidRDefault="00BD4F7A" w:rsidP="00E2232E">
          <w:pPr>
            <w:spacing w:line="240" w:lineRule="auto"/>
            <w:ind w:left="360"/>
            <w:rPr>
              <w:rFonts w:ascii="Calibri" w:hAnsi="Calibri" w:cs="Calibri"/>
              <w:sz w:val="24"/>
              <w:szCs w:val="24"/>
            </w:rPr>
          </w:pPr>
          <w:r w:rsidRPr="00BD4F7A">
            <w:rPr>
              <w:rFonts w:ascii="Calibri" w:hAnsi="Calibri" w:cs="Calibri"/>
              <w:sz w:val="24"/>
              <w:szCs w:val="24"/>
            </w:rPr>
            <w:t xml:space="preserve">• Absence of phased implementation </w:t>
          </w:r>
        </w:p>
        <w:p w14:paraId="77DDC5FB" w14:textId="61558FD6" w:rsidR="00BD4F7A" w:rsidRPr="00BD4F7A" w:rsidRDefault="00BD4F7A" w:rsidP="00E2232E">
          <w:pPr>
            <w:spacing w:line="240" w:lineRule="auto"/>
            <w:ind w:firstLine="360"/>
            <w:rPr>
              <w:rFonts w:ascii="Calibri" w:hAnsi="Calibri" w:cs="Calibri"/>
              <w:sz w:val="24"/>
              <w:szCs w:val="24"/>
            </w:rPr>
          </w:pPr>
          <w:r w:rsidRPr="00BD4F7A">
            <w:rPr>
              <w:rFonts w:ascii="Calibri" w:hAnsi="Calibri" w:cs="Calibri"/>
              <w:sz w:val="24"/>
              <w:szCs w:val="24"/>
            </w:rPr>
            <w:t>The findings within the implementation of the system in IVS are also consistent with research done on employee cynicism and resistance to organisational change by Stanley</w:t>
          </w:r>
          <w:sdt>
            <w:sdtPr>
              <w:rPr>
                <w:rFonts w:ascii="Calibri" w:hAnsi="Calibri" w:cs="Calibri"/>
                <w:sz w:val="24"/>
                <w:szCs w:val="24"/>
              </w:rPr>
              <w:id w:val="1247607645"/>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Sta05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(Stanley, Meyer, &amp; Topolnytsky, 2005)</w:t>
              </w:r>
              <w:r w:rsidRPr="00BD4F7A">
                <w:rPr>
                  <w:rFonts w:ascii="Calibri" w:hAnsi="Calibri" w:cs="Calibri"/>
                  <w:sz w:val="24"/>
                  <w:szCs w:val="24"/>
                </w:rPr>
                <w:fldChar w:fldCharType="end"/>
              </w:r>
            </w:sdtContent>
          </w:sdt>
          <w:r w:rsidRPr="00BD4F7A">
            <w:rPr>
              <w:rFonts w:ascii="Calibri" w:hAnsi="Calibri" w:cs="Calibri"/>
              <w:sz w:val="24"/>
              <w:szCs w:val="24"/>
            </w:rPr>
            <w:t xml:space="preserve">, </w:t>
          </w:r>
        </w:p>
        <w:p w14:paraId="120126AC" w14:textId="77777777" w:rsidR="00BD4F7A" w:rsidRPr="00BD4F7A" w:rsidRDefault="00BD4F7A" w:rsidP="00E2232E">
          <w:pPr>
            <w:spacing w:line="240" w:lineRule="auto"/>
            <w:rPr>
              <w:rFonts w:ascii="Calibri" w:hAnsi="Calibri" w:cs="Calibri"/>
            </w:rPr>
          </w:pPr>
        </w:p>
        <w:p w14:paraId="51354AF5" w14:textId="77777777" w:rsidR="00BD4F7A" w:rsidRPr="00BD4F7A" w:rsidRDefault="00BD4F7A" w:rsidP="00E2232E">
          <w:pPr>
            <w:pStyle w:val="Heading2"/>
            <w:spacing w:line="240" w:lineRule="auto"/>
            <w:rPr>
              <w:rFonts w:ascii="Calibri" w:hAnsi="Calibri" w:cs="Calibri"/>
              <w:color w:val="auto"/>
            </w:rPr>
          </w:pPr>
          <w:bookmarkStart w:id="15" w:name="_Toc228108822"/>
          <w:r w:rsidRPr="00BD4F7A">
            <w:rPr>
              <w:rFonts w:ascii="Calibri" w:hAnsi="Calibri" w:cs="Calibri"/>
              <w:color w:val="auto"/>
            </w:rPr>
            <w:t>2.7 Recommendations</w:t>
          </w:r>
          <w:bookmarkEnd w:id="15"/>
          <w:r w:rsidRPr="00BD4F7A">
            <w:rPr>
              <w:rFonts w:ascii="Calibri" w:hAnsi="Calibri" w:cs="Calibri"/>
              <w:color w:val="auto"/>
            </w:rPr>
            <w:t xml:space="preserve"> </w:t>
          </w:r>
        </w:p>
        <w:p w14:paraId="048974DF" w14:textId="7777777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Considering the failure of the SAGE HR implementation, here are some recommendations for the next time IVS may implement changes in the future;</w:t>
          </w:r>
        </w:p>
        <w:p w14:paraId="285536A7" w14:textId="55EE212D" w:rsidR="00BD4F7A" w:rsidRPr="00BD4F7A" w:rsidRDefault="00BD4F7A" w:rsidP="00E2232E">
          <w:pPr>
            <w:pStyle w:val="ListParagraph"/>
            <w:numPr>
              <w:ilvl w:val="0"/>
              <w:numId w:val="1"/>
            </w:numPr>
            <w:spacing w:after="0" w:line="240" w:lineRule="auto"/>
            <w:rPr>
              <w:rFonts w:ascii="Calibri" w:eastAsia="Times New Roman" w:hAnsi="Calibri" w:cs="Calibri"/>
              <w:sz w:val="24"/>
              <w:szCs w:val="24"/>
              <w:lang w:eastAsia="en-GB"/>
            </w:rPr>
          </w:pPr>
          <w:r w:rsidRPr="00BD4F7A">
            <w:rPr>
              <w:rFonts w:ascii="Calibri" w:eastAsia="Times New Roman" w:hAnsi="Calibri" w:cs="Calibri"/>
              <w:sz w:val="24"/>
              <w:szCs w:val="24"/>
              <w:lang w:eastAsia="en-GB"/>
            </w:rPr>
            <w:t>Improve Communication during the transition process and adopt two-way communication channels, including feedback sessions and workshops</w:t>
          </w:r>
          <w:r w:rsidRPr="00BD4F7A">
            <w:rPr>
              <w:rFonts w:ascii="Calibri" w:hAnsi="Calibri" w:cs="Calibri"/>
              <w:sz w:val="24"/>
              <w:szCs w:val="24"/>
            </w:rPr>
            <w:t xml:space="preserve"> </w:t>
          </w:r>
          <w:sdt>
            <w:sdtPr>
              <w:rPr>
                <w:rFonts w:ascii="Calibri" w:hAnsi="Calibri" w:cs="Calibri"/>
                <w:sz w:val="24"/>
                <w:szCs w:val="24"/>
              </w:rPr>
              <w:id w:val="-472220723"/>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Lau23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(Mullins &amp; Rees., 2023)</w:t>
              </w:r>
              <w:r w:rsidRPr="00BD4F7A">
                <w:rPr>
                  <w:rFonts w:ascii="Calibri" w:hAnsi="Calibri" w:cs="Calibri"/>
                  <w:sz w:val="24"/>
                  <w:szCs w:val="24"/>
                </w:rPr>
                <w:fldChar w:fldCharType="end"/>
              </w:r>
            </w:sdtContent>
          </w:sdt>
          <w:sdt>
            <w:sdtPr>
              <w:rPr>
                <w:rFonts w:ascii="Calibri" w:hAnsi="Calibri" w:cs="Calibri"/>
                <w:sz w:val="24"/>
                <w:szCs w:val="24"/>
              </w:rPr>
              <w:id w:val="-1399580345"/>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Bor04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(Bordia, Hobman, Jones, Gallois, &amp; Callan, 2004)</w:t>
              </w:r>
              <w:r w:rsidRPr="00BD4F7A">
                <w:rPr>
                  <w:rFonts w:ascii="Calibri" w:hAnsi="Calibri" w:cs="Calibri"/>
                  <w:sz w:val="24"/>
                  <w:szCs w:val="24"/>
                </w:rPr>
                <w:fldChar w:fldCharType="end"/>
              </w:r>
            </w:sdtContent>
          </w:sdt>
          <w:r w:rsidRPr="00BD4F7A">
            <w:rPr>
              <w:rFonts w:ascii="Calibri" w:hAnsi="Calibri" w:cs="Calibri"/>
              <w:sz w:val="24"/>
              <w:szCs w:val="24"/>
            </w:rPr>
            <w:t xml:space="preserve">. </w:t>
          </w:r>
        </w:p>
        <w:p w14:paraId="681E5B83" w14:textId="07199F8D" w:rsidR="00BD4F7A" w:rsidRPr="00BD4F7A" w:rsidRDefault="00BD4F7A" w:rsidP="00E2232E">
          <w:pPr>
            <w:pStyle w:val="ListParagraph"/>
            <w:numPr>
              <w:ilvl w:val="0"/>
              <w:numId w:val="1"/>
            </w:numPr>
            <w:spacing w:after="0" w:line="240" w:lineRule="auto"/>
            <w:rPr>
              <w:rFonts w:ascii="Calibri" w:eastAsia="Times New Roman" w:hAnsi="Calibri" w:cs="Calibri"/>
              <w:sz w:val="24"/>
              <w:szCs w:val="24"/>
              <w:lang w:eastAsia="en-GB"/>
            </w:rPr>
          </w:pPr>
          <w:r w:rsidRPr="00BD4F7A">
            <w:rPr>
              <w:rFonts w:ascii="Calibri" w:eastAsia="Times New Roman" w:hAnsi="Calibri" w:cs="Calibri"/>
              <w:sz w:val="24"/>
              <w:szCs w:val="24"/>
              <w:lang w:eastAsia="en-GB"/>
            </w:rPr>
            <w:t xml:space="preserve">Increase Employee Involvement by engaging with the employees early through pilot groups and perform consultations, ensuring to consider the thoughts of employees </w:t>
          </w:r>
          <w:sdt>
            <w:sdtPr>
              <w:rPr>
                <w:rFonts w:ascii="Calibri" w:hAnsi="Calibri" w:cs="Calibri"/>
                <w:sz w:val="24"/>
                <w:szCs w:val="24"/>
              </w:rPr>
              <w:id w:val="-1413309859"/>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Joh12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(Kotter., 2012)</w:t>
              </w:r>
              <w:r w:rsidRPr="00BD4F7A">
                <w:rPr>
                  <w:rFonts w:ascii="Calibri" w:hAnsi="Calibri" w:cs="Calibri"/>
                  <w:sz w:val="24"/>
                  <w:szCs w:val="24"/>
                </w:rPr>
                <w:fldChar w:fldCharType="end"/>
              </w:r>
            </w:sdtContent>
          </w:sdt>
          <w:sdt>
            <w:sdtPr>
              <w:rPr>
                <w:rFonts w:ascii="Calibri" w:hAnsi="Calibri" w:cs="Calibri"/>
                <w:sz w:val="24"/>
                <w:szCs w:val="24"/>
              </w:rPr>
              <w:id w:val="-2079509697"/>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App12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(Appelbaum, Habashy, Malo, &amp; Shafiq, 2012)</w:t>
              </w:r>
              <w:r w:rsidRPr="00BD4F7A">
                <w:rPr>
                  <w:rFonts w:ascii="Calibri" w:hAnsi="Calibri" w:cs="Calibri"/>
                  <w:sz w:val="24"/>
                  <w:szCs w:val="24"/>
                </w:rPr>
                <w:fldChar w:fldCharType="end"/>
              </w:r>
            </w:sdtContent>
          </w:sdt>
          <w:sdt>
            <w:sdtPr>
              <w:rPr>
                <w:rFonts w:ascii="Calibri" w:hAnsi="Calibri" w:cs="Calibri"/>
                <w:sz w:val="24"/>
                <w:szCs w:val="24"/>
              </w:rPr>
              <w:id w:val="844364215"/>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Arm09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(Armenakis &amp; Harris, 2009)</w:t>
              </w:r>
              <w:r w:rsidRPr="00BD4F7A">
                <w:rPr>
                  <w:rFonts w:ascii="Calibri" w:hAnsi="Calibri" w:cs="Calibri"/>
                  <w:sz w:val="24"/>
                  <w:szCs w:val="24"/>
                </w:rPr>
                <w:fldChar w:fldCharType="end"/>
              </w:r>
            </w:sdtContent>
          </w:sdt>
          <w:r w:rsidRPr="00BD4F7A">
            <w:rPr>
              <w:rFonts w:ascii="Calibri" w:hAnsi="Calibri" w:cs="Calibri"/>
              <w:sz w:val="24"/>
              <w:szCs w:val="24"/>
            </w:rPr>
            <w:t xml:space="preserve">. </w:t>
          </w:r>
        </w:p>
        <w:p w14:paraId="6FA9AF4A" w14:textId="594E4733" w:rsidR="00BD4F7A" w:rsidRPr="00BD4F7A" w:rsidRDefault="00BD4F7A" w:rsidP="00E2232E">
          <w:pPr>
            <w:pStyle w:val="ListParagraph"/>
            <w:numPr>
              <w:ilvl w:val="0"/>
              <w:numId w:val="1"/>
            </w:numPr>
            <w:spacing w:after="0" w:line="240" w:lineRule="auto"/>
            <w:rPr>
              <w:rFonts w:ascii="Calibri" w:eastAsia="Times New Roman" w:hAnsi="Calibri" w:cs="Calibri"/>
              <w:sz w:val="24"/>
              <w:szCs w:val="24"/>
              <w:lang w:eastAsia="en-GB"/>
            </w:rPr>
          </w:pPr>
          <w:r w:rsidRPr="00BD4F7A">
            <w:rPr>
              <w:rFonts w:ascii="Calibri" w:eastAsia="Times New Roman" w:hAnsi="Calibri" w:cs="Calibri"/>
              <w:sz w:val="24"/>
              <w:szCs w:val="24"/>
              <w:lang w:eastAsia="en-GB"/>
            </w:rPr>
            <w:lastRenderedPageBreak/>
            <w:t>Provide Continuous Training and offer tailored and ongoing training programmes for all employees within the organisation</w:t>
          </w:r>
          <w:r w:rsidRPr="00BD4F7A">
            <w:rPr>
              <w:rFonts w:ascii="Calibri" w:hAnsi="Calibri" w:cs="Calibri"/>
              <w:sz w:val="24"/>
              <w:szCs w:val="24"/>
            </w:rPr>
            <w:t xml:space="preserve"> </w:t>
          </w:r>
          <w:sdt>
            <w:sdtPr>
              <w:rPr>
                <w:rFonts w:ascii="Calibri" w:hAnsi="Calibri" w:cs="Calibri"/>
                <w:sz w:val="24"/>
                <w:szCs w:val="24"/>
              </w:rPr>
              <w:id w:val="-1281259174"/>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Ber17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(Burnes, Managing change, 2017)</w:t>
              </w:r>
              <w:r w:rsidRPr="00BD4F7A">
                <w:rPr>
                  <w:rFonts w:ascii="Calibri" w:hAnsi="Calibri" w:cs="Calibri"/>
                  <w:sz w:val="24"/>
                  <w:szCs w:val="24"/>
                </w:rPr>
                <w:fldChar w:fldCharType="end"/>
              </w:r>
            </w:sdtContent>
          </w:sdt>
          <w:r w:rsidRPr="00BD4F7A">
            <w:rPr>
              <w:rFonts w:ascii="Calibri" w:hAnsi="Calibri" w:cs="Calibri"/>
              <w:sz w:val="24"/>
              <w:szCs w:val="24"/>
            </w:rPr>
            <w:t xml:space="preserve">; </w:t>
          </w:r>
          <w:sdt>
            <w:sdtPr>
              <w:rPr>
                <w:rFonts w:ascii="Calibri" w:hAnsi="Calibri" w:cs="Calibri"/>
                <w:sz w:val="24"/>
                <w:szCs w:val="24"/>
              </w:rPr>
              <w:id w:val="-2136558695"/>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Ven03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(Venkatesh, Morris, Davis, &amp; Davis, 2003)</w:t>
              </w:r>
              <w:r w:rsidRPr="00BD4F7A">
                <w:rPr>
                  <w:rFonts w:ascii="Calibri" w:hAnsi="Calibri" w:cs="Calibri"/>
                  <w:sz w:val="24"/>
                  <w:szCs w:val="24"/>
                </w:rPr>
                <w:fldChar w:fldCharType="end"/>
              </w:r>
            </w:sdtContent>
          </w:sdt>
          <w:r w:rsidRPr="00BD4F7A">
            <w:rPr>
              <w:rFonts w:ascii="Calibri" w:hAnsi="Calibri" w:cs="Calibri"/>
              <w:sz w:val="24"/>
              <w:szCs w:val="24"/>
            </w:rPr>
            <w:t xml:space="preserve">. </w:t>
          </w:r>
        </w:p>
        <w:p w14:paraId="5BB6B001" w14:textId="4A8A41EF" w:rsidR="00BD4F7A" w:rsidRPr="00BD4F7A" w:rsidRDefault="00BD4F7A" w:rsidP="00E2232E">
          <w:pPr>
            <w:pStyle w:val="ListParagraph"/>
            <w:numPr>
              <w:ilvl w:val="0"/>
              <w:numId w:val="1"/>
            </w:numPr>
            <w:spacing w:after="0" w:line="240" w:lineRule="auto"/>
            <w:rPr>
              <w:rFonts w:ascii="Calibri" w:eastAsia="Times New Roman" w:hAnsi="Calibri" w:cs="Calibri"/>
              <w:sz w:val="24"/>
              <w:szCs w:val="24"/>
              <w:lang w:eastAsia="en-GB"/>
            </w:rPr>
          </w:pPr>
          <w:r w:rsidRPr="00BD4F7A">
            <w:rPr>
              <w:rFonts w:ascii="Calibri" w:eastAsia="Times New Roman" w:hAnsi="Calibri" w:cs="Calibri"/>
              <w:sz w:val="24"/>
              <w:szCs w:val="24"/>
              <w:lang w:eastAsia="en-GB"/>
            </w:rPr>
            <w:t xml:space="preserve">Implement Phased Rollout rather than straight adoption introducing the systems gradually to allow for adaptation issues </w:t>
          </w:r>
          <w:sdt>
            <w:sdtPr>
              <w:rPr>
                <w:rFonts w:ascii="Calibri" w:hAnsi="Calibri" w:cs="Calibri"/>
                <w:sz w:val="24"/>
                <w:szCs w:val="24"/>
              </w:rPr>
              <w:id w:val="1906566288"/>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Joh25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(Hayes, 2025)</w:t>
              </w:r>
              <w:r w:rsidRPr="00BD4F7A">
                <w:rPr>
                  <w:rFonts w:ascii="Calibri" w:hAnsi="Calibri" w:cs="Calibri"/>
                  <w:sz w:val="24"/>
                  <w:szCs w:val="24"/>
                </w:rPr>
                <w:fldChar w:fldCharType="end"/>
              </w:r>
            </w:sdtContent>
          </w:sdt>
          <w:r w:rsidRPr="00BD4F7A">
            <w:rPr>
              <w:rFonts w:ascii="Calibri" w:hAnsi="Calibri" w:cs="Calibri"/>
              <w:sz w:val="24"/>
              <w:szCs w:val="24"/>
            </w:rPr>
            <w:t xml:space="preserve"> </w:t>
          </w:r>
          <w:sdt>
            <w:sdtPr>
              <w:rPr>
                <w:rFonts w:ascii="Calibri" w:hAnsi="Calibri" w:cs="Calibri"/>
                <w:sz w:val="24"/>
                <w:szCs w:val="24"/>
              </w:rPr>
              <w:id w:val="-1904436228"/>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App12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(Appelbaum, Habashy, Malo, &amp; Shafiq, 2012)</w:t>
              </w:r>
              <w:r w:rsidRPr="00BD4F7A">
                <w:rPr>
                  <w:rFonts w:ascii="Calibri" w:hAnsi="Calibri" w:cs="Calibri"/>
                  <w:sz w:val="24"/>
                  <w:szCs w:val="24"/>
                </w:rPr>
                <w:fldChar w:fldCharType="end"/>
              </w:r>
            </w:sdtContent>
          </w:sdt>
          <w:r w:rsidRPr="00BD4F7A">
            <w:rPr>
              <w:rFonts w:ascii="Calibri" w:hAnsi="Calibri" w:cs="Calibri"/>
              <w:sz w:val="24"/>
              <w:szCs w:val="24"/>
            </w:rPr>
            <w:t xml:space="preserve">. </w:t>
          </w:r>
        </w:p>
        <w:p w14:paraId="0A8AF59A" w14:textId="507BF9D4" w:rsidR="00BD4F7A" w:rsidRPr="00BD4F7A" w:rsidRDefault="00BD4F7A" w:rsidP="00E2232E">
          <w:pPr>
            <w:pStyle w:val="ListParagraph"/>
            <w:numPr>
              <w:ilvl w:val="0"/>
              <w:numId w:val="1"/>
            </w:numPr>
            <w:spacing w:after="0" w:line="240" w:lineRule="auto"/>
            <w:rPr>
              <w:rFonts w:ascii="Calibri" w:eastAsia="Times New Roman" w:hAnsi="Calibri" w:cs="Calibri"/>
              <w:sz w:val="24"/>
              <w:szCs w:val="24"/>
              <w:lang w:eastAsia="en-GB"/>
            </w:rPr>
          </w:pPr>
          <w:r w:rsidRPr="00BD4F7A">
            <w:rPr>
              <w:rFonts w:ascii="Calibri" w:eastAsia="Times New Roman" w:hAnsi="Calibri" w:cs="Calibri"/>
              <w:sz w:val="24"/>
              <w:szCs w:val="24"/>
              <w:lang w:eastAsia="en-GB"/>
            </w:rPr>
            <w:t xml:space="preserve">Strengthen Motivation and use recognition and development opportunities to enhance engagement of everyone within the organisation </w:t>
          </w:r>
          <w:sdt>
            <w:sdtPr>
              <w:rPr>
                <w:rFonts w:ascii="Calibri" w:hAnsi="Calibri" w:cs="Calibri"/>
                <w:sz w:val="24"/>
                <w:szCs w:val="24"/>
              </w:rPr>
              <w:id w:val="-1320411798"/>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Her68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(Herzberg, 1968)</w:t>
              </w:r>
              <w:r w:rsidRPr="00BD4F7A">
                <w:rPr>
                  <w:rFonts w:ascii="Calibri" w:hAnsi="Calibri" w:cs="Calibri"/>
                  <w:sz w:val="24"/>
                  <w:szCs w:val="24"/>
                </w:rPr>
                <w:fldChar w:fldCharType="end"/>
              </w:r>
            </w:sdtContent>
          </w:sdt>
          <w:sdt>
            <w:sdtPr>
              <w:rPr>
                <w:rFonts w:ascii="Calibri" w:hAnsi="Calibri" w:cs="Calibri"/>
                <w:sz w:val="24"/>
                <w:szCs w:val="24"/>
              </w:rPr>
              <w:id w:val="-1992248068"/>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Dec00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(Deci &amp; Ryan, 2000)</w:t>
              </w:r>
              <w:r w:rsidRPr="00BD4F7A">
                <w:rPr>
                  <w:rFonts w:ascii="Calibri" w:hAnsi="Calibri" w:cs="Calibri"/>
                  <w:sz w:val="24"/>
                  <w:szCs w:val="24"/>
                </w:rPr>
                <w:fldChar w:fldCharType="end"/>
              </w:r>
            </w:sdtContent>
          </w:sdt>
          <w:r w:rsidRPr="00BD4F7A">
            <w:rPr>
              <w:rFonts w:ascii="Calibri" w:hAnsi="Calibri" w:cs="Calibri"/>
              <w:sz w:val="24"/>
              <w:szCs w:val="24"/>
            </w:rPr>
            <w:t>.</w:t>
          </w:r>
        </w:p>
        <w:p w14:paraId="0FFCC341" w14:textId="77777777" w:rsidR="00BD4F7A" w:rsidRPr="00BD4F7A" w:rsidRDefault="00BD4F7A" w:rsidP="00E2232E">
          <w:pPr>
            <w:spacing w:line="240" w:lineRule="auto"/>
            <w:rPr>
              <w:rFonts w:ascii="Calibri" w:eastAsiaTheme="majorEastAsia" w:hAnsi="Calibri" w:cs="Calibri"/>
              <w:sz w:val="32"/>
              <w:szCs w:val="32"/>
            </w:rPr>
          </w:pPr>
          <w:r w:rsidRPr="00BD4F7A">
            <w:rPr>
              <w:rFonts w:ascii="Calibri" w:hAnsi="Calibri" w:cs="Calibri"/>
            </w:rPr>
            <w:br w:type="page"/>
          </w:r>
        </w:p>
        <w:p w14:paraId="6EDB51D4" w14:textId="77777777" w:rsidR="00BD4F7A" w:rsidRPr="00BD4F7A" w:rsidRDefault="00BD4F7A" w:rsidP="00E2232E">
          <w:pPr>
            <w:pStyle w:val="Heading1"/>
            <w:spacing w:line="240" w:lineRule="auto"/>
            <w:rPr>
              <w:rFonts w:ascii="Calibri" w:hAnsi="Calibri" w:cs="Calibri"/>
              <w:color w:val="auto"/>
            </w:rPr>
          </w:pPr>
          <w:bookmarkStart w:id="16" w:name="_Toc228108823"/>
          <w:r w:rsidRPr="00BD4F7A">
            <w:rPr>
              <w:rFonts w:ascii="Calibri" w:hAnsi="Calibri" w:cs="Calibri"/>
              <w:color w:val="auto"/>
            </w:rPr>
            <w:lastRenderedPageBreak/>
            <w:t>3. Conclusion</w:t>
          </w:r>
          <w:bookmarkEnd w:id="16"/>
        </w:p>
        <w:p w14:paraId="6EDF1B36" w14:textId="64F57F71"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 xml:space="preserve">In conclusion, the example of IVS’s SAGE HR implementation highlights the importance of managing both the technical and human aspects of change. In this case, while the system was implemented within IVS, it failed to fully cultivate, due to failing many of the theories discussed, with all employees returning to a paper-based logging system. Applying these various established theories demonstrates that training, employee involvement, and communication are essential for a successful change within an organisation </w:t>
          </w:r>
          <w:sdt>
            <w:sdtPr>
              <w:rPr>
                <w:rFonts w:ascii="Calibri" w:hAnsi="Calibri" w:cs="Calibri"/>
                <w:sz w:val="24"/>
                <w:szCs w:val="24"/>
              </w:rPr>
              <w:id w:val="541947140"/>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Ber17 \l 2057 </w:instrText>
              </w:r>
              <w:r w:rsidRPr="00BD4F7A">
                <w:rPr>
                  <w:rFonts w:ascii="Calibri" w:hAnsi="Calibri" w:cs="Calibri"/>
                  <w:sz w:val="24"/>
                  <w:szCs w:val="24"/>
                </w:rPr>
                <w:fldChar w:fldCharType="separate"/>
              </w:r>
              <w:r w:rsidR="00047E72" w:rsidRPr="00047E72">
                <w:rPr>
                  <w:rFonts w:ascii="Calibri" w:hAnsi="Calibri" w:cs="Calibri"/>
                  <w:noProof/>
                  <w:sz w:val="24"/>
                  <w:szCs w:val="24"/>
                </w:rPr>
                <w:t>(Burnes, Managing change, 2017)</w:t>
              </w:r>
              <w:r w:rsidRPr="00BD4F7A">
                <w:rPr>
                  <w:rFonts w:ascii="Calibri" w:hAnsi="Calibri" w:cs="Calibri"/>
                  <w:sz w:val="24"/>
                  <w:szCs w:val="24"/>
                </w:rPr>
                <w:fldChar w:fldCharType="end"/>
              </w:r>
            </w:sdtContent>
          </w:sdt>
          <w:sdt>
            <w:sdtPr>
              <w:rPr>
                <w:rFonts w:ascii="Calibri" w:hAnsi="Calibri" w:cs="Calibri"/>
                <w:sz w:val="24"/>
                <w:szCs w:val="24"/>
              </w:rPr>
              <w:id w:val="1870796892"/>
              <w:citation/>
            </w:sdtPr>
            <w:sdtContent>
              <w:r w:rsidRPr="00BD4F7A">
                <w:rPr>
                  <w:rFonts w:ascii="Calibri" w:hAnsi="Calibri" w:cs="Calibri"/>
                  <w:sz w:val="24"/>
                  <w:szCs w:val="24"/>
                </w:rPr>
                <w:fldChar w:fldCharType="begin"/>
              </w:r>
              <w:r w:rsidRPr="00BD4F7A">
                <w:rPr>
                  <w:rFonts w:ascii="Calibri" w:hAnsi="Calibri" w:cs="Calibri"/>
                  <w:sz w:val="24"/>
                  <w:szCs w:val="24"/>
                </w:rPr>
                <w:instrText xml:space="preserve"> CITATION Kot95 \l 2057 </w:instrText>
              </w:r>
              <w:r w:rsidRPr="00BD4F7A">
                <w:rPr>
                  <w:rFonts w:ascii="Calibri" w:hAnsi="Calibri" w:cs="Calibri"/>
                  <w:sz w:val="24"/>
                  <w:szCs w:val="24"/>
                </w:rPr>
                <w:fldChar w:fldCharType="separate"/>
              </w:r>
              <w:r w:rsidR="00047E72">
                <w:rPr>
                  <w:rFonts w:ascii="Calibri" w:hAnsi="Calibri" w:cs="Calibri"/>
                  <w:noProof/>
                  <w:sz w:val="24"/>
                  <w:szCs w:val="24"/>
                </w:rPr>
                <w:t xml:space="preserve"> </w:t>
              </w:r>
              <w:r w:rsidR="00047E72" w:rsidRPr="00047E72">
                <w:rPr>
                  <w:rFonts w:ascii="Calibri" w:hAnsi="Calibri" w:cs="Calibri"/>
                  <w:noProof/>
                  <w:sz w:val="24"/>
                  <w:szCs w:val="24"/>
                </w:rPr>
                <w:t>(Kotter, 1995)</w:t>
              </w:r>
              <w:r w:rsidRPr="00BD4F7A">
                <w:rPr>
                  <w:rFonts w:ascii="Calibri" w:hAnsi="Calibri" w:cs="Calibri"/>
                  <w:sz w:val="24"/>
                  <w:szCs w:val="24"/>
                </w:rPr>
                <w:fldChar w:fldCharType="end"/>
              </w:r>
            </w:sdtContent>
          </w:sdt>
          <w:r w:rsidRPr="00BD4F7A">
            <w:rPr>
              <w:rFonts w:ascii="Calibri" w:hAnsi="Calibri" w:cs="Calibri"/>
              <w:sz w:val="24"/>
              <w:szCs w:val="24"/>
            </w:rPr>
            <w:t>.</w:t>
          </w:r>
        </w:p>
        <w:p w14:paraId="0023E7B9" w14:textId="7777777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Applying Lewin’s Force Field Analysis showed that the restraining forces present within, such as fear of using new technology, lack of digital literacy, and attachment to old systems, were not at all addressed, which ultimately led to the intended driving forces of modernisation and increased efficiency being completely outweighed. Similarly, the failure to correctly execute the three-stage model by Lewin meant that the employees were not at all supported during any process of the implementation, which resulted in the change failing to embed within the organisational process.</w:t>
          </w:r>
        </w:p>
        <w:p w14:paraId="7C7D567B" w14:textId="7777777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Furthermore, the insights into the motivational theories, Herzberg’s two-factor theory, and Vroom’s expectancy Theory, further reinforce that employee confidence, satisfaction, and perceived ability are essential components when adopting successful change. The neglect of these factors within IVS leads to disengagement of the system and, in some cases, workforce attrition.</w:t>
          </w:r>
        </w:p>
        <w:p w14:paraId="6F6BA850" w14:textId="77777777" w:rsidR="00BD4F7A" w:rsidRPr="00BD4F7A" w:rsidRDefault="00BD4F7A" w:rsidP="00E2232E">
          <w:pPr>
            <w:spacing w:line="240" w:lineRule="auto"/>
            <w:ind w:firstLine="720"/>
            <w:rPr>
              <w:rFonts w:ascii="Calibri" w:hAnsi="Calibri" w:cs="Calibri"/>
              <w:sz w:val="24"/>
              <w:szCs w:val="24"/>
            </w:rPr>
          </w:pPr>
          <w:r w:rsidRPr="00BD4F7A">
            <w:rPr>
              <w:rFonts w:ascii="Calibri" w:hAnsi="Calibri" w:cs="Calibri"/>
              <w:sz w:val="24"/>
              <w:szCs w:val="24"/>
            </w:rPr>
            <w:t>Overall, this demonstrates that to achieve any type of successful change within a company, you require a well-structured, human-centred approach, with future changes prioritising clear communication, continuous training, employee involvement, and a much more phased-out approach to its introduction. By doing so, organisations can achieve a more sustainable and effective approach to change.</w:t>
          </w:r>
        </w:p>
        <w:p w14:paraId="1025086A" w14:textId="77777777" w:rsidR="00BD4F7A" w:rsidRPr="00BD4F7A" w:rsidRDefault="00BD4F7A" w:rsidP="00E2232E">
          <w:pPr>
            <w:spacing w:line="240" w:lineRule="auto"/>
            <w:ind w:firstLine="720"/>
            <w:rPr>
              <w:rFonts w:ascii="Calibri" w:hAnsi="Calibri" w:cs="Calibri"/>
            </w:rPr>
          </w:pPr>
          <w:r w:rsidRPr="00BD4F7A">
            <w:rPr>
              <w:rFonts w:ascii="Calibri" w:hAnsi="Calibri" w:cs="Calibri"/>
            </w:rPr>
            <w:br w:type="page"/>
          </w:r>
        </w:p>
        <w:bookmarkStart w:id="17" w:name="_Toc228108824" w:displacedByCustomXml="next"/>
        <w:sdt>
          <w:sdtPr>
            <w:rPr>
              <w:rFonts w:ascii="Calibri" w:eastAsiaTheme="minorHAnsi" w:hAnsi="Calibri" w:cs="Calibri"/>
              <w:color w:val="auto"/>
              <w:sz w:val="22"/>
              <w:szCs w:val="22"/>
            </w:rPr>
            <w:id w:val="786860896"/>
            <w:docPartObj>
              <w:docPartGallery w:val="Bibliographies"/>
              <w:docPartUnique/>
            </w:docPartObj>
          </w:sdtPr>
          <w:sdtContent>
            <w:p w14:paraId="77C08E04" w14:textId="77777777" w:rsidR="00BD4F7A" w:rsidRPr="00BD4F7A" w:rsidRDefault="00BD4F7A" w:rsidP="00E2232E">
              <w:pPr>
                <w:pStyle w:val="Heading1"/>
                <w:spacing w:line="240" w:lineRule="auto"/>
                <w:rPr>
                  <w:rFonts w:ascii="Calibri" w:hAnsi="Calibri" w:cs="Calibri"/>
                  <w:color w:val="auto"/>
                </w:rPr>
              </w:pPr>
              <w:r w:rsidRPr="00BD4F7A">
                <w:rPr>
                  <w:rFonts w:ascii="Calibri" w:hAnsi="Calibri" w:cs="Calibri"/>
                  <w:color w:val="auto"/>
                </w:rPr>
                <w:t>Bibliography</w:t>
              </w:r>
              <w:bookmarkEnd w:id="17"/>
            </w:p>
            <w:sdt>
              <w:sdtPr>
                <w:rPr>
                  <w:rFonts w:ascii="Calibri" w:hAnsi="Calibri" w:cs="Calibri"/>
                </w:rPr>
                <w:id w:val="111145805"/>
                <w:bibliography/>
              </w:sdtPr>
              <w:sdtContent>
                <w:p w14:paraId="3295A244" w14:textId="77777777" w:rsidR="00047E72" w:rsidRDefault="00BD4F7A" w:rsidP="00E2232E">
                  <w:pPr>
                    <w:pStyle w:val="Bibliography"/>
                    <w:spacing w:line="240" w:lineRule="auto"/>
                    <w:ind w:left="720" w:hanging="720"/>
                    <w:rPr>
                      <w:noProof/>
                      <w:sz w:val="24"/>
                      <w:szCs w:val="24"/>
                    </w:rPr>
                  </w:pPr>
                  <w:r w:rsidRPr="00BD4F7A">
                    <w:rPr>
                      <w:rFonts w:ascii="Calibri" w:hAnsi="Calibri" w:cs="Calibri"/>
                    </w:rPr>
                    <w:fldChar w:fldCharType="begin"/>
                  </w:r>
                  <w:r w:rsidRPr="00BD4F7A">
                    <w:rPr>
                      <w:rFonts w:ascii="Calibri" w:hAnsi="Calibri" w:cs="Calibri"/>
                    </w:rPr>
                    <w:instrText xml:space="preserve"> BIBLIOGRAPHY </w:instrText>
                  </w:r>
                  <w:r w:rsidRPr="00BD4F7A">
                    <w:rPr>
                      <w:rFonts w:ascii="Calibri" w:hAnsi="Calibri" w:cs="Calibri"/>
                    </w:rPr>
                    <w:fldChar w:fldCharType="separate"/>
                  </w:r>
                  <w:r w:rsidR="00047E72">
                    <w:rPr>
                      <w:noProof/>
                    </w:rPr>
                    <w:t>Al-Haddad, S., &amp; Kotnour, T. (2015). Integrating the organizational change literature: a model for successful change. pp.234-262.</w:t>
                  </w:r>
                </w:p>
                <w:p w14:paraId="317EE764" w14:textId="77777777" w:rsidR="00047E72" w:rsidRDefault="00047E72" w:rsidP="00E2232E">
                  <w:pPr>
                    <w:pStyle w:val="Bibliography"/>
                    <w:spacing w:line="240" w:lineRule="auto"/>
                    <w:ind w:left="720" w:hanging="720"/>
                    <w:rPr>
                      <w:noProof/>
                    </w:rPr>
                  </w:pPr>
                  <w:r>
                    <w:rPr>
                      <w:noProof/>
                    </w:rPr>
                    <w:t>Appelbaum, S. H., Habashy, S., Malo, J.-L., &amp; Shafiq, H. (2012). Back to the future: revisiting Kotter's 1996 change model. p.764-782.</w:t>
                  </w:r>
                </w:p>
                <w:p w14:paraId="6C7FB540" w14:textId="77777777" w:rsidR="00047E72" w:rsidRDefault="00047E72" w:rsidP="00E2232E">
                  <w:pPr>
                    <w:pStyle w:val="Bibliography"/>
                    <w:spacing w:line="240" w:lineRule="auto"/>
                    <w:ind w:left="720" w:hanging="720"/>
                    <w:rPr>
                      <w:noProof/>
                    </w:rPr>
                  </w:pPr>
                  <w:r>
                    <w:rPr>
                      <w:noProof/>
                    </w:rPr>
                    <w:t>Armenakis, A. A., &amp; Harris, S. G. (2009). Reflections: our Journey in Organizational Change Research and Practice. pp.127-142.</w:t>
                  </w:r>
                </w:p>
                <w:p w14:paraId="7A5954DA" w14:textId="77777777" w:rsidR="00047E72" w:rsidRDefault="00047E72" w:rsidP="00E2232E">
                  <w:pPr>
                    <w:pStyle w:val="Bibliography"/>
                    <w:spacing w:line="240" w:lineRule="auto"/>
                    <w:ind w:left="720" w:hanging="720"/>
                    <w:rPr>
                      <w:noProof/>
                    </w:rPr>
                  </w:pPr>
                  <w:r>
                    <w:rPr>
                      <w:noProof/>
                    </w:rPr>
                    <w:t>Beer, M., &amp; Nohria, N. (2000). Cracking the code of change. pp.133.</w:t>
                  </w:r>
                </w:p>
                <w:p w14:paraId="50193218" w14:textId="77777777" w:rsidR="00047E72" w:rsidRDefault="00047E72" w:rsidP="00E2232E">
                  <w:pPr>
                    <w:pStyle w:val="Bibliography"/>
                    <w:spacing w:line="240" w:lineRule="auto"/>
                    <w:ind w:left="720" w:hanging="720"/>
                    <w:rPr>
                      <w:noProof/>
                    </w:rPr>
                  </w:pPr>
                  <w:r>
                    <w:rPr>
                      <w:noProof/>
                    </w:rPr>
                    <w:t>Bordia, P., Hobman, E., Jones, E., Gallois, C., &amp; Callan, V. J. (2004). Uncertainty during Organizational Change: Types, Consequences, and Management Strategies. pp.507-532.</w:t>
                  </w:r>
                </w:p>
                <w:p w14:paraId="71A3A925" w14:textId="77777777" w:rsidR="00047E72" w:rsidRDefault="00047E72" w:rsidP="00E2232E">
                  <w:pPr>
                    <w:pStyle w:val="Bibliography"/>
                    <w:spacing w:line="240" w:lineRule="auto"/>
                    <w:ind w:left="720" w:hanging="720"/>
                    <w:rPr>
                      <w:noProof/>
                    </w:rPr>
                  </w:pPr>
                  <w:r>
                    <w:rPr>
                      <w:noProof/>
                    </w:rPr>
                    <w:t xml:space="preserve">Burnes, B. (2017). </w:t>
                  </w:r>
                  <w:r>
                    <w:rPr>
                      <w:i/>
                      <w:iCs/>
                      <w:noProof/>
                    </w:rPr>
                    <w:t>Managing change.</w:t>
                  </w:r>
                  <w:r>
                    <w:rPr>
                      <w:noProof/>
                    </w:rPr>
                    <w:t xml:space="preserve"> Pearson.</w:t>
                  </w:r>
                </w:p>
                <w:p w14:paraId="2E9CD5E5" w14:textId="77777777" w:rsidR="00047E72" w:rsidRDefault="00047E72" w:rsidP="00E2232E">
                  <w:pPr>
                    <w:pStyle w:val="Bibliography"/>
                    <w:spacing w:line="240" w:lineRule="auto"/>
                    <w:ind w:left="720" w:hanging="720"/>
                    <w:rPr>
                      <w:noProof/>
                    </w:rPr>
                  </w:pPr>
                  <w:r>
                    <w:rPr>
                      <w:noProof/>
                    </w:rPr>
                    <w:t xml:space="preserve">Burnes, B., &amp; Bargal, D. (2017). Kurt Lewin: 70 Years on. </w:t>
                  </w:r>
                  <w:r>
                    <w:rPr>
                      <w:i/>
                      <w:iCs/>
                      <w:noProof/>
                    </w:rPr>
                    <w:t>Kurt Lewin: 70 Years on</w:t>
                  </w:r>
                  <w:r>
                    <w:rPr>
                      <w:noProof/>
                    </w:rPr>
                    <w:t>, pp. 91–100.</w:t>
                  </w:r>
                </w:p>
                <w:p w14:paraId="51C689EF" w14:textId="77777777" w:rsidR="00047E72" w:rsidRDefault="00047E72" w:rsidP="00E2232E">
                  <w:pPr>
                    <w:pStyle w:val="Bibliography"/>
                    <w:spacing w:line="240" w:lineRule="auto"/>
                    <w:ind w:left="720" w:hanging="720"/>
                    <w:rPr>
                      <w:noProof/>
                    </w:rPr>
                  </w:pPr>
                  <w:r>
                    <w:rPr>
                      <w:noProof/>
                    </w:rPr>
                    <w:t>Capatina, A., Bleoju, G., Matos, F., &amp; Vairinhos, V. (2017). Leveraging intellectual capital through Lewin's Force Field Analysis: The case of software development companies. pp.125-133.</w:t>
                  </w:r>
                </w:p>
                <w:p w14:paraId="48A66433" w14:textId="77777777" w:rsidR="00047E72" w:rsidRDefault="00047E72" w:rsidP="00E2232E">
                  <w:pPr>
                    <w:pStyle w:val="Bibliography"/>
                    <w:spacing w:line="240" w:lineRule="auto"/>
                    <w:ind w:left="720" w:hanging="720"/>
                    <w:rPr>
                      <w:noProof/>
                    </w:rPr>
                  </w:pPr>
                  <w:r>
                    <w:rPr>
                      <w:noProof/>
                    </w:rPr>
                    <w:t>Cummings, S., Bridgman, T., &amp; Brown, K. G. (2016). Unfreezing change as three steps: Rethinking Kurt Lewin’s legacy for change management. pp.33-60.</w:t>
                  </w:r>
                </w:p>
                <w:p w14:paraId="325ED238" w14:textId="77777777" w:rsidR="00047E72" w:rsidRDefault="00047E72" w:rsidP="00E2232E">
                  <w:pPr>
                    <w:pStyle w:val="Bibliography"/>
                    <w:spacing w:line="240" w:lineRule="auto"/>
                    <w:ind w:left="720" w:hanging="720"/>
                    <w:rPr>
                      <w:noProof/>
                    </w:rPr>
                  </w:pPr>
                  <w:r>
                    <w:rPr>
                      <w:noProof/>
                    </w:rPr>
                    <w:t xml:space="preserve">Cummings, T. G., &amp; Worley, C. G. (n.d.). </w:t>
                  </w:r>
                  <w:r>
                    <w:rPr>
                      <w:i/>
                      <w:iCs/>
                      <w:noProof/>
                    </w:rPr>
                    <w:t>Organization Development &amp; Change.</w:t>
                  </w:r>
                  <w:r>
                    <w:rPr>
                      <w:noProof/>
                    </w:rPr>
                    <w:t xml:space="preserve"> CENGAGE learning.</w:t>
                  </w:r>
                </w:p>
                <w:p w14:paraId="7AB37213" w14:textId="77777777" w:rsidR="00047E72" w:rsidRDefault="00047E72" w:rsidP="00E2232E">
                  <w:pPr>
                    <w:pStyle w:val="Bibliography"/>
                    <w:spacing w:line="240" w:lineRule="auto"/>
                    <w:ind w:left="720" w:hanging="720"/>
                    <w:rPr>
                      <w:noProof/>
                    </w:rPr>
                  </w:pPr>
                  <w:r>
                    <w:rPr>
                      <w:noProof/>
                    </w:rPr>
                    <w:t>Davis, F. D. (1989). Perceived Usefulness, Perceived Ease of Use, and User Acceptance of Information Technology. pp.319-340.</w:t>
                  </w:r>
                </w:p>
                <w:p w14:paraId="512C4AE5" w14:textId="77777777" w:rsidR="00047E72" w:rsidRDefault="00047E72" w:rsidP="00E2232E">
                  <w:pPr>
                    <w:pStyle w:val="Bibliography"/>
                    <w:spacing w:line="240" w:lineRule="auto"/>
                    <w:ind w:left="720" w:hanging="720"/>
                    <w:rPr>
                      <w:noProof/>
                    </w:rPr>
                  </w:pPr>
                  <w:r>
                    <w:rPr>
                      <w:noProof/>
                    </w:rPr>
                    <w:t>Deci, E. L., &amp; Ryan, R. M. (2000). The "What" and "Why" of Goal Pursuits: Human Needs and the Self-Determination of Behavior. pp.227-268.</w:t>
                  </w:r>
                </w:p>
                <w:p w14:paraId="2B42271B" w14:textId="77777777" w:rsidR="00047E72" w:rsidRDefault="00047E72" w:rsidP="00E2232E">
                  <w:pPr>
                    <w:pStyle w:val="Bibliography"/>
                    <w:spacing w:line="240" w:lineRule="auto"/>
                    <w:ind w:left="720" w:hanging="720"/>
                    <w:rPr>
                      <w:noProof/>
                    </w:rPr>
                  </w:pPr>
                  <w:r>
                    <w:rPr>
                      <w:noProof/>
                    </w:rPr>
                    <w:t>Ertmer, P. A., &amp; Ottenbreit-Leftwich, A. T. (2010). Teacher Technology Change: How Knowledge, Confidence, Beliefs, and Culture Intersect. pp.255-284.</w:t>
                  </w:r>
                </w:p>
                <w:p w14:paraId="23E31093" w14:textId="77777777" w:rsidR="00047E72" w:rsidRDefault="00047E72" w:rsidP="00E2232E">
                  <w:pPr>
                    <w:pStyle w:val="Bibliography"/>
                    <w:spacing w:line="240" w:lineRule="auto"/>
                    <w:ind w:left="720" w:hanging="720"/>
                    <w:rPr>
                      <w:noProof/>
                    </w:rPr>
                  </w:pPr>
                  <w:r>
                    <w:rPr>
                      <w:noProof/>
                    </w:rPr>
                    <w:t xml:space="preserve">Hayes, J. (2025). </w:t>
                  </w:r>
                  <w:r>
                    <w:rPr>
                      <w:i/>
                      <w:iCs/>
                      <w:noProof/>
                    </w:rPr>
                    <w:t>The theory and practice of change management.</w:t>
                  </w:r>
                  <w:r>
                    <w:rPr>
                      <w:noProof/>
                    </w:rPr>
                    <w:t xml:space="preserve"> Bloomsbury Academic.</w:t>
                  </w:r>
                </w:p>
                <w:p w14:paraId="58FFA21B" w14:textId="77777777" w:rsidR="00047E72" w:rsidRDefault="00047E72" w:rsidP="00E2232E">
                  <w:pPr>
                    <w:pStyle w:val="Bibliography"/>
                    <w:spacing w:line="240" w:lineRule="auto"/>
                    <w:ind w:left="720" w:hanging="720"/>
                    <w:rPr>
                      <w:noProof/>
                    </w:rPr>
                  </w:pPr>
                  <w:r>
                    <w:rPr>
                      <w:noProof/>
                    </w:rPr>
                    <w:t>Herzberg, F. (1968). One more time: how do you motivate employees? not by improving work conditions, raising salaries, or shuffling tasks. pp.53-62.</w:t>
                  </w:r>
                </w:p>
                <w:p w14:paraId="61FAC351" w14:textId="77777777" w:rsidR="00047E72" w:rsidRDefault="00047E72" w:rsidP="00E2232E">
                  <w:pPr>
                    <w:pStyle w:val="Bibliography"/>
                    <w:spacing w:line="240" w:lineRule="auto"/>
                    <w:ind w:left="720" w:hanging="720"/>
                    <w:rPr>
                      <w:noProof/>
                    </w:rPr>
                  </w:pPr>
                  <w:r>
                    <w:rPr>
                      <w:noProof/>
                    </w:rPr>
                    <w:t>Hiatt, J. M. (2006). ADKAR: A model for change.</w:t>
                  </w:r>
                </w:p>
                <w:p w14:paraId="6C23EEA3" w14:textId="77777777" w:rsidR="00047E72" w:rsidRDefault="00047E72" w:rsidP="00E2232E">
                  <w:pPr>
                    <w:pStyle w:val="Bibliography"/>
                    <w:spacing w:line="240" w:lineRule="auto"/>
                    <w:ind w:left="720" w:hanging="720"/>
                    <w:rPr>
                      <w:noProof/>
                    </w:rPr>
                  </w:pPr>
                  <w:r>
                    <w:rPr>
                      <w:noProof/>
                    </w:rPr>
                    <w:t>Hussain, S. T., Lei, S., Akram, T., Haider, M. J., Hussain, S. H., &amp; Ali, M. (2018). Kurt Lewin's change model: A critical review of the role of leadership and employee involvement in organizational change. pp.123-127.</w:t>
                  </w:r>
                </w:p>
                <w:p w14:paraId="3986D8DA" w14:textId="77777777" w:rsidR="00047E72" w:rsidRDefault="00047E72" w:rsidP="00E2232E">
                  <w:pPr>
                    <w:pStyle w:val="Bibliography"/>
                    <w:spacing w:line="240" w:lineRule="auto"/>
                    <w:ind w:left="720" w:hanging="720"/>
                    <w:rPr>
                      <w:noProof/>
                    </w:rPr>
                  </w:pPr>
                  <w:r>
                    <w:rPr>
                      <w:noProof/>
                    </w:rPr>
                    <w:t>Kotter, J. P. (1995). Leading change: Why transformation efforts fail. pp.59-67.</w:t>
                  </w:r>
                </w:p>
                <w:p w14:paraId="053A03EF" w14:textId="77777777" w:rsidR="00047E72" w:rsidRDefault="00047E72" w:rsidP="00E2232E">
                  <w:pPr>
                    <w:pStyle w:val="Bibliography"/>
                    <w:spacing w:line="240" w:lineRule="auto"/>
                    <w:ind w:left="720" w:hanging="720"/>
                    <w:rPr>
                      <w:noProof/>
                    </w:rPr>
                  </w:pPr>
                  <w:r>
                    <w:rPr>
                      <w:noProof/>
                    </w:rPr>
                    <w:t xml:space="preserve">Kotter., J. P. (2012). </w:t>
                  </w:r>
                  <w:r>
                    <w:rPr>
                      <w:i/>
                      <w:iCs/>
                      <w:noProof/>
                    </w:rPr>
                    <w:t>Leading change.</w:t>
                  </w:r>
                  <w:r>
                    <w:rPr>
                      <w:noProof/>
                    </w:rPr>
                    <w:t xml:space="preserve"> Harvard Buisness Review Press.</w:t>
                  </w:r>
                </w:p>
                <w:p w14:paraId="1DB5880C" w14:textId="77777777" w:rsidR="00047E72" w:rsidRDefault="00047E72" w:rsidP="00E2232E">
                  <w:pPr>
                    <w:pStyle w:val="Bibliography"/>
                    <w:spacing w:line="240" w:lineRule="auto"/>
                    <w:ind w:left="720" w:hanging="720"/>
                    <w:rPr>
                      <w:noProof/>
                    </w:rPr>
                  </w:pPr>
                  <w:r>
                    <w:rPr>
                      <w:noProof/>
                    </w:rPr>
                    <w:t xml:space="preserve">Lewin, K. (1951). </w:t>
                  </w:r>
                  <w:r>
                    <w:rPr>
                      <w:i/>
                      <w:iCs/>
                      <w:noProof/>
                    </w:rPr>
                    <w:t>Field theory in social science.</w:t>
                  </w:r>
                  <w:r>
                    <w:rPr>
                      <w:noProof/>
                    </w:rPr>
                    <w:t xml:space="preserve"> Harper.</w:t>
                  </w:r>
                </w:p>
                <w:p w14:paraId="5830EBE1" w14:textId="77777777" w:rsidR="00047E72" w:rsidRDefault="00047E72" w:rsidP="00E2232E">
                  <w:pPr>
                    <w:pStyle w:val="Bibliography"/>
                    <w:spacing w:line="240" w:lineRule="auto"/>
                    <w:ind w:left="720" w:hanging="720"/>
                    <w:rPr>
                      <w:noProof/>
                    </w:rPr>
                  </w:pPr>
                  <w:r>
                    <w:rPr>
                      <w:noProof/>
                    </w:rPr>
                    <w:t xml:space="preserve">Mullins, L. J., &amp; Rees., G. (2023). </w:t>
                  </w:r>
                  <w:r>
                    <w:rPr>
                      <w:i/>
                      <w:iCs/>
                      <w:noProof/>
                    </w:rPr>
                    <w:t>Management and organisational behaviour.</w:t>
                  </w:r>
                  <w:r>
                    <w:rPr>
                      <w:noProof/>
                    </w:rPr>
                    <w:t xml:space="preserve"> pearson education.</w:t>
                  </w:r>
                </w:p>
                <w:p w14:paraId="67D6076E" w14:textId="77777777" w:rsidR="00047E72" w:rsidRDefault="00047E72" w:rsidP="00E2232E">
                  <w:pPr>
                    <w:pStyle w:val="Bibliography"/>
                    <w:spacing w:line="240" w:lineRule="auto"/>
                    <w:ind w:left="720" w:hanging="720"/>
                    <w:rPr>
                      <w:noProof/>
                    </w:rPr>
                  </w:pPr>
                  <w:r>
                    <w:rPr>
                      <w:noProof/>
                    </w:rPr>
                    <w:lastRenderedPageBreak/>
                    <w:t>Oreg, S. (2006). Personality, context, and resistance to organizational change. pp.73-101.</w:t>
                  </w:r>
                </w:p>
                <w:p w14:paraId="18E7E7FF" w14:textId="77777777" w:rsidR="00047E72" w:rsidRDefault="00047E72" w:rsidP="00E2232E">
                  <w:pPr>
                    <w:pStyle w:val="Bibliography"/>
                    <w:spacing w:line="240" w:lineRule="auto"/>
                    <w:ind w:left="720" w:hanging="720"/>
                    <w:rPr>
                      <w:noProof/>
                    </w:rPr>
                  </w:pPr>
                  <w:r>
                    <w:rPr>
                      <w:noProof/>
                    </w:rPr>
                    <w:t>Oreg, S., Vakola, M., &amp; Armenakis, A. (2011). Change Recipients’ Reactions to Organizational Change. pp.461-524.</w:t>
                  </w:r>
                </w:p>
                <w:p w14:paraId="13BBDDBB" w14:textId="77777777" w:rsidR="00047E72" w:rsidRDefault="00047E72" w:rsidP="00E2232E">
                  <w:pPr>
                    <w:pStyle w:val="Bibliography"/>
                    <w:spacing w:line="240" w:lineRule="auto"/>
                    <w:ind w:left="720" w:hanging="720"/>
                    <w:rPr>
                      <w:noProof/>
                    </w:rPr>
                  </w:pPr>
                  <w:r>
                    <w:rPr>
                      <w:noProof/>
                    </w:rPr>
                    <w:t>Pettigrew, A. M. (2012). Context and Action in the Transformation of the Firm: A Reprise. pp.1304-1328.</w:t>
                  </w:r>
                </w:p>
                <w:p w14:paraId="29361C56" w14:textId="77777777" w:rsidR="00047E72" w:rsidRDefault="00047E72" w:rsidP="00E2232E">
                  <w:pPr>
                    <w:pStyle w:val="Bibliography"/>
                    <w:spacing w:line="240" w:lineRule="auto"/>
                    <w:ind w:left="720" w:hanging="720"/>
                    <w:rPr>
                      <w:noProof/>
                    </w:rPr>
                  </w:pPr>
                  <w:r>
                    <w:rPr>
                      <w:noProof/>
                    </w:rPr>
                    <w:t>Stanley, D. J., Meyer, J. P., &amp; Topolnytsky, L. (2005). Employee Cynicism and Resistance to Organizational Change. pp.429-459.</w:t>
                  </w:r>
                </w:p>
                <w:p w14:paraId="1BE9DB12" w14:textId="77777777" w:rsidR="00047E72" w:rsidRDefault="00047E72" w:rsidP="00E2232E">
                  <w:pPr>
                    <w:pStyle w:val="Bibliography"/>
                    <w:spacing w:line="240" w:lineRule="auto"/>
                    <w:ind w:left="720" w:hanging="720"/>
                    <w:rPr>
                      <w:noProof/>
                    </w:rPr>
                  </w:pPr>
                  <w:r>
                    <w:rPr>
                      <w:noProof/>
                    </w:rPr>
                    <w:t>Steele, F. I. (1964). Work and Motivation by Victor H. Vroom. pp.106.</w:t>
                  </w:r>
                </w:p>
                <w:p w14:paraId="7586147B" w14:textId="77777777" w:rsidR="00047E72" w:rsidRDefault="00047E72" w:rsidP="00E2232E">
                  <w:pPr>
                    <w:pStyle w:val="Bibliography"/>
                    <w:spacing w:line="240" w:lineRule="auto"/>
                    <w:ind w:left="720" w:hanging="720"/>
                    <w:rPr>
                      <w:noProof/>
                    </w:rPr>
                  </w:pPr>
                  <w:r>
                    <w:rPr>
                      <w:noProof/>
                    </w:rPr>
                    <w:t>Swanson, D. J., &amp; Creed, A. S. (2014). Sharpening the Focus of Force Field Analysis. p.28-47.</w:t>
                  </w:r>
                </w:p>
                <w:p w14:paraId="33CCB5CF" w14:textId="77777777" w:rsidR="00047E72" w:rsidRDefault="00047E72" w:rsidP="00E2232E">
                  <w:pPr>
                    <w:pStyle w:val="Bibliography"/>
                    <w:spacing w:line="240" w:lineRule="auto"/>
                    <w:ind w:left="720" w:hanging="720"/>
                    <w:rPr>
                      <w:noProof/>
                    </w:rPr>
                  </w:pPr>
                  <w:r>
                    <w:rPr>
                      <w:noProof/>
                    </w:rPr>
                    <w:t xml:space="preserve">Taylor, S., &amp; Armstrong, M. (2026). </w:t>
                  </w:r>
                  <w:r>
                    <w:rPr>
                      <w:i/>
                      <w:iCs/>
                      <w:noProof/>
                    </w:rPr>
                    <w:t>rmstrong's handbook of human resource management practice : a guide to the theory and practice of people management.</w:t>
                  </w:r>
                  <w:r>
                    <w:rPr>
                      <w:noProof/>
                    </w:rPr>
                    <w:t xml:space="preserve"> Kogan Page.</w:t>
                  </w:r>
                </w:p>
                <w:p w14:paraId="4F679B3E" w14:textId="77777777" w:rsidR="00047E72" w:rsidRDefault="00047E72" w:rsidP="00E2232E">
                  <w:pPr>
                    <w:pStyle w:val="Bibliography"/>
                    <w:spacing w:line="240" w:lineRule="auto"/>
                    <w:ind w:left="720" w:hanging="720"/>
                    <w:rPr>
                      <w:noProof/>
                    </w:rPr>
                  </w:pPr>
                  <w:r>
                    <w:rPr>
                      <w:noProof/>
                    </w:rPr>
                    <w:t>Todnem, R. (2005). Organisational change management: A critical review. pp.369-380.</w:t>
                  </w:r>
                </w:p>
                <w:p w14:paraId="54BB7995" w14:textId="77777777" w:rsidR="00047E72" w:rsidRDefault="00047E72" w:rsidP="00E2232E">
                  <w:pPr>
                    <w:pStyle w:val="Bibliography"/>
                    <w:spacing w:line="240" w:lineRule="auto"/>
                    <w:ind w:left="720" w:hanging="720"/>
                    <w:rPr>
                      <w:noProof/>
                    </w:rPr>
                  </w:pPr>
                  <w:r>
                    <w:rPr>
                      <w:noProof/>
                    </w:rPr>
                    <w:t>Venkatesh, V., Morris, M. G., Davis, G. B., &amp; Davis, F. D. (2003). User Acceptance of Information Technology: Toward a Unified View. pp.425-478.</w:t>
                  </w:r>
                </w:p>
                <w:p w14:paraId="37341DB9" w14:textId="77777777" w:rsidR="00047E72" w:rsidRDefault="00047E72" w:rsidP="00E2232E">
                  <w:pPr>
                    <w:pStyle w:val="Bibliography"/>
                    <w:spacing w:line="240" w:lineRule="auto"/>
                    <w:ind w:left="720" w:hanging="720"/>
                    <w:rPr>
                      <w:noProof/>
                    </w:rPr>
                  </w:pPr>
                  <w:r>
                    <w:rPr>
                      <w:noProof/>
                    </w:rPr>
                    <w:t>Wanberg, C. R., &amp; Banas, J. T. (2000). Predictors and Outcomes of Openness to Changes in a Reorganizing Workplace. pp.132-142.</w:t>
                  </w:r>
                </w:p>
                <w:p w14:paraId="65651ED1" w14:textId="77777777" w:rsidR="00047E72" w:rsidRDefault="00047E72" w:rsidP="00E2232E">
                  <w:pPr>
                    <w:pStyle w:val="Bibliography"/>
                    <w:spacing w:line="240" w:lineRule="auto"/>
                    <w:ind w:left="720" w:hanging="720"/>
                    <w:rPr>
                      <w:noProof/>
                    </w:rPr>
                  </w:pPr>
                  <w:r>
                    <w:rPr>
                      <w:noProof/>
                    </w:rPr>
                    <w:t>Weick, K. E., &amp; Quinn, R. E. (1999). ORGANIZATIONAL CHANGE AND DEVELOPMENT. pp.361-386.</w:t>
                  </w:r>
                </w:p>
                <w:p w14:paraId="7613046E" w14:textId="77777777" w:rsidR="00BD4F7A" w:rsidRPr="00BD4F7A" w:rsidRDefault="00BD4F7A" w:rsidP="00E2232E">
                  <w:pPr>
                    <w:spacing w:line="240" w:lineRule="auto"/>
                    <w:rPr>
                      <w:rFonts w:ascii="Calibri" w:hAnsi="Calibri" w:cs="Calibri"/>
                      <w:sz w:val="40"/>
                      <w:szCs w:val="40"/>
                      <w:highlight w:val="red"/>
                    </w:rPr>
                  </w:pPr>
                  <w:r w:rsidRPr="00BD4F7A">
                    <w:rPr>
                      <w:rFonts w:ascii="Calibri" w:hAnsi="Calibri" w:cs="Calibri"/>
                      <w:b/>
                      <w:bCs/>
                      <w:noProof/>
                    </w:rPr>
                    <w:fldChar w:fldCharType="end"/>
                  </w:r>
                </w:p>
              </w:sdtContent>
            </w:sdt>
          </w:sdtContent>
        </w:sdt>
      </w:sdtContent>
    </w:sdt>
    <w:p w14:paraId="41B24C26" w14:textId="77777777" w:rsidR="00894076" w:rsidRPr="00BD4F7A" w:rsidRDefault="00894076" w:rsidP="00E2232E">
      <w:pPr>
        <w:spacing w:line="240" w:lineRule="auto"/>
        <w:rPr>
          <w:rFonts w:ascii="Calibri" w:hAnsi="Calibri" w:cs="Calibri"/>
        </w:rPr>
      </w:pPr>
    </w:p>
    <w:sectPr w:rsidR="00894076" w:rsidRPr="00BD4F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6DDD6" w14:textId="77777777" w:rsidR="00DF0245" w:rsidRDefault="00DF0245" w:rsidP="0074096F">
      <w:pPr>
        <w:spacing w:after="0" w:line="240" w:lineRule="auto"/>
      </w:pPr>
      <w:r>
        <w:separator/>
      </w:r>
    </w:p>
  </w:endnote>
  <w:endnote w:type="continuationSeparator" w:id="0">
    <w:p w14:paraId="0905D2F8" w14:textId="77777777" w:rsidR="00DF0245" w:rsidRDefault="00DF0245" w:rsidP="00740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56EB9" w14:textId="77777777" w:rsidR="00DF0245" w:rsidRDefault="00DF0245" w:rsidP="0074096F">
      <w:pPr>
        <w:spacing w:after="0" w:line="240" w:lineRule="auto"/>
      </w:pPr>
      <w:r>
        <w:separator/>
      </w:r>
    </w:p>
  </w:footnote>
  <w:footnote w:type="continuationSeparator" w:id="0">
    <w:p w14:paraId="37EFFEB1" w14:textId="77777777" w:rsidR="00DF0245" w:rsidRDefault="00DF0245" w:rsidP="007409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650D26"/>
    <w:multiLevelType w:val="hybridMultilevel"/>
    <w:tmpl w:val="E9947156"/>
    <w:lvl w:ilvl="0" w:tplc="9EDAA6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52675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F7A"/>
    <w:rsid w:val="00047E72"/>
    <w:rsid w:val="0074096F"/>
    <w:rsid w:val="007D2B0A"/>
    <w:rsid w:val="00894076"/>
    <w:rsid w:val="00BD4F7A"/>
    <w:rsid w:val="00C50B39"/>
    <w:rsid w:val="00DF0245"/>
    <w:rsid w:val="00E2232E"/>
    <w:rsid w:val="00E47931"/>
    <w:rsid w:val="00EA5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289A4"/>
  <w15:chartTrackingRefBased/>
  <w15:docId w15:val="{0A17C2F6-5E64-4B2D-9708-811EBDB1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F7A"/>
    <w:pPr>
      <w:spacing w:line="259" w:lineRule="auto"/>
    </w:pPr>
    <w:rPr>
      <w:kern w:val="0"/>
      <w:sz w:val="22"/>
      <w:szCs w:val="22"/>
      <w14:ligatures w14:val="none"/>
    </w:rPr>
  </w:style>
  <w:style w:type="paragraph" w:styleId="Heading1">
    <w:name w:val="heading 1"/>
    <w:basedOn w:val="Normal"/>
    <w:next w:val="Normal"/>
    <w:link w:val="Heading1Char"/>
    <w:uiPriority w:val="9"/>
    <w:qFormat/>
    <w:rsid w:val="00BD4F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4F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4F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4F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4F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4F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F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F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F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F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4F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4F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4F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F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F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F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F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F7A"/>
    <w:rPr>
      <w:rFonts w:eastAsiaTheme="majorEastAsia" w:cstheme="majorBidi"/>
      <w:color w:val="272727" w:themeColor="text1" w:themeTint="D8"/>
    </w:rPr>
  </w:style>
  <w:style w:type="paragraph" w:styleId="Title">
    <w:name w:val="Title"/>
    <w:basedOn w:val="Normal"/>
    <w:next w:val="Normal"/>
    <w:link w:val="TitleChar"/>
    <w:uiPriority w:val="10"/>
    <w:qFormat/>
    <w:rsid w:val="00BD4F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F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F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F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F7A"/>
    <w:pPr>
      <w:spacing w:before="160"/>
      <w:jc w:val="center"/>
    </w:pPr>
    <w:rPr>
      <w:i/>
      <w:iCs/>
      <w:color w:val="404040" w:themeColor="text1" w:themeTint="BF"/>
    </w:rPr>
  </w:style>
  <w:style w:type="character" w:customStyle="1" w:styleId="QuoteChar">
    <w:name w:val="Quote Char"/>
    <w:basedOn w:val="DefaultParagraphFont"/>
    <w:link w:val="Quote"/>
    <w:uiPriority w:val="29"/>
    <w:rsid w:val="00BD4F7A"/>
    <w:rPr>
      <w:i/>
      <w:iCs/>
      <w:color w:val="404040" w:themeColor="text1" w:themeTint="BF"/>
    </w:rPr>
  </w:style>
  <w:style w:type="paragraph" w:styleId="ListParagraph">
    <w:name w:val="List Paragraph"/>
    <w:basedOn w:val="Normal"/>
    <w:uiPriority w:val="34"/>
    <w:qFormat/>
    <w:rsid w:val="00BD4F7A"/>
    <w:pPr>
      <w:ind w:left="720"/>
      <w:contextualSpacing/>
    </w:pPr>
  </w:style>
  <w:style w:type="character" w:styleId="IntenseEmphasis">
    <w:name w:val="Intense Emphasis"/>
    <w:basedOn w:val="DefaultParagraphFont"/>
    <w:uiPriority w:val="21"/>
    <w:qFormat/>
    <w:rsid w:val="00BD4F7A"/>
    <w:rPr>
      <w:i/>
      <w:iCs/>
      <w:color w:val="0F4761" w:themeColor="accent1" w:themeShade="BF"/>
    </w:rPr>
  </w:style>
  <w:style w:type="paragraph" w:styleId="IntenseQuote">
    <w:name w:val="Intense Quote"/>
    <w:basedOn w:val="Normal"/>
    <w:next w:val="Normal"/>
    <w:link w:val="IntenseQuoteChar"/>
    <w:uiPriority w:val="30"/>
    <w:qFormat/>
    <w:rsid w:val="00BD4F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F7A"/>
    <w:rPr>
      <w:i/>
      <w:iCs/>
      <w:color w:val="0F4761" w:themeColor="accent1" w:themeShade="BF"/>
    </w:rPr>
  </w:style>
  <w:style w:type="character" w:styleId="IntenseReference">
    <w:name w:val="Intense Reference"/>
    <w:basedOn w:val="DefaultParagraphFont"/>
    <w:uiPriority w:val="32"/>
    <w:qFormat/>
    <w:rsid w:val="00BD4F7A"/>
    <w:rPr>
      <w:b/>
      <w:bCs/>
      <w:smallCaps/>
      <w:color w:val="0F4761" w:themeColor="accent1" w:themeShade="BF"/>
      <w:spacing w:val="5"/>
    </w:rPr>
  </w:style>
  <w:style w:type="paragraph" w:styleId="NoSpacing">
    <w:name w:val="No Spacing"/>
    <w:link w:val="NoSpacingChar"/>
    <w:uiPriority w:val="1"/>
    <w:qFormat/>
    <w:rsid w:val="00BD4F7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D4F7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BD4F7A"/>
    <w:pPr>
      <w:spacing w:before="240" w:after="0"/>
      <w:outlineLvl w:val="9"/>
    </w:pPr>
    <w:rPr>
      <w:sz w:val="32"/>
      <w:szCs w:val="32"/>
      <w:lang w:val="en-US"/>
    </w:rPr>
  </w:style>
  <w:style w:type="paragraph" w:styleId="TOC1">
    <w:name w:val="toc 1"/>
    <w:basedOn w:val="Normal"/>
    <w:next w:val="Normal"/>
    <w:autoRedefine/>
    <w:uiPriority w:val="39"/>
    <w:unhideWhenUsed/>
    <w:rsid w:val="00BD4F7A"/>
    <w:pPr>
      <w:spacing w:after="100"/>
    </w:pPr>
  </w:style>
  <w:style w:type="character" w:styleId="Hyperlink">
    <w:name w:val="Hyperlink"/>
    <w:basedOn w:val="DefaultParagraphFont"/>
    <w:uiPriority w:val="99"/>
    <w:unhideWhenUsed/>
    <w:rsid w:val="00BD4F7A"/>
    <w:rPr>
      <w:color w:val="467886" w:themeColor="hyperlink"/>
      <w:u w:val="single"/>
    </w:rPr>
  </w:style>
  <w:style w:type="paragraph" w:styleId="TOC2">
    <w:name w:val="toc 2"/>
    <w:basedOn w:val="Normal"/>
    <w:next w:val="Normal"/>
    <w:autoRedefine/>
    <w:uiPriority w:val="39"/>
    <w:unhideWhenUsed/>
    <w:rsid w:val="00BD4F7A"/>
    <w:pPr>
      <w:spacing w:after="100"/>
      <w:ind w:left="220"/>
    </w:pPr>
  </w:style>
  <w:style w:type="paragraph" w:styleId="Bibliography">
    <w:name w:val="Bibliography"/>
    <w:basedOn w:val="Normal"/>
    <w:next w:val="Normal"/>
    <w:uiPriority w:val="37"/>
    <w:unhideWhenUsed/>
    <w:rsid w:val="00BD4F7A"/>
  </w:style>
  <w:style w:type="paragraph" w:styleId="TOC3">
    <w:name w:val="toc 3"/>
    <w:basedOn w:val="Normal"/>
    <w:next w:val="Normal"/>
    <w:autoRedefine/>
    <w:uiPriority w:val="39"/>
    <w:unhideWhenUsed/>
    <w:rsid w:val="00BD4F7A"/>
    <w:pPr>
      <w:spacing w:after="100"/>
      <w:ind w:left="440"/>
    </w:pPr>
  </w:style>
  <w:style w:type="paragraph" w:styleId="Caption">
    <w:name w:val="caption"/>
    <w:basedOn w:val="Normal"/>
    <w:next w:val="Normal"/>
    <w:uiPriority w:val="35"/>
    <w:unhideWhenUsed/>
    <w:qFormat/>
    <w:rsid w:val="00BD4F7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BD4F7A"/>
    <w:pPr>
      <w:spacing w:after="0"/>
    </w:pPr>
  </w:style>
  <w:style w:type="paragraph" w:styleId="EndnoteText">
    <w:name w:val="endnote text"/>
    <w:basedOn w:val="Normal"/>
    <w:link w:val="EndnoteTextChar"/>
    <w:uiPriority w:val="99"/>
    <w:semiHidden/>
    <w:unhideWhenUsed/>
    <w:rsid w:val="0074096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4096F"/>
    <w:rPr>
      <w:kern w:val="0"/>
      <w:sz w:val="20"/>
      <w:szCs w:val="20"/>
      <w14:ligatures w14:val="none"/>
    </w:rPr>
  </w:style>
  <w:style w:type="character" w:styleId="EndnoteReference">
    <w:name w:val="endnote reference"/>
    <w:basedOn w:val="DefaultParagraphFont"/>
    <w:uiPriority w:val="99"/>
    <w:semiHidden/>
    <w:unhideWhenUsed/>
    <w:rsid w:val="007409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1064">
      <w:bodyDiv w:val="1"/>
      <w:marLeft w:val="0"/>
      <w:marRight w:val="0"/>
      <w:marTop w:val="0"/>
      <w:marBottom w:val="0"/>
      <w:divBdr>
        <w:top w:val="none" w:sz="0" w:space="0" w:color="auto"/>
        <w:left w:val="none" w:sz="0" w:space="0" w:color="auto"/>
        <w:bottom w:val="none" w:sz="0" w:space="0" w:color="auto"/>
        <w:right w:val="none" w:sz="0" w:space="0" w:color="auto"/>
      </w:divBdr>
    </w:div>
    <w:div w:id="16391986">
      <w:bodyDiv w:val="1"/>
      <w:marLeft w:val="0"/>
      <w:marRight w:val="0"/>
      <w:marTop w:val="0"/>
      <w:marBottom w:val="0"/>
      <w:divBdr>
        <w:top w:val="none" w:sz="0" w:space="0" w:color="auto"/>
        <w:left w:val="none" w:sz="0" w:space="0" w:color="auto"/>
        <w:bottom w:val="none" w:sz="0" w:space="0" w:color="auto"/>
        <w:right w:val="none" w:sz="0" w:space="0" w:color="auto"/>
      </w:divBdr>
    </w:div>
    <w:div w:id="27410937">
      <w:bodyDiv w:val="1"/>
      <w:marLeft w:val="0"/>
      <w:marRight w:val="0"/>
      <w:marTop w:val="0"/>
      <w:marBottom w:val="0"/>
      <w:divBdr>
        <w:top w:val="none" w:sz="0" w:space="0" w:color="auto"/>
        <w:left w:val="none" w:sz="0" w:space="0" w:color="auto"/>
        <w:bottom w:val="none" w:sz="0" w:space="0" w:color="auto"/>
        <w:right w:val="none" w:sz="0" w:space="0" w:color="auto"/>
      </w:divBdr>
    </w:div>
    <w:div w:id="48303933">
      <w:bodyDiv w:val="1"/>
      <w:marLeft w:val="0"/>
      <w:marRight w:val="0"/>
      <w:marTop w:val="0"/>
      <w:marBottom w:val="0"/>
      <w:divBdr>
        <w:top w:val="none" w:sz="0" w:space="0" w:color="auto"/>
        <w:left w:val="none" w:sz="0" w:space="0" w:color="auto"/>
        <w:bottom w:val="none" w:sz="0" w:space="0" w:color="auto"/>
        <w:right w:val="none" w:sz="0" w:space="0" w:color="auto"/>
      </w:divBdr>
    </w:div>
    <w:div w:id="115175065">
      <w:bodyDiv w:val="1"/>
      <w:marLeft w:val="0"/>
      <w:marRight w:val="0"/>
      <w:marTop w:val="0"/>
      <w:marBottom w:val="0"/>
      <w:divBdr>
        <w:top w:val="none" w:sz="0" w:space="0" w:color="auto"/>
        <w:left w:val="none" w:sz="0" w:space="0" w:color="auto"/>
        <w:bottom w:val="none" w:sz="0" w:space="0" w:color="auto"/>
        <w:right w:val="none" w:sz="0" w:space="0" w:color="auto"/>
      </w:divBdr>
    </w:div>
    <w:div w:id="115410886">
      <w:bodyDiv w:val="1"/>
      <w:marLeft w:val="0"/>
      <w:marRight w:val="0"/>
      <w:marTop w:val="0"/>
      <w:marBottom w:val="0"/>
      <w:divBdr>
        <w:top w:val="none" w:sz="0" w:space="0" w:color="auto"/>
        <w:left w:val="none" w:sz="0" w:space="0" w:color="auto"/>
        <w:bottom w:val="none" w:sz="0" w:space="0" w:color="auto"/>
        <w:right w:val="none" w:sz="0" w:space="0" w:color="auto"/>
      </w:divBdr>
    </w:div>
    <w:div w:id="119883829">
      <w:bodyDiv w:val="1"/>
      <w:marLeft w:val="0"/>
      <w:marRight w:val="0"/>
      <w:marTop w:val="0"/>
      <w:marBottom w:val="0"/>
      <w:divBdr>
        <w:top w:val="none" w:sz="0" w:space="0" w:color="auto"/>
        <w:left w:val="none" w:sz="0" w:space="0" w:color="auto"/>
        <w:bottom w:val="none" w:sz="0" w:space="0" w:color="auto"/>
        <w:right w:val="none" w:sz="0" w:space="0" w:color="auto"/>
      </w:divBdr>
    </w:div>
    <w:div w:id="122385881">
      <w:bodyDiv w:val="1"/>
      <w:marLeft w:val="0"/>
      <w:marRight w:val="0"/>
      <w:marTop w:val="0"/>
      <w:marBottom w:val="0"/>
      <w:divBdr>
        <w:top w:val="none" w:sz="0" w:space="0" w:color="auto"/>
        <w:left w:val="none" w:sz="0" w:space="0" w:color="auto"/>
        <w:bottom w:val="none" w:sz="0" w:space="0" w:color="auto"/>
        <w:right w:val="none" w:sz="0" w:space="0" w:color="auto"/>
      </w:divBdr>
    </w:div>
    <w:div w:id="125590185">
      <w:bodyDiv w:val="1"/>
      <w:marLeft w:val="0"/>
      <w:marRight w:val="0"/>
      <w:marTop w:val="0"/>
      <w:marBottom w:val="0"/>
      <w:divBdr>
        <w:top w:val="none" w:sz="0" w:space="0" w:color="auto"/>
        <w:left w:val="none" w:sz="0" w:space="0" w:color="auto"/>
        <w:bottom w:val="none" w:sz="0" w:space="0" w:color="auto"/>
        <w:right w:val="none" w:sz="0" w:space="0" w:color="auto"/>
      </w:divBdr>
    </w:div>
    <w:div w:id="146285308">
      <w:bodyDiv w:val="1"/>
      <w:marLeft w:val="0"/>
      <w:marRight w:val="0"/>
      <w:marTop w:val="0"/>
      <w:marBottom w:val="0"/>
      <w:divBdr>
        <w:top w:val="none" w:sz="0" w:space="0" w:color="auto"/>
        <w:left w:val="none" w:sz="0" w:space="0" w:color="auto"/>
        <w:bottom w:val="none" w:sz="0" w:space="0" w:color="auto"/>
        <w:right w:val="none" w:sz="0" w:space="0" w:color="auto"/>
      </w:divBdr>
    </w:div>
    <w:div w:id="166411196">
      <w:bodyDiv w:val="1"/>
      <w:marLeft w:val="0"/>
      <w:marRight w:val="0"/>
      <w:marTop w:val="0"/>
      <w:marBottom w:val="0"/>
      <w:divBdr>
        <w:top w:val="none" w:sz="0" w:space="0" w:color="auto"/>
        <w:left w:val="none" w:sz="0" w:space="0" w:color="auto"/>
        <w:bottom w:val="none" w:sz="0" w:space="0" w:color="auto"/>
        <w:right w:val="none" w:sz="0" w:space="0" w:color="auto"/>
      </w:divBdr>
    </w:div>
    <w:div w:id="225335334">
      <w:bodyDiv w:val="1"/>
      <w:marLeft w:val="0"/>
      <w:marRight w:val="0"/>
      <w:marTop w:val="0"/>
      <w:marBottom w:val="0"/>
      <w:divBdr>
        <w:top w:val="none" w:sz="0" w:space="0" w:color="auto"/>
        <w:left w:val="none" w:sz="0" w:space="0" w:color="auto"/>
        <w:bottom w:val="none" w:sz="0" w:space="0" w:color="auto"/>
        <w:right w:val="none" w:sz="0" w:space="0" w:color="auto"/>
      </w:divBdr>
    </w:div>
    <w:div w:id="273559172">
      <w:bodyDiv w:val="1"/>
      <w:marLeft w:val="0"/>
      <w:marRight w:val="0"/>
      <w:marTop w:val="0"/>
      <w:marBottom w:val="0"/>
      <w:divBdr>
        <w:top w:val="none" w:sz="0" w:space="0" w:color="auto"/>
        <w:left w:val="none" w:sz="0" w:space="0" w:color="auto"/>
        <w:bottom w:val="none" w:sz="0" w:space="0" w:color="auto"/>
        <w:right w:val="none" w:sz="0" w:space="0" w:color="auto"/>
      </w:divBdr>
    </w:div>
    <w:div w:id="281033193">
      <w:bodyDiv w:val="1"/>
      <w:marLeft w:val="0"/>
      <w:marRight w:val="0"/>
      <w:marTop w:val="0"/>
      <w:marBottom w:val="0"/>
      <w:divBdr>
        <w:top w:val="none" w:sz="0" w:space="0" w:color="auto"/>
        <w:left w:val="none" w:sz="0" w:space="0" w:color="auto"/>
        <w:bottom w:val="none" w:sz="0" w:space="0" w:color="auto"/>
        <w:right w:val="none" w:sz="0" w:space="0" w:color="auto"/>
      </w:divBdr>
    </w:div>
    <w:div w:id="329260835">
      <w:bodyDiv w:val="1"/>
      <w:marLeft w:val="0"/>
      <w:marRight w:val="0"/>
      <w:marTop w:val="0"/>
      <w:marBottom w:val="0"/>
      <w:divBdr>
        <w:top w:val="none" w:sz="0" w:space="0" w:color="auto"/>
        <w:left w:val="none" w:sz="0" w:space="0" w:color="auto"/>
        <w:bottom w:val="none" w:sz="0" w:space="0" w:color="auto"/>
        <w:right w:val="none" w:sz="0" w:space="0" w:color="auto"/>
      </w:divBdr>
    </w:div>
    <w:div w:id="357900761">
      <w:bodyDiv w:val="1"/>
      <w:marLeft w:val="0"/>
      <w:marRight w:val="0"/>
      <w:marTop w:val="0"/>
      <w:marBottom w:val="0"/>
      <w:divBdr>
        <w:top w:val="none" w:sz="0" w:space="0" w:color="auto"/>
        <w:left w:val="none" w:sz="0" w:space="0" w:color="auto"/>
        <w:bottom w:val="none" w:sz="0" w:space="0" w:color="auto"/>
        <w:right w:val="none" w:sz="0" w:space="0" w:color="auto"/>
      </w:divBdr>
    </w:div>
    <w:div w:id="375665956">
      <w:bodyDiv w:val="1"/>
      <w:marLeft w:val="0"/>
      <w:marRight w:val="0"/>
      <w:marTop w:val="0"/>
      <w:marBottom w:val="0"/>
      <w:divBdr>
        <w:top w:val="none" w:sz="0" w:space="0" w:color="auto"/>
        <w:left w:val="none" w:sz="0" w:space="0" w:color="auto"/>
        <w:bottom w:val="none" w:sz="0" w:space="0" w:color="auto"/>
        <w:right w:val="none" w:sz="0" w:space="0" w:color="auto"/>
      </w:divBdr>
    </w:div>
    <w:div w:id="403722151">
      <w:bodyDiv w:val="1"/>
      <w:marLeft w:val="0"/>
      <w:marRight w:val="0"/>
      <w:marTop w:val="0"/>
      <w:marBottom w:val="0"/>
      <w:divBdr>
        <w:top w:val="none" w:sz="0" w:space="0" w:color="auto"/>
        <w:left w:val="none" w:sz="0" w:space="0" w:color="auto"/>
        <w:bottom w:val="none" w:sz="0" w:space="0" w:color="auto"/>
        <w:right w:val="none" w:sz="0" w:space="0" w:color="auto"/>
      </w:divBdr>
    </w:div>
    <w:div w:id="413278895">
      <w:bodyDiv w:val="1"/>
      <w:marLeft w:val="0"/>
      <w:marRight w:val="0"/>
      <w:marTop w:val="0"/>
      <w:marBottom w:val="0"/>
      <w:divBdr>
        <w:top w:val="none" w:sz="0" w:space="0" w:color="auto"/>
        <w:left w:val="none" w:sz="0" w:space="0" w:color="auto"/>
        <w:bottom w:val="none" w:sz="0" w:space="0" w:color="auto"/>
        <w:right w:val="none" w:sz="0" w:space="0" w:color="auto"/>
      </w:divBdr>
    </w:div>
    <w:div w:id="506595552">
      <w:bodyDiv w:val="1"/>
      <w:marLeft w:val="0"/>
      <w:marRight w:val="0"/>
      <w:marTop w:val="0"/>
      <w:marBottom w:val="0"/>
      <w:divBdr>
        <w:top w:val="none" w:sz="0" w:space="0" w:color="auto"/>
        <w:left w:val="none" w:sz="0" w:space="0" w:color="auto"/>
        <w:bottom w:val="none" w:sz="0" w:space="0" w:color="auto"/>
        <w:right w:val="none" w:sz="0" w:space="0" w:color="auto"/>
      </w:divBdr>
    </w:div>
    <w:div w:id="562066182">
      <w:bodyDiv w:val="1"/>
      <w:marLeft w:val="0"/>
      <w:marRight w:val="0"/>
      <w:marTop w:val="0"/>
      <w:marBottom w:val="0"/>
      <w:divBdr>
        <w:top w:val="none" w:sz="0" w:space="0" w:color="auto"/>
        <w:left w:val="none" w:sz="0" w:space="0" w:color="auto"/>
        <w:bottom w:val="none" w:sz="0" w:space="0" w:color="auto"/>
        <w:right w:val="none" w:sz="0" w:space="0" w:color="auto"/>
      </w:divBdr>
    </w:div>
    <w:div w:id="573590224">
      <w:bodyDiv w:val="1"/>
      <w:marLeft w:val="0"/>
      <w:marRight w:val="0"/>
      <w:marTop w:val="0"/>
      <w:marBottom w:val="0"/>
      <w:divBdr>
        <w:top w:val="none" w:sz="0" w:space="0" w:color="auto"/>
        <w:left w:val="none" w:sz="0" w:space="0" w:color="auto"/>
        <w:bottom w:val="none" w:sz="0" w:space="0" w:color="auto"/>
        <w:right w:val="none" w:sz="0" w:space="0" w:color="auto"/>
      </w:divBdr>
    </w:div>
    <w:div w:id="574123909">
      <w:bodyDiv w:val="1"/>
      <w:marLeft w:val="0"/>
      <w:marRight w:val="0"/>
      <w:marTop w:val="0"/>
      <w:marBottom w:val="0"/>
      <w:divBdr>
        <w:top w:val="none" w:sz="0" w:space="0" w:color="auto"/>
        <w:left w:val="none" w:sz="0" w:space="0" w:color="auto"/>
        <w:bottom w:val="none" w:sz="0" w:space="0" w:color="auto"/>
        <w:right w:val="none" w:sz="0" w:space="0" w:color="auto"/>
      </w:divBdr>
    </w:div>
    <w:div w:id="580414477">
      <w:bodyDiv w:val="1"/>
      <w:marLeft w:val="0"/>
      <w:marRight w:val="0"/>
      <w:marTop w:val="0"/>
      <w:marBottom w:val="0"/>
      <w:divBdr>
        <w:top w:val="none" w:sz="0" w:space="0" w:color="auto"/>
        <w:left w:val="none" w:sz="0" w:space="0" w:color="auto"/>
        <w:bottom w:val="none" w:sz="0" w:space="0" w:color="auto"/>
        <w:right w:val="none" w:sz="0" w:space="0" w:color="auto"/>
      </w:divBdr>
    </w:div>
    <w:div w:id="589117464">
      <w:bodyDiv w:val="1"/>
      <w:marLeft w:val="0"/>
      <w:marRight w:val="0"/>
      <w:marTop w:val="0"/>
      <w:marBottom w:val="0"/>
      <w:divBdr>
        <w:top w:val="none" w:sz="0" w:space="0" w:color="auto"/>
        <w:left w:val="none" w:sz="0" w:space="0" w:color="auto"/>
        <w:bottom w:val="none" w:sz="0" w:space="0" w:color="auto"/>
        <w:right w:val="none" w:sz="0" w:space="0" w:color="auto"/>
      </w:divBdr>
    </w:div>
    <w:div w:id="595403221">
      <w:bodyDiv w:val="1"/>
      <w:marLeft w:val="0"/>
      <w:marRight w:val="0"/>
      <w:marTop w:val="0"/>
      <w:marBottom w:val="0"/>
      <w:divBdr>
        <w:top w:val="none" w:sz="0" w:space="0" w:color="auto"/>
        <w:left w:val="none" w:sz="0" w:space="0" w:color="auto"/>
        <w:bottom w:val="none" w:sz="0" w:space="0" w:color="auto"/>
        <w:right w:val="none" w:sz="0" w:space="0" w:color="auto"/>
      </w:divBdr>
    </w:div>
    <w:div w:id="597760502">
      <w:bodyDiv w:val="1"/>
      <w:marLeft w:val="0"/>
      <w:marRight w:val="0"/>
      <w:marTop w:val="0"/>
      <w:marBottom w:val="0"/>
      <w:divBdr>
        <w:top w:val="none" w:sz="0" w:space="0" w:color="auto"/>
        <w:left w:val="none" w:sz="0" w:space="0" w:color="auto"/>
        <w:bottom w:val="none" w:sz="0" w:space="0" w:color="auto"/>
        <w:right w:val="none" w:sz="0" w:space="0" w:color="auto"/>
      </w:divBdr>
    </w:div>
    <w:div w:id="656962161">
      <w:bodyDiv w:val="1"/>
      <w:marLeft w:val="0"/>
      <w:marRight w:val="0"/>
      <w:marTop w:val="0"/>
      <w:marBottom w:val="0"/>
      <w:divBdr>
        <w:top w:val="none" w:sz="0" w:space="0" w:color="auto"/>
        <w:left w:val="none" w:sz="0" w:space="0" w:color="auto"/>
        <w:bottom w:val="none" w:sz="0" w:space="0" w:color="auto"/>
        <w:right w:val="none" w:sz="0" w:space="0" w:color="auto"/>
      </w:divBdr>
    </w:div>
    <w:div w:id="659776504">
      <w:bodyDiv w:val="1"/>
      <w:marLeft w:val="0"/>
      <w:marRight w:val="0"/>
      <w:marTop w:val="0"/>
      <w:marBottom w:val="0"/>
      <w:divBdr>
        <w:top w:val="none" w:sz="0" w:space="0" w:color="auto"/>
        <w:left w:val="none" w:sz="0" w:space="0" w:color="auto"/>
        <w:bottom w:val="none" w:sz="0" w:space="0" w:color="auto"/>
        <w:right w:val="none" w:sz="0" w:space="0" w:color="auto"/>
      </w:divBdr>
    </w:div>
    <w:div w:id="669985204">
      <w:bodyDiv w:val="1"/>
      <w:marLeft w:val="0"/>
      <w:marRight w:val="0"/>
      <w:marTop w:val="0"/>
      <w:marBottom w:val="0"/>
      <w:divBdr>
        <w:top w:val="none" w:sz="0" w:space="0" w:color="auto"/>
        <w:left w:val="none" w:sz="0" w:space="0" w:color="auto"/>
        <w:bottom w:val="none" w:sz="0" w:space="0" w:color="auto"/>
        <w:right w:val="none" w:sz="0" w:space="0" w:color="auto"/>
      </w:divBdr>
    </w:div>
    <w:div w:id="675305673">
      <w:bodyDiv w:val="1"/>
      <w:marLeft w:val="0"/>
      <w:marRight w:val="0"/>
      <w:marTop w:val="0"/>
      <w:marBottom w:val="0"/>
      <w:divBdr>
        <w:top w:val="none" w:sz="0" w:space="0" w:color="auto"/>
        <w:left w:val="none" w:sz="0" w:space="0" w:color="auto"/>
        <w:bottom w:val="none" w:sz="0" w:space="0" w:color="auto"/>
        <w:right w:val="none" w:sz="0" w:space="0" w:color="auto"/>
      </w:divBdr>
    </w:div>
    <w:div w:id="691152082">
      <w:bodyDiv w:val="1"/>
      <w:marLeft w:val="0"/>
      <w:marRight w:val="0"/>
      <w:marTop w:val="0"/>
      <w:marBottom w:val="0"/>
      <w:divBdr>
        <w:top w:val="none" w:sz="0" w:space="0" w:color="auto"/>
        <w:left w:val="none" w:sz="0" w:space="0" w:color="auto"/>
        <w:bottom w:val="none" w:sz="0" w:space="0" w:color="auto"/>
        <w:right w:val="none" w:sz="0" w:space="0" w:color="auto"/>
      </w:divBdr>
    </w:div>
    <w:div w:id="700470896">
      <w:bodyDiv w:val="1"/>
      <w:marLeft w:val="0"/>
      <w:marRight w:val="0"/>
      <w:marTop w:val="0"/>
      <w:marBottom w:val="0"/>
      <w:divBdr>
        <w:top w:val="none" w:sz="0" w:space="0" w:color="auto"/>
        <w:left w:val="none" w:sz="0" w:space="0" w:color="auto"/>
        <w:bottom w:val="none" w:sz="0" w:space="0" w:color="auto"/>
        <w:right w:val="none" w:sz="0" w:space="0" w:color="auto"/>
      </w:divBdr>
    </w:div>
    <w:div w:id="703208995">
      <w:bodyDiv w:val="1"/>
      <w:marLeft w:val="0"/>
      <w:marRight w:val="0"/>
      <w:marTop w:val="0"/>
      <w:marBottom w:val="0"/>
      <w:divBdr>
        <w:top w:val="none" w:sz="0" w:space="0" w:color="auto"/>
        <w:left w:val="none" w:sz="0" w:space="0" w:color="auto"/>
        <w:bottom w:val="none" w:sz="0" w:space="0" w:color="auto"/>
        <w:right w:val="none" w:sz="0" w:space="0" w:color="auto"/>
      </w:divBdr>
    </w:div>
    <w:div w:id="744496360">
      <w:bodyDiv w:val="1"/>
      <w:marLeft w:val="0"/>
      <w:marRight w:val="0"/>
      <w:marTop w:val="0"/>
      <w:marBottom w:val="0"/>
      <w:divBdr>
        <w:top w:val="none" w:sz="0" w:space="0" w:color="auto"/>
        <w:left w:val="none" w:sz="0" w:space="0" w:color="auto"/>
        <w:bottom w:val="none" w:sz="0" w:space="0" w:color="auto"/>
        <w:right w:val="none" w:sz="0" w:space="0" w:color="auto"/>
      </w:divBdr>
    </w:div>
    <w:div w:id="771515172">
      <w:bodyDiv w:val="1"/>
      <w:marLeft w:val="0"/>
      <w:marRight w:val="0"/>
      <w:marTop w:val="0"/>
      <w:marBottom w:val="0"/>
      <w:divBdr>
        <w:top w:val="none" w:sz="0" w:space="0" w:color="auto"/>
        <w:left w:val="none" w:sz="0" w:space="0" w:color="auto"/>
        <w:bottom w:val="none" w:sz="0" w:space="0" w:color="auto"/>
        <w:right w:val="none" w:sz="0" w:space="0" w:color="auto"/>
      </w:divBdr>
    </w:div>
    <w:div w:id="783352579">
      <w:bodyDiv w:val="1"/>
      <w:marLeft w:val="0"/>
      <w:marRight w:val="0"/>
      <w:marTop w:val="0"/>
      <w:marBottom w:val="0"/>
      <w:divBdr>
        <w:top w:val="none" w:sz="0" w:space="0" w:color="auto"/>
        <w:left w:val="none" w:sz="0" w:space="0" w:color="auto"/>
        <w:bottom w:val="none" w:sz="0" w:space="0" w:color="auto"/>
        <w:right w:val="none" w:sz="0" w:space="0" w:color="auto"/>
      </w:divBdr>
    </w:div>
    <w:div w:id="784154963">
      <w:bodyDiv w:val="1"/>
      <w:marLeft w:val="0"/>
      <w:marRight w:val="0"/>
      <w:marTop w:val="0"/>
      <w:marBottom w:val="0"/>
      <w:divBdr>
        <w:top w:val="none" w:sz="0" w:space="0" w:color="auto"/>
        <w:left w:val="none" w:sz="0" w:space="0" w:color="auto"/>
        <w:bottom w:val="none" w:sz="0" w:space="0" w:color="auto"/>
        <w:right w:val="none" w:sz="0" w:space="0" w:color="auto"/>
      </w:divBdr>
    </w:div>
    <w:div w:id="797992614">
      <w:bodyDiv w:val="1"/>
      <w:marLeft w:val="0"/>
      <w:marRight w:val="0"/>
      <w:marTop w:val="0"/>
      <w:marBottom w:val="0"/>
      <w:divBdr>
        <w:top w:val="none" w:sz="0" w:space="0" w:color="auto"/>
        <w:left w:val="none" w:sz="0" w:space="0" w:color="auto"/>
        <w:bottom w:val="none" w:sz="0" w:space="0" w:color="auto"/>
        <w:right w:val="none" w:sz="0" w:space="0" w:color="auto"/>
      </w:divBdr>
    </w:div>
    <w:div w:id="814179105">
      <w:bodyDiv w:val="1"/>
      <w:marLeft w:val="0"/>
      <w:marRight w:val="0"/>
      <w:marTop w:val="0"/>
      <w:marBottom w:val="0"/>
      <w:divBdr>
        <w:top w:val="none" w:sz="0" w:space="0" w:color="auto"/>
        <w:left w:val="none" w:sz="0" w:space="0" w:color="auto"/>
        <w:bottom w:val="none" w:sz="0" w:space="0" w:color="auto"/>
        <w:right w:val="none" w:sz="0" w:space="0" w:color="auto"/>
      </w:divBdr>
    </w:div>
    <w:div w:id="814179281">
      <w:bodyDiv w:val="1"/>
      <w:marLeft w:val="0"/>
      <w:marRight w:val="0"/>
      <w:marTop w:val="0"/>
      <w:marBottom w:val="0"/>
      <w:divBdr>
        <w:top w:val="none" w:sz="0" w:space="0" w:color="auto"/>
        <w:left w:val="none" w:sz="0" w:space="0" w:color="auto"/>
        <w:bottom w:val="none" w:sz="0" w:space="0" w:color="auto"/>
        <w:right w:val="none" w:sz="0" w:space="0" w:color="auto"/>
      </w:divBdr>
    </w:div>
    <w:div w:id="836774311">
      <w:bodyDiv w:val="1"/>
      <w:marLeft w:val="0"/>
      <w:marRight w:val="0"/>
      <w:marTop w:val="0"/>
      <w:marBottom w:val="0"/>
      <w:divBdr>
        <w:top w:val="none" w:sz="0" w:space="0" w:color="auto"/>
        <w:left w:val="none" w:sz="0" w:space="0" w:color="auto"/>
        <w:bottom w:val="none" w:sz="0" w:space="0" w:color="auto"/>
        <w:right w:val="none" w:sz="0" w:space="0" w:color="auto"/>
      </w:divBdr>
    </w:div>
    <w:div w:id="870723076">
      <w:bodyDiv w:val="1"/>
      <w:marLeft w:val="0"/>
      <w:marRight w:val="0"/>
      <w:marTop w:val="0"/>
      <w:marBottom w:val="0"/>
      <w:divBdr>
        <w:top w:val="none" w:sz="0" w:space="0" w:color="auto"/>
        <w:left w:val="none" w:sz="0" w:space="0" w:color="auto"/>
        <w:bottom w:val="none" w:sz="0" w:space="0" w:color="auto"/>
        <w:right w:val="none" w:sz="0" w:space="0" w:color="auto"/>
      </w:divBdr>
    </w:div>
    <w:div w:id="894127843">
      <w:bodyDiv w:val="1"/>
      <w:marLeft w:val="0"/>
      <w:marRight w:val="0"/>
      <w:marTop w:val="0"/>
      <w:marBottom w:val="0"/>
      <w:divBdr>
        <w:top w:val="none" w:sz="0" w:space="0" w:color="auto"/>
        <w:left w:val="none" w:sz="0" w:space="0" w:color="auto"/>
        <w:bottom w:val="none" w:sz="0" w:space="0" w:color="auto"/>
        <w:right w:val="none" w:sz="0" w:space="0" w:color="auto"/>
      </w:divBdr>
    </w:div>
    <w:div w:id="930162112">
      <w:bodyDiv w:val="1"/>
      <w:marLeft w:val="0"/>
      <w:marRight w:val="0"/>
      <w:marTop w:val="0"/>
      <w:marBottom w:val="0"/>
      <w:divBdr>
        <w:top w:val="none" w:sz="0" w:space="0" w:color="auto"/>
        <w:left w:val="none" w:sz="0" w:space="0" w:color="auto"/>
        <w:bottom w:val="none" w:sz="0" w:space="0" w:color="auto"/>
        <w:right w:val="none" w:sz="0" w:space="0" w:color="auto"/>
      </w:divBdr>
    </w:div>
    <w:div w:id="938100266">
      <w:bodyDiv w:val="1"/>
      <w:marLeft w:val="0"/>
      <w:marRight w:val="0"/>
      <w:marTop w:val="0"/>
      <w:marBottom w:val="0"/>
      <w:divBdr>
        <w:top w:val="none" w:sz="0" w:space="0" w:color="auto"/>
        <w:left w:val="none" w:sz="0" w:space="0" w:color="auto"/>
        <w:bottom w:val="none" w:sz="0" w:space="0" w:color="auto"/>
        <w:right w:val="none" w:sz="0" w:space="0" w:color="auto"/>
      </w:divBdr>
    </w:div>
    <w:div w:id="982393738">
      <w:bodyDiv w:val="1"/>
      <w:marLeft w:val="0"/>
      <w:marRight w:val="0"/>
      <w:marTop w:val="0"/>
      <w:marBottom w:val="0"/>
      <w:divBdr>
        <w:top w:val="none" w:sz="0" w:space="0" w:color="auto"/>
        <w:left w:val="none" w:sz="0" w:space="0" w:color="auto"/>
        <w:bottom w:val="none" w:sz="0" w:space="0" w:color="auto"/>
        <w:right w:val="none" w:sz="0" w:space="0" w:color="auto"/>
      </w:divBdr>
    </w:div>
    <w:div w:id="1005128248">
      <w:bodyDiv w:val="1"/>
      <w:marLeft w:val="0"/>
      <w:marRight w:val="0"/>
      <w:marTop w:val="0"/>
      <w:marBottom w:val="0"/>
      <w:divBdr>
        <w:top w:val="none" w:sz="0" w:space="0" w:color="auto"/>
        <w:left w:val="none" w:sz="0" w:space="0" w:color="auto"/>
        <w:bottom w:val="none" w:sz="0" w:space="0" w:color="auto"/>
        <w:right w:val="none" w:sz="0" w:space="0" w:color="auto"/>
      </w:divBdr>
    </w:div>
    <w:div w:id="1022391183">
      <w:bodyDiv w:val="1"/>
      <w:marLeft w:val="0"/>
      <w:marRight w:val="0"/>
      <w:marTop w:val="0"/>
      <w:marBottom w:val="0"/>
      <w:divBdr>
        <w:top w:val="none" w:sz="0" w:space="0" w:color="auto"/>
        <w:left w:val="none" w:sz="0" w:space="0" w:color="auto"/>
        <w:bottom w:val="none" w:sz="0" w:space="0" w:color="auto"/>
        <w:right w:val="none" w:sz="0" w:space="0" w:color="auto"/>
      </w:divBdr>
    </w:div>
    <w:div w:id="1054768788">
      <w:bodyDiv w:val="1"/>
      <w:marLeft w:val="0"/>
      <w:marRight w:val="0"/>
      <w:marTop w:val="0"/>
      <w:marBottom w:val="0"/>
      <w:divBdr>
        <w:top w:val="none" w:sz="0" w:space="0" w:color="auto"/>
        <w:left w:val="none" w:sz="0" w:space="0" w:color="auto"/>
        <w:bottom w:val="none" w:sz="0" w:space="0" w:color="auto"/>
        <w:right w:val="none" w:sz="0" w:space="0" w:color="auto"/>
      </w:divBdr>
    </w:div>
    <w:div w:id="1061170759">
      <w:bodyDiv w:val="1"/>
      <w:marLeft w:val="0"/>
      <w:marRight w:val="0"/>
      <w:marTop w:val="0"/>
      <w:marBottom w:val="0"/>
      <w:divBdr>
        <w:top w:val="none" w:sz="0" w:space="0" w:color="auto"/>
        <w:left w:val="none" w:sz="0" w:space="0" w:color="auto"/>
        <w:bottom w:val="none" w:sz="0" w:space="0" w:color="auto"/>
        <w:right w:val="none" w:sz="0" w:space="0" w:color="auto"/>
      </w:divBdr>
    </w:div>
    <w:div w:id="1069427670">
      <w:bodyDiv w:val="1"/>
      <w:marLeft w:val="0"/>
      <w:marRight w:val="0"/>
      <w:marTop w:val="0"/>
      <w:marBottom w:val="0"/>
      <w:divBdr>
        <w:top w:val="none" w:sz="0" w:space="0" w:color="auto"/>
        <w:left w:val="none" w:sz="0" w:space="0" w:color="auto"/>
        <w:bottom w:val="none" w:sz="0" w:space="0" w:color="auto"/>
        <w:right w:val="none" w:sz="0" w:space="0" w:color="auto"/>
      </w:divBdr>
    </w:div>
    <w:div w:id="1111244954">
      <w:bodyDiv w:val="1"/>
      <w:marLeft w:val="0"/>
      <w:marRight w:val="0"/>
      <w:marTop w:val="0"/>
      <w:marBottom w:val="0"/>
      <w:divBdr>
        <w:top w:val="none" w:sz="0" w:space="0" w:color="auto"/>
        <w:left w:val="none" w:sz="0" w:space="0" w:color="auto"/>
        <w:bottom w:val="none" w:sz="0" w:space="0" w:color="auto"/>
        <w:right w:val="none" w:sz="0" w:space="0" w:color="auto"/>
      </w:divBdr>
    </w:div>
    <w:div w:id="1119296703">
      <w:bodyDiv w:val="1"/>
      <w:marLeft w:val="0"/>
      <w:marRight w:val="0"/>
      <w:marTop w:val="0"/>
      <w:marBottom w:val="0"/>
      <w:divBdr>
        <w:top w:val="none" w:sz="0" w:space="0" w:color="auto"/>
        <w:left w:val="none" w:sz="0" w:space="0" w:color="auto"/>
        <w:bottom w:val="none" w:sz="0" w:space="0" w:color="auto"/>
        <w:right w:val="none" w:sz="0" w:space="0" w:color="auto"/>
      </w:divBdr>
    </w:div>
    <w:div w:id="1141968799">
      <w:bodyDiv w:val="1"/>
      <w:marLeft w:val="0"/>
      <w:marRight w:val="0"/>
      <w:marTop w:val="0"/>
      <w:marBottom w:val="0"/>
      <w:divBdr>
        <w:top w:val="none" w:sz="0" w:space="0" w:color="auto"/>
        <w:left w:val="none" w:sz="0" w:space="0" w:color="auto"/>
        <w:bottom w:val="none" w:sz="0" w:space="0" w:color="auto"/>
        <w:right w:val="none" w:sz="0" w:space="0" w:color="auto"/>
      </w:divBdr>
    </w:div>
    <w:div w:id="1175264014">
      <w:bodyDiv w:val="1"/>
      <w:marLeft w:val="0"/>
      <w:marRight w:val="0"/>
      <w:marTop w:val="0"/>
      <w:marBottom w:val="0"/>
      <w:divBdr>
        <w:top w:val="none" w:sz="0" w:space="0" w:color="auto"/>
        <w:left w:val="none" w:sz="0" w:space="0" w:color="auto"/>
        <w:bottom w:val="none" w:sz="0" w:space="0" w:color="auto"/>
        <w:right w:val="none" w:sz="0" w:space="0" w:color="auto"/>
      </w:divBdr>
    </w:div>
    <w:div w:id="1176189352">
      <w:bodyDiv w:val="1"/>
      <w:marLeft w:val="0"/>
      <w:marRight w:val="0"/>
      <w:marTop w:val="0"/>
      <w:marBottom w:val="0"/>
      <w:divBdr>
        <w:top w:val="none" w:sz="0" w:space="0" w:color="auto"/>
        <w:left w:val="none" w:sz="0" w:space="0" w:color="auto"/>
        <w:bottom w:val="none" w:sz="0" w:space="0" w:color="auto"/>
        <w:right w:val="none" w:sz="0" w:space="0" w:color="auto"/>
      </w:divBdr>
    </w:div>
    <w:div w:id="1186598033">
      <w:bodyDiv w:val="1"/>
      <w:marLeft w:val="0"/>
      <w:marRight w:val="0"/>
      <w:marTop w:val="0"/>
      <w:marBottom w:val="0"/>
      <w:divBdr>
        <w:top w:val="none" w:sz="0" w:space="0" w:color="auto"/>
        <w:left w:val="none" w:sz="0" w:space="0" w:color="auto"/>
        <w:bottom w:val="none" w:sz="0" w:space="0" w:color="auto"/>
        <w:right w:val="none" w:sz="0" w:space="0" w:color="auto"/>
      </w:divBdr>
    </w:div>
    <w:div w:id="1203328072">
      <w:bodyDiv w:val="1"/>
      <w:marLeft w:val="0"/>
      <w:marRight w:val="0"/>
      <w:marTop w:val="0"/>
      <w:marBottom w:val="0"/>
      <w:divBdr>
        <w:top w:val="none" w:sz="0" w:space="0" w:color="auto"/>
        <w:left w:val="none" w:sz="0" w:space="0" w:color="auto"/>
        <w:bottom w:val="none" w:sz="0" w:space="0" w:color="auto"/>
        <w:right w:val="none" w:sz="0" w:space="0" w:color="auto"/>
      </w:divBdr>
    </w:div>
    <w:div w:id="1222061692">
      <w:bodyDiv w:val="1"/>
      <w:marLeft w:val="0"/>
      <w:marRight w:val="0"/>
      <w:marTop w:val="0"/>
      <w:marBottom w:val="0"/>
      <w:divBdr>
        <w:top w:val="none" w:sz="0" w:space="0" w:color="auto"/>
        <w:left w:val="none" w:sz="0" w:space="0" w:color="auto"/>
        <w:bottom w:val="none" w:sz="0" w:space="0" w:color="auto"/>
        <w:right w:val="none" w:sz="0" w:space="0" w:color="auto"/>
      </w:divBdr>
    </w:div>
    <w:div w:id="1229266594">
      <w:bodyDiv w:val="1"/>
      <w:marLeft w:val="0"/>
      <w:marRight w:val="0"/>
      <w:marTop w:val="0"/>
      <w:marBottom w:val="0"/>
      <w:divBdr>
        <w:top w:val="none" w:sz="0" w:space="0" w:color="auto"/>
        <w:left w:val="none" w:sz="0" w:space="0" w:color="auto"/>
        <w:bottom w:val="none" w:sz="0" w:space="0" w:color="auto"/>
        <w:right w:val="none" w:sz="0" w:space="0" w:color="auto"/>
      </w:divBdr>
    </w:div>
    <w:div w:id="1233278210">
      <w:bodyDiv w:val="1"/>
      <w:marLeft w:val="0"/>
      <w:marRight w:val="0"/>
      <w:marTop w:val="0"/>
      <w:marBottom w:val="0"/>
      <w:divBdr>
        <w:top w:val="none" w:sz="0" w:space="0" w:color="auto"/>
        <w:left w:val="none" w:sz="0" w:space="0" w:color="auto"/>
        <w:bottom w:val="none" w:sz="0" w:space="0" w:color="auto"/>
        <w:right w:val="none" w:sz="0" w:space="0" w:color="auto"/>
      </w:divBdr>
    </w:div>
    <w:div w:id="1235048937">
      <w:bodyDiv w:val="1"/>
      <w:marLeft w:val="0"/>
      <w:marRight w:val="0"/>
      <w:marTop w:val="0"/>
      <w:marBottom w:val="0"/>
      <w:divBdr>
        <w:top w:val="none" w:sz="0" w:space="0" w:color="auto"/>
        <w:left w:val="none" w:sz="0" w:space="0" w:color="auto"/>
        <w:bottom w:val="none" w:sz="0" w:space="0" w:color="auto"/>
        <w:right w:val="none" w:sz="0" w:space="0" w:color="auto"/>
      </w:divBdr>
    </w:div>
    <w:div w:id="1247301101">
      <w:bodyDiv w:val="1"/>
      <w:marLeft w:val="0"/>
      <w:marRight w:val="0"/>
      <w:marTop w:val="0"/>
      <w:marBottom w:val="0"/>
      <w:divBdr>
        <w:top w:val="none" w:sz="0" w:space="0" w:color="auto"/>
        <w:left w:val="none" w:sz="0" w:space="0" w:color="auto"/>
        <w:bottom w:val="none" w:sz="0" w:space="0" w:color="auto"/>
        <w:right w:val="none" w:sz="0" w:space="0" w:color="auto"/>
      </w:divBdr>
    </w:div>
    <w:div w:id="1261840240">
      <w:bodyDiv w:val="1"/>
      <w:marLeft w:val="0"/>
      <w:marRight w:val="0"/>
      <w:marTop w:val="0"/>
      <w:marBottom w:val="0"/>
      <w:divBdr>
        <w:top w:val="none" w:sz="0" w:space="0" w:color="auto"/>
        <w:left w:val="none" w:sz="0" w:space="0" w:color="auto"/>
        <w:bottom w:val="none" w:sz="0" w:space="0" w:color="auto"/>
        <w:right w:val="none" w:sz="0" w:space="0" w:color="auto"/>
      </w:divBdr>
    </w:div>
    <w:div w:id="1273704895">
      <w:bodyDiv w:val="1"/>
      <w:marLeft w:val="0"/>
      <w:marRight w:val="0"/>
      <w:marTop w:val="0"/>
      <w:marBottom w:val="0"/>
      <w:divBdr>
        <w:top w:val="none" w:sz="0" w:space="0" w:color="auto"/>
        <w:left w:val="none" w:sz="0" w:space="0" w:color="auto"/>
        <w:bottom w:val="none" w:sz="0" w:space="0" w:color="auto"/>
        <w:right w:val="none" w:sz="0" w:space="0" w:color="auto"/>
      </w:divBdr>
    </w:div>
    <w:div w:id="1276979019">
      <w:bodyDiv w:val="1"/>
      <w:marLeft w:val="0"/>
      <w:marRight w:val="0"/>
      <w:marTop w:val="0"/>
      <w:marBottom w:val="0"/>
      <w:divBdr>
        <w:top w:val="none" w:sz="0" w:space="0" w:color="auto"/>
        <w:left w:val="none" w:sz="0" w:space="0" w:color="auto"/>
        <w:bottom w:val="none" w:sz="0" w:space="0" w:color="auto"/>
        <w:right w:val="none" w:sz="0" w:space="0" w:color="auto"/>
      </w:divBdr>
    </w:div>
    <w:div w:id="1278638842">
      <w:bodyDiv w:val="1"/>
      <w:marLeft w:val="0"/>
      <w:marRight w:val="0"/>
      <w:marTop w:val="0"/>
      <w:marBottom w:val="0"/>
      <w:divBdr>
        <w:top w:val="none" w:sz="0" w:space="0" w:color="auto"/>
        <w:left w:val="none" w:sz="0" w:space="0" w:color="auto"/>
        <w:bottom w:val="none" w:sz="0" w:space="0" w:color="auto"/>
        <w:right w:val="none" w:sz="0" w:space="0" w:color="auto"/>
      </w:divBdr>
    </w:div>
    <w:div w:id="1324771040">
      <w:bodyDiv w:val="1"/>
      <w:marLeft w:val="0"/>
      <w:marRight w:val="0"/>
      <w:marTop w:val="0"/>
      <w:marBottom w:val="0"/>
      <w:divBdr>
        <w:top w:val="none" w:sz="0" w:space="0" w:color="auto"/>
        <w:left w:val="none" w:sz="0" w:space="0" w:color="auto"/>
        <w:bottom w:val="none" w:sz="0" w:space="0" w:color="auto"/>
        <w:right w:val="none" w:sz="0" w:space="0" w:color="auto"/>
      </w:divBdr>
    </w:div>
    <w:div w:id="1338267009">
      <w:bodyDiv w:val="1"/>
      <w:marLeft w:val="0"/>
      <w:marRight w:val="0"/>
      <w:marTop w:val="0"/>
      <w:marBottom w:val="0"/>
      <w:divBdr>
        <w:top w:val="none" w:sz="0" w:space="0" w:color="auto"/>
        <w:left w:val="none" w:sz="0" w:space="0" w:color="auto"/>
        <w:bottom w:val="none" w:sz="0" w:space="0" w:color="auto"/>
        <w:right w:val="none" w:sz="0" w:space="0" w:color="auto"/>
      </w:divBdr>
    </w:div>
    <w:div w:id="1352878475">
      <w:bodyDiv w:val="1"/>
      <w:marLeft w:val="0"/>
      <w:marRight w:val="0"/>
      <w:marTop w:val="0"/>
      <w:marBottom w:val="0"/>
      <w:divBdr>
        <w:top w:val="none" w:sz="0" w:space="0" w:color="auto"/>
        <w:left w:val="none" w:sz="0" w:space="0" w:color="auto"/>
        <w:bottom w:val="none" w:sz="0" w:space="0" w:color="auto"/>
        <w:right w:val="none" w:sz="0" w:space="0" w:color="auto"/>
      </w:divBdr>
    </w:div>
    <w:div w:id="1394042193">
      <w:bodyDiv w:val="1"/>
      <w:marLeft w:val="0"/>
      <w:marRight w:val="0"/>
      <w:marTop w:val="0"/>
      <w:marBottom w:val="0"/>
      <w:divBdr>
        <w:top w:val="none" w:sz="0" w:space="0" w:color="auto"/>
        <w:left w:val="none" w:sz="0" w:space="0" w:color="auto"/>
        <w:bottom w:val="none" w:sz="0" w:space="0" w:color="auto"/>
        <w:right w:val="none" w:sz="0" w:space="0" w:color="auto"/>
      </w:divBdr>
    </w:div>
    <w:div w:id="1410925032">
      <w:bodyDiv w:val="1"/>
      <w:marLeft w:val="0"/>
      <w:marRight w:val="0"/>
      <w:marTop w:val="0"/>
      <w:marBottom w:val="0"/>
      <w:divBdr>
        <w:top w:val="none" w:sz="0" w:space="0" w:color="auto"/>
        <w:left w:val="none" w:sz="0" w:space="0" w:color="auto"/>
        <w:bottom w:val="none" w:sz="0" w:space="0" w:color="auto"/>
        <w:right w:val="none" w:sz="0" w:space="0" w:color="auto"/>
      </w:divBdr>
    </w:div>
    <w:div w:id="1421484957">
      <w:bodyDiv w:val="1"/>
      <w:marLeft w:val="0"/>
      <w:marRight w:val="0"/>
      <w:marTop w:val="0"/>
      <w:marBottom w:val="0"/>
      <w:divBdr>
        <w:top w:val="none" w:sz="0" w:space="0" w:color="auto"/>
        <w:left w:val="none" w:sz="0" w:space="0" w:color="auto"/>
        <w:bottom w:val="none" w:sz="0" w:space="0" w:color="auto"/>
        <w:right w:val="none" w:sz="0" w:space="0" w:color="auto"/>
      </w:divBdr>
    </w:div>
    <w:div w:id="1438019374">
      <w:bodyDiv w:val="1"/>
      <w:marLeft w:val="0"/>
      <w:marRight w:val="0"/>
      <w:marTop w:val="0"/>
      <w:marBottom w:val="0"/>
      <w:divBdr>
        <w:top w:val="none" w:sz="0" w:space="0" w:color="auto"/>
        <w:left w:val="none" w:sz="0" w:space="0" w:color="auto"/>
        <w:bottom w:val="none" w:sz="0" w:space="0" w:color="auto"/>
        <w:right w:val="none" w:sz="0" w:space="0" w:color="auto"/>
      </w:divBdr>
    </w:div>
    <w:div w:id="1462452879">
      <w:bodyDiv w:val="1"/>
      <w:marLeft w:val="0"/>
      <w:marRight w:val="0"/>
      <w:marTop w:val="0"/>
      <w:marBottom w:val="0"/>
      <w:divBdr>
        <w:top w:val="none" w:sz="0" w:space="0" w:color="auto"/>
        <w:left w:val="none" w:sz="0" w:space="0" w:color="auto"/>
        <w:bottom w:val="none" w:sz="0" w:space="0" w:color="auto"/>
        <w:right w:val="none" w:sz="0" w:space="0" w:color="auto"/>
      </w:divBdr>
    </w:div>
    <w:div w:id="1567840816">
      <w:bodyDiv w:val="1"/>
      <w:marLeft w:val="0"/>
      <w:marRight w:val="0"/>
      <w:marTop w:val="0"/>
      <w:marBottom w:val="0"/>
      <w:divBdr>
        <w:top w:val="none" w:sz="0" w:space="0" w:color="auto"/>
        <w:left w:val="none" w:sz="0" w:space="0" w:color="auto"/>
        <w:bottom w:val="none" w:sz="0" w:space="0" w:color="auto"/>
        <w:right w:val="none" w:sz="0" w:space="0" w:color="auto"/>
      </w:divBdr>
    </w:div>
    <w:div w:id="1575891914">
      <w:bodyDiv w:val="1"/>
      <w:marLeft w:val="0"/>
      <w:marRight w:val="0"/>
      <w:marTop w:val="0"/>
      <w:marBottom w:val="0"/>
      <w:divBdr>
        <w:top w:val="none" w:sz="0" w:space="0" w:color="auto"/>
        <w:left w:val="none" w:sz="0" w:space="0" w:color="auto"/>
        <w:bottom w:val="none" w:sz="0" w:space="0" w:color="auto"/>
        <w:right w:val="none" w:sz="0" w:space="0" w:color="auto"/>
      </w:divBdr>
    </w:div>
    <w:div w:id="1600987609">
      <w:bodyDiv w:val="1"/>
      <w:marLeft w:val="0"/>
      <w:marRight w:val="0"/>
      <w:marTop w:val="0"/>
      <w:marBottom w:val="0"/>
      <w:divBdr>
        <w:top w:val="none" w:sz="0" w:space="0" w:color="auto"/>
        <w:left w:val="none" w:sz="0" w:space="0" w:color="auto"/>
        <w:bottom w:val="none" w:sz="0" w:space="0" w:color="auto"/>
        <w:right w:val="none" w:sz="0" w:space="0" w:color="auto"/>
      </w:divBdr>
    </w:div>
    <w:div w:id="1603759917">
      <w:bodyDiv w:val="1"/>
      <w:marLeft w:val="0"/>
      <w:marRight w:val="0"/>
      <w:marTop w:val="0"/>
      <w:marBottom w:val="0"/>
      <w:divBdr>
        <w:top w:val="none" w:sz="0" w:space="0" w:color="auto"/>
        <w:left w:val="none" w:sz="0" w:space="0" w:color="auto"/>
        <w:bottom w:val="none" w:sz="0" w:space="0" w:color="auto"/>
        <w:right w:val="none" w:sz="0" w:space="0" w:color="auto"/>
      </w:divBdr>
    </w:div>
    <w:div w:id="1607885870">
      <w:bodyDiv w:val="1"/>
      <w:marLeft w:val="0"/>
      <w:marRight w:val="0"/>
      <w:marTop w:val="0"/>
      <w:marBottom w:val="0"/>
      <w:divBdr>
        <w:top w:val="none" w:sz="0" w:space="0" w:color="auto"/>
        <w:left w:val="none" w:sz="0" w:space="0" w:color="auto"/>
        <w:bottom w:val="none" w:sz="0" w:space="0" w:color="auto"/>
        <w:right w:val="none" w:sz="0" w:space="0" w:color="auto"/>
      </w:divBdr>
    </w:div>
    <w:div w:id="1622300773">
      <w:bodyDiv w:val="1"/>
      <w:marLeft w:val="0"/>
      <w:marRight w:val="0"/>
      <w:marTop w:val="0"/>
      <w:marBottom w:val="0"/>
      <w:divBdr>
        <w:top w:val="none" w:sz="0" w:space="0" w:color="auto"/>
        <w:left w:val="none" w:sz="0" w:space="0" w:color="auto"/>
        <w:bottom w:val="none" w:sz="0" w:space="0" w:color="auto"/>
        <w:right w:val="none" w:sz="0" w:space="0" w:color="auto"/>
      </w:divBdr>
    </w:div>
    <w:div w:id="1638098243">
      <w:bodyDiv w:val="1"/>
      <w:marLeft w:val="0"/>
      <w:marRight w:val="0"/>
      <w:marTop w:val="0"/>
      <w:marBottom w:val="0"/>
      <w:divBdr>
        <w:top w:val="none" w:sz="0" w:space="0" w:color="auto"/>
        <w:left w:val="none" w:sz="0" w:space="0" w:color="auto"/>
        <w:bottom w:val="none" w:sz="0" w:space="0" w:color="auto"/>
        <w:right w:val="none" w:sz="0" w:space="0" w:color="auto"/>
      </w:divBdr>
    </w:div>
    <w:div w:id="1657760678">
      <w:bodyDiv w:val="1"/>
      <w:marLeft w:val="0"/>
      <w:marRight w:val="0"/>
      <w:marTop w:val="0"/>
      <w:marBottom w:val="0"/>
      <w:divBdr>
        <w:top w:val="none" w:sz="0" w:space="0" w:color="auto"/>
        <w:left w:val="none" w:sz="0" w:space="0" w:color="auto"/>
        <w:bottom w:val="none" w:sz="0" w:space="0" w:color="auto"/>
        <w:right w:val="none" w:sz="0" w:space="0" w:color="auto"/>
      </w:divBdr>
    </w:div>
    <w:div w:id="1660421576">
      <w:bodyDiv w:val="1"/>
      <w:marLeft w:val="0"/>
      <w:marRight w:val="0"/>
      <w:marTop w:val="0"/>
      <w:marBottom w:val="0"/>
      <w:divBdr>
        <w:top w:val="none" w:sz="0" w:space="0" w:color="auto"/>
        <w:left w:val="none" w:sz="0" w:space="0" w:color="auto"/>
        <w:bottom w:val="none" w:sz="0" w:space="0" w:color="auto"/>
        <w:right w:val="none" w:sz="0" w:space="0" w:color="auto"/>
      </w:divBdr>
    </w:div>
    <w:div w:id="1684357209">
      <w:bodyDiv w:val="1"/>
      <w:marLeft w:val="0"/>
      <w:marRight w:val="0"/>
      <w:marTop w:val="0"/>
      <w:marBottom w:val="0"/>
      <w:divBdr>
        <w:top w:val="none" w:sz="0" w:space="0" w:color="auto"/>
        <w:left w:val="none" w:sz="0" w:space="0" w:color="auto"/>
        <w:bottom w:val="none" w:sz="0" w:space="0" w:color="auto"/>
        <w:right w:val="none" w:sz="0" w:space="0" w:color="auto"/>
      </w:divBdr>
    </w:div>
    <w:div w:id="1690714422">
      <w:bodyDiv w:val="1"/>
      <w:marLeft w:val="0"/>
      <w:marRight w:val="0"/>
      <w:marTop w:val="0"/>
      <w:marBottom w:val="0"/>
      <w:divBdr>
        <w:top w:val="none" w:sz="0" w:space="0" w:color="auto"/>
        <w:left w:val="none" w:sz="0" w:space="0" w:color="auto"/>
        <w:bottom w:val="none" w:sz="0" w:space="0" w:color="auto"/>
        <w:right w:val="none" w:sz="0" w:space="0" w:color="auto"/>
      </w:divBdr>
    </w:div>
    <w:div w:id="1717510023">
      <w:bodyDiv w:val="1"/>
      <w:marLeft w:val="0"/>
      <w:marRight w:val="0"/>
      <w:marTop w:val="0"/>
      <w:marBottom w:val="0"/>
      <w:divBdr>
        <w:top w:val="none" w:sz="0" w:space="0" w:color="auto"/>
        <w:left w:val="none" w:sz="0" w:space="0" w:color="auto"/>
        <w:bottom w:val="none" w:sz="0" w:space="0" w:color="auto"/>
        <w:right w:val="none" w:sz="0" w:space="0" w:color="auto"/>
      </w:divBdr>
    </w:div>
    <w:div w:id="1724283902">
      <w:bodyDiv w:val="1"/>
      <w:marLeft w:val="0"/>
      <w:marRight w:val="0"/>
      <w:marTop w:val="0"/>
      <w:marBottom w:val="0"/>
      <w:divBdr>
        <w:top w:val="none" w:sz="0" w:space="0" w:color="auto"/>
        <w:left w:val="none" w:sz="0" w:space="0" w:color="auto"/>
        <w:bottom w:val="none" w:sz="0" w:space="0" w:color="auto"/>
        <w:right w:val="none" w:sz="0" w:space="0" w:color="auto"/>
      </w:divBdr>
    </w:div>
    <w:div w:id="1732384341">
      <w:bodyDiv w:val="1"/>
      <w:marLeft w:val="0"/>
      <w:marRight w:val="0"/>
      <w:marTop w:val="0"/>
      <w:marBottom w:val="0"/>
      <w:divBdr>
        <w:top w:val="none" w:sz="0" w:space="0" w:color="auto"/>
        <w:left w:val="none" w:sz="0" w:space="0" w:color="auto"/>
        <w:bottom w:val="none" w:sz="0" w:space="0" w:color="auto"/>
        <w:right w:val="none" w:sz="0" w:space="0" w:color="auto"/>
      </w:divBdr>
    </w:div>
    <w:div w:id="1773238330">
      <w:bodyDiv w:val="1"/>
      <w:marLeft w:val="0"/>
      <w:marRight w:val="0"/>
      <w:marTop w:val="0"/>
      <w:marBottom w:val="0"/>
      <w:divBdr>
        <w:top w:val="none" w:sz="0" w:space="0" w:color="auto"/>
        <w:left w:val="none" w:sz="0" w:space="0" w:color="auto"/>
        <w:bottom w:val="none" w:sz="0" w:space="0" w:color="auto"/>
        <w:right w:val="none" w:sz="0" w:space="0" w:color="auto"/>
      </w:divBdr>
    </w:div>
    <w:div w:id="1777556997">
      <w:bodyDiv w:val="1"/>
      <w:marLeft w:val="0"/>
      <w:marRight w:val="0"/>
      <w:marTop w:val="0"/>
      <w:marBottom w:val="0"/>
      <w:divBdr>
        <w:top w:val="none" w:sz="0" w:space="0" w:color="auto"/>
        <w:left w:val="none" w:sz="0" w:space="0" w:color="auto"/>
        <w:bottom w:val="none" w:sz="0" w:space="0" w:color="auto"/>
        <w:right w:val="none" w:sz="0" w:space="0" w:color="auto"/>
      </w:divBdr>
    </w:div>
    <w:div w:id="1782917164">
      <w:bodyDiv w:val="1"/>
      <w:marLeft w:val="0"/>
      <w:marRight w:val="0"/>
      <w:marTop w:val="0"/>
      <w:marBottom w:val="0"/>
      <w:divBdr>
        <w:top w:val="none" w:sz="0" w:space="0" w:color="auto"/>
        <w:left w:val="none" w:sz="0" w:space="0" w:color="auto"/>
        <w:bottom w:val="none" w:sz="0" w:space="0" w:color="auto"/>
        <w:right w:val="none" w:sz="0" w:space="0" w:color="auto"/>
      </w:divBdr>
    </w:div>
    <w:div w:id="1784350204">
      <w:bodyDiv w:val="1"/>
      <w:marLeft w:val="0"/>
      <w:marRight w:val="0"/>
      <w:marTop w:val="0"/>
      <w:marBottom w:val="0"/>
      <w:divBdr>
        <w:top w:val="none" w:sz="0" w:space="0" w:color="auto"/>
        <w:left w:val="none" w:sz="0" w:space="0" w:color="auto"/>
        <w:bottom w:val="none" w:sz="0" w:space="0" w:color="auto"/>
        <w:right w:val="none" w:sz="0" w:space="0" w:color="auto"/>
      </w:divBdr>
    </w:div>
    <w:div w:id="1785923686">
      <w:bodyDiv w:val="1"/>
      <w:marLeft w:val="0"/>
      <w:marRight w:val="0"/>
      <w:marTop w:val="0"/>
      <w:marBottom w:val="0"/>
      <w:divBdr>
        <w:top w:val="none" w:sz="0" w:space="0" w:color="auto"/>
        <w:left w:val="none" w:sz="0" w:space="0" w:color="auto"/>
        <w:bottom w:val="none" w:sz="0" w:space="0" w:color="auto"/>
        <w:right w:val="none" w:sz="0" w:space="0" w:color="auto"/>
      </w:divBdr>
    </w:div>
    <w:div w:id="1818716433">
      <w:bodyDiv w:val="1"/>
      <w:marLeft w:val="0"/>
      <w:marRight w:val="0"/>
      <w:marTop w:val="0"/>
      <w:marBottom w:val="0"/>
      <w:divBdr>
        <w:top w:val="none" w:sz="0" w:space="0" w:color="auto"/>
        <w:left w:val="none" w:sz="0" w:space="0" w:color="auto"/>
        <w:bottom w:val="none" w:sz="0" w:space="0" w:color="auto"/>
        <w:right w:val="none" w:sz="0" w:space="0" w:color="auto"/>
      </w:divBdr>
    </w:div>
    <w:div w:id="1832866326">
      <w:bodyDiv w:val="1"/>
      <w:marLeft w:val="0"/>
      <w:marRight w:val="0"/>
      <w:marTop w:val="0"/>
      <w:marBottom w:val="0"/>
      <w:divBdr>
        <w:top w:val="none" w:sz="0" w:space="0" w:color="auto"/>
        <w:left w:val="none" w:sz="0" w:space="0" w:color="auto"/>
        <w:bottom w:val="none" w:sz="0" w:space="0" w:color="auto"/>
        <w:right w:val="none" w:sz="0" w:space="0" w:color="auto"/>
      </w:divBdr>
    </w:div>
    <w:div w:id="1851749449">
      <w:bodyDiv w:val="1"/>
      <w:marLeft w:val="0"/>
      <w:marRight w:val="0"/>
      <w:marTop w:val="0"/>
      <w:marBottom w:val="0"/>
      <w:divBdr>
        <w:top w:val="none" w:sz="0" w:space="0" w:color="auto"/>
        <w:left w:val="none" w:sz="0" w:space="0" w:color="auto"/>
        <w:bottom w:val="none" w:sz="0" w:space="0" w:color="auto"/>
        <w:right w:val="none" w:sz="0" w:space="0" w:color="auto"/>
      </w:divBdr>
    </w:div>
    <w:div w:id="1887135829">
      <w:bodyDiv w:val="1"/>
      <w:marLeft w:val="0"/>
      <w:marRight w:val="0"/>
      <w:marTop w:val="0"/>
      <w:marBottom w:val="0"/>
      <w:divBdr>
        <w:top w:val="none" w:sz="0" w:space="0" w:color="auto"/>
        <w:left w:val="none" w:sz="0" w:space="0" w:color="auto"/>
        <w:bottom w:val="none" w:sz="0" w:space="0" w:color="auto"/>
        <w:right w:val="none" w:sz="0" w:space="0" w:color="auto"/>
      </w:divBdr>
    </w:div>
    <w:div w:id="1908220037">
      <w:bodyDiv w:val="1"/>
      <w:marLeft w:val="0"/>
      <w:marRight w:val="0"/>
      <w:marTop w:val="0"/>
      <w:marBottom w:val="0"/>
      <w:divBdr>
        <w:top w:val="none" w:sz="0" w:space="0" w:color="auto"/>
        <w:left w:val="none" w:sz="0" w:space="0" w:color="auto"/>
        <w:bottom w:val="none" w:sz="0" w:space="0" w:color="auto"/>
        <w:right w:val="none" w:sz="0" w:space="0" w:color="auto"/>
      </w:divBdr>
    </w:div>
    <w:div w:id="1913345970">
      <w:bodyDiv w:val="1"/>
      <w:marLeft w:val="0"/>
      <w:marRight w:val="0"/>
      <w:marTop w:val="0"/>
      <w:marBottom w:val="0"/>
      <w:divBdr>
        <w:top w:val="none" w:sz="0" w:space="0" w:color="auto"/>
        <w:left w:val="none" w:sz="0" w:space="0" w:color="auto"/>
        <w:bottom w:val="none" w:sz="0" w:space="0" w:color="auto"/>
        <w:right w:val="none" w:sz="0" w:space="0" w:color="auto"/>
      </w:divBdr>
    </w:div>
    <w:div w:id="1949774196">
      <w:bodyDiv w:val="1"/>
      <w:marLeft w:val="0"/>
      <w:marRight w:val="0"/>
      <w:marTop w:val="0"/>
      <w:marBottom w:val="0"/>
      <w:divBdr>
        <w:top w:val="none" w:sz="0" w:space="0" w:color="auto"/>
        <w:left w:val="none" w:sz="0" w:space="0" w:color="auto"/>
        <w:bottom w:val="none" w:sz="0" w:space="0" w:color="auto"/>
        <w:right w:val="none" w:sz="0" w:space="0" w:color="auto"/>
      </w:divBdr>
    </w:div>
    <w:div w:id="1973704677">
      <w:bodyDiv w:val="1"/>
      <w:marLeft w:val="0"/>
      <w:marRight w:val="0"/>
      <w:marTop w:val="0"/>
      <w:marBottom w:val="0"/>
      <w:divBdr>
        <w:top w:val="none" w:sz="0" w:space="0" w:color="auto"/>
        <w:left w:val="none" w:sz="0" w:space="0" w:color="auto"/>
        <w:bottom w:val="none" w:sz="0" w:space="0" w:color="auto"/>
        <w:right w:val="none" w:sz="0" w:space="0" w:color="auto"/>
      </w:divBdr>
    </w:div>
    <w:div w:id="2004162231">
      <w:bodyDiv w:val="1"/>
      <w:marLeft w:val="0"/>
      <w:marRight w:val="0"/>
      <w:marTop w:val="0"/>
      <w:marBottom w:val="0"/>
      <w:divBdr>
        <w:top w:val="none" w:sz="0" w:space="0" w:color="auto"/>
        <w:left w:val="none" w:sz="0" w:space="0" w:color="auto"/>
        <w:bottom w:val="none" w:sz="0" w:space="0" w:color="auto"/>
        <w:right w:val="none" w:sz="0" w:space="0" w:color="auto"/>
      </w:divBdr>
    </w:div>
    <w:div w:id="2018656943">
      <w:bodyDiv w:val="1"/>
      <w:marLeft w:val="0"/>
      <w:marRight w:val="0"/>
      <w:marTop w:val="0"/>
      <w:marBottom w:val="0"/>
      <w:divBdr>
        <w:top w:val="none" w:sz="0" w:space="0" w:color="auto"/>
        <w:left w:val="none" w:sz="0" w:space="0" w:color="auto"/>
        <w:bottom w:val="none" w:sz="0" w:space="0" w:color="auto"/>
        <w:right w:val="none" w:sz="0" w:space="0" w:color="auto"/>
      </w:divBdr>
    </w:div>
    <w:div w:id="2024478500">
      <w:bodyDiv w:val="1"/>
      <w:marLeft w:val="0"/>
      <w:marRight w:val="0"/>
      <w:marTop w:val="0"/>
      <w:marBottom w:val="0"/>
      <w:divBdr>
        <w:top w:val="none" w:sz="0" w:space="0" w:color="auto"/>
        <w:left w:val="none" w:sz="0" w:space="0" w:color="auto"/>
        <w:bottom w:val="none" w:sz="0" w:space="0" w:color="auto"/>
        <w:right w:val="none" w:sz="0" w:space="0" w:color="auto"/>
      </w:divBdr>
    </w:div>
    <w:div w:id="2070109510">
      <w:bodyDiv w:val="1"/>
      <w:marLeft w:val="0"/>
      <w:marRight w:val="0"/>
      <w:marTop w:val="0"/>
      <w:marBottom w:val="0"/>
      <w:divBdr>
        <w:top w:val="none" w:sz="0" w:space="0" w:color="auto"/>
        <w:left w:val="none" w:sz="0" w:space="0" w:color="auto"/>
        <w:bottom w:val="none" w:sz="0" w:space="0" w:color="auto"/>
        <w:right w:val="none" w:sz="0" w:space="0" w:color="auto"/>
      </w:divBdr>
    </w:div>
    <w:div w:id="2070953179">
      <w:bodyDiv w:val="1"/>
      <w:marLeft w:val="0"/>
      <w:marRight w:val="0"/>
      <w:marTop w:val="0"/>
      <w:marBottom w:val="0"/>
      <w:divBdr>
        <w:top w:val="none" w:sz="0" w:space="0" w:color="auto"/>
        <w:left w:val="none" w:sz="0" w:space="0" w:color="auto"/>
        <w:bottom w:val="none" w:sz="0" w:space="0" w:color="auto"/>
        <w:right w:val="none" w:sz="0" w:space="0" w:color="auto"/>
      </w:divBdr>
    </w:div>
    <w:div w:id="2098667333">
      <w:bodyDiv w:val="1"/>
      <w:marLeft w:val="0"/>
      <w:marRight w:val="0"/>
      <w:marTop w:val="0"/>
      <w:marBottom w:val="0"/>
      <w:divBdr>
        <w:top w:val="none" w:sz="0" w:space="0" w:color="auto"/>
        <w:left w:val="none" w:sz="0" w:space="0" w:color="auto"/>
        <w:bottom w:val="none" w:sz="0" w:space="0" w:color="auto"/>
        <w:right w:val="none" w:sz="0" w:space="0" w:color="auto"/>
      </w:divBdr>
    </w:div>
    <w:div w:id="2102749961">
      <w:bodyDiv w:val="1"/>
      <w:marLeft w:val="0"/>
      <w:marRight w:val="0"/>
      <w:marTop w:val="0"/>
      <w:marBottom w:val="0"/>
      <w:divBdr>
        <w:top w:val="none" w:sz="0" w:space="0" w:color="auto"/>
        <w:left w:val="none" w:sz="0" w:space="0" w:color="auto"/>
        <w:bottom w:val="none" w:sz="0" w:space="0" w:color="auto"/>
        <w:right w:val="none" w:sz="0" w:space="0" w:color="auto"/>
      </w:divBdr>
    </w:div>
    <w:div w:id="2120486098">
      <w:bodyDiv w:val="1"/>
      <w:marLeft w:val="0"/>
      <w:marRight w:val="0"/>
      <w:marTop w:val="0"/>
      <w:marBottom w:val="0"/>
      <w:divBdr>
        <w:top w:val="none" w:sz="0" w:space="0" w:color="auto"/>
        <w:left w:val="none" w:sz="0" w:space="0" w:color="auto"/>
        <w:bottom w:val="none" w:sz="0" w:space="0" w:color="auto"/>
        <w:right w:val="none" w:sz="0" w:space="0" w:color="auto"/>
      </w:divBdr>
    </w:div>
    <w:div w:id="212437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AAFF14E62F7425B8FBBE04136C105D7"/>
        <w:category>
          <w:name w:val="General"/>
          <w:gallery w:val="placeholder"/>
        </w:category>
        <w:types>
          <w:type w:val="bbPlcHdr"/>
        </w:types>
        <w:behaviors>
          <w:behavior w:val="content"/>
        </w:behaviors>
        <w:guid w:val="{6578E6B5-1CDF-4937-A3ED-B1B2564C56A6}"/>
      </w:docPartPr>
      <w:docPartBody>
        <w:p w:rsidR="00000000" w:rsidRDefault="00D53AB5" w:rsidP="00D53AB5">
          <w:pPr>
            <w:pStyle w:val="0AAFF14E62F7425B8FBBE04136C105D7"/>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AB5"/>
    <w:rsid w:val="000B6337"/>
    <w:rsid w:val="00D53AB5"/>
    <w:rsid w:val="00EA5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AFF14E62F7425B8FBBE04136C105D7">
    <w:name w:val="0AAFF14E62F7425B8FBBE04136C105D7"/>
    <w:rsid w:val="00D53A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App12</b:Tag>
    <b:SourceType>JournalArticle</b:SourceType>
    <b:Guid>{C814FBC4-CF20-4CFA-B4FB-A5502AE40E23}</b:Guid>
    <b:Author>
      <b:Author>
        <b:NameList>
          <b:Person>
            <b:Last>Appelbaum</b:Last>
            <b:First>Steven</b:First>
            <b:Middle>H</b:Middle>
          </b:Person>
          <b:Person>
            <b:Last>Habashy</b:Last>
            <b:First>Sally</b:First>
          </b:Person>
          <b:Person>
            <b:Last>Malo</b:Last>
            <b:First>Jean-Luc</b:First>
          </b:Person>
          <b:Person>
            <b:Last>Shafiq</b:Last>
            <b:First>Hisham</b:First>
          </b:Person>
        </b:NameList>
      </b:Author>
    </b:Author>
    <b:Title>Back to the future: revisiting Kotter's 1996 change model</b:Title>
    <b:Year>2012</b:Year>
    <b:Pages>p.764-782</b:Pages>
    <b:RefOrder>1</b:RefOrder>
  </b:Source>
  <b:Source>
    <b:Tag>Kot95</b:Tag>
    <b:SourceType>JournalArticle</b:SourceType>
    <b:Guid>{61FADFDE-E59D-4282-9F9A-C7B04D0F5681}</b:Guid>
    <b:Author>
      <b:Author>
        <b:NameList>
          <b:Person>
            <b:Last>Kotter</b:Last>
            <b:First>John</b:First>
            <b:Middle>P</b:Middle>
          </b:Person>
        </b:NameList>
      </b:Author>
    </b:Author>
    <b:Title>Leading change: Why transformation efforts fail</b:Title>
    <b:Year>1995</b:Year>
    <b:Pages>pp.59-67</b:Pages>
    <b:RefOrder>2</b:RefOrder>
  </b:Source>
  <b:Source>
    <b:Tag>Lau23</b:Tag>
    <b:SourceType>Book</b:SourceType>
    <b:Guid>{FFE5AD84-4A66-45F3-B35A-65B202553E19}</b:Guid>
    <b:Author>
      <b:Author>
        <b:NameList>
          <b:Person>
            <b:Last>Mullins</b:Last>
            <b:First>Laurie</b:First>
            <b:Middle>J.</b:Middle>
          </b:Person>
          <b:Person>
            <b:Last>Rees.</b:Last>
            <b:First>Gary</b:First>
          </b:Person>
        </b:NameList>
      </b:Author>
    </b:Author>
    <b:Title>Management and organisational behaviour</b:Title>
    <b:Year>2023</b:Year>
    <b:Publisher>pearson education</b:Publisher>
    <b:RefOrder>3</b:RefOrder>
  </b:Source>
  <b:Source>
    <b:Tag>Ore06</b:Tag>
    <b:SourceType>JournalArticle</b:SourceType>
    <b:Guid>{38AA0EF6-4386-49F7-AD8D-2294FB5B79AB}</b:Guid>
    <b:Author>
      <b:Author>
        <b:NameList>
          <b:Person>
            <b:Last>Oreg</b:Last>
            <b:First>Shaul</b:First>
          </b:Person>
        </b:NameList>
      </b:Author>
    </b:Author>
    <b:Title>Personality, context, and resistance to organizational change</b:Title>
    <b:Year>2006</b:Year>
    <b:Pages>pp.73-101</b:Pages>
    <b:RefOrder>4</b:RefOrder>
  </b:Source>
  <b:Source>
    <b:Tag>Ore11</b:Tag>
    <b:SourceType>JournalArticle</b:SourceType>
    <b:Guid>{17EEBBE9-9F4F-4352-B696-A610252F7D32}</b:Guid>
    <b:Author>
      <b:Author>
        <b:NameList>
          <b:Person>
            <b:Last>Oreg</b:Last>
            <b:First>Shaul</b:First>
          </b:Person>
          <b:Person>
            <b:Last>Vakola</b:Last>
            <b:First>Maria</b:First>
          </b:Person>
          <b:Person>
            <b:Last>Armenakis</b:Last>
            <b:First>Achilles</b:First>
          </b:Person>
        </b:NameList>
      </b:Author>
    </b:Author>
    <b:Year>2011</b:Year>
    <b:Pages>pp.461-524</b:Pages>
    <b:Title>Change Recipients’ Reactions to Organizational Change</b:Title>
    <b:RefOrder>5</b:RefOrder>
  </b:Source>
  <b:Source>
    <b:Tag>Per89</b:Tag>
    <b:SourceType>JournalArticle</b:SourceType>
    <b:Guid>{4F04698F-2823-4E37-9AAA-5C504CE72012}</b:Guid>
    <b:Author>
      <b:Author>
        <b:NameList>
          <b:Person>
            <b:Last>Davis</b:Last>
            <b:First>Fred</b:First>
            <b:Middle>D.</b:Middle>
          </b:Person>
        </b:NameList>
      </b:Author>
    </b:Author>
    <b:Title>Perceived Usefulness, Perceived Ease of Use, and User Acceptance of Information Technology</b:Title>
    <b:Year>1989</b:Year>
    <b:Pages>pp.319-340</b:Pages>
    <b:RefOrder>6</b:RefOrder>
  </b:Source>
  <b:Source>
    <b:Tag>Ber17</b:Tag>
    <b:SourceType>Book</b:SourceType>
    <b:Guid>{F10B48F3-F548-4B24-B7D0-2C850CD71D97}</b:Guid>
    <b:Title>Managing change</b:Title>
    <b:Year>2017</b:Year>
    <b:Author>
      <b:Author>
        <b:NameList>
          <b:Person>
            <b:Last>Burnes</b:Last>
            <b:First>Bernard</b:First>
          </b:Person>
        </b:NameList>
      </b:Author>
    </b:Author>
    <b:Publisher>Pearson</b:Publisher>
    <b:RefOrder>7</b:RefOrder>
  </b:Source>
  <b:Source>
    <b:Tag>Ven03</b:Tag>
    <b:SourceType>JournalArticle</b:SourceType>
    <b:Guid>{7642A025-8612-4F1C-B54E-29E047127A43}</b:Guid>
    <b:Author>
      <b:Author>
        <b:NameList>
          <b:Person>
            <b:Last>Venkatesh</b:Last>
            <b:First>Viswanath</b:First>
          </b:Person>
          <b:Person>
            <b:Last>Morris</b:Last>
            <b:First>Michael</b:First>
            <b:Middle>G.</b:Middle>
          </b:Person>
          <b:Person>
            <b:Last>Davis</b:Last>
            <b:First>Gordon</b:First>
            <b:Middle>B.</b:Middle>
          </b:Person>
          <b:Person>
            <b:Last>Davis</b:Last>
            <b:First>Fred</b:First>
            <b:Middle>D.</b:Middle>
          </b:Person>
        </b:NameList>
      </b:Author>
    </b:Author>
    <b:Title>User Acceptance of Information Technology: Toward a Unified View</b:Title>
    <b:Year>2003</b:Year>
    <b:Pages>pp.425-478</b:Pages>
    <b:RefOrder>8</b:RefOrder>
  </b:Source>
  <b:Source>
    <b:Tag>Joh25</b:Tag>
    <b:SourceType>Book</b:SourceType>
    <b:Guid>{3D56DA06-0898-4BD3-B1CA-93BC4F9EF3F0}</b:Guid>
    <b:Author>
      <b:Author>
        <b:NameList>
          <b:Person>
            <b:Last>Hayes</b:Last>
            <b:First>John</b:First>
          </b:Person>
        </b:NameList>
      </b:Author>
    </b:Author>
    <b:Title>The theory and practice of change management</b:Title>
    <b:Year>2025</b:Year>
    <b:Publisher>Bloomsbury Academic</b:Publisher>
    <b:RefOrder>9</b:RefOrder>
  </b:Source>
  <b:Source>
    <b:Tag>Bor04</b:Tag>
    <b:SourceType>JournalArticle</b:SourceType>
    <b:Guid>{924293CF-035C-430D-99BA-F1E0B1DBFD00}</b:Guid>
    <b:Author>
      <b:Author>
        <b:NameList>
          <b:Person>
            <b:Last>Bordia</b:Last>
            <b:First>Prashant</b:First>
          </b:Person>
          <b:Person>
            <b:Last>Hobman</b:Last>
            <b:First>Elizabeth</b:First>
          </b:Person>
          <b:Person>
            <b:Last>Jones</b:Last>
            <b:First>Elizabeth</b:First>
          </b:Person>
          <b:Person>
            <b:Last>Gallois</b:Last>
            <b:First>Cindy</b:First>
          </b:Person>
          <b:Person>
            <b:Last>Callan</b:Last>
            <b:First>Victor</b:First>
            <b:Middle>J.</b:Middle>
          </b:Person>
        </b:NameList>
      </b:Author>
    </b:Author>
    <b:Title>Uncertainty during Organizational Change: Types, Consequences, and Management Strategies</b:Title>
    <b:Year>2004</b:Year>
    <b:Pages>pp.507-532</b:Pages>
    <b:RefOrder>10</b:RefOrder>
  </b:Source>
  <b:Source>
    <b:Tag>ByR05</b:Tag>
    <b:SourceType>JournalArticle</b:SourceType>
    <b:Guid>{8E466341-5529-4625-881A-7A2A2D92905F}</b:Guid>
    <b:Author>
      <b:Author>
        <b:NameList>
          <b:Person>
            <b:Last>Todnem</b:Last>
            <b:First>Rune</b:First>
          </b:Person>
        </b:NameList>
      </b:Author>
    </b:Author>
    <b:Title>Organisational change management: A critical review</b:Title>
    <b:Year>2005</b:Year>
    <b:Pages>pp.369-380</b:Pages>
    <b:RefOrder>11</b:RefOrder>
  </b:Source>
  <b:Source>
    <b:Tag>Lew51</b:Tag>
    <b:SourceType>Book</b:SourceType>
    <b:Guid>{1F61315F-26CA-4B05-B5F8-119581B9692B}</b:Guid>
    <b:Author>
      <b:Author>
        <b:NameList>
          <b:Person>
            <b:Last>Lewin</b:Last>
            <b:First>Kurt</b:First>
          </b:Person>
        </b:NameList>
      </b:Author>
    </b:Author>
    <b:Title>Field theory in social science</b:Title>
    <b:Year>1951</b:Year>
    <b:Publisher>Harper</b:Publisher>
    <b:RefOrder>12</b:RefOrder>
  </b:Source>
  <b:Source>
    <b:Tag>Bur17</b:Tag>
    <b:SourceType>JournalArticle</b:SourceType>
    <b:Guid>{3682C0BE-A19F-4D7C-A8B2-5DB3E7E24592}</b:Guid>
    <b:Author>
      <b:Author>
        <b:NameList>
          <b:Person>
            <b:Last>Burnes</b:Last>
            <b:First>Bernard</b:First>
          </b:Person>
          <b:Person>
            <b:Last>Bargal</b:Last>
            <b:First>David</b:First>
          </b:Person>
        </b:NameList>
      </b:Author>
    </b:Author>
    <b:Title>Kurt Lewin: 70 Years on</b:Title>
    <b:Year>2017</b:Year>
    <b:Pages>pp. 91–100</b:Pages>
    <b:City>London</b:City>
    <b:Publisher>Routledge</b:Publisher>
    <b:JournalName>Kurt Lewin: 70 Years on</b:JournalName>
    <b:RefOrder>13</b:RefOrder>
  </b:Source>
  <b:Source>
    <b:Tag>Bee00</b:Tag>
    <b:SourceType>JournalArticle</b:SourceType>
    <b:Guid>{0E18601D-98BA-46E5-8D72-A0A2BD712468}</b:Guid>
    <b:Author>
      <b:Author>
        <b:NameList>
          <b:Person>
            <b:Last>Beer</b:Last>
            <b:First>M</b:First>
          </b:Person>
          <b:Person>
            <b:Last>Nohria</b:Last>
            <b:First>N</b:First>
          </b:Person>
        </b:NameList>
      </b:Author>
    </b:Author>
    <b:Title>Cracking the code of change</b:Title>
    <b:Year>2000</b:Year>
    <b:Pages>pp.133</b:Pages>
    <b:RefOrder>14</b:RefOrder>
  </b:Source>
  <b:Source>
    <b:Tag>Pet12</b:Tag>
    <b:SourceType>JournalArticle</b:SourceType>
    <b:Guid>{B647C05E-3AFC-4156-B703-A91FCF786FD2}</b:Guid>
    <b:Author>
      <b:Author>
        <b:NameList>
          <b:Person>
            <b:Last>Pettigrew</b:Last>
            <b:First>Andrew</b:First>
            <b:Middle>M.</b:Middle>
          </b:Person>
        </b:NameList>
      </b:Author>
    </b:Author>
    <b:Title>Context and Action in the Transformation of the Firm: A Reprise</b:Title>
    <b:Year>2012</b:Year>
    <b:Pages>pp.1304-1328</b:Pages>
    <b:RefOrder>15</b:RefOrder>
  </b:Source>
  <b:Source>
    <b:Tag>Wei99</b:Tag>
    <b:SourceType>JournalArticle</b:SourceType>
    <b:Guid>{5E713A6A-935C-4E60-B95A-B8B034F6ABBC}</b:Guid>
    <b:Author>
      <b:Author>
        <b:NameList>
          <b:Person>
            <b:Last>Weick</b:Last>
            <b:First>Karl</b:First>
            <b:Middle>E.</b:Middle>
          </b:Person>
          <b:Person>
            <b:Last>Quinn</b:Last>
            <b:First>Robert</b:First>
            <b:Middle>E.</b:Middle>
          </b:Person>
        </b:NameList>
      </b:Author>
    </b:Author>
    <b:Title>ORGANIZATIONAL CHANGE AND DEVELOPMENT</b:Title>
    <b:Year>1999</b:Year>
    <b:Pages>pp.361-386</b:Pages>
    <b:RefOrder>16</b:RefOrder>
  </b:Source>
  <b:Source>
    <b:Tag>Swa14</b:Tag>
    <b:SourceType>JournalArticle</b:SourceType>
    <b:Guid>{E703D250-BABA-46E3-ADD8-771B43FD1AE8}</b:Guid>
    <b:Author>
      <b:Author>
        <b:NameList>
          <b:Person>
            <b:Last>Swanson</b:Last>
            <b:First>Donald</b:First>
            <b:Middle>James</b:Middle>
          </b:Person>
          <b:Person>
            <b:Last>Creed</b:Last>
            <b:First>Andrew</b:First>
            <b:Middle>Shawn</b:Middle>
          </b:Person>
        </b:NameList>
      </b:Author>
    </b:Author>
    <b:Title>Sharpening the Focus of Force Field Analysis</b:Title>
    <b:Year>2014</b:Year>
    <b:Pages>p.28-47</b:Pages>
    <b:RefOrder>17</b:RefOrder>
  </b:Source>
  <b:Source>
    <b:Tag>Hus18</b:Tag>
    <b:SourceType>JournalArticle</b:SourceType>
    <b:Guid>{FC45A6FC-95B5-4B25-A54D-B623EC063F62}</b:Guid>
    <b:Author>
      <b:Author>
        <b:NameList>
          <b:Person>
            <b:Last>Hussain</b:Last>
            <b:First>Syed</b:First>
            <b:Middle>Talib</b:Middle>
          </b:Person>
          <b:Person>
            <b:Last>Lei</b:Last>
            <b:First>Shen</b:First>
          </b:Person>
          <b:Person>
            <b:Last>Akram</b:Last>
            <b:First>Tayyaba</b:First>
          </b:Person>
          <b:Person>
            <b:Last>Haider</b:Last>
            <b:First>Muhammad</b:First>
            <b:Middle>Jamal</b:Middle>
          </b:Person>
          <b:Person>
            <b:Last>Hussain</b:Last>
            <b:First>Syed</b:First>
            <b:Middle>Hadi</b:Middle>
          </b:Person>
          <b:Person>
            <b:Last>Ali</b:Last>
            <b:First>Muhammad</b:First>
          </b:Person>
        </b:NameList>
      </b:Author>
    </b:Author>
    <b:Title>Kurt Lewin's change model: A critical review of the role of leadership and employee involvement in organizational change</b:Title>
    <b:Year>2018</b:Year>
    <b:Pages>pp.123-127</b:Pages>
    <b:RefOrder>18</b:RefOrder>
  </b:Source>
  <b:Source>
    <b:Tag>Cum16</b:Tag>
    <b:SourceType>JournalArticle</b:SourceType>
    <b:Guid>{8C4C236F-A1BF-4184-B515-CF902AD3E3E8}</b:Guid>
    <b:Author>
      <b:Author>
        <b:NameList>
          <b:Person>
            <b:Last>Cummings</b:Last>
            <b:First>Stephen</b:First>
          </b:Person>
          <b:Person>
            <b:Last>Bridgman</b:Last>
            <b:First>Todd</b:First>
          </b:Person>
          <b:Person>
            <b:Last>Brown</b:Last>
            <b:First>Kenneth</b:First>
            <b:Middle>G</b:Middle>
          </b:Person>
        </b:NameList>
      </b:Author>
    </b:Author>
    <b:Title>Unfreezing change as three steps: Rethinking Kurt Lewin’s legacy for change management</b:Title>
    <b:Year>2016</b:Year>
    <b:Pages> pp.33-60</b:Pages>
    <b:RefOrder>19</b:RefOrder>
  </b:Source>
  <b:Source>
    <b:Tag>Jef06</b:Tag>
    <b:SourceType>JournalArticle</b:SourceType>
    <b:Guid>{E6E5942E-7CC0-437E-A1D5-86861EA02F07}</b:Guid>
    <b:Author>
      <b:Author>
        <b:NameList>
          <b:Person>
            <b:Last>Hiatt</b:Last>
            <b:First>Jeffrey</b:First>
            <b:Middle>M.</b:Middle>
          </b:Person>
        </b:NameList>
      </b:Author>
    </b:Author>
    <b:Title>ADKAR: A model for change</b:Title>
    <b:Year>2006</b:Year>
    <b:RefOrder>20</b:RefOrder>
  </b:Source>
  <b:Source>
    <b:Tag>AlH15</b:Tag>
    <b:SourceType>JournalArticle</b:SourceType>
    <b:Guid>{F7D10102-6297-4311-B4A4-83B155A676F8}</b:Guid>
    <b:Author>
      <b:Author>
        <b:NameList>
          <b:Person>
            <b:Last>Al-Haddad</b:Last>
            <b:First>Serina</b:First>
          </b:Person>
          <b:Person>
            <b:Last>Kotnour</b:Last>
            <b:First>Timothy</b:First>
          </b:Person>
        </b:NameList>
      </b:Author>
    </b:Author>
    <b:Title>Integrating the organizational change literature: a model for successful change</b:Title>
    <b:Year>2015</b:Year>
    <b:Pages>pp.234-262</b:Pages>
    <b:RefOrder>21</b:RefOrder>
  </b:Source>
  <b:Source>
    <b:Tag>Her68</b:Tag>
    <b:SourceType>JournalArticle</b:SourceType>
    <b:Guid>{81570C06-00FD-4AD1-BA6C-542F8ABEC717}</b:Guid>
    <b:Author>
      <b:Author>
        <b:NameList>
          <b:Person>
            <b:Last>Herzberg</b:Last>
            <b:First>Frederick</b:First>
          </b:Person>
        </b:NameList>
      </b:Author>
    </b:Author>
    <b:Title>One more time: how do you motivate employees? not by improving work conditions, raising salaries, or shuffling tasks</b:Title>
    <b:Year>1968</b:Year>
    <b:Pages>pp.53-62</b:Pages>
    <b:RefOrder>22</b:RefOrder>
  </b:Source>
  <b:Source>
    <b:Tag>Mic26</b:Tag>
    <b:SourceType>Book</b:SourceType>
    <b:Guid>{29D28838-8426-4B76-A1D8-25D2169BC7DD}</b:Guid>
    <b:Author>
      <b:Author>
        <b:NameList>
          <b:Person>
            <b:Last>Taylor</b:Last>
            <b:First>Stephen</b:First>
          </b:Person>
          <b:Person>
            <b:Last>Armstrong</b:Last>
            <b:First>Michael</b:First>
          </b:Person>
        </b:NameList>
      </b:Author>
    </b:Author>
    <b:Title>rmstrong's handbook of human resource management practice : a guide to the theory and practice of people management</b:Title>
    <b:Year>2026</b:Year>
    <b:Publisher>Kogan Page</b:Publisher>
    <b:RefOrder>23</b:RefOrder>
  </b:Source>
  <b:Source>
    <b:Tag>Dec00</b:Tag>
    <b:SourceType>JournalArticle</b:SourceType>
    <b:Guid>{6C72116A-1A9D-4AC6-B34C-4AFBB7656868}</b:Guid>
    <b:Author>
      <b:Author>
        <b:NameList>
          <b:Person>
            <b:Last>Deci</b:Last>
            <b:First>Edward</b:First>
            <b:Middle>L.</b:Middle>
          </b:Person>
          <b:Person>
            <b:Last>Ryan</b:Last>
            <b:First>Richard</b:First>
            <b:Middle>M.</b:Middle>
          </b:Person>
        </b:NameList>
      </b:Author>
    </b:Author>
    <b:Title>The "What" and "Why" of Goal Pursuits: Human Needs and the Self-Determination of Behavior</b:Title>
    <b:Year>2000</b:Year>
    <b:Pages>pp.227-268</b:Pages>
    <b:RefOrder>24</b:RefOrder>
  </b:Source>
  <b:Source>
    <b:Tag>Ste64</b:Tag>
    <b:SourceType>JournalArticle</b:SourceType>
    <b:Guid>{3D702CA2-CC07-4E75-9BF9-D0E26A2B5752}</b:Guid>
    <b:Author>
      <b:Author>
        <b:NameList>
          <b:Person>
            <b:Last>Steele</b:Last>
            <b:First>F</b:First>
            <b:Middle>I</b:Middle>
          </b:Person>
        </b:NameList>
      </b:Author>
    </b:Author>
    <b:Title>Work and Motivation by Victor H. Vroom</b:Title>
    <b:Year>1964</b:Year>
    <b:Pages>pp.106</b:Pages>
    <b:RefOrder>25</b:RefOrder>
  </b:Source>
  <b:Source>
    <b:Tag>Wan00</b:Tag>
    <b:SourceType>JournalArticle</b:SourceType>
    <b:Guid>{B64BEB8D-5E18-4F15-95F9-FAC1DA5B5FF4}</b:Guid>
    <b:Author>
      <b:Author>
        <b:NameList>
          <b:Person>
            <b:Last>Wanberg</b:Last>
            <b:First>Connie</b:First>
            <b:Middle>R</b:Middle>
          </b:Person>
          <b:Person>
            <b:Last>Banas</b:Last>
            <b:First>Joseph</b:First>
            <b:Middle>T</b:Middle>
          </b:Person>
        </b:NameList>
      </b:Author>
    </b:Author>
    <b:Title>Predictors and Outcomes of Openness to Changes in a Reorganizing Workplace</b:Title>
    <b:Year>2000</b:Year>
    <b:Pages>pp.132-142</b:Pages>
    <b:RefOrder>26</b:RefOrder>
  </b:Source>
  <b:Source>
    <b:Tag>Sta05</b:Tag>
    <b:SourceType>JournalArticle</b:SourceType>
    <b:Guid>{8B02DA28-B18A-4264-B553-CD6288C2696D}</b:Guid>
    <b:Author>
      <b:Author>
        <b:NameList>
          <b:Person>
            <b:Last>Stanley</b:Last>
            <b:First>David</b:First>
            <b:Middle>J.</b:Middle>
          </b:Person>
          <b:Person>
            <b:Last>Meyer</b:Last>
            <b:First>John</b:First>
            <b:Middle>P.</b:Middle>
          </b:Person>
          <b:Person>
            <b:Last>Topolnytsky</b:Last>
            <b:First>Laryssa</b:First>
          </b:Person>
        </b:NameList>
      </b:Author>
    </b:Author>
    <b:Title>Employee Cynicism and Resistance to Organizational Change</b:Title>
    <b:Year>2005</b:Year>
    <b:Pages>pp.429-459</b:Pages>
    <b:RefOrder>27</b:RefOrder>
  </b:Source>
  <b:Source>
    <b:Tag>Joh12</b:Tag>
    <b:SourceType>Book</b:SourceType>
    <b:Guid>{6CA0DFFA-8268-4CF4-A5F4-33743D7043F4}</b:Guid>
    <b:Author>
      <b:Author>
        <b:NameList>
          <b:Person>
            <b:Last>Kotter.</b:Last>
            <b:First>John</b:First>
            <b:Middle>P.</b:Middle>
          </b:Person>
        </b:NameList>
      </b:Author>
    </b:Author>
    <b:Title>Leading change</b:Title>
    <b:Year>2012</b:Year>
    <b:Publisher>Harvard Buisness Review Press</b:Publisher>
    <b:RefOrder>28</b:RefOrder>
  </b:Source>
  <b:Source>
    <b:Tag>Arm09</b:Tag>
    <b:SourceType>JournalArticle</b:SourceType>
    <b:Guid>{4798E693-8E63-4B77-B3D3-1E82B887B7E3}</b:Guid>
    <b:Author>
      <b:Author>
        <b:NameList>
          <b:Person>
            <b:Last>Armenakis</b:Last>
            <b:First>Achilles</b:First>
            <b:Middle>A.</b:Middle>
          </b:Person>
          <b:Person>
            <b:Last>Harris</b:Last>
            <b:First>Stanley</b:First>
            <b:Middle>G.</b:Middle>
          </b:Person>
        </b:NameList>
      </b:Author>
    </b:Author>
    <b:Title>Reflections: our Journey in Organizational Change Research and Practice</b:Title>
    <b:Year>2009</b:Year>
    <b:Pages>pp.127-142</b:Pages>
    <b:RefOrder>29</b:RefOrder>
  </b:Source>
  <b:Source>
    <b:Tag>Ert10</b:Tag>
    <b:SourceType>JournalArticle</b:SourceType>
    <b:Guid>{6A1E9630-4C5F-4B4B-9795-7BD801126227}</b:Guid>
    <b:Author>
      <b:Author>
        <b:NameList>
          <b:Person>
            <b:Last>Ertmer</b:Last>
            <b:First>Peggy</b:First>
            <b:Middle>A.</b:Middle>
          </b:Person>
          <b:Person>
            <b:Last>Ottenbreit-Leftwich</b:Last>
            <b:First>Anne</b:First>
            <b:Middle>T.</b:Middle>
          </b:Person>
        </b:NameList>
      </b:Author>
    </b:Author>
    <b:Title>Teacher Technology Change: How Knowledge, Confidence, Beliefs, and Culture Intersect</b:Title>
    <b:Year>2010</b:Year>
    <b:Pages>pp.255-284</b:Pages>
    <b:RefOrder>30</b:RefOrder>
  </b:Source>
  <b:Source>
    <b:Tag>Cap17</b:Tag>
    <b:SourceType>JournalArticle</b:SourceType>
    <b:Guid>{29AA9FF6-73FB-4669-A946-C93985C04857}</b:Guid>
    <b:Author>
      <b:Author>
        <b:NameList>
          <b:Person>
            <b:Last>Capatina</b:Last>
            <b:First>Alexandru</b:First>
          </b:Person>
          <b:Person>
            <b:Last>Bleoju</b:Last>
            <b:First>Gianita</b:First>
          </b:Person>
          <b:Person>
            <b:Last>Matos</b:Last>
            <b:First>Florinda</b:First>
          </b:Person>
          <b:Person>
            <b:Last>Vairinhos</b:Last>
            <b:First>Valter</b:First>
          </b:Person>
        </b:NameList>
      </b:Author>
    </b:Author>
    <b:Title>Leveraging intellectual capital through Lewin's Force Field Analysis: The case of software development companies</b:Title>
    <b:Year>2017</b:Year>
    <b:Pages>pp.125-133</b:Pages>
    <b:RefOrder>31</b:RefOrder>
  </b:Source>
  <b:Source>
    <b:Tag>Tho</b:Tag>
    <b:SourceType>Book</b:SourceType>
    <b:Guid>{59D8E29D-7475-467D-8B26-770E7C8B379C}</b:Guid>
    <b:Title>Organization Development &amp; Change</b:Title>
    <b:Publisher>CENGAGE learning</b:Publisher>
    <b:Author>
      <b:Author>
        <b:NameList>
          <b:Person>
            <b:Last>Cummings</b:Last>
            <b:First>Thomas</b:First>
            <b:Middle>G.</b:Middle>
          </b:Person>
          <b:Person>
            <b:Last>Worley</b:Last>
            <b:First>Christopher</b:First>
            <b:Middle>G.</b:Middle>
          </b:Person>
        </b:NameList>
      </b:Author>
    </b:Author>
    <b:RefOrder>32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029286-8E90-4420-9D67-C65277528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4454</Words>
  <Characters>25388</Characters>
  <Application>Microsoft Office Word</Application>
  <DocSecurity>0</DocSecurity>
  <Lines>211</Lines>
  <Paragraphs>59</Paragraphs>
  <ScaleCrop>false</ScaleCrop>
  <Company>UNIVERSITY OF WALES TRINITY SAINT DAVID</Company>
  <LinksUpToDate>false</LinksUpToDate>
  <CharactersWithSpaces>29783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organisational change requires careful implimentation</dc:title>
  <dc:subject>Deep dive into changes in IVS</dc:subject>
  <dc:creator>Owen Rogers</dc:creator>
  <cp:keywords/>
  <dc:description/>
  <cp:lastModifiedBy>Owen Rogers</cp:lastModifiedBy>
  <cp:revision>4</cp:revision>
  <dcterms:created xsi:type="dcterms:W3CDTF">2026-04-26T14:11:00Z</dcterms:created>
  <dcterms:modified xsi:type="dcterms:W3CDTF">2026-04-26T14:15:00Z</dcterms:modified>
</cp:coreProperties>
</file>