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984683587"/>
        <w:docPartObj>
          <w:docPartGallery w:val="Cover Pages"/>
          <w:docPartUnique/>
        </w:docPartObj>
      </w:sdtPr>
      <w:sdtEndPr>
        <w:rPr>
          <w:color w:val="auto"/>
        </w:rPr>
      </w:sdtEndPr>
      <w:sdtContent>
        <w:p w:rsidR="007D1D9D" w:rsidRDefault="007D1D9D" w:rsidP="007D1D9D">
          <w:r>
            <w:rPr>
              <w:noProof/>
            </w:rPr>
            <w:drawing>
              <wp:anchor distT="0" distB="0" distL="114300" distR="114300" simplePos="0" relativeHeight="251659264" behindDoc="0" locked="0" layoutInCell="1" allowOverlap="1" wp14:anchorId="57227BBC" wp14:editId="60F1C279">
                <wp:simplePos x="0" y="0"/>
                <wp:positionH relativeFrom="column">
                  <wp:posOffset>0</wp:posOffset>
                </wp:positionH>
                <wp:positionV relativeFrom="paragraph">
                  <wp:posOffset>0</wp:posOffset>
                </wp:positionV>
                <wp:extent cx="2143424" cy="1028844"/>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F88AA.tmp"/>
                        <pic:cNvPicPr/>
                      </pic:nvPicPr>
                      <pic:blipFill>
                        <a:blip r:embed="rId7">
                          <a:extLst>
                            <a:ext uri="{28A0092B-C50C-407E-A947-70E740481C1C}">
                              <a14:useLocalDpi xmlns:a14="http://schemas.microsoft.com/office/drawing/2010/main" val="0"/>
                            </a:ext>
                          </a:extLst>
                        </a:blip>
                        <a:stretch>
                          <a:fillRect/>
                        </a:stretch>
                      </pic:blipFill>
                      <pic:spPr>
                        <a:xfrm>
                          <a:off x="0" y="0"/>
                          <a:ext cx="2143424" cy="1028844"/>
                        </a:xfrm>
                        <a:prstGeom prst="rect">
                          <a:avLst/>
                        </a:prstGeom>
                      </pic:spPr>
                    </pic:pic>
                  </a:graphicData>
                </a:graphic>
              </wp:anchor>
            </w:drawing>
          </w:r>
        </w:p>
        <w:p w:rsidR="007D1D9D" w:rsidRDefault="007D1D9D" w:rsidP="007D1D9D"/>
        <w:p w:rsidR="007D1D9D" w:rsidRDefault="007D1D9D" w:rsidP="007D1D9D"/>
        <w:p w:rsidR="007D1D9D" w:rsidRDefault="007D1D9D" w:rsidP="007D1D9D">
          <w:r w:rsidRPr="000E7B8C">
            <w:t xml:space="preserve">Programme: Master of Business Administration </w:t>
          </w:r>
        </w:p>
        <w:p w:rsidR="007D1D9D" w:rsidRDefault="007D1D9D" w:rsidP="007D1D9D">
          <w:r w:rsidRPr="000E7B8C">
            <w:t xml:space="preserve">Module: </w:t>
          </w:r>
          <w:r>
            <w:t>Strategic Management</w:t>
          </w:r>
        </w:p>
        <w:p w:rsidR="007D1D9D" w:rsidRDefault="007D1D9D" w:rsidP="007D1D9D">
          <w:r w:rsidRPr="000E7B8C">
            <w:t xml:space="preserve">Module code: </w:t>
          </w:r>
          <w:r>
            <w:t>LCMB7003</w:t>
          </w:r>
        </w:p>
        <w:p w:rsidR="007D1D9D" w:rsidRPr="00305BC9" w:rsidRDefault="007D1D9D" w:rsidP="007D1D9D">
          <w:r w:rsidRPr="00305BC9">
            <w:t xml:space="preserve">Lecturer: </w:t>
          </w:r>
          <w:r>
            <w:t>Amare Desta</w:t>
          </w:r>
        </w:p>
        <w:p w:rsidR="007D1D9D" w:rsidRDefault="007D1D9D" w:rsidP="007D1D9D">
          <w:r>
            <w:t>Student Name:</w:t>
          </w:r>
          <w:r w:rsidRPr="000E7B8C">
            <w:t xml:space="preserve"> Luthfa Siddika</w:t>
          </w:r>
        </w:p>
        <w:p w:rsidR="007D1D9D" w:rsidRDefault="007D1D9D" w:rsidP="007D1D9D">
          <w:r>
            <w:t>Student ID:</w:t>
          </w:r>
          <w:r w:rsidRPr="00305BC9">
            <w:t xml:space="preserve"> 2434989</w:t>
          </w:r>
        </w:p>
        <w:p w:rsidR="007D1D9D" w:rsidRPr="000E7B8C" w:rsidRDefault="007D1D9D" w:rsidP="007D1D9D">
          <w:r>
            <w:t>Word count: 5400</w:t>
          </w:r>
        </w:p>
        <w:p w:rsidR="007D1D9D" w:rsidRDefault="007D1D9D">
          <w:pPr>
            <w:pStyle w:val="NoSpacing"/>
            <w:spacing w:before="1540" w:after="240"/>
            <w:jc w:val="center"/>
            <w:rPr>
              <w:color w:val="5B9BD5" w:themeColor="accent1"/>
            </w:rPr>
          </w:pPr>
        </w:p>
        <w:p w:rsidR="007D1D9D" w:rsidRDefault="007D1D9D">
          <w:pPr>
            <w:pStyle w:val="NoSpacing"/>
            <w:spacing w:before="480"/>
            <w:jc w:val="center"/>
            <w:rPr>
              <w:color w:val="5B9BD5" w:themeColor="accent1"/>
            </w:rPr>
          </w:pPr>
        </w:p>
        <w:p w:rsidR="007D1D9D" w:rsidRDefault="007D1D9D">
          <w:pPr>
            <w:spacing w:line="259" w:lineRule="auto"/>
            <w:jc w:val="left"/>
            <w:rPr>
              <w:rFonts w:eastAsiaTheme="majorEastAsia" w:cstheme="majorBidi"/>
              <w:b/>
              <w:sz w:val="32"/>
              <w:szCs w:val="32"/>
            </w:rPr>
          </w:pPr>
          <w:r>
            <w:br w:type="page"/>
          </w:r>
        </w:p>
      </w:sdtContent>
    </w:sdt>
    <w:sdt>
      <w:sdtPr>
        <w:id w:val="1434169747"/>
        <w:docPartObj>
          <w:docPartGallery w:val="Table of Contents"/>
          <w:docPartUnique/>
        </w:docPartObj>
      </w:sdtPr>
      <w:sdtEndPr>
        <w:rPr>
          <w:rFonts w:ascii="Arial" w:eastAsiaTheme="minorHAnsi" w:hAnsi="Arial" w:cstheme="minorBidi"/>
          <w:b/>
          <w:bCs/>
          <w:noProof/>
          <w:color w:val="auto"/>
          <w:sz w:val="24"/>
          <w:szCs w:val="22"/>
        </w:rPr>
      </w:sdtEndPr>
      <w:sdtContent>
        <w:p w:rsidR="007D1D9D" w:rsidRDefault="007D1D9D">
          <w:pPr>
            <w:pStyle w:val="TOCHeading"/>
          </w:pPr>
          <w:r>
            <w:t>Table of Contents</w:t>
          </w:r>
        </w:p>
        <w:p w:rsidR="007D1D9D" w:rsidRDefault="007D1D9D">
          <w:pPr>
            <w:pStyle w:val="TOC1"/>
            <w:tabs>
              <w:tab w:val="right" w:leader="dot" w:pos="9350"/>
            </w:tabs>
            <w:rPr>
              <w:noProof/>
            </w:rPr>
          </w:pPr>
          <w:r>
            <w:fldChar w:fldCharType="begin"/>
          </w:r>
          <w:r>
            <w:instrText xml:space="preserve"> TOC \o "1-3" \h \z \u </w:instrText>
          </w:r>
          <w:r>
            <w:fldChar w:fldCharType="separate"/>
          </w:r>
          <w:hyperlink w:anchor="_Toc216179963" w:history="1">
            <w:r w:rsidRPr="006D697F">
              <w:rPr>
                <w:rStyle w:val="Hyperlink"/>
                <w:noProof/>
              </w:rPr>
              <w:t>Introduction</w:t>
            </w:r>
            <w:r>
              <w:rPr>
                <w:noProof/>
                <w:webHidden/>
              </w:rPr>
              <w:tab/>
            </w:r>
            <w:r>
              <w:rPr>
                <w:noProof/>
                <w:webHidden/>
              </w:rPr>
              <w:fldChar w:fldCharType="begin"/>
            </w:r>
            <w:r>
              <w:rPr>
                <w:noProof/>
                <w:webHidden/>
              </w:rPr>
              <w:instrText xml:space="preserve"> PAGEREF _Toc216179963 \h </w:instrText>
            </w:r>
            <w:r>
              <w:rPr>
                <w:noProof/>
                <w:webHidden/>
              </w:rPr>
            </w:r>
            <w:r>
              <w:rPr>
                <w:noProof/>
                <w:webHidden/>
              </w:rPr>
              <w:fldChar w:fldCharType="separate"/>
            </w:r>
            <w:r>
              <w:rPr>
                <w:noProof/>
                <w:webHidden/>
              </w:rPr>
              <w:t>2</w:t>
            </w:r>
            <w:r>
              <w:rPr>
                <w:noProof/>
                <w:webHidden/>
              </w:rPr>
              <w:fldChar w:fldCharType="end"/>
            </w:r>
          </w:hyperlink>
        </w:p>
        <w:p w:rsidR="007D1D9D" w:rsidRDefault="007D1D9D">
          <w:pPr>
            <w:pStyle w:val="TOC1"/>
            <w:tabs>
              <w:tab w:val="right" w:leader="dot" w:pos="9350"/>
            </w:tabs>
            <w:rPr>
              <w:noProof/>
            </w:rPr>
          </w:pPr>
          <w:hyperlink w:anchor="_Toc216179964" w:history="1">
            <w:r w:rsidRPr="006D697F">
              <w:rPr>
                <w:rStyle w:val="Hyperlink"/>
                <w:noProof/>
              </w:rPr>
              <w:t>2. Selection of Organisation and Target Market</w:t>
            </w:r>
            <w:r>
              <w:rPr>
                <w:noProof/>
                <w:webHidden/>
              </w:rPr>
              <w:tab/>
            </w:r>
            <w:r>
              <w:rPr>
                <w:noProof/>
                <w:webHidden/>
              </w:rPr>
              <w:fldChar w:fldCharType="begin"/>
            </w:r>
            <w:r>
              <w:rPr>
                <w:noProof/>
                <w:webHidden/>
              </w:rPr>
              <w:instrText xml:space="preserve"> PAGEREF _Toc216179964 \h </w:instrText>
            </w:r>
            <w:r>
              <w:rPr>
                <w:noProof/>
                <w:webHidden/>
              </w:rPr>
            </w:r>
            <w:r>
              <w:rPr>
                <w:noProof/>
                <w:webHidden/>
              </w:rPr>
              <w:fldChar w:fldCharType="separate"/>
            </w:r>
            <w:r>
              <w:rPr>
                <w:noProof/>
                <w:webHidden/>
              </w:rPr>
              <w:t>3</w:t>
            </w:r>
            <w:r>
              <w:rPr>
                <w:noProof/>
                <w:webHidden/>
              </w:rPr>
              <w:fldChar w:fldCharType="end"/>
            </w:r>
          </w:hyperlink>
        </w:p>
        <w:p w:rsidR="007D1D9D" w:rsidRDefault="007D1D9D">
          <w:pPr>
            <w:pStyle w:val="TOC2"/>
            <w:tabs>
              <w:tab w:val="right" w:leader="dot" w:pos="9350"/>
            </w:tabs>
            <w:rPr>
              <w:noProof/>
            </w:rPr>
          </w:pPr>
          <w:hyperlink w:anchor="_Toc216179965" w:history="1">
            <w:r w:rsidRPr="006D697F">
              <w:rPr>
                <w:rStyle w:val="Hyperlink"/>
                <w:noProof/>
              </w:rPr>
              <w:t>2.1 Rationale for Selecting Procter &amp; Gamble</w:t>
            </w:r>
            <w:r>
              <w:rPr>
                <w:noProof/>
                <w:webHidden/>
              </w:rPr>
              <w:tab/>
            </w:r>
            <w:r>
              <w:rPr>
                <w:noProof/>
                <w:webHidden/>
              </w:rPr>
              <w:fldChar w:fldCharType="begin"/>
            </w:r>
            <w:r>
              <w:rPr>
                <w:noProof/>
                <w:webHidden/>
              </w:rPr>
              <w:instrText xml:space="preserve"> PAGEREF _Toc216179965 \h </w:instrText>
            </w:r>
            <w:r>
              <w:rPr>
                <w:noProof/>
                <w:webHidden/>
              </w:rPr>
            </w:r>
            <w:r>
              <w:rPr>
                <w:noProof/>
                <w:webHidden/>
              </w:rPr>
              <w:fldChar w:fldCharType="separate"/>
            </w:r>
            <w:r>
              <w:rPr>
                <w:noProof/>
                <w:webHidden/>
              </w:rPr>
              <w:t>3</w:t>
            </w:r>
            <w:r>
              <w:rPr>
                <w:noProof/>
                <w:webHidden/>
              </w:rPr>
              <w:fldChar w:fldCharType="end"/>
            </w:r>
          </w:hyperlink>
        </w:p>
        <w:p w:rsidR="007D1D9D" w:rsidRDefault="007D1D9D">
          <w:pPr>
            <w:pStyle w:val="TOC2"/>
            <w:tabs>
              <w:tab w:val="right" w:leader="dot" w:pos="9350"/>
            </w:tabs>
            <w:rPr>
              <w:noProof/>
            </w:rPr>
          </w:pPr>
          <w:hyperlink w:anchor="_Toc216179966" w:history="1">
            <w:r w:rsidRPr="006D697F">
              <w:rPr>
                <w:rStyle w:val="Hyperlink"/>
                <w:noProof/>
              </w:rPr>
              <w:t>2.2 Justification in Choosing Vietnam as the Target Market</w:t>
            </w:r>
            <w:r>
              <w:rPr>
                <w:noProof/>
                <w:webHidden/>
              </w:rPr>
              <w:tab/>
            </w:r>
            <w:r>
              <w:rPr>
                <w:noProof/>
                <w:webHidden/>
              </w:rPr>
              <w:fldChar w:fldCharType="begin"/>
            </w:r>
            <w:r>
              <w:rPr>
                <w:noProof/>
                <w:webHidden/>
              </w:rPr>
              <w:instrText xml:space="preserve"> PAGEREF _Toc216179966 \h </w:instrText>
            </w:r>
            <w:r>
              <w:rPr>
                <w:noProof/>
                <w:webHidden/>
              </w:rPr>
            </w:r>
            <w:r>
              <w:rPr>
                <w:noProof/>
                <w:webHidden/>
              </w:rPr>
              <w:fldChar w:fldCharType="separate"/>
            </w:r>
            <w:r>
              <w:rPr>
                <w:noProof/>
                <w:webHidden/>
              </w:rPr>
              <w:t>4</w:t>
            </w:r>
            <w:r>
              <w:rPr>
                <w:noProof/>
                <w:webHidden/>
              </w:rPr>
              <w:fldChar w:fldCharType="end"/>
            </w:r>
          </w:hyperlink>
        </w:p>
        <w:p w:rsidR="007D1D9D" w:rsidRDefault="007D1D9D">
          <w:pPr>
            <w:pStyle w:val="TOC1"/>
            <w:tabs>
              <w:tab w:val="right" w:leader="dot" w:pos="9350"/>
            </w:tabs>
            <w:rPr>
              <w:noProof/>
            </w:rPr>
          </w:pPr>
          <w:hyperlink w:anchor="_Toc216179967" w:history="1">
            <w:r w:rsidRPr="006D697F">
              <w:rPr>
                <w:rStyle w:val="Hyperlink"/>
                <w:noProof/>
              </w:rPr>
              <w:t>3. Comprehensive Strategic Analysis</w:t>
            </w:r>
            <w:r>
              <w:rPr>
                <w:noProof/>
                <w:webHidden/>
              </w:rPr>
              <w:tab/>
            </w:r>
            <w:r>
              <w:rPr>
                <w:noProof/>
                <w:webHidden/>
              </w:rPr>
              <w:fldChar w:fldCharType="begin"/>
            </w:r>
            <w:r>
              <w:rPr>
                <w:noProof/>
                <w:webHidden/>
              </w:rPr>
              <w:instrText xml:space="preserve"> PAGEREF _Toc216179967 \h </w:instrText>
            </w:r>
            <w:r>
              <w:rPr>
                <w:noProof/>
                <w:webHidden/>
              </w:rPr>
            </w:r>
            <w:r>
              <w:rPr>
                <w:noProof/>
                <w:webHidden/>
              </w:rPr>
              <w:fldChar w:fldCharType="separate"/>
            </w:r>
            <w:r>
              <w:rPr>
                <w:noProof/>
                <w:webHidden/>
              </w:rPr>
              <w:t>4</w:t>
            </w:r>
            <w:r>
              <w:rPr>
                <w:noProof/>
                <w:webHidden/>
              </w:rPr>
              <w:fldChar w:fldCharType="end"/>
            </w:r>
          </w:hyperlink>
        </w:p>
        <w:p w:rsidR="007D1D9D" w:rsidRDefault="007D1D9D">
          <w:pPr>
            <w:pStyle w:val="TOC2"/>
            <w:tabs>
              <w:tab w:val="right" w:leader="dot" w:pos="9350"/>
            </w:tabs>
            <w:rPr>
              <w:noProof/>
            </w:rPr>
          </w:pPr>
          <w:hyperlink w:anchor="_Toc216179968" w:history="1">
            <w:r w:rsidRPr="006D697F">
              <w:rPr>
                <w:rStyle w:val="Hyperlink"/>
                <w:noProof/>
              </w:rPr>
              <w:t>3.1 PESTEL Analysis</w:t>
            </w:r>
            <w:r>
              <w:rPr>
                <w:noProof/>
                <w:webHidden/>
              </w:rPr>
              <w:tab/>
            </w:r>
            <w:r>
              <w:rPr>
                <w:noProof/>
                <w:webHidden/>
              </w:rPr>
              <w:fldChar w:fldCharType="begin"/>
            </w:r>
            <w:r>
              <w:rPr>
                <w:noProof/>
                <w:webHidden/>
              </w:rPr>
              <w:instrText xml:space="preserve"> PAGEREF _Toc216179968 \h </w:instrText>
            </w:r>
            <w:r>
              <w:rPr>
                <w:noProof/>
                <w:webHidden/>
              </w:rPr>
            </w:r>
            <w:r>
              <w:rPr>
                <w:noProof/>
                <w:webHidden/>
              </w:rPr>
              <w:fldChar w:fldCharType="separate"/>
            </w:r>
            <w:r>
              <w:rPr>
                <w:noProof/>
                <w:webHidden/>
              </w:rPr>
              <w:t>5</w:t>
            </w:r>
            <w:r>
              <w:rPr>
                <w:noProof/>
                <w:webHidden/>
              </w:rPr>
              <w:fldChar w:fldCharType="end"/>
            </w:r>
          </w:hyperlink>
        </w:p>
        <w:p w:rsidR="007D1D9D" w:rsidRDefault="007D1D9D">
          <w:pPr>
            <w:pStyle w:val="TOC2"/>
            <w:tabs>
              <w:tab w:val="right" w:leader="dot" w:pos="9350"/>
            </w:tabs>
            <w:rPr>
              <w:noProof/>
            </w:rPr>
          </w:pPr>
          <w:hyperlink w:anchor="_Toc216179969" w:history="1">
            <w:r w:rsidRPr="006D697F">
              <w:rPr>
                <w:rStyle w:val="Hyperlink"/>
                <w:noProof/>
              </w:rPr>
              <w:t>3.2 Porter’s Five Forces Analysis</w:t>
            </w:r>
            <w:r>
              <w:rPr>
                <w:noProof/>
                <w:webHidden/>
              </w:rPr>
              <w:tab/>
            </w:r>
            <w:r>
              <w:rPr>
                <w:noProof/>
                <w:webHidden/>
              </w:rPr>
              <w:fldChar w:fldCharType="begin"/>
            </w:r>
            <w:r>
              <w:rPr>
                <w:noProof/>
                <w:webHidden/>
              </w:rPr>
              <w:instrText xml:space="preserve"> PAGEREF _Toc216179969 \h </w:instrText>
            </w:r>
            <w:r>
              <w:rPr>
                <w:noProof/>
                <w:webHidden/>
              </w:rPr>
            </w:r>
            <w:r>
              <w:rPr>
                <w:noProof/>
                <w:webHidden/>
              </w:rPr>
              <w:fldChar w:fldCharType="separate"/>
            </w:r>
            <w:r>
              <w:rPr>
                <w:noProof/>
                <w:webHidden/>
              </w:rPr>
              <w:t>6</w:t>
            </w:r>
            <w:r>
              <w:rPr>
                <w:noProof/>
                <w:webHidden/>
              </w:rPr>
              <w:fldChar w:fldCharType="end"/>
            </w:r>
          </w:hyperlink>
        </w:p>
        <w:p w:rsidR="007D1D9D" w:rsidRDefault="007D1D9D">
          <w:pPr>
            <w:pStyle w:val="TOC2"/>
            <w:tabs>
              <w:tab w:val="right" w:leader="dot" w:pos="9350"/>
            </w:tabs>
            <w:rPr>
              <w:noProof/>
            </w:rPr>
          </w:pPr>
          <w:hyperlink w:anchor="_Toc216179970" w:history="1">
            <w:r w:rsidRPr="006D697F">
              <w:rPr>
                <w:rStyle w:val="Hyperlink"/>
                <w:noProof/>
              </w:rPr>
              <w:t>3.4 SWOT Analysis</w:t>
            </w:r>
            <w:r>
              <w:rPr>
                <w:noProof/>
                <w:webHidden/>
              </w:rPr>
              <w:tab/>
            </w:r>
            <w:r>
              <w:rPr>
                <w:noProof/>
                <w:webHidden/>
              </w:rPr>
              <w:fldChar w:fldCharType="begin"/>
            </w:r>
            <w:r>
              <w:rPr>
                <w:noProof/>
                <w:webHidden/>
              </w:rPr>
              <w:instrText xml:space="preserve"> PAGEREF _Toc216179970 \h </w:instrText>
            </w:r>
            <w:r>
              <w:rPr>
                <w:noProof/>
                <w:webHidden/>
              </w:rPr>
            </w:r>
            <w:r>
              <w:rPr>
                <w:noProof/>
                <w:webHidden/>
              </w:rPr>
              <w:fldChar w:fldCharType="separate"/>
            </w:r>
            <w:r>
              <w:rPr>
                <w:noProof/>
                <w:webHidden/>
              </w:rPr>
              <w:t>9</w:t>
            </w:r>
            <w:r>
              <w:rPr>
                <w:noProof/>
                <w:webHidden/>
              </w:rPr>
              <w:fldChar w:fldCharType="end"/>
            </w:r>
          </w:hyperlink>
        </w:p>
        <w:p w:rsidR="007D1D9D" w:rsidRDefault="007D1D9D">
          <w:pPr>
            <w:pStyle w:val="TOC1"/>
            <w:tabs>
              <w:tab w:val="right" w:leader="dot" w:pos="9350"/>
            </w:tabs>
            <w:rPr>
              <w:noProof/>
            </w:rPr>
          </w:pPr>
          <w:hyperlink w:anchor="_Toc216179971" w:history="1">
            <w:r w:rsidRPr="006D697F">
              <w:rPr>
                <w:rStyle w:val="Hyperlink"/>
                <w:noProof/>
              </w:rPr>
              <w:t>4. Strategy Development and Formulation</w:t>
            </w:r>
            <w:r>
              <w:rPr>
                <w:noProof/>
                <w:webHidden/>
              </w:rPr>
              <w:tab/>
            </w:r>
            <w:r>
              <w:rPr>
                <w:noProof/>
                <w:webHidden/>
              </w:rPr>
              <w:fldChar w:fldCharType="begin"/>
            </w:r>
            <w:r>
              <w:rPr>
                <w:noProof/>
                <w:webHidden/>
              </w:rPr>
              <w:instrText xml:space="preserve"> PAGEREF _Toc216179971 \h </w:instrText>
            </w:r>
            <w:r>
              <w:rPr>
                <w:noProof/>
                <w:webHidden/>
              </w:rPr>
            </w:r>
            <w:r>
              <w:rPr>
                <w:noProof/>
                <w:webHidden/>
              </w:rPr>
              <w:fldChar w:fldCharType="separate"/>
            </w:r>
            <w:r>
              <w:rPr>
                <w:noProof/>
                <w:webHidden/>
              </w:rPr>
              <w:t>10</w:t>
            </w:r>
            <w:r>
              <w:rPr>
                <w:noProof/>
                <w:webHidden/>
              </w:rPr>
              <w:fldChar w:fldCharType="end"/>
            </w:r>
          </w:hyperlink>
        </w:p>
        <w:p w:rsidR="007D1D9D" w:rsidRDefault="007D1D9D">
          <w:pPr>
            <w:pStyle w:val="TOC2"/>
            <w:tabs>
              <w:tab w:val="right" w:leader="dot" w:pos="9350"/>
            </w:tabs>
            <w:rPr>
              <w:noProof/>
            </w:rPr>
          </w:pPr>
          <w:hyperlink w:anchor="_Toc216179972" w:history="1">
            <w:r w:rsidRPr="006D697F">
              <w:rPr>
                <w:rStyle w:val="Hyperlink"/>
                <w:noProof/>
              </w:rPr>
              <w:t>4.1 Strategic Objective</w:t>
            </w:r>
            <w:r>
              <w:rPr>
                <w:noProof/>
                <w:webHidden/>
              </w:rPr>
              <w:tab/>
            </w:r>
            <w:r>
              <w:rPr>
                <w:noProof/>
                <w:webHidden/>
              </w:rPr>
              <w:fldChar w:fldCharType="begin"/>
            </w:r>
            <w:r>
              <w:rPr>
                <w:noProof/>
                <w:webHidden/>
              </w:rPr>
              <w:instrText xml:space="preserve"> PAGEREF _Toc216179972 \h </w:instrText>
            </w:r>
            <w:r>
              <w:rPr>
                <w:noProof/>
                <w:webHidden/>
              </w:rPr>
            </w:r>
            <w:r>
              <w:rPr>
                <w:noProof/>
                <w:webHidden/>
              </w:rPr>
              <w:fldChar w:fldCharType="separate"/>
            </w:r>
            <w:r>
              <w:rPr>
                <w:noProof/>
                <w:webHidden/>
              </w:rPr>
              <w:t>10</w:t>
            </w:r>
            <w:r>
              <w:rPr>
                <w:noProof/>
                <w:webHidden/>
              </w:rPr>
              <w:fldChar w:fldCharType="end"/>
            </w:r>
          </w:hyperlink>
        </w:p>
        <w:p w:rsidR="007D1D9D" w:rsidRDefault="007D1D9D">
          <w:pPr>
            <w:pStyle w:val="TOC2"/>
            <w:tabs>
              <w:tab w:val="right" w:leader="dot" w:pos="9350"/>
            </w:tabs>
            <w:rPr>
              <w:noProof/>
            </w:rPr>
          </w:pPr>
          <w:hyperlink w:anchor="_Toc216179973" w:history="1">
            <w:r w:rsidRPr="006D697F">
              <w:rPr>
                <w:rStyle w:val="Hyperlink"/>
                <w:noProof/>
              </w:rPr>
              <w:t>4.2 Market Entry Mode Strategy</w:t>
            </w:r>
            <w:r>
              <w:rPr>
                <w:noProof/>
                <w:webHidden/>
              </w:rPr>
              <w:tab/>
            </w:r>
            <w:r>
              <w:rPr>
                <w:noProof/>
                <w:webHidden/>
              </w:rPr>
              <w:fldChar w:fldCharType="begin"/>
            </w:r>
            <w:r>
              <w:rPr>
                <w:noProof/>
                <w:webHidden/>
              </w:rPr>
              <w:instrText xml:space="preserve"> PAGEREF _Toc216179973 \h </w:instrText>
            </w:r>
            <w:r>
              <w:rPr>
                <w:noProof/>
                <w:webHidden/>
              </w:rPr>
            </w:r>
            <w:r>
              <w:rPr>
                <w:noProof/>
                <w:webHidden/>
              </w:rPr>
              <w:fldChar w:fldCharType="separate"/>
            </w:r>
            <w:r>
              <w:rPr>
                <w:noProof/>
                <w:webHidden/>
              </w:rPr>
              <w:t>11</w:t>
            </w:r>
            <w:r>
              <w:rPr>
                <w:noProof/>
                <w:webHidden/>
              </w:rPr>
              <w:fldChar w:fldCharType="end"/>
            </w:r>
          </w:hyperlink>
        </w:p>
        <w:p w:rsidR="007D1D9D" w:rsidRDefault="007D1D9D">
          <w:pPr>
            <w:pStyle w:val="TOC2"/>
            <w:tabs>
              <w:tab w:val="right" w:leader="dot" w:pos="9350"/>
            </w:tabs>
            <w:rPr>
              <w:noProof/>
            </w:rPr>
          </w:pPr>
          <w:hyperlink w:anchor="_Toc216179974" w:history="1">
            <w:r w:rsidRPr="006D697F">
              <w:rPr>
                <w:rStyle w:val="Hyperlink"/>
                <w:noProof/>
              </w:rPr>
              <w:t>4.3 Application of Dunning’s OLI Paradigm</w:t>
            </w:r>
            <w:r>
              <w:rPr>
                <w:noProof/>
                <w:webHidden/>
              </w:rPr>
              <w:tab/>
            </w:r>
            <w:r>
              <w:rPr>
                <w:noProof/>
                <w:webHidden/>
              </w:rPr>
              <w:fldChar w:fldCharType="begin"/>
            </w:r>
            <w:r>
              <w:rPr>
                <w:noProof/>
                <w:webHidden/>
              </w:rPr>
              <w:instrText xml:space="preserve"> PAGEREF _Toc216179974 \h </w:instrText>
            </w:r>
            <w:r>
              <w:rPr>
                <w:noProof/>
                <w:webHidden/>
              </w:rPr>
            </w:r>
            <w:r>
              <w:rPr>
                <w:noProof/>
                <w:webHidden/>
              </w:rPr>
              <w:fldChar w:fldCharType="separate"/>
            </w:r>
            <w:r>
              <w:rPr>
                <w:noProof/>
                <w:webHidden/>
              </w:rPr>
              <w:t>12</w:t>
            </w:r>
            <w:r>
              <w:rPr>
                <w:noProof/>
                <w:webHidden/>
              </w:rPr>
              <w:fldChar w:fldCharType="end"/>
            </w:r>
          </w:hyperlink>
        </w:p>
        <w:p w:rsidR="007D1D9D" w:rsidRDefault="007D1D9D">
          <w:pPr>
            <w:pStyle w:val="TOC2"/>
            <w:tabs>
              <w:tab w:val="right" w:leader="dot" w:pos="9350"/>
            </w:tabs>
            <w:rPr>
              <w:noProof/>
            </w:rPr>
          </w:pPr>
          <w:hyperlink w:anchor="_Toc216179975" w:history="1">
            <w:r w:rsidRPr="006D697F">
              <w:rPr>
                <w:rStyle w:val="Hyperlink"/>
                <w:noProof/>
              </w:rPr>
              <w:t>4.4 Alternative Entry Modes Considered</w:t>
            </w:r>
            <w:r>
              <w:rPr>
                <w:noProof/>
                <w:webHidden/>
              </w:rPr>
              <w:tab/>
            </w:r>
            <w:r>
              <w:rPr>
                <w:noProof/>
                <w:webHidden/>
              </w:rPr>
              <w:fldChar w:fldCharType="begin"/>
            </w:r>
            <w:r>
              <w:rPr>
                <w:noProof/>
                <w:webHidden/>
              </w:rPr>
              <w:instrText xml:space="preserve"> PAGEREF _Toc216179975 \h </w:instrText>
            </w:r>
            <w:r>
              <w:rPr>
                <w:noProof/>
                <w:webHidden/>
              </w:rPr>
            </w:r>
            <w:r>
              <w:rPr>
                <w:noProof/>
                <w:webHidden/>
              </w:rPr>
              <w:fldChar w:fldCharType="separate"/>
            </w:r>
            <w:r>
              <w:rPr>
                <w:noProof/>
                <w:webHidden/>
              </w:rPr>
              <w:t>13</w:t>
            </w:r>
            <w:r>
              <w:rPr>
                <w:noProof/>
                <w:webHidden/>
              </w:rPr>
              <w:fldChar w:fldCharType="end"/>
            </w:r>
          </w:hyperlink>
        </w:p>
        <w:p w:rsidR="007D1D9D" w:rsidRDefault="007D1D9D">
          <w:pPr>
            <w:pStyle w:val="TOC2"/>
            <w:tabs>
              <w:tab w:val="right" w:leader="dot" w:pos="9350"/>
            </w:tabs>
            <w:rPr>
              <w:noProof/>
            </w:rPr>
          </w:pPr>
          <w:hyperlink w:anchor="_Toc216179976" w:history="1">
            <w:r w:rsidRPr="006D697F">
              <w:rPr>
                <w:rStyle w:val="Hyperlink"/>
                <w:noProof/>
              </w:rPr>
              <w:t>4.5 Resource-Based View (RBV) and Competitive Advantage</w:t>
            </w:r>
            <w:r>
              <w:rPr>
                <w:noProof/>
                <w:webHidden/>
              </w:rPr>
              <w:tab/>
            </w:r>
            <w:r>
              <w:rPr>
                <w:noProof/>
                <w:webHidden/>
              </w:rPr>
              <w:fldChar w:fldCharType="begin"/>
            </w:r>
            <w:r>
              <w:rPr>
                <w:noProof/>
                <w:webHidden/>
              </w:rPr>
              <w:instrText xml:space="preserve"> PAGEREF _Toc216179976 \h </w:instrText>
            </w:r>
            <w:r>
              <w:rPr>
                <w:noProof/>
                <w:webHidden/>
              </w:rPr>
            </w:r>
            <w:r>
              <w:rPr>
                <w:noProof/>
                <w:webHidden/>
              </w:rPr>
              <w:fldChar w:fldCharType="separate"/>
            </w:r>
            <w:r>
              <w:rPr>
                <w:noProof/>
                <w:webHidden/>
              </w:rPr>
              <w:t>14</w:t>
            </w:r>
            <w:r>
              <w:rPr>
                <w:noProof/>
                <w:webHidden/>
              </w:rPr>
              <w:fldChar w:fldCharType="end"/>
            </w:r>
          </w:hyperlink>
        </w:p>
        <w:p w:rsidR="007D1D9D" w:rsidRDefault="007D1D9D">
          <w:pPr>
            <w:pStyle w:val="TOC2"/>
            <w:tabs>
              <w:tab w:val="right" w:leader="dot" w:pos="9350"/>
            </w:tabs>
            <w:rPr>
              <w:noProof/>
            </w:rPr>
          </w:pPr>
          <w:hyperlink w:anchor="_Toc216179977" w:history="1">
            <w:r w:rsidRPr="006D697F">
              <w:rPr>
                <w:rStyle w:val="Hyperlink"/>
                <w:noProof/>
              </w:rPr>
              <w:t>4.6 Competitive Strategy: Differentiation</w:t>
            </w:r>
            <w:r>
              <w:rPr>
                <w:noProof/>
                <w:webHidden/>
              </w:rPr>
              <w:tab/>
            </w:r>
            <w:r>
              <w:rPr>
                <w:noProof/>
                <w:webHidden/>
              </w:rPr>
              <w:fldChar w:fldCharType="begin"/>
            </w:r>
            <w:r>
              <w:rPr>
                <w:noProof/>
                <w:webHidden/>
              </w:rPr>
              <w:instrText xml:space="preserve"> PAGEREF _Toc216179977 \h </w:instrText>
            </w:r>
            <w:r>
              <w:rPr>
                <w:noProof/>
                <w:webHidden/>
              </w:rPr>
            </w:r>
            <w:r>
              <w:rPr>
                <w:noProof/>
                <w:webHidden/>
              </w:rPr>
              <w:fldChar w:fldCharType="separate"/>
            </w:r>
            <w:r>
              <w:rPr>
                <w:noProof/>
                <w:webHidden/>
              </w:rPr>
              <w:t>15</w:t>
            </w:r>
            <w:r>
              <w:rPr>
                <w:noProof/>
                <w:webHidden/>
              </w:rPr>
              <w:fldChar w:fldCharType="end"/>
            </w:r>
          </w:hyperlink>
        </w:p>
        <w:p w:rsidR="007D1D9D" w:rsidRDefault="007D1D9D">
          <w:pPr>
            <w:pStyle w:val="TOC2"/>
            <w:tabs>
              <w:tab w:val="right" w:leader="dot" w:pos="9350"/>
            </w:tabs>
            <w:rPr>
              <w:noProof/>
            </w:rPr>
          </w:pPr>
          <w:hyperlink w:anchor="_Toc216179978" w:history="1">
            <w:r w:rsidRPr="006D697F">
              <w:rPr>
                <w:rStyle w:val="Hyperlink"/>
                <w:noProof/>
              </w:rPr>
              <w:t>4.8 Implementation Strategy</w:t>
            </w:r>
            <w:r>
              <w:rPr>
                <w:noProof/>
                <w:webHidden/>
              </w:rPr>
              <w:tab/>
            </w:r>
            <w:r>
              <w:rPr>
                <w:noProof/>
                <w:webHidden/>
              </w:rPr>
              <w:fldChar w:fldCharType="begin"/>
            </w:r>
            <w:r>
              <w:rPr>
                <w:noProof/>
                <w:webHidden/>
              </w:rPr>
              <w:instrText xml:space="preserve"> PAGEREF _Toc216179978 \h </w:instrText>
            </w:r>
            <w:r>
              <w:rPr>
                <w:noProof/>
                <w:webHidden/>
              </w:rPr>
            </w:r>
            <w:r>
              <w:rPr>
                <w:noProof/>
                <w:webHidden/>
              </w:rPr>
              <w:fldChar w:fldCharType="separate"/>
            </w:r>
            <w:r>
              <w:rPr>
                <w:noProof/>
                <w:webHidden/>
              </w:rPr>
              <w:t>15</w:t>
            </w:r>
            <w:r>
              <w:rPr>
                <w:noProof/>
                <w:webHidden/>
              </w:rPr>
              <w:fldChar w:fldCharType="end"/>
            </w:r>
          </w:hyperlink>
        </w:p>
        <w:p w:rsidR="007D1D9D" w:rsidRDefault="007D1D9D">
          <w:pPr>
            <w:pStyle w:val="TOC1"/>
            <w:tabs>
              <w:tab w:val="right" w:leader="dot" w:pos="9350"/>
            </w:tabs>
            <w:rPr>
              <w:noProof/>
            </w:rPr>
          </w:pPr>
          <w:hyperlink w:anchor="_Toc216179979" w:history="1">
            <w:r w:rsidRPr="006D697F">
              <w:rPr>
                <w:rStyle w:val="Hyperlink"/>
                <w:noProof/>
              </w:rPr>
              <w:t>5. Performance Evaluation</w:t>
            </w:r>
            <w:r>
              <w:rPr>
                <w:noProof/>
                <w:webHidden/>
              </w:rPr>
              <w:tab/>
            </w:r>
            <w:r>
              <w:rPr>
                <w:noProof/>
                <w:webHidden/>
              </w:rPr>
              <w:fldChar w:fldCharType="begin"/>
            </w:r>
            <w:r>
              <w:rPr>
                <w:noProof/>
                <w:webHidden/>
              </w:rPr>
              <w:instrText xml:space="preserve"> PAGEREF _Toc216179979 \h </w:instrText>
            </w:r>
            <w:r>
              <w:rPr>
                <w:noProof/>
                <w:webHidden/>
              </w:rPr>
            </w:r>
            <w:r>
              <w:rPr>
                <w:noProof/>
                <w:webHidden/>
              </w:rPr>
              <w:fldChar w:fldCharType="separate"/>
            </w:r>
            <w:r>
              <w:rPr>
                <w:noProof/>
                <w:webHidden/>
              </w:rPr>
              <w:t>18</w:t>
            </w:r>
            <w:r>
              <w:rPr>
                <w:noProof/>
                <w:webHidden/>
              </w:rPr>
              <w:fldChar w:fldCharType="end"/>
            </w:r>
          </w:hyperlink>
        </w:p>
        <w:p w:rsidR="007D1D9D" w:rsidRDefault="007D1D9D">
          <w:pPr>
            <w:pStyle w:val="TOC1"/>
            <w:tabs>
              <w:tab w:val="right" w:leader="dot" w:pos="9350"/>
            </w:tabs>
            <w:rPr>
              <w:noProof/>
            </w:rPr>
          </w:pPr>
          <w:hyperlink w:anchor="_Toc216179980" w:history="1">
            <w:r w:rsidRPr="006D697F">
              <w:rPr>
                <w:rStyle w:val="Hyperlink"/>
                <w:noProof/>
              </w:rPr>
              <w:t>Conclusion</w:t>
            </w:r>
            <w:r>
              <w:rPr>
                <w:noProof/>
                <w:webHidden/>
              </w:rPr>
              <w:tab/>
            </w:r>
            <w:r>
              <w:rPr>
                <w:noProof/>
                <w:webHidden/>
              </w:rPr>
              <w:fldChar w:fldCharType="begin"/>
            </w:r>
            <w:r>
              <w:rPr>
                <w:noProof/>
                <w:webHidden/>
              </w:rPr>
              <w:instrText xml:space="preserve"> PAGEREF _Toc216179980 \h </w:instrText>
            </w:r>
            <w:r>
              <w:rPr>
                <w:noProof/>
                <w:webHidden/>
              </w:rPr>
            </w:r>
            <w:r>
              <w:rPr>
                <w:noProof/>
                <w:webHidden/>
              </w:rPr>
              <w:fldChar w:fldCharType="separate"/>
            </w:r>
            <w:r>
              <w:rPr>
                <w:noProof/>
                <w:webHidden/>
              </w:rPr>
              <w:t>22</w:t>
            </w:r>
            <w:r>
              <w:rPr>
                <w:noProof/>
                <w:webHidden/>
              </w:rPr>
              <w:fldChar w:fldCharType="end"/>
            </w:r>
          </w:hyperlink>
        </w:p>
        <w:p w:rsidR="007D1D9D" w:rsidRDefault="007D1D9D">
          <w:r>
            <w:rPr>
              <w:b/>
              <w:bCs/>
              <w:noProof/>
            </w:rPr>
            <w:fldChar w:fldCharType="end"/>
          </w:r>
        </w:p>
      </w:sdtContent>
    </w:sdt>
    <w:p w:rsidR="007D1D9D" w:rsidRDefault="007D1D9D" w:rsidP="007504AF">
      <w:pPr>
        <w:pStyle w:val="Heading1"/>
      </w:pPr>
    </w:p>
    <w:p w:rsidR="007D1D9D" w:rsidRDefault="007D1D9D" w:rsidP="007D1D9D">
      <w:pPr>
        <w:rPr>
          <w:rFonts w:eastAsiaTheme="majorEastAsia" w:cstheme="majorBidi"/>
          <w:sz w:val="32"/>
          <w:szCs w:val="32"/>
        </w:rPr>
      </w:pPr>
      <w:r>
        <w:br w:type="page"/>
      </w:r>
    </w:p>
    <w:p w:rsidR="007504AF" w:rsidRDefault="007504AF" w:rsidP="007504AF">
      <w:pPr>
        <w:pStyle w:val="Heading1"/>
      </w:pPr>
      <w:bookmarkStart w:id="0" w:name="_Toc216179963"/>
      <w:r>
        <w:lastRenderedPageBreak/>
        <w:t>Introduction</w:t>
      </w:r>
      <w:bookmarkEnd w:id="0"/>
    </w:p>
    <w:p w:rsidR="007504AF" w:rsidRPr="007504AF" w:rsidRDefault="007504AF" w:rsidP="007504AF">
      <w:r w:rsidRPr="007504AF">
        <w:t>The modern global business landscape is characterised by rapid change brought about by the forces of globalisation, technological change, vibrant market dynamics, as well as growing complexity of international business activities. It is multinational enterprises (MNEs) that have been forced to demonstrate strategic agility: the ability to analyse, adjust and recalibrate decisions within a short timeframe in this unstable environment. The strategic agility is necessary when recognising high-potential markets, envisioning changes and creating evidence-based expansion strategies that can provide a competitive edge.</w:t>
      </w:r>
    </w:p>
    <w:p w:rsidR="007504AF" w:rsidRPr="007504AF" w:rsidRDefault="007504AF" w:rsidP="007504AF">
      <w:r w:rsidRPr="007504AF">
        <w:t>The Procter and Gamble (P&amp;G) case study offers a good example within this context. Being among the largest and most diversified fast-moving consumer goods (FMCG) corporations in the world, P&amp;G has continually used analytical frameworks in running its internationalisation efforts. The organisation also has over 180 years of experience and a brand portfolio of globally trusted brands with a wide international presence, continually seeking opportunities to grow, especially in the emerging markets. The current report presents an elaborate plan of organisational expansion of P&amp;G to Vietnam, founded on sound strategic analysis and informed by managerial models presented in the scholarly literature.</w:t>
      </w:r>
    </w:p>
    <w:p w:rsidR="007504AF" w:rsidRPr="007504AF" w:rsidRDefault="007504AF" w:rsidP="007504AF">
      <w:r w:rsidRPr="007504AF">
        <w:t>Vietnam is chosen because of its robust economic trend, the favourable demographic outlook, the heightened modern retail network, and the upsurge in the demand for high-standard FMCG products. Also, the rise in urbanisation, the development of a large middle-income group, and the digitisation of consumer behaviour make Vietnam a market with high potential which can be fit into the strategic priorities of P&amp;G.</w:t>
      </w:r>
    </w:p>
    <w:p w:rsidR="007504AF" w:rsidRPr="007504AF" w:rsidRDefault="007504AF" w:rsidP="007504AF">
      <w:r w:rsidRPr="007504AF">
        <w:t>The report is divided into four big sections. To begin with, it shows the logic behind the choice of P&amp;G and Vietnam as the centre of the expansion. Second, it has a thorough strategic analysis of the macro-environment and competitive forces based o</w:t>
      </w:r>
      <w:r w:rsidR="006755E6">
        <w:t xml:space="preserve">n PESTEL, Porter's Five Forces </w:t>
      </w:r>
      <w:r w:rsidRPr="007504AF">
        <w:t xml:space="preserve">and SWOT. Third, it develops a market entry plan based on theoretical models like Dunning OLI, the Ansoff Matrix and the Resource-Based View (RBV). Lastly, it develops a performance review system based on the </w:t>
      </w:r>
      <w:r w:rsidR="006755E6">
        <w:t xml:space="preserve">Triple Bottom Line </w:t>
      </w:r>
      <w:r w:rsidRPr="007504AF">
        <w:t xml:space="preserve"> to measure progress and influence.</w:t>
      </w:r>
    </w:p>
    <w:p w:rsidR="007504AF" w:rsidRDefault="007504AF" w:rsidP="007504AF">
      <w:pPr>
        <w:pStyle w:val="Heading1"/>
      </w:pPr>
      <w:bookmarkStart w:id="1" w:name="_Toc216179964"/>
      <w:r w:rsidRPr="007504AF">
        <w:lastRenderedPageBreak/>
        <w:t>2. Selection of Organisation and Target Market</w:t>
      </w:r>
      <w:bookmarkEnd w:id="1"/>
    </w:p>
    <w:p w:rsidR="007504AF" w:rsidRDefault="007504AF" w:rsidP="007504AF">
      <w:pPr>
        <w:pStyle w:val="Heading2"/>
      </w:pPr>
      <w:bookmarkStart w:id="2" w:name="_Toc216179965"/>
      <w:r w:rsidRPr="007504AF">
        <w:t>2.1 Rationale for Selecting Procter &amp; Gamble</w:t>
      </w:r>
      <w:bookmarkEnd w:id="2"/>
    </w:p>
    <w:p w:rsidR="007504AF" w:rsidRPr="007504AF" w:rsidRDefault="007504AF" w:rsidP="007504AF">
      <w:r w:rsidRPr="007504AF">
        <w:t>The reason behind the choice of Procter and Gamble is that it is one of the largest companies, offering numerous advantages to be explored in an analytical paper.</w:t>
      </w:r>
      <w:r w:rsidR="006755E6">
        <w:t xml:space="preserve"> </w:t>
      </w:r>
      <w:r w:rsidRPr="007504AF">
        <w:t>Procter and Gamble is a multinational consumer goods company in America with its headquarters in Cincinnati, Ohio. The company produces differentiated varieties of products such as fabric care, home care, grooming, beauty, baby care, and family care. Having annual revenues over USD 80 billion and operating in over 70 countries, P&amp;G holds a leading position in the world of FMCG business</w:t>
      </w:r>
      <w:r w:rsidR="006755E6" w:rsidRPr="006755E6">
        <w:t xml:space="preserve"> (Procter &amp; Gamble, 2025)</w:t>
      </w:r>
      <w:r w:rsidRPr="007504AF">
        <w:t>. It is always listed in the list of the most valuable brands in the world, and it is commonly covered in scholarly literature because of its scale of operations, innovative promotional activities, and globalisation techniques.</w:t>
      </w:r>
    </w:p>
    <w:p w:rsidR="007504AF" w:rsidRPr="007504AF" w:rsidRDefault="007504AF" w:rsidP="007504AF">
      <w:r w:rsidRPr="007504AF">
        <w:t>There are a number of reasons why P&amp;G was chosen in this assignment. To begin with, P&amp;G has a wide range of publicly available data, such as annual reports, investor briefings, sustainability reports, and market analysis, which allows conducting a thorough secondary research. Second, its strategic focus on innovation, digital involvement, and sustainability can be applied in line with the theoretical perspectives of the international business modules</w:t>
      </w:r>
      <w:r w:rsidR="006755E6" w:rsidRPr="006755E6">
        <w:t xml:space="preserve"> (Procter &amp; Gamble, 2025)</w:t>
      </w:r>
      <w:r w:rsidRPr="007504AF">
        <w:t>. Third, its brand equity, supply chain capability, and portfolio structure allow it to explore expansion avenues into new geographic markets at will. Lastly, the continuous rivalry of P&amp;G with other companies like Unilever, Kimberly-Clark, and Colgate-Palmolive in the rising markets makes it a perfect case of strategic analysis.</w:t>
      </w:r>
    </w:p>
    <w:p w:rsidR="007504AF" w:rsidRPr="007504AF" w:rsidRDefault="007504AF" w:rsidP="007504AF">
      <w:r w:rsidRPr="007504AF">
        <w:t>The corporate philosophy of P&amp;G focuses on consumer insight and excellence in both operations and continuous improvement, which promotes organised global growth. The venture in a high-growth emerging economy such as Vietnam is within the long-term goal of P&amp;G to increase its presence in Asia, which is expected to be the source of most consumption growth in the world in the coming decade.</w:t>
      </w:r>
    </w:p>
    <w:p w:rsidR="007504AF" w:rsidRPr="007504AF" w:rsidRDefault="007504AF" w:rsidP="007504AF">
      <w:pPr>
        <w:pStyle w:val="Heading2"/>
      </w:pPr>
      <w:bookmarkStart w:id="3" w:name="_Toc216179966"/>
      <w:r w:rsidRPr="007504AF">
        <w:lastRenderedPageBreak/>
        <w:t>2.2 Justification in Choosi</w:t>
      </w:r>
      <w:r>
        <w:t>ng Vietnam as the Target Market</w:t>
      </w:r>
      <w:bookmarkEnd w:id="3"/>
    </w:p>
    <w:p w:rsidR="007504AF" w:rsidRPr="007504AF" w:rsidRDefault="007504AF" w:rsidP="007504AF">
      <w:r w:rsidRPr="007504AF">
        <w:t>Vietnam is a rapidly developing economy in Southeast Asia that is shifting to an upper-middle-income path, out of the lower-middle-income one. Vietnam has a population of about 100 million, growing disposable incomes, and a rapid urbanisation process, and this means that multinational FMCG companies have great commercial potential in the country</w:t>
      </w:r>
      <w:r w:rsidR="006755E6" w:rsidRPr="006755E6">
        <w:t xml:space="preserve"> (Paliwoda, Andrews and Chen, 2019)</w:t>
      </w:r>
      <w:r w:rsidRPr="007504AF">
        <w:t>. Vietnam has become an extremely attractive destination for FDI with the economic reforms of the program Đổi Mới, coupled with the entry into the global trade agreements, including CPTPP, EVFTA, and RCEP</w:t>
      </w:r>
      <w:r w:rsidR="006755E6" w:rsidRPr="006755E6">
        <w:t xml:space="preserve"> (amro-admin, 2021)</w:t>
      </w:r>
      <w:r w:rsidRPr="007504AF">
        <w:t>.</w:t>
      </w:r>
    </w:p>
    <w:p w:rsidR="007504AF" w:rsidRPr="007504AF" w:rsidRDefault="007504AF" w:rsidP="007504AF">
      <w:r w:rsidRPr="007504AF">
        <w:t>Vietnam has a number of demographic advantages. The population of the country is youthful (median age of about 32) and the middle middle classes are growing fast, with the potential of 50 percent of the population being in the middle classes by 2035</w:t>
      </w:r>
      <w:r w:rsidR="006755E6" w:rsidRPr="006755E6">
        <w:t xml:space="preserve"> (Bizasean.com, 2018)</w:t>
      </w:r>
      <w:r w:rsidRPr="007504AF">
        <w:t>. The lifestyles of the consumers are being converted towards branded products of higher quality, especially in personal care, baby care, and household care-core P&amp;G categories</w:t>
      </w:r>
      <w:r w:rsidR="006755E6" w:rsidRPr="006755E6">
        <w:t xml:space="preserve"> (Bizasean.com, 2018)</w:t>
      </w:r>
      <w:r w:rsidRPr="007504AF">
        <w:t>. Moreover, the accessibility of the market is increased because of the rapid expansion of modern retail channels such as supermarkets, hypermarkets, and e-commerce platforms.</w:t>
      </w:r>
    </w:p>
    <w:p w:rsidR="007504AF" w:rsidRPr="007504AF" w:rsidRDefault="007504AF" w:rsidP="007504AF">
      <w:r w:rsidRPr="007504AF">
        <w:t>The digital transformation of Vietnam is a bonus as well: internet penetration is over 75 percent, and mobile commerce and social media use are even above average in Asia</w:t>
      </w:r>
      <w:r w:rsidR="006755E6" w:rsidRPr="006755E6">
        <w:t xml:space="preserve"> (Duester, 2023)</w:t>
      </w:r>
      <w:r w:rsidRPr="007504AF">
        <w:t>. The emergence of online shopping websites such as Shopee, Lazada, and Tiki gives P&amp;G the opportunity to duplicate its digital-first marketing playbook used effectively in Asia.</w:t>
      </w:r>
    </w:p>
    <w:p w:rsidR="007504AF" w:rsidRDefault="007504AF" w:rsidP="007504AF">
      <w:pPr>
        <w:pStyle w:val="Heading1"/>
      </w:pPr>
      <w:bookmarkStart w:id="4" w:name="_Toc216179967"/>
      <w:r w:rsidRPr="007504AF">
        <w:t>3. Comprehensive Strategic Analysis</w:t>
      </w:r>
      <w:bookmarkEnd w:id="4"/>
    </w:p>
    <w:p w:rsidR="007504AF" w:rsidRDefault="007504AF" w:rsidP="007504AF">
      <w:r w:rsidRPr="007504AF">
        <w:t>This part uses strategic frameworks to analyse the macro-environment and competitive environment in Vietnam. It incorporates the PESTEL, Porter's Five Forces, CAGE Distance Framework and a synthesised SWOT analysis. The contribution and limitations of each tool are critically assessed to show theoretical knowledge and usage.</w:t>
      </w:r>
    </w:p>
    <w:p w:rsidR="007504AF" w:rsidRDefault="007504AF" w:rsidP="007504AF">
      <w:pPr>
        <w:pStyle w:val="Heading2"/>
      </w:pPr>
      <w:bookmarkStart w:id="5" w:name="_Toc216179968"/>
      <w:r w:rsidRPr="007504AF">
        <w:lastRenderedPageBreak/>
        <w:t>3.1 PESTEL Analysis</w:t>
      </w:r>
      <w:bookmarkEnd w:id="5"/>
    </w:p>
    <w:p w:rsidR="007504AF" w:rsidRDefault="007504AF" w:rsidP="007504AF">
      <w:r w:rsidRPr="007504AF">
        <w:t>According to the PESTEL model, there are six macro-environment dimensions that determine the growth of P&amp;G in Vietnam</w:t>
      </w:r>
      <w:r w:rsidR="006755E6" w:rsidRPr="006755E6">
        <w:t xml:space="preserve"> (Clapham and Pestel, 2020)</w:t>
      </w:r>
      <w:r w:rsidRPr="007504AF">
        <w:t>. Although it is common in scanning the environment, its weakness is in the descriptive nature, and it does not build the relative importance or interdependencies of factors.</w:t>
      </w:r>
    </w:p>
    <w:p w:rsidR="007504AF" w:rsidRDefault="007504AF" w:rsidP="007504AF">
      <w:r w:rsidRPr="007504AF">
        <w:t>Table 1: PESTEL Analysis of Vietnam for P&amp;G</w:t>
      </w:r>
    </w:p>
    <w:p w:rsidR="007504AF" w:rsidRDefault="007504AF" w:rsidP="007504AF"/>
    <w:tbl>
      <w:tblPr>
        <w:tblStyle w:val="PlainTable3"/>
        <w:tblW w:w="0" w:type="auto"/>
        <w:tblLook w:val="04A0" w:firstRow="1" w:lastRow="0" w:firstColumn="1" w:lastColumn="0" w:noHBand="0" w:noVBand="1"/>
      </w:tblPr>
      <w:tblGrid>
        <w:gridCol w:w="2310"/>
        <w:gridCol w:w="3462"/>
        <w:gridCol w:w="3588"/>
      </w:tblGrid>
      <w:tr w:rsidR="007504AF" w:rsidRPr="007504AF" w:rsidTr="007504A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rsidR="007504AF" w:rsidRPr="007504AF" w:rsidRDefault="007504AF" w:rsidP="007504AF">
            <w:pPr>
              <w:spacing w:after="160"/>
            </w:pPr>
            <w:r w:rsidRPr="007504AF">
              <w:t>Factor</w:t>
            </w:r>
          </w:p>
        </w:tc>
        <w:tc>
          <w:tcPr>
            <w:tcW w:w="0" w:type="auto"/>
            <w:hideMark/>
          </w:tcPr>
          <w:p w:rsidR="007504AF" w:rsidRPr="007504AF" w:rsidRDefault="007504AF" w:rsidP="007504AF">
            <w:pPr>
              <w:spacing w:after="160"/>
              <w:cnfStyle w:val="100000000000" w:firstRow="1" w:lastRow="0" w:firstColumn="0" w:lastColumn="0" w:oddVBand="0" w:evenVBand="0" w:oddHBand="0" w:evenHBand="0" w:firstRowFirstColumn="0" w:firstRowLastColumn="0" w:lastRowFirstColumn="0" w:lastRowLastColumn="0"/>
            </w:pPr>
            <w:r w:rsidRPr="007504AF">
              <w:t>Key Elements</w:t>
            </w:r>
          </w:p>
        </w:tc>
        <w:tc>
          <w:tcPr>
            <w:tcW w:w="0" w:type="auto"/>
            <w:hideMark/>
          </w:tcPr>
          <w:p w:rsidR="007504AF" w:rsidRPr="007504AF" w:rsidRDefault="007504AF" w:rsidP="007504AF">
            <w:pPr>
              <w:spacing w:after="160"/>
              <w:cnfStyle w:val="100000000000" w:firstRow="1" w:lastRow="0" w:firstColumn="0" w:lastColumn="0" w:oddVBand="0" w:evenVBand="0" w:oddHBand="0" w:evenHBand="0" w:firstRowFirstColumn="0" w:firstRowLastColumn="0" w:lastRowFirstColumn="0" w:lastRowLastColumn="0"/>
            </w:pPr>
            <w:r w:rsidRPr="007504AF">
              <w:t>Implications for P&amp;G</w:t>
            </w:r>
          </w:p>
        </w:tc>
      </w:tr>
      <w:tr w:rsidR="007504AF" w:rsidRPr="007504AF" w:rsidTr="00750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504AF" w:rsidRPr="007504AF" w:rsidRDefault="007504AF" w:rsidP="007504AF">
            <w:pPr>
              <w:spacing w:after="160"/>
            </w:pPr>
            <w:r w:rsidRPr="007504AF">
              <w:t>Political</w:t>
            </w:r>
          </w:p>
        </w:tc>
        <w:tc>
          <w:tcPr>
            <w:tcW w:w="0" w:type="auto"/>
            <w:hideMark/>
          </w:tcPr>
          <w:p w:rsidR="007504AF" w:rsidRPr="007504AF" w:rsidRDefault="007504AF" w:rsidP="007504AF">
            <w:pPr>
              <w:spacing w:after="160"/>
              <w:cnfStyle w:val="000000100000" w:firstRow="0" w:lastRow="0" w:firstColumn="0" w:lastColumn="0" w:oddVBand="0" w:evenVBand="0" w:oddHBand="1" w:evenHBand="0" w:firstRowFirstColumn="0" w:firstRowLastColumn="0" w:lastRowFirstColumn="0" w:lastRowLastColumn="0"/>
            </w:pPr>
            <w:r w:rsidRPr="007504AF">
              <w:t>Stable single-party government; strong FDI incentives; trade agreements (CPTPP, RCEP, EVFTA)</w:t>
            </w:r>
          </w:p>
        </w:tc>
        <w:tc>
          <w:tcPr>
            <w:tcW w:w="0" w:type="auto"/>
            <w:hideMark/>
          </w:tcPr>
          <w:p w:rsidR="007504AF" w:rsidRPr="007504AF" w:rsidRDefault="007504AF" w:rsidP="007504AF">
            <w:pPr>
              <w:spacing w:after="160"/>
              <w:cnfStyle w:val="000000100000" w:firstRow="0" w:lastRow="0" w:firstColumn="0" w:lastColumn="0" w:oddVBand="0" w:evenVBand="0" w:oddHBand="1" w:evenHBand="0" w:firstRowFirstColumn="0" w:firstRowLastColumn="0" w:lastRowFirstColumn="0" w:lastRowLastColumn="0"/>
            </w:pPr>
            <w:r w:rsidRPr="007504AF">
              <w:t>Predictable policy environment supports investment; favourable import/export regulations; stable business climate</w:t>
            </w:r>
          </w:p>
        </w:tc>
      </w:tr>
      <w:tr w:rsidR="007504AF" w:rsidRPr="007504AF" w:rsidTr="007504AF">
        <w:tc>
          <w:tcPr>
            <w:cnfStyle w:val="001000000000" w:firstRow="0" w:lastRow="0" w:firstColumn="1" w:lastColumn="0" w:oddVBand="0" w:evenVBand="0" w:oddHBand="0" w:evenHBand="0" w:firstRowFirstColumn="0" w:firstRowLastColumn="0" w:lastRowFirstColumn="0" w:lastRowLastColumn="0"/>
            <w:tcW w:w="0" w:type="auto"/>
            <w:hideMark/>
          </w:tcPr>
          <w:p w:rsidR="007504AF" w:rsidRPr="007504AF" w:rsidRDefault="007504AF" w:rsidP="007504AF">
            <w:pPr>
              <w:spacing w:after="160"/>
            </w:pPr>
            <w:r w:rsidRPr="007504AF">
              <w:t>Economic</w:t>
            </w:r>
          </w:p>
        </w:tc>
        <w:tc>
          <w:tcPr>
            <w:tcW w:w="0" w:type="auto"/>
            <w:hideMark/>
          </w:tcPr>
          <w:p w:rsidR="007504AF" w:rsidRPr="007504AF" w:rsidRDefault="007504AF" w:rsidP="007504AF">
            <w:pPr>
              <w:spacing w:after="160"/>
              <w:cnfStyle w:val="000000000000" w:firstRow="0" w:lastRow="0" w:firstColumn="0" w:lastColumn="0" w:oddVBand="0" w:evenVBand="0" w:oddHBand="0" w:evenHBand="0" w:firstRowFirstColumn="0" w:firstRowLastColumn="0" w:lastRowFirstColumn="0" w:lastRowLastColumn="0"/>
            </w:pPr>
            <w:r w:rsidRPr="007504AF">
              <w:t>GDP growth 5–7 percent; rising disposable incomes; growing retail sector; currency volatility</w:t>
            </w:r>
            <w:r w:rsidR="006755E6">
              <w:t xml:space="preserve"> </w:t>
            </w:r>
            <w:r w:rsidR="006755E6" w:rsidRPr="006755E6">
              <w:t>(amro-admin, 2021)</w:t>
            </w:r>
            <w:r w:rsidR="006755E6">
              <w:t>.</w:t>
            </w:r>
          </w:p>
        </w:tc>
        <w:tc>
          <w:tcPr>
            <w:tcW w:w="0" w:type="auto"/>
            <w:hideMark/>
          </w:tcPr>
          <w:p w:rsidR="007504AF" w:rsidRPr="007504AF" w:rsidRDefault="007504AF" w:rsidP="007504AF">
            <w:pPr>
              <w:spacing w:after="160"/>
              <w:cnfStyle w:val="000000000000" w:firstRow="0" w:lastRow="0" w:firstColumn="0" w:lastColumn="0" w:oddVBand="0" w:evenVBand="0" w:oddHBand="0" w:evenHBand="0" w:firstRowFirstColumn="0" w:firstRowLastColumn="0" w:lastRowFirstColumn="0" w:lastRowLastColumn="0"/>
            </w:pPr>
            <w:r w:rsidRPr="007504AF">
              <w:t>Expansion potential for mid- to premium-priced FMCG products; attractive consumer demand; exchange rate risk</w:t>
            </w:r>
          </w:p>
        </w:tc>
      </w:tr>
      <w:tr w:rsidR="007504AF" w:rsidRPr="007504AF" w:rsidTr="00750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504AF" w:rsidRPr="007504AF" w:rsidRDefault="007504AF" w:rsidP="007504AF">
            <w:pPr>
              <w:spacing w:after="160"/>
            </w:pPr>
            <w:r w:rsidRPr="007504AF">
              <w:t>Social</w:t>
            </w:r>
          </w:p>
        </w:tc>
        <w:tc>
          <w:tcPr>
            <w:tcW w:w="0" w:type="auto"/>
            <w:hideMark/>
          </w:tcPr>
          <w:p w:rsidR="007504AF" w:rsidRPr="007504AF" w:rsidRDefault="007504AF" w:rsidP="007504AF">
            <w:pPr>
              <w:spacing w:after="160"/>
              <w:cnfStyle w:val="000000100000" w:firstRow="0" w:lastRow="0" w:firstColumn="0" w:lastColumn="0" w:oddVBand="0" w:evenVBand="0" w:oddHBand="1" w:evenHBand="0" w:firstRowFirstColumn="0" w:firstRowLastColumn="0" w:lastRowFirstColumn="0" w:lastRowLastColumn="0"/>
            </w:pPr>
            <w:r w:rsidRPr="007504AF">
              <w:t>Young population; urbanisation; hygiene and health awareness; preference for global brands</w:t>
            </w:r>
          </w:p>
        </w:tc>
        <w:tc>
          <w:tcPr>
            <w:tcW w:w="0" w:type="auto"/>
            <w:hideMark/>
          </w:tcPr>
          <w:p w:rsidR="007504AF" w:rsidRPr="007504AF" w:rsidRDefault="007504AF" w:rsidP="007504AF">
            <w:pPr>
              <w:spacing w:after="160"/>
              <w:cnfStyle w:val="000000100000" w:firstRow="0" w:lastRow="0" w:firstColumn="0" w:lastColumn="0" w:oddVBand="0" w:evenVBand="0" w:oddHBand="1" w:evenHBand="0" w:firstRowFirstColumn="0" w:firstRowLastColumn="0" w:lastRowFirstColumn="0" w:lastRowLastColumn="0"/>
            </w:pPr>
            <w:r w:rsidRPr="007504AF">
              <w:t>Demand growth in personal care, baby care, home care; P&amp;G can position premium and value-tier products</w:t>
            </w:r>
          </w:p>
        </w:tc>
      </w:tr>
      <w:tr w:rsidR="007504AF" w:rsidRPr="007504AF" w:rsidTr="007504AF">
        <w:tc>
          <w:tcPr>
            <w:cnfStyle w:val="001000000000" w:firstRow="0" w:lastRow="0" w:firstColumn="1" w:lastColumn="0" w:oddVBand="0" w:evenVBand="0" w:oddHBand="0" w:evenHBand="0" w:firstRowFirstColumn="0" w:firstRowLastColumn="0" w:lastRowFirstColumn="0" w:lastRowLastColumn="0"/>
            <w:tcW w:w="0" w:type="auto"/>
            <w:hideMark/>
          </w:tcPr>
          <w:p w:rsidR="007504AF" w:rsidRPr="007504AF" w:rsidRDefault="007504AF" w:rsidP="007504AF">
            <w:pPr>
              <w:spacing w:after="160"/>
            </w:pPr>
            <w:r w:rsidRPr="007504AF">
              <w:t>Technological</w:t>
            </w:r>
          </w:p>
        </w:tc>
        <w:tc>
          <w:tcPr>
            <w:tcW w:w="0" w:type="auto"/>
            <w:hideMark/>
          </w:tcPr>
          <w:p w:rsidR="007504AF" w:rsidRPr="007504AF" w:rsidRDefault="007504AF" w:rsidP="007504AF">
            <w:pPr>
              <w:spacing w:after="160"/>
              <w:cnfStyle w:val="000000000000" w:firstRow="0" w:lastRow="0" w:firstColumn="0" w:lastColumn="0" w:oddVBand="0" w:evenVBand="0" w:oddHBand="0" w:evenHBand="0" w:firstRowFirstColumn="0" w:firstRowLastColumn="0" w:lastRowFirstColumn="0" w:lastRowLastColumn="0"/>
            </w:pPr>
            <w:r w:rsidRPr="007504AF">
              <w:t>High internet penetration; mobile-first purchasing; growth in e-commerce; digital payments</w:t>
            </w:r>
            <w:r w:rsidR="006755E6">
              <w:t xml:space="preserve"> </w:t>
            </w:r>
            <w:r w:rsidR="006755E6" w:rsidRPr="006755E6">
              <w:t>(Clapham and Pestel, 2020)</w:t>
            </w:r>
            <w:r w:rsidR="006755E6">
              <w:t>.</w:t>
            </w:r>
          </w:p>
        </w:tc>
        <w:tc>
          <w:tcPr>
            <w:tcW w:w="0" w:type="auto"/>
            <w:hideMark/>
          </w:tcPr>
          <w:p w:rsidR="007504AF" w:rsidRPr="007504AF" w:rsidRDefault="007504AF" w:rsidP="007504AF">
            <w:pPr>
              <w:spacing w:after="160"/>
              <w:cnfStyle w:val="000000000000" w:firstRow="0" w:lastRow="0" w:firstColumn="0" w:lastColumn="0" w:oddVBand="0" w:evenVBand="0" w:oddHBand="0" w:evenHBand="0" w:firstRowFirstColumn="0" w:firstRowLastColumn="0" w:lastRowFirstColumn="0" w:lastRowLastColumn="0"/>
            </w:pPr>
            <w:r w:rsidRPr="007504AF">
              <w:t>Strong opportunity for digital marketing; data-driven sales forecasting; omnichannel retail integration</w:t>
            </w:r>
            <w:r w:rsidR="006755E6">
              <w:t xml:space="preserve"> </w:t>
            </w:r>
            <w:r w:rsidR="006755E6" w:rsidRPr="006755E6">
              <w:t>(Duester, 2023)</w:t>
            </w:r>
            <w:r w:rsidR="006755E6">
              <w:t>.</w:t>
            </w:r>
          </w:p>
        </w:tc>
      </w:tr>
      <w:tr w:rsidR="007504AF" w:rsidRPr="007504AF" w:rsidTr="00750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504AF" w:rsidRPr="007504AF" w:rsidRDefault="007504AF" w:rsidP="007504AF">
            <w:pPr>
              <w:spacing w:after="160"/>
            </w:pPr>
            <w:r w:rsidRPr="007504AF">
              <w:lastRenderedPageBreak/>
              <w:t>Environmental</w:t>
            </w:r>
          </w:p>
        </w:tc>
        <w:tc>
          <w:tcPr>
            <w:tcW w:w="0" w:type="auto"/>
            <w:hideMark/>
          </w:tcPr>
          <w:p w:rsidR="007504AF" w:rsidRPr="007504AF" w:rsidRDefault="007504AF" w:rsidP="007504AF">
            <w:pPr>
              <w:spacing w:after="160"/>
              <w:cnfStyle w:val="000000100000" w:firstRow="0" w:lastRow="0" w:firstColumn="0" w:lastColumn="0" w:oddVBand="0" w:evenVBand="0" w:oddHBand="1" w:evenHBand="0" w:firstRowFirstColumn="0" w:firstRowLastColumn="0" w:lastRowFirstColumn="0" w:lastRowLastColumn="0"/>
            </w:pPr>
            <w:r w:rsidRPr="007504AF">
              <w:t>Increasing environmental regulation; pressure to reduce plastic use; consumer interest in sustainability</w:t>
            </w:r>
          </w:p>
        </w:tc>
        <w:tc>
          <w:tcPr>
            <w:tcW w:w="0" w:type="auto"/>
            <w:hideMark/>
          </w:tcPr>
          <w:p w:rsidR="007504AF" w:rsidRPr="007504AF" w:rsidRDefault="007504AF" w:rsidP="007504AF">
            <w:pPr>
              <w:spacing w:after="160"/>
              <w:cnfStyle w:val="000000100000" w:firstRow="0" w:lastRow="0" w:firstColumn="0" w:lastColumn="0" w:oddVBand="0" w:evenVBand="0" w:oddHBand="1" w:evenHBand="0" w:firstRowFirstColumn="0" w:firstRowLastColumn="0" w:lastRowFirstColumn="0" w:lastRowLastColumn="0"/>
            </w:pPr>
            <w:r w:rsidRPr="007504AF">
              <w:t>Need for recyclable packaging; opportunity to promote sustainable product ranges</w:t>
            </w:r>
          </w:p>
        </w:tc>
      </w:tr>
      <w:tr w:rsidR="007504AF" w:rsidRPr="007504AF" w:rsidTr="007504AF">
        <w:tc>
          <w:tcPr>
            <w:cnfStyle w:val="001000000000" w:firstRow="0" w:lastRow="0" w:firstColumn="1" w:lastColumn="0" w:oddVBand="0" w:evenVBand="0" w:oddHBand="0" w:evenHBand="0" w:firstRowFirstColumn="0" w:firstRowLastColumn="0" w:lastRowFirstColumn="0" w:lastRowLastColumn="0"/>
            <w:tcW w:w="0" w:type="auto"/>
            <w:hideMark/>
          </w:tcPr>
          <w:p w:rsidR="007504AF" w:rsidRPr="007504AF" w:rsidRDefault="007504AF" w:rsidP="007504AF">
            <w:pPr>
              <w:spacing w:after="160"/>
            </w:pPr>
            <w:r w:rsidRPr="007504AF">
              <w:t>Legal</w:t>
            </w:r>
          </w:p>
        </w:tc>
        <w:tc>
          <w:tcPr>
            <w:tcW w:w="0" w:type="auto"/>
            <w:hideMark/>
          </w:tcPr>
          <w:p w:rsidR="007504AF" w:rsidRPr="007504AF" w:rsidRDefault="007504AF" w:rsidP="007504AF">
            <w:pPr>
              <w:spacing w:after="160"/>
              <w:cnfStyle w:val="000000000000" w:firstRow="0" w:lastRow="0" w:firstColumn="0" w:lastColumn="0" w:oddVBand="0" w:evenVBand="0" w:oddHBand="0" w:evenHBand="0" w:firstRowFirstColumn="0" w:firstRowLastColumn="0" w:lastRowFirstColumn="0" w:lastRowLastColumn="0"/>
            </w:pPr>
            <w:r w:rsidRPr="007504AF">
              <w:t>Consumer protection laws; manufacturing and product standards; IP protection improving</w:t>
            </w:r>
          </w:p>
        </w:tc>
        <w:tc>
          <w:tcPr>
            <w:tcW w:w="0" w:type="auto"/>
            <w:hideMark/>
          </w:tcPr>
          <w:p w:rsidR="007504AF" w:rsidRPr="007504AF" w:rsidRDefault="007504AF" w:rsidP="007504AF">
            <w:pPr>
              <w:spacing w:after="160"/>
              <w:cnfStyle w:val="000000000000" w:firstRow="0" w:lastRow="0" w:firstColumn="0" w:lastColumn="0" w:oddVBand="0" w:evenVBand="0" w:oddHBand="0" w:evenHBand="0" w:firstRowFirstColumn="0" w:firstRowLastColumn="0" w:lastRowFirstColumn="0" w:lastRowLastColumn="0"/>
            </w:pPr>
            <w:r w:rsidRPr="007504AF">
              <w:t>Ensures brand protection; compliance costs but predictable regulations</w:t>
            </w:r>
          </w:p>
        </w:tc>
      </w:tr>
    </w:tbl>
    <w:p w:rsidR="007504AF" w:rsidRPr="007504AF" w:rsidRDefault="007504AF" w:rsidP="007504AF"/>
    <w:p w:rsidR="00E30414" w:rsidRDefault="001C0D89">
      <w:r w:rsidRPr="001C0D89">
        <w:t>Critical Evaluation of PESTEL</w:t>
      </w:r>
    </w:p>
    <w:p w:rsidR="001C0D89" w:rsidRPr="001C0D89" w:rsidRDefault="001C0D89" w:rsidP="001C0D89">
      <w:r w:rsidRPr="001C0D89">
        <w:t>PESTEL provides a general picture of the environment, but is not prioritised. The framework fails to measure the strength of each factor and fails to show causal relationships</w:t>
      </w:r>
      <w:r w:rsidR="006755E6" w:rsidRPr="006755E6">
        <w:t xml:space="preserve"> (Clapham and Pestel, 2020)</w:t>
      </w:r>
      <w:r w:rsidRPr="001C0D89">
        <w:t>. As an example, in Vietnam, economic and technological processes are extremely interconnected because of the emergence of digital commerce, which PESTEL does not consider as an interconnected entity. Nevertheless, being a first-time scan, the tool offers meaningful, structured information.</w:t>
      </w:r>
    </w:p>
    <w:p w:rsidR="001C0D89" w:rsidRDefault="001C0D89" w:rsidP="001C0D89">
      <w:pPr>
        <w:pStyle w:val="Heading2"/>
      </w:pPr>
      <w:bookmarkStart w:id="6" w:name="_Toc216179969"/>
      <w:r w:rsidRPr="001C0D89">
        <w:t>3.2 Porter’s Five Forces Analysis</w:t>
      </w:r>
      <w:bookmarkEnd w:id="6"/>
    </w:p>
    <w:p w:rsidR="001C0D89" w:rsidRPr="001C0D89" w:rsidRDefault="001C0D89" w:rsidP="001C0D89">
      <w:r w:rsidRPr="001C0D89">
        <w:t>The Five Forces analysis of the fast-moving consumer goods (FMCG) industry in Vietnam is structured to analyse the competitive environment in the country. The FMCG industry in Vietnam is typified by a high growth rate, modernisation and changing consumer behaviour, though it is also very fragmented and competitive</w:t>
      </w:r>
      <w:r w:rsidR="006755E6" w:rsidRPr="006755E6">
        <w:t xml:space="preserve"> (Bensoussan and Fleisher, 2018)</w:t>
      </w:r>
      <w:r w:rsidRPr="001C0D89">
        <w:t>. This renders the model by Porter very valuable in determining the areas in which P&amp;G should strategically differentiate itself.</w:t>
      </w:r>
    </w:p>
    <w:p w:rsidR="001C0D89" w:rsidRPr="001C0D89" w:rsidRDefault="001C0D89" w:rsidP="001C0D89">
      <w:pPr>
        <w:rPr>
          <w:b/>
        </w:rPr>
      </w:pPr>
      <w:r w:rsidRPr="001C0D89">
        <w:rPr>
          <w:b/>
        </w:rPr>
        <w:t>Competitive Rivalry - High</w:t>
      </w:r>
    </w:p>
    <w:p w:rsidR="001C0D89" w:rsidRPr="001C0D89" w:rsidRDefault="001C0D89" w:rsidP="001C0D89">
      <w:r w:rsidRPr="001C0D89">
        <w:t xml:space="preserve">Competitive rivalry is the most prevailing factor that prescribes the Vietnam FMCG environment. The presence of many international players and local manufacturers that operate in areas of overlapping products presents continual pressure on the pricing, innovation, and promotion activities. Unilever is the largest player, as it has made a strong </w:t>
      </w:r>
      <w:r w:rsidRPr="001C0D89">
        <w:lastRenderedPageBreak/>
        <w:t>penetration in the market over the decades with its brands of OMO, Sunsilk and Dove</w:t>
      </w:r>
      <w:r w:rsidR="006755E6" w:rsidRPr="006755E6">
        <w:t xml:space="preserve"> (Unilever, 2025)</w:t>
      </w:r>
      <w:r w:rsidRPr="001C0D89">
        <w:t>. Colgate-Palmolive, Kimberly-Clark, Kao of Japan and South Korean conglomerate LG Household and Health Care also have a large market share.</w:t>
      </w:r>
    </w:p>
    <w:p w:rsidR="001C0D89" w:rsidRPr="001C0D89" w:rsidRDefault="001C0D89" w:rsidP="001C0D89">
      <w:r w:rsidRPr="001C0D89">
        <w:t>Domestic rivals like Masan Consumer, Vinamilk, Lix Detergent, NetCo and Hao Hao have developed good distribution networks and brand loyalty, especially among consumers who are price-sensitive and rural families. Due to the local companies, the latter can usually afford to provide goods at lower prices than multinationals, causing continuous pressure on prices.</w:t>
      </w:r>
    </w:p>
    <w:p w:rsidR="001C0D89" w:rsidRPr="001C0D89" w:rsidRDefault="001C0D89" w:rsidP="001C0D89">
      <w:pPr>
        <w:rPr>
          <w:b/>
        </w:rPr>
      </w:pPr>
      <w:r w:rsidRPr="001C0D89">
        <w:rPr>
          <w:b/>
        </w:rPr>
        <w:t>Th</w:t>
      </w:r>
      <w:r>
        <w:rPr>
          <w:b/>
        </w:rPr>
        <w:t>reat of New Entrants - Moderate</w:t>
      </w:r>
    </w:p>
    <w:p w:rsidR="001C0D89" w:rsidRPr="001C0D89" w:rsidRDefault="001C0D89" w:rsidP="001C0D89">
      <w:r w:rsidRPr="001C0D89">
        <w:t>The new entry threat in the FMCG market of Vietnam is moderate</w:t>
      </w:r>
      <w:r w:rsidR="006755E6" w:rsidRPr="006755E6">
        <w:t xml:space="preserve"> (Long et al., 2024)</w:t>
      </w:r>
      <w:r w:rsidRPr="001C0D89">
        <w:t>. On the one hand, the pro-business policy of the country, a relatively open investment environment, and involvement in various international trade agreements (CPTPP and EVFTA) reduce the administrative obstacles to the new foreign companies. Also, online platforms have made entry easier in the market for new direct-to-consumer brands, which do not require the use of the traditional distribution channel</w:t>
      </w:r>
      <w:r w:rsidR="006755E6" w:rsidRPr="006755E6">
        <w:t xml:space="preserve"> (Long et al., 2024)</w:t>
      </w:r>
      <w:r w:rsidRPr="001C0D89">
        <w:t>.</w:t>
      </w:r>
    </w:p>
    <w:p w:rsidR="001C0D89" w:rsidRPr="001C0D89" w:rsidRDefault="001C0D89" w:rsidP="001C0D89">
      <w:r w:rsidRPr="001C0D89">
        <w:t>The FMCG area also needs heavy marketing investment, long-term investment, and cultural understanding. The barriers to entry are reinforced by the fact that most consumers will choose the well-established brands when it comes to the categories that touch on hygiene and home care. This means that the threat is restricted by the scale of new entrants, which is theoretically open, but the success of new entrants.</w:t>
      </w:r>
    </w:p>
    <w:p w:rsidR="001C0D89" w:rsidRPr="001C0D89" w:rsidRDefault="001C0D89" w:rsidP="001C0D89">
      <w:pPr>
        <w:rPr>
          <w:b/>
        </w:rPr>
      </w:pPr>
      <w:r w:rsidRPr="001C0D89">
        <w:rPr>
          <w:b/>
        </w:rPr>
        <w:t>Supplier Power - Low</w:t>
      </w:r>
    </w:p>
    <w:p w:rsidR="001C0D89" w:rsidRPr="001C0D89" w:rsidRDefault="001C0D89" w:rsidP="001C0D89">
      <w:r w:rsidRPr="001C0D89">
        <w:t>The globalisation of raw materials sourcing and the high supply chain capabilities of P&amp;G mean that the powers of suppliers are relatively low. The FMCG industry depends on the highly accessible inputs, which include surfactants, chemicals, fragrances, plastics and packaging materials</w:t>
      </w:r>
      <w:r w:rsidR="00F154FF" w:rsidRPr="00F154FF">
        <w:t xml:space="preserve"> (Sandholm et al., 2006)</w:t>
      </w:r>
      <w:r w:rsidRPr="001C0D89">
        <w:t>. P&amp;G is one of the largest FMCG corporations in the world, so the company enjoys economies of scale, long-term supplier relationships, and diversified procurement strategies in Asia. The local Vietnamese suppliers, although increasingly competent, lack power as P&amp;G can easily procure materials in neighbouring nations or in the present regional manufacturing centres.</w:t>
      </w:r>
    </w:p>
    <w:p w:rsidR="001C0D89" w:rsidRPr="001C0D89" w:rsidRDefault="001C0D89" w:rsidP="001C0D89">
      <w:pPr>
        <w:rPr>
          <w:b/>
        </w:rPr>
      </w:pPr>
      <w:r w:rsidRPr="001C0D89">
        <w:rPr>
          <w:b/>
        </w:rPr>
        <w:lastRenderedPageBreak/>
        <w:t>Buyer Power - High</w:t>
      </w:r>
    </w:p>
    <w:p w:rsidR="001C0D89" w:rsidRPr="001C0D89" w:rsidRDefault="001C0D89" w:rsidP="001C0D89">
      <w:r w:rsidRPr="001C0D89">
        <w:t>The buyer's bargaining power in the FMCG market of Vietnam is high. Price sensitivity is very high among the end consumers, partly because of variations in income and availability of domestic alternatives that are less expensive. Switching of brands takes place, especially in those categories where the functional differentiation is not so strong, like laundry detergents and shampoos. Retailers also have a lot of influence</w:t>
      </w:r>
      <w:r w:rsidR="00F154FF" w:rsidRPr="00F154FF">
        <w:t xml:space="preserve"> (Pham and Petersen, 2021)</w:t>
      </w:r>
      <w:r w:rsidRPr="001C0D89">
        <w:t>. The use of modern trade channels, Co.opmart, VinMart, Lotte Mart, and Bach Hoa Xanh, bargains aggressively on promotional allowances, shelf positioning, and distribution margins.</w:t>
      </w:r>
    </w:p>
    <w:p w:rsidR="001C0D89" w:rsidRPr="001C0D89" w:rsidRDefault="001C0D89" w:rsidP="001C0D89">
      <w:pPr>
        <w:rPr>
          <w:b/>
        </w:rPr>
      </w:pPr>
      <w:r w:rsidRPr="001C0D89">
        <w:rPr>
          <w:b/>
        </w:rPr>
        <w:t>Threat of Substitutes- Moderate.</w:t>
      </w:r>
    </w:p>
    <w:p w:rsidR="001C0D89" w:rsidRPr="001C0D89" w:rsidRDefault="001C0D89" w:rsidP="001C0D89">
      <w:r w:rsidRPr="001C0D89">
        <w:t>The threat of substitutes to the expansion strategy of P&amp;G is moderate. Under the household and personal care segments, consumers might resort to low-cost and local products, refills, or conventional products like herbal shampoos and natural cleaning products. Products of the informal sector, as well as fake goods, no matter how different in quality, are still available in certain areas, namely, in the rural market</w:t>
      </w:r>
      <w:r w:rsidR="00F154FF" w:rsidRPr="00F154FF">
        <w:t xml:space="preserve"> (Pham and Petersen, 2021)</w:t>
      </w:r>
      <w:r w:rsidRPr="001C0D89">
        <w:t>. The increased concern with sustainable living has promoted the adoption of natural, plant-based, or environmentally friendly alternatives both among the local SMEs and the niche foreign brands.</w:t>
      </w:r>
    </w:p>
    <w:p w:rsidR="001C0D89" w:rsidRPr="001C0D89" w:rsidRDefault="001C0D89" w:rsidP="001C0D89">
      <w:pPr>
        <w:rPr>
          <w:b/>
        </w:rPr>
      </w:pPr>
      <w:r w:rsidRPr="001C0D89">
        <w:rPr>
          <w:b/>
        </w:rPr>
        <w:t>Porte</w:t>
      </w:r>
      <w:r>
        <w:rPr>
          <w:b/>
        </w:rPr>
        <w:t>r Five Forces Critical Analysis</w:t>
      </w:r>
    </w:p>
    <w:p w:rsidR="001C0D89" w:rsidRDefault="001C0D89" w:rsidP="001C0D89">
      <w:r w:rsidRPr="001C0D89">
        <w:t>The model by Porter model can be used successfully as a diagnostic tool for the competitive structure of the FMCG industry of Vietnam. It outlines the areas of greatest competitive forces and how P&amp;G ought to position itself relative to its competitors, buyers, suppliers and substitute products</w:t>
      </w:r>
      <w:r w:rsidR="00F154FF" w:rsidRPr="00F154FF">
        <w:t xml:space="preserve"> (Long et al., 2024)</w:t>
      </w:r>
      <w:r w:rsidRPr="001C0D89">
        <w:t>. Nevertheless, the model presupposes that the forces of the industry are relatively stable, which cannot be entirely true of the emerging markets such as Vietnam, where digital disruption, regulatory changes and changing consumer behaviours redefine the competitive environment on a fast-track basis.</w:t>
      </w:r>
    </w:p>
    <w:p w:rsidR="001C0D89" w:rsidRDefault="001C0D89" w:rsidP="001C0D89">
      <w:pPr>
        <w:pStyle w:val="Heading2"/>
      </w:pPr>
      <w:bookmarkStart w:id="7" w:name="_Toc216179970"/>
      <w:r w:rsidRPr="001C0D89">
        <w:lastRenderedPageBreak/>
        <w:t>3.4 SWOT Analysis</w:t>
      </w:r>
      <w:bookmarkEnd w:id="7"/>
    </w:p>
    <w:p w:rsidR="003C3470" w:rsidRDefault="003C3470" w:rsidP="001C0D89">
      <w:r>
        <w:t>The SWOT anlysis framework is a strategic management tool used for exploring internal and external factor of an organisation</w:t>
      </w:r>
      <w:r w:rsidR="00F154FF" w:rsidRPr="00F154FF">
        <w:t xml:space="preserve"> (States, 2020)</w:t>
      </w:r>
      <w:r>
        <w:t xml:space="preserve">. In this case, it will provide a clear picture based on the earlier analysis of PESTEL and Porter’s Five forces model. </w:t>
      </w:r>
    </w:p>
    <w:p w:rsidR="001C0D89" w:rsidRDefault="003C3470">
      <w:r w:rsidRPr="003C3470">
        <w:t>Table 2: SWOT Analysis for P&amp;G in Vietnam</w:t>
      </w:r>
    </w:p>
    <w:tbl>
      <w:tblPr>
        <w:tblStyle w:val="TableGrid"/>
        <w:tblW w:w="0" w:type="auto"/>
        <w:tblLook w:val="04A0" w:firstRow="1" w:lastRow="0" w:firstColumn="1" w:lastColumn="0" w:noHBand="0" w:noVBand="1"/>
      </w:tblPr>
      <w:tblGrid>
        <w:gridCol w:w="3818"/>
        <w:gridCol w:w="4632"/>
      </w:tblGrid>
      <w:tr w:rsidR="003C3470" w:rsidRPr="003C3470" w:rsidTr="003C3470">
        <w:tc>
          <w:tcPr>
            <w:tcW w:w="0" w:type="auto"/>
            <w:hideMark/>
          </w:tcPr>
          <w:p w:rsidR="003C3470" w:rsidRPr="003C3470" w:rsidRDefault="003C3470" w:rsidP="003C3470">
            <w:pPr>
              <w:spacing w:after="160"/>
              <w:rPr>
                <w:b/>
                <w:bCs/>
              </w:rPr>
            </w:pPr>
            <w:r w:rsidRPr="003C3470">
              <w:rPr>
                <w:b/>
                <w:bCs/>
              </w:rPr>
              <w:t>Strengths</w:t>
            </w:r>
          </w:p>
        </w:tc>
        <w:tc>
          <w:tcPr>
            <w:tcW w:w="0" w:type="auto"/>
            <w:hideMark/>
          </w:tcPr>
          <w:p w:rsidR="003C3470" w:rsidRPr="003C3470" w:rsidRDefault="003C3470" w:rsidP="003C3470">
            <w:pPr>
              <w:spacing w:after="160"/>
              <w:rPr>
                <w:b/>
                <w:bCs/>
              </w:rPr>
            </w:pPr>
            <w:r w:rsidRPr="003C3470">
              <w:rPr>
                <w:b/>
                <w:bCs/>
              </w:rPr>
              <w:t>Weaknesses</w:t>
            </w:r>
          </w:p>
        </w:tc>
      </w:tr>
      <w:tr w:rsidR="003C3470" w:rsidRPr="003C3470" w:rsidTr="003C3470">
        <w:tc>
          <w:tcPr>
            <w:tcW w:w="0" w:type="auto"/>
            <w:hideMark/>
          </w:tcPr>
          <w:p w:rsidR="003C3470" w:rsidRPr="003C3470" w:rsidRDefault="003C3470" w:rsidP="003C3470">
            <w:pPr>
              <w:spacing w:after="160"/>
            </w:pPr>
            <w:r w:rsidRPr="003C3470">
              <w:t>Strong global brand reputation</w:t>
            </w:r>
          </w:p>
        </w:tc>
        <w:tc>
          <w:tcPr>
            <w:tcW w:w="0" w:type="auto"/>
            <w:hideMark/>
          </w:tcPr>
          <w:p w:rsidR="003C3470" w:rsidRPr="003C3470" w:rsidRDefault="003C3470" w:rsidP="003C3470">
            <w:pPr>
              <w:spacing w:after="160"/>
            </w:pPr>
            <w:r w:rsidRPr="003C3470">
              <w:t>Higher prices than local competitors</w:t>
            </w:r>
          </w:p>
        </w:tc>
      </w:tr>
      <w:tr w:rsidR="003C3470" w:rsidRPr="003C3470" w:rsidTr="003C3470">
        <w:tc>
          <w:tcPr>
            <w:tcW w:w="0" w:type="auto"/>
            <w:hideMark/>
          </w:tcPr>
          <w:p w:rsidR="003C3470" w:rsidRPr="003C3470" w:rsidRDefault="003C3470" w:rsidP="003C3470">
            <w:pPr>
              <w:spacing w:after="160"/>
            </w:pPr>
            <w:r w:rsidRPr="003C3470">
              <w:t>Extensive R&amp;D capabilities</w:t>
            </w:r>
          </w:p>
        </w:tc>
        <w:tc>
          <w:tcPr>
            <w:tcW w:w="0" w:type="auto"/>
            <w:hideMark/>
          </w:tcPr>
          <w:p w:rsidR="003C3470" w:rsidRPr="003C3470" w:rsidRDefault="003C3470" w:rsidP="003C3470">
            <w:pPr>
              <w:spacing w:after="160"/>
            </w:pPr>
            <w:r w:rsidRPr="003C3470">
              <w:t>Limited penetration in rural areas</w:t>
            </w:r>
          </w:p>
        </w:tc>
      </w:tr>
      <w:tr w:rsidR="003C3470" w:rsidRPr="003C3470" w:rsidTr="003C3470">
        <w:tc>
          <w:tcPr>
            <w:tcW w:w="0" w:type="auto"/>
            <w:hideMark/>
          </w:tcPr>
          <w:p w:rsidR="003C3470" w:rsidRPr="003C3470" w:rsidRDefault="003C3470" w:rsidP="003C3470">
            <w:pPr>
              <w:spacing w:after="160"/>
            </w:pPr>
            <w:r w:rsidRPr="003C3470">
              <w:t>Diverse product portfolio</w:t>
            </w:r>
          </w:p>
        </w:tc>
        <w:tc>
          <w:tcPr>
            <w:tcW w:w="0" w:type="auto"/>
            <w:hideMark/>
          </w:tcPr>
          <w:p w:rsidR="003C3470" w:rsidRPr="003C3470" w:rsidRDefault="003C3470" w:rsidP="003C3470">
            <w:pPr>
              <w:spacing w:after="160"/>
            </w:pPr>
            <w:r w:rsidRPr="003C3470">
              <w:t>Need for localised formulations</w:t>
            </w:r>
          </w:p>
        </w:tc>
      </w:tr>
      <w:tr w:rsidR="003C3470" w:rsidRPr="003C3470" w:rsidTr="003C3470">
        <w:tc>
          <w:tcPr>
            <w:tcW w:w="0" w:type="auto"/>
            <w:hideMark/>
          </w:tcPr>
          <w:p w:rsidR="003C3470" w:rsidRPr="003C3470" w:rsidRDefault="003C3470" w:rsidP="003C3470">
            <w:pPr>
              <w:spacing w:after="160"/>
            </w:pPr>
            <w:r w:rsidRPr="003C3470">
              <w:t>Sustainability leadership</w:t>
            </w:r>
          </w:p>
        </w:tc>
        <w:tc>
          <w:tcPr>
            <w:tcW w:w="0" w:type="auto"/>
            <w:hideMark/>
          </w:tcPr>
          <w:p w:rsidR="003C3470" w:rsidRPr="003C3470" w:rsidRDefault="003C3470" w:rsidP="003C3470">
            <w:pPr>
              <w:spacing w:after="160"/>
            </w:pPr>
            <w:r w:rsidRPr="003C3470">
              <w:t>Heavy reliance on imported raw materials</w:t>
            </w:r>
          </w:p>
        </w:tc>
      </w:tr>
      <w:tr w:rsidR="003C3470" w:rsidRPr="003C3470" w:rsidTr="003C3470">
        <w:tc>
          <w:tcPr>
            <w:tcW w:w="0" w:type="auto"/>
            <w:hideMark/>
          </w:tcPr>
          <w:p w:rsidR="003C3470" w:rsidRPr="003C3470" w:rsidRDefault="003C3470" w:rsidP="003C3470">
            <w:pPr>
              <w:spacing w:after="160"/>
            </w:pPr>
            <w:r w:rsidRPr="003C3470">
              <w:t>Mature digital marketing expertise</w:t>
            </w:r>
          </w:p>
        </w:tc>
        <w:tc>
          <w:tcPr>
            <w:tcW w:w="0" w:type="auto"/>
            <w:hideMark/>
          </w:tcPr>
          <w:p w:rsidR="003C3470" w:rsidRPr="003C3470" w:rsidRDefault="003C3470" w:rsidP="003C3470">
            <w:pPr>
              <w:spacing w:after="160"/>
            </w:pPr>
            <w:r w:rsidRPr="003C3470">
              <w:t>Limited local manufacturing footprint</w:t>
            </w:r>
          </w:p>
        </w:tc>
      </w:tr>
    </w:tbl>
    <w:p w:rsidR="003C3470" w:rsidRDefault="003C3470"/>
    <w:tbl>
      <w:tblPr>
        <w:tblStyle w:val="TableGrid"/>
        <w:tblW w:w="0" w:type="auto"/>
        <w:tblLook w:val="04A0" w:firstRow="1" w:lastRow="0" w:firstColumn="1" w:lastColumn="0" w:noHBand="0" w:noVBand="1"/>
      </w:tblPr>
      <w:tblGrid>
        <w:gridCol w:w="3505"/>
        <w:gridCol w:w="4320"/>
      </w:tblGrid>
      <w:tr w:rsidR="003C3470" w:rsidRPr="003C3470" w:rsidTr="003C3470">
        <w:tc>
          <w:tcPr>
            <w:tcW w:w="3505" w:type="dxa"/>
            <w:hideMark/>
          </w:tcPr>
          <w:p w:rsidR="003C3470" w:rsidRPr="003C3470" w:rsidRDefault="003C3470" w:rsidP="003C3470">
            <w:pPr>
              <w:spacing w:after="160"/>
              <w:rPr>
                <w:b/>
                <w:bCs/>
              </w:rPr>
            </w:pPr>
            <w:r w:rsidRPr="003C3470">
              <w:rPr>
                <w:b/>
                <w:bCs/>
              </w:rPr>
              <w:t>Opportunities</w:t>
            </w:r>
          </w:p>
        </w:tc>
        <w:tc>
          <w:tcPr>
            <w:tcW w:w="4320" w:type="dxa"/>
            <w:hideMark/>
          </w:tcPr>
          <w:p w:rsidR="003C3470" w:rsidRPr="003C3470" w:rsidRDefault="003C3470" w:rsidP="003C3470">
            <w:pPr>
              <w:spacing w:after="160"/>
              <w:rPr>
                <w:b/>
                <w:bCs/>
              </w:rPr>
            </w:pPr>
            <w:r w:rsidRPr="003C3470">
              <w:rPr>
                <w:b/>
                <w:bCs/>
              </w:rPr>
              <w:t>Threats</w:t>
            </w:r>
          </w:p>
        </w:tc>
      </w:tr>
      <w:tr w:rsidR="003C3470" w:rsidRPr="003C3470" w:rsidTr="003C3470">
        <w:tc>
          <w:tcPr>
            <w:tcW w:w="3505" w:type="dxa"/>
            <w:hideMark/>
          </w:tcPr>
          <w:p w:rsidR="003C3470" w:rsidRPr="003C3470" w:rsidRDefault="003C3470" w:rsidP="003C3470">
            <w:pPr>
              <w:spacing w:after="160"/>
            </w:pPr>
            <w:r w:rsidRPr="003C3470">
              <w:t>Rising demand for personal care</w:t>
            </w:r>
          </w:p>
        </w:tc>
        <w:tc>
          <w:tcPr>
            <w:tcW w:w="4320" w:type="dxa"/>
            <w:hideMark/>
          </w:tcPr>
          <w:p w:rsidR="003C3470" w:rsidRPr="003C3470" w:rsidRDefault="003C3470" w:rsidP="003C3470">
            <w:pPr>
              <w:spacing w:after="160"/>
            </w:pPr>
            <w:r w:rsidRPr="003C3470">
              <w:t>Intense competition from Unilever and local firms</w:t>
            </w:r>
          </w:p>
        </w:tc>
      </w:tr>
      <w:tr w:rsidR="003C3470" w:rsidRPr="003C3470" w:rsidTr="003C3470">
        <w:tc>
          <w:tcPr>
            <w:tcW w:w="3505" w:type="dxa"/>
            <w:hideMark/>
          </w:tcPr>
          <w:p w:rsidR="003C3470" w:rsidRPr="003C3470" w:rsidRDefault="003C3470" w:rsidP="003C3470">
            <w:pPr>
              <w:spacing w:after="160"/>
            </w:pPr>
            <w:r w:rsidRPr="003C3470">
              <w:t>Growth in modern retail &amp; e-commerce</w:t>
            </w:r>
          </w:p>
        </w:tc>
        <w:tc>
          <w:tcPr>
            <w:tcW w:w="4320" w:type="dxa"/>
            <w:hideMark/>
          </w:tcPr>
          <w:p w:rsidR="003C3470" w:rsidRPr="003C3470" w:rsidRDefault="003C3470" w:rsidP="003C3470">
            <w:pPr>
              <w:spacing w:after="160"/>
            </w:pPr>
            <w:r w:rsidRPr="003C3470">
              <w:t>Currency exchange risk</w:t>
            </w:r>
          </w:p>
        </w:tc>
      </w:tr>
      <w:tr w:rsidR="003C3470" w:rsidRPr="003C3470" w:rsidTr="003C3470">
        <w:tc>
          <w:tcPr>
            <w:tcW w:w="3505" w:type="dxa"/>
            <w:hideMark/>
          </w:tcPr>
          <w:p w:rsidR="003C3470" w:rsidRPr="003C3470" w:rsidRDefault="003C3470" w:rsidP="003C3470">
            <w:pPr>
              <w:spacing w:after="160"/>
            </w:pPr>
            <w:r w:rsidRPr="003C3470">
              <w:t>Expansion of middle-class consumers</w:t>
            </w:r>
          </w:p>
        </w:tc>
        <w:tc>
          <w:tcPr>
            <w:tcW w:w="4320" w:type="dxa"/>
            <w:hideMark/>
          </w:tcPr>
          <w:p w:rsidR="003C3470" w:rsidRPr="003C3470" w:rsidRDefault="003C3470" w:rsidP="003C3470">
            <w:pPr>
              <w:spacing w:after="160"/>
            </w:pPr>
            <w:r w:rsidRPr="003C3470">
              <w:t>Regulatory changes in packaging</w:t>
            </w:r>
          </w:p>
        </w:tc>
      </w:tr>
      <w:tr w:rsidR="003C3470" w:rsidRPr="003C3470" w:rsidTr="003C3470">
        <w:tc>
          <w:tcPr>
            <w:tcW w:w="3505" w:type="dxa"/>
            <w:hideMark/>
          </w:tcPr>
          <w:p w:rsidR="003C3470" w:rsidRPr="003C3470" w:rsidRDefault="003C3470" w:rsidP="003C3470">
            <w:pPr>
              <w:spacing w:after="160"/>
            </w:pPr>
            <w:r w:rsidRPr="003C3470">
              <w:t>Urbanisation &amp; hygiene awareness</w:t>
            </w:r>
          </w:p>
        </w:tc>
        <w:tc>
          <w:tcPr>
            <w:tcW w:w="4320" w:type="dxa"/>
            <w:hideMark/>
          </w:tcPr>
          <w:p w:rsidR="003C3470" w:rsidRPr="003C3470" w:rsidRDefault="003C3470" w:rsidP="003C3470">
            <w:pPr>
              <w:spacing w:after="160"/>
            </w:pPr>
            <w:r w:rsidRPr="003C3470">
              <w:t>Counterfeit products</w:t>
            </w:r>
          </w:p>
        </w:tc>
      </w:tr>
      <w:tr w:rsidR="003C3470" w:rsidRPr="003C3470" w:rsidTr="003C3470">
        <w:tc>
          <w:tcPr>
            <w:tcW w:w="3505" w:type="dxa"/>
            <w:hideMark/>
          </w:tcPr>
          <w:p w:rsidR="003C3470" w:rsidRPr="003C3470" w:rsidRDefault="003C3470" w:rsidP="003C3470">
            <w:pPr>
              <w:spacing w:after="160"/>
            </w:pPr>
            <w:r w:rsidRPr="003C3470">
              <w:t>Demand for sustainable products</w:t>
            </w:r>
          </w:p>
        </w:tc>
        <w:tc>
          <w:tcPr>
            <w:tcW w:w="4320" w:type="dxa"/>
            <w:hideMark/>
          </w:tcPr>
          <w:p w:rsidR="003C3470" w:rsidRPr="003C3470" w:rsidRDefault="003C3470" w:rsidP="003C3470">
            <w:pPr>
              <w:spacing w:after="160"/>
            </w:pPr>
            <w:r w:rsidRPr="003C3470">
              <w:t>Price-sensitive consumer segments</w:t>
            </w:r>
          </w:p>
        </w:tc>
      </w:tr>
    </w:tbl>
    <w:p w:rsidR="003C3470" w:rsidRDefault="003C3470"/>
    <w:p w:rsidR="003C3470" w:rsidRPr="003C3470" w:rsidRDefault="003C3470" w:rsidP="003C3470">
      <w:r w:rsidRPr="003C3470">
        <w:lastRenderedPageBreak/>
        <w:t>SWOT is useful in summarising the findings of the analysis, but it is also simplistic and lacks prioritisation. It is also very much a subjective interpretation. However, SWOT works well in the synthesis of the external and internal environmental analysis into actionable data.</w:t>
      </w:r>
    </w:p>
    <w:p w:rsidR="00616E3F" w:rsidRPr="00616E3F" w:rsidRDefault="00616E3F" w:rsidP="00BD65D1">
      <w:pPr>
        <w:pStyle w:val="Heading1"/>
      </w:pPr>
      <w:bookmarkStart w:id="8" w:name="_Toc216179971"/>
      <w:r w:rsidRPr="00616E3F">
        <w:t>4. Strategy Development and Formulation</w:t>
      </w:r>
      <w:bookmarkEnd w:id="8"/>
      <w:r w:rsidRPr="00616E3F">
        <w:t xml:space="preserve"> </w:t>
      </w:r>
    </w:p>
    <w:p w:rsidR="00616E3F" w:rsidRPr="00616E3F" w:rsidRDefault="00616E3F" w:rsidP="00616E3F">
      <w:r w:rsidRPr="00616E3F">
        <w:t>Formulating a good market entry strategy of Procter &amp; Gamble (P&amp;G) in Vietnam will involve gaining a thorough insight into the external environment and the internal strengths that define the competitive advantage of the organisation</w:t>
      </w:r>
      <w:r w:rsidR="00F154FF" w:rsidRPr="00F154FF">
        <w:t xml:space="preserve"> (Snee and Hoerl, 2019)</w:t>
      </w:r>
      <w:r w:rsidRPr="00616E3F">
        <w:t>. This part utilizes the existing international business and strategic management models to develop a logical, evidence-based expansion trajectory. The strategy will position P&amp;G well in the dynamic and highly competitive FMCG market of Vietnam by incorporating the Eclectic (OLI) Paradigm by Dunning, the Ansoff Matrix, the Resource-Based View (RBV) and the modern understanding of market entry modes. In addition to this, an implementation plan gives us an idea of how the proposed entry plan may be successfully operationalised.</w:t>
      </w:r>
    </w:p>
    <w:p w:rsidR="00616E3F" w:rsidRPr="00616E3F" w:rsidRDefault="00616E3F" w:rsidP="008812A6">
      <w:pPr>
        <w:pStyle w:val="Heading2"/>
      </w:pPr>
      <w:bookmarkStart w:id="9" w:name="_Toc216179972"/>
      <w:r w:rsidRPr="00616E3F">
        <w:t>4.1 Strategic Objective</w:t>
      </w:r>
      <w:bookmarkEnd w:id="9"/>
    </w:p>
    <w:p w:rsidR="00F154FF" w:rsidRDefault="00616E3F" w:rsidP="00616E3F">
      <w:r w:rsidRPr="00616E3F">
        <w:t>The general strategic vision of P&amp;G in Vietnam is to grow and intensify its presence in Southeast Asia by securing a substantial market base in home care, personal care and the baby care segment. These segments are experiencing good demand growth and are in line with the global capabilities of P&amp;G in innovation and product performance, as well as brand equit</w:t>
      </w:r>
      <w:r w:rsidR="00F154FF">
        <w:t>y</w:t>
      </w:r>
      <w:r w:rsidR="00F154FF" w:rsidRPr="00F154FF">
        <w:t xml:space="preserve"> (Snee and Hoerl, 2019)</w:t>
      </w:r>
      <w:r w:rsidRPr="00616E3F">
        <w:t>. The expansion plan will make P&amp;G a top player in Vietnam using differentiated value propositions- especially sustainability, technological innovation and quality product attributes to effectively compete with the top competitors in the industry, i.e. Unilever and well-established domestic brands.</w:t>
      </w:r>
      <w:r w:rsidR="00F154FF">
        <w:t xml:space="preserve"> </w:t>
      </w:r>
      <w:r w:rsidRPr="00616E3F">
        <w:t>As the global vision of P&amp;G suggests, irresistible superiority, the target is not only to enlarge the product presence of the P&amp;G brands but to make Vietnamese consumers deeply rooted in their lives</w:t>
      </w:r>
      <w:r w:rsidR="00F154FF" w:rsidRPr="00F154FF">
        <w:rPr>
          <w:rFonts w:eastAsia="Times New Roman" w:cs="Times New Roman"/>
          <w:szCs w:val="24"/>
        </w:rPr>
        <w:t xml:space="preserve"> </w:t>
      </w:r>
      <w:r w:rsidR="00F154FF" w:rsidRPr="00F154FF">
        <w:t>(Devadiga and Aithal, 2025)</w:t>
      </w:r>
      <w:r w:rsidRPr="00616E3F">
        <w:t>.</w:t>
      </w:r>
    </w:p>
    <w:p w:rsidR="00616E3F" w:rsidRPr="00616E3F" w:rsidRDefault="00616E3F" w:rsidP="00616E3F">
      <w:r w:rsidRPr="00616E3F">
        <w:t xml:space="preserve">This includes improving brand awareness, building good relationships in distribution, localizing products, and incorporating digital trade into the larger marketing and sales </w:t>
      </w:r>
      <w:r w:rsidRPr="00616E3F">
        <w:lastRenderedPageBreak/>
        <w:t>plan.</w:t>
      </w:r>
      <w:r w:rsidRPr="00616E3F">
        <w:br/>
        <w:t>It is aimed at long-term sustainable growth that has been noted to be attained by the combination of market penetration, product adaptation, capacity building, and strategic partnerships</w:t>
      </w:r>
      <w:r w:rsidR="00F154FF" w:rsidRPr="00F154FF">
        <w:t xml:space="preserve"> (Devadiga and Aithal, 2025)</w:t>
      </w:r>
      <w:r w:rsidRPr="00616E3F">
        <w:t>. Notably, the goal is connected with the ESG of P&amp;G, so sustainability is one of the important components of competitive advantages and trust-building with consumers in Vietnam.</w:t>
      </w:r>
    </w:p>
    <w:p w:rsidR="00616E3F" w:rsidRPr="00616E3F" w:rsidRDefault="00616E3F" w:rsidP="008812A6">
      <w:pPr>
        <w:pStyle w:val="Heading2"/>
      </w:pPr>
      <w:bookmarkStart w:id="10" w:name="_Toc216179973"/>
      <w:r w:rsidRPr="00616E3F">
        <w:t>4.2 Market Entry Mode Strategy</w:t>
      </w:r>
      <w:bookmarkEnd w:id="10"/>
    </w:p>
    <w:p w:rsidR="00616E3F" w:rsidRPr="00616E3F" w:rsidRDefault="00616E3F" w:rsidP="00616E3F">
      <w:r w:rsidRPr="00616E3F">
        <w:t>The type of market entry mode chosen is very important in reducing risk, proper allocation of resources and long-term competitiveness. According to the comprehensive environmental analysis, a Joint Venture (JV) with an established local distributor or manufacturing partner is the best entry mode that P&amp;G would have in Vietnam</w:t>
      </w:r>
      <w:r w:rsidR="00F154FF" w:rsidRPr="00F154FF">
        <w:t xml:space="preserve"> (Theinvestor.vn, 2024)</w:t>
      </w:r>
      <w:r w:rsidRPr="00616E3F">
        <w:t>.</w:t>
      </w:r>
    </w:p>
    <w:p w:rsidR="00616E3F" w:rsidRPr="00F154FF" w:rsidRDefault="00616E3F" w:rsidP="00616E3F">
      <w:pPr>
        <w:rPr>
          <w:b/>
        </w:rPr>
      </w:pPr>
      <w:r w:rsidRPr="00F154FF">
        <w:rPr>
          <w:b/>
        </w:rPr>
        <w:t>The Reason Why a Joint Venture was chosen</w:t>
      </w:r>
    </w:p>
    <w:p w:rsidR="00616E3F" w:rsidRPr="00616E3F" w:rsidRDefault="00616E3F" w:rsidP="00616E3F">
      <w:r w:rsidRPr="00616E3F">
        <w:t>A JV offers the best balance of authority and flexibility in that it handles both operational and strategic issues arising in penetrating a complex and competitive developing market. The regulatory system in Vietnam has been more liberal to foreign investments, but the challenge to entry is the legal requirements, culture, and bureaucracy</w:t>
      </w:r>
      <w:r w:rsidR="00F154FF" w:rsidRPr="00F154FF">
        <w:t xml:space="preserve"> (Killing, 2014)</w:t>
      </w:r>
      <w:r w:rsidRPr="00616E3F">
        <w:t>. A local partner will overcome these obstacles by providing some form of local knowledge, familiarity in the compliance with the regulations, and some form of network in both the retail and distribution channels.</w:t>
      </w:r>
    </w:p>
    <w:p w:rsidR="00616E3F" w:rsidRPr="00616E3F" w:rsidRDefault="00616E3F" w:rsidP="00616E3F">
      <w:r w:rsidRPr="00616E3F">
        <w:t>Moreover, the retail environment is fragmented in Vietnam in the sense that it comprises modern trade shops, traditional mom-and-pop shops and online trade that is growing fast. The presence of a joint venture partner in several layers of distribution is capable of greatly increasing the market penetration of P&amp;G</w:t>
      </w:r>
      <w:r w:rsidR="00F154FF">
        <w:t xml:space="preserve"> </w:t>
      </w:r>
      <w:r w:rsidR="00F154FF" w:rsidRPr="00F154FF">
        <w:t>(Maruyama and Trung, 2011)</w:t>
      </w:r>
      <w:r w:rsidRPr="00616E3F">
        <w:t>. Using local market knowledge will enable P&amp;G to identify the product offering that resonates with Vietnamese consumer needs, be it in formulation, perfume, prices or pack sizes.</w:t>
      </w:r>
    </w:p>
    <w:p w:rsidR="00616E3F" w:rsidRPr="00616E3F" w:rsidRDefault="00616E3F" w:rsidP="00616E3F">
      <w:r w:rsidRPr="00616E3F">
        <w:t xml:space="preserve">The other strategic benefit of a JV is the sharing of investment risk. The size of the market entering the FMCG market requires a large initial capital investment in marketing, logistics, and potentially manufacturing plants. Cost-sharing will minimize risks and allow </w:t>
      </w:r>
      <w:r w:rsidRPr="00616E3F">
        <w:lastRenderedPageBreak/>
        <w:t>P&amp;G to experiment and revise its approach to the market before investing in longer-term activities</w:t>
      </w:r>
      <w:r w:rsidR="00F154FF">
        <w:t xml:space="preserve"> </w:t>
      </w:r>
      <w:r w:rsidR="00F154FF" w:rsidRPr="00F154FF">
        <w:t>(Maruyama and Trung, 2011)</w:t>
      </w:r>
      <w:r w:rsidRPr="00616E3F">
        <w:t>. Compared to licensing, where the company has little control over the branding and quality of the product, a JV makes sure that P&amp;G has a high level of control and the brand reputation is not lost; the quality of the product is maintained.</w:t>
      </w:r>
    </w:p>
    <w:p w:rsidR="00616E3F" w:rsidRPr="00616E3F" w:rsidRDefault="00616E3F" w:rsidP="008812A6">
      <w:pPr>
        <w:pStyle w:val="Heading2"/>
      </w:pPr>
      <w:bookmarkStart w:id="11" w:name="_Toc216179974"/>
      <w:r w:rsidRPr="00616E3F">
        <w:t>4.3 Application of Dunning’s OLI Paradigm</w:t>
      </w:r>
      <w:bookmarkEnd w:id="11"/>
    </w:p>
    <w:p w:rsidR="00616E3F" w:rsidRPr="00616E3F" w:rsidRDefault="00616E3F" w:rsidP="00616E3F">
      <w:r w:rsidRPr="00616E3F">
        <w:t>The Eclectic Paradigm by Dunning provides a strong theoretical opportunity to assess the reasons and manner in which P&amp;G need to enter the Vietnamese market.</w:t>
      </w:r>
    </w:p>
    <w:p w:rsidR="00616E3F" w:rsidRPr="008812A6" w:rsidRDefault="00616E3F" w:rsidP="00616E3F">
      <w:pPr>
        <w:rPr>
          <w:b/>
        </w:rPr>
      </w:pPr>
      <w:r w:rsidRPr="008812A6">
        <w:rPr>
          <w:b/>
        </w:rPr>
        <w:t>Ownership Advantages</w:t>
      </w:r>
    </w:p>
    <w:p w:rsidR="00616E3F" w:rsidRPr="00616E3F" w:rsidRDefault="00616E3F" w:rsidP="00616E3F">
      <w:r w:rsidRPr="00616E3F">
        <w:t>P&amp;G has ownership-specific advantages that are substantial enough to warrant international expansion. These are proprietary technologies, patented formulas, advanced research and development, large marketing strengths and brands like Pampers, Ariel, Downy and Pantene, which are known globally</w:t>
      </w:r>
      <w:r w:rsidR="008812A6" w:rsidRPr="008812A6">
        <w:t xml:space="preserve"> (Cantwell, 2019)</w:t>
      </w:r>
      <w:r w:rsidRPr="00616E3F">
        <w:t>. The good reputation held by the firm in terms of innovation and quality offers an effective platform of differentiation in the competitive FMCG market of Vietnam. These intangible assets generate value to local competitors that can hardly be imitated.</w:t>
      </w:r>
    </w:p>
    <w:p w:rsidR="00616E3F" w:rsidRPr="008812A6" w:rsidRDefault="00616E3F" w:rsidP="00616E3F">
      <w:pPr>
        <w:rPr>
          <w:b/>
        </w:rPr>
      </w:pPr>
      <w:r w:rsidRPr="008812A6">
        <w:rPr>
          <w:b/>
        </w:rPr>
        <w:t>Location Advantages</w:t>
      </w:r>
    </w:p>
    <w:p w:rsidR="00616E3F" w:rsidRPr="00616E3F" w:rsidRDefault="00616E3F" w:rsidP="00616E3F">
      <w:r w:rsidRPr="00616E3F">
        <w:t>Vietnam has various locational advantages that render it an appealing destination to P&amp;G. These benefits are good labour rates, increasing disposable income by the growing middle-income group, and the swiftly growing retail and e-commerce market</w:t>
      </w:r>
      <w:r w:rsidR="008812A6" w:rsidRPr="008812A6">
        <w:t xml:space="preserve"> (Cantwell, 2019)</w:t>
      </w:r>
      <w:r w:rsidRPr="00616E3F">
        <w:t>. The inclusion of Vietnam in the major trade agreements helps lower the tariffs and opens up market access, whereas the location of the country in the region (in the ASEAN) offers the logistical benefit in the integration of the supply chain in the region. The attractiveness of the country to foreign companies is also boosted by the fact that the government has investment-friendly policies.</w:t>
      </w:r>
    </w:p>
    <w:p w:rsidR="00616E3F" w:rsidRPr="008812A6" w:rsidRDefault="00616E3F" w:rsidP="00616E3F">
      <w:pPr>
        <w:rPr>
          <w:b/>
        </w:rPr>
      </w:pPr>
      <w:r w:rsidRPr="008812A6">
        <w:rPr>
          <w:b/>
        </w:rPr>
        <w:t>Internalisation Advantages</w:t>
      </w:r>
    </w:p>
    <w:p w:rsidR="00616E3F" w:rsidRPr="00616E3F" w:rsidRDefault="00616E3F" w:rsidP="00616E3F">
      <w:r w:rsidRPr="00616E3F">
        <w:t xml:space="preserve">The benefits of internalisation are that P&amp;G has to exercise control over the quality of the product, brand reputation, and marketing integrity. Vietnam would subject P&amp;G to risks </w:t>
      </w:r>
      <w:r w:rsidRPr="00616E3F">
        <w:lastRenderedPageBreak/>
        <w:t>related to product inconsistency, counterfeited products, and brand value watering down, resulting from licensing or franchising agreements</w:t>
      </w:r>
      <w:r w:rsidR="008812A6" w:rsidRPr="008812A6">
        <w:t xml:space="preserve"> (Jones and Wren, 2020)</w:t>
      </w:r>
      <w:r w:rsidRPr="00616E3F">
        <w:t>. Internalisation of operations by JV would provide a reliable check and balance of essential processes as opposed to the company bearing sole operations without incumbent local industry knowledge and operational balance. The JV structure is thus in line with the strategic priority of P&amp;G of protecting brand equity and also limiting exposure to risk</w:t>
      </w:r>
      <w:r w:rsidR="008812A6" w:rsidRPr="008812A6">
        <w:t xml:space="preserve"> (Jones and Wren, 2020)</w:t>
      </w:r>
      <w:r w:rsidRPr="00616E3F">
        <w:t>.</w:t>
      </w:r>
    </w:p>
    <w:p w:rsidR="00616E3F" w:rsidRPr="00616E3F" w:rsidRDefault="00616E3F" w:rsidP="008812A6">
      <w:pPr>
        <w:pStyle w:val="Heading2"/>
      </w:pPr>
      <w:bookmarkStart w:id="12" w:name="_Toc216179975"/>
      <w:r w:rsidRPr="00616E3F">
        <w:t>4.4 Alternative Entry Modes Considered</w:t>
      </w:r>
      <w:bookmarkEnd w:id="12"/>
    </w:p>
    <w:p w:rsidR="00616E3F" w:rsidRPr="00616E3F" w:rsidRDefault="00616E3F" w:rsidP="00616E3F">
      <w:r w:rsidRPr="00616E3F">
        <w:t>The JV approach is suggested; however, other possible methods of entry were considered to make sure that the strategy adopted is sound and extensive.</w:t>
      </w:r>
    </w:p>
    <w:p w:rsidR="00616E3F" w:rsidRPr="008812A6" w:rsidRDefault="00616E3F" w:rsidP="00616E3F">
      <w:pPr>
        <w:rPr>
          <w:b/>
        </w:rPr>
      </w:pPr>
      <w:r w:rsidRPr="008812A6">
        <w:rPr>
          <w:b/>
        </w:rPr>
        <w:t>Wholly Owned Subsidiary</w:t>
      </w:r>
    </w:p>
    <w:p w:rsidR="00616E3F" w:rsidRPr="00616E3F" w:rsidRDefault="00616E3F" w:rsidP="00616E3F">
      <w:r w:rsidRPr="00616E3F">
        <w:t>The wholly owned subsidiary would provide P&amp;G with complete control over the operations, and it would be possible to strictly follow the global standards and align with strategies. Nevertheless, this mode is capital-intensive, puts the firm through intricate regulatory demands by itself, and it is more exposed to political and financial risk</w:t>
      </w:r>
      <w:r w:rsidR="008812A6" w:rsidRPr="008812A6">
        <w:t xml:space="preserve"> (Markman and Hin, 2021)</w:t>
      </w:r>
      <w:r w:rsidRPr="00616E3F">
        <w:t>. Considering the fact that Vietnam has a fragmented distribution environment and high demand for local market understanding, it would be proportional and resource-intensive to establish a wholly owned subsidiary in the beginning.</w:t>
      </w:r>
    </w:p>
    <w:p w:rsidR="00616E3F" w:rsidRPr="008812A6" w:rsidRDefault="00616E3F" w:rsidP="00616E3F">
      <w:pPr>
        <w:rPr>
          <w:b/>
        </w:rPr>
      </w:pPr>
      <w:r w:rsidRPr="008812A6">
        <w:rPr>
          <w:b/>
        </w:rPr>
        <w:t>Acquisition</w:t>
      </w:r>
    </w:p>
    <w:p w:rsidR="00616E3F" w:rsidRPr="00616E3F" w:rsidRDefault="00616E3F" w:rsidP="00616E3F">
      <w:r w:rsidRPr="00616E3F">
        <w:t>Another strategy that may help fasten market penetration is buying a local Vietnamese company offers an entry to developed brands, distribution channels, and markets. However, there are few suitable acquisition targets that can fit the performance standards, product categories, and sustainability values of P&amp;G</w:t>
      </w:r>
      <w:r w:rsidR="008812A6" w:rsidRPr="008812A6">
        <w:t xml:space="preserve"> (Filippell, 2011)</w:t>
      </w:r>
      <w:r w:rsidRPr="00616E3F">
        <w:t>. The issue of integration of the acquisitions is also a problem, cultural conflict, and probable lack of fit in the organisational structure, which makes this less desirable compared to a JV.</w:t>
      </w:r>
    </w:p>
    <w:p w:rsidR="00616E3F" w:rsidRPr="008812A6" w:rsidRDefault="00616E3F" w:rsidP="00616E3F">
      <w:pPr>
        <w:rPr>
          <w:b/>
        </w:rPr>
      </w:pPr>
      <w:r w:rsidRPr="008812A6">
        <w:rPr>
          <w:b/>
        </w:rPr>
        <w:t>Licensing</w:t>
      </w:r>
    </w:p>
    <w:p w:rsidR="00616E3F" w:rsidRPr="00616E3F" w:rsidRDefault="00616E3F" w:rsidP="00616E3F">
      <w:r w:rsidRPr="00616E3F">
        <w:lastRenderedPageBreak/>
        <w:t>The licensing would reduce the cost of investments and risk, and they would lack control over the brand representation, the quality of products, and the integrity of the supply chains. Since P&amp;G is a globally focused company that focuses on high quality and branding, this loss of control will compromise long-term strategic goals</w:t>
      </w:r>
      <w:r w:rsidR="008812A6" w:rsidRPr="008812A6">
        <w:t xml:space="preserve"> (Filippell, 2011)</w:t>
      </w:r>
      <w:r w:rsidRPr="00616E3F">
        <w:t>. With brand trust and product performance being the key factors to consumer purchase, licensing is thus inappropriate in a category.</w:t>
      </w:r>
    </w:p>
    <w:p w:rsidR="00616E3F" w:rsidRPr="00616E3F" w:rsidRDefault="00616E3F" w:rsidP="008812A6">
      <w:pPr>
        <w:pStyle w:val="Heading2"/>
      </w:pPr>
      <w:bookmarkStart w:id="13" w:name="_Toc216179976"/>
      <w:r w:rsidRPr="00616E3F">
        <w:t>4.5 Resource-Based View (RBV) and Competitive Advantage</w:t>
      </w:r>
      <w:bookmarkEnd w:id="13"/>
    </w:p>
    <w:p w:rsidR="00616E3F" w:rsidRPr="00616E3F" w:rsidRDefault="00616E3F" w:rsidP="00616E3F">
      <w:r w:rsidRPr="00616E3F">
        <w:t>The RBV framework highlights the importance of using the internal resources and capabilities of P&amp;G to achieve a competitive advantage in Vietnam. The capabilities exhibited by P&amp;G fit the VRIO requirements of valuable, rare, inimitable, and organisationally embedded, and place the company in a favourable position to expand internationally</w:t>
      </w:r>
      <w:r w:rsidR="008812A6" w:rsidRPr="008812A6">
        <w:t xml:space="preserve"> (Adeel, 2017)</w:t>
      </w:r>
      <w:r w:rsidRPr="00616E3F">
        <w:t>.</w:t>
      </w:r>
    </w:p>
    <w:p w:rsidR="00616E3F" w:rsidRPr="008812A6" w:rsidRDefault="00616E3F" w:rsidP="00616E3F">
      <w:pPr>
        <w:rPr>
          <w:b/>
        </w:rPr>
      </w:pPr>
      <w:r w:rsidRPr="008812A6">
        <w:rPr>
          <w:b/>
        </w:rPr>
        <w:t>Valuable Resources</w:t>
      </w:r>
    </w:p>
    <w:p w:rsidR="00616E3F" w:rsidRPr="00616E3F" w:rsidRDefault="00616E3F" w:rsidP="00616E3F">
      <w:r w:rsidRPr="00616E3F">
        <w:t>The large brand portfolio, the presence of global R&amp;D, advanced supply chain management, and digital marketing skills of P&amp;G can be of great use in meeting consumer needs and competing favourably</w:t>
      </w:r>
      <w:r w:rsidR="008812A6" w:rsidRPr="008812A6">
        <w:t xml:space="preserve"> (Adeel, 2017)</w:t>
      </w:r>
      <w:r w:rsidRPr="00616E3F">
        <w:t>. These assets promote a high-quality of products, innovation, and interactions with consumers.</w:t>
      </w:r>
    </w:p>
    <w:p w:rsidR="00616E3F" w:rsidRPr="008812A6" w:rsidRDefault="008812A6" w:rsidP="00616E3F">
      <w:pPr>
        <w:rPr>
          <w:b/>
        </w:rPr>
      </w:pPr>
      <w:r>
        <w:rPr>
          <w:b/>
        </w:rPr>
        <w:t>Unique Competencies</w:t>
      </w:r>
    </w:p>
    <w:p w:rsidR="00616E3F" w:rsidRPr="00616E3F" w:rsidRDefault="00616E3F" w:rsidP="00616E3F">
      <w:r w:rsidRPr="00616E3F">
        <w:t>The long-established brand equity, the proprietary technologies, and the integrated global operations cannot be easily copied by the rivals of P&amp;G. The trust in brands, especially, is a major intangible resource in markets where quality and safety issues play a role in the choices made by consumers.</w:t>
      </w:r>
    </w:p>
    <w:p w:rsidR="00616E3F" w:rsidRPr="008812A6" w:rsidRDefault="00616E3F" w:rsidP="00616E3F">
      <w:pPr>
        <w:rPr>
          <w:b/>
        </w:rPr>
      </w:pPr>
      <w:r w:rsidRPr="008812A6">
        <w:rPr>
          <w:b/>
        </w:rPr>
        <w:t>Organisational Capability</w:t>
      </w:r>
    </w:p>
    <w:p w:rsidR="00616E3F" w:rsidRPr="00616E3F" w:rsidRDefault="00616E3F" w:rsidP="00616E3F">
      <w:r w:rsidRPr="00616E3F">
        <w:t>The organisational culture and global structure of the firm are based on continuous improvement, which facilitates the complex operations on the international level. The strategic execution of P&amp;G in the new markets is supported by its training programmes, sustainability, and performance culture</w:t>
      </w:r>
      <w:r w:rsidR="008812A6" w:rsidRPr="008812A6">
        <w:t xml:space="preserve"> (Das, 2017)</w:t>
      </w:r>
      <w:r w:rsidRPr="00616E3F">
        <w:t>.</w:t>
      </w:r>
    </w:p>
    <w:p w:rsidR="00616E3F" w:rsidRPr="00616E3F" w:rsidRDefault="008812A6" w:rsidP="008812A6">
      <w:pPr>
        <w:pStyle w:val="Heading2"/>
      </w:pPr>
      <w:bookmarkStart w:id="14" w:name="_Toc216179977"/>
      <w:r>
        <w:lastRenderedPageBreak/>
        <w:t>4.6</w:t>
      </w:r>
      <w:r w:rsidR="00616E3F" w:rsidRPr="00616E3F">
        <w:t xml:space="preserve"> Compet</w:t>
      </w:r>
      <w:r>
        <w:t>itive Strategy: Differentiation</w:t>
      </w:r>
      <w:bookmarkEnd w:id="14"/>
    </w:p>
    <w:p w:rsidR="00616E3F" w:rsidRPr="00616E3F" w:rsidRDefault="00616E3F" w:rsidP="00616E3F">
      <w:r w:rsidRPr="00616E3F">
        <w:t>The Generic Strategies identified by Porter bring about the importance of firms having either cost leadership, differentiation, or focus in order to survive forces. In the context of the availability of cost-efficient local managers and the high competitive forces in the region, cost leadership cannot be a viable path for P&amp;G in Vietnam. Rather, differentiation comes out as the best strategy</w:t>
      </w:r>
      <w:r w:rsidR="008812A6" w:rsidRPr="008812A6">
        <w:t xml:space="preserve"> (Rao, 2017)</w:t>
      </w:r>
      <w:r w:rsidRPr="00616E3F">
        <w:t>.</w:t>
      </w:r>
    </w:p>
    <w:p w:rsidR="00616E3F" w:rsidRPr="00616E3F" w:rsidRDefault="00616E3F" w:rsidP="00616E3F">
      <w:r w:rsidRPr="00616E3F">
        <w:t>Such differentiation as product superiority, sustainability, consumer-centric communication, and technological integration can be made. The global emphasis of P&amp;G on irresistible superiority is in line with providing the customers with differentiated value propositions based on performance, fragrance, packaging innovation, and excellent customer service</w:t>
      </w:r>
      <w:r w:rsidR="008812A6" w:rsidRPr="008812A6">
        <w:t xml:space="preserve"> (Rao, 2017)</w:t>
      </w:r>
      <w:r w:rsidRPr="00616E3F">
        <w:t>. Also, recyclable packaging and the low amount of chemicals can be sustainability initiatives that could attract urban consumers who are more environmentally responsible.</w:t>
      </w:r>
    </w:p>
    <w:p w:rsidR="00616E3F" w:rsidRPr="00616E3F" w:rsidRDefault="00616E3F" w:rsidP="00616E3F">
      <w:r w:rsidRPr="00616E3F">
        <w:t>Digital differentiation is also essential. Through the implementation of sophisticated analytics, A/B testing, partnerships with influencers, and customised promotion via the e-commerce channel, P&amp;G will be able to make its offerings more competitive and establish stronger relationships with consumers.</w:t>
      </w:r>
    </w:p>
    <w:p w:rsidR="00616E3F" w:rsidRPr="00616E3F" w:rsidRDefault="00616E3F" w:rsidP="008812A6">
      <w:pPr>
        <w:pStyle w:val="Heading2"/>
      </w:pPr>
      <w:bookmarkStart w:id="15" w:name="_Toc216179978"/>
      <w:r w:rsidRPr="00616E3F">
        <w:t>4.8 Implementation Strategy</w:t>
      </w:r>
      <w:bookmarkEnd w:id="15"/>
    </w:p>
    <w:p w:rsidR="00616E3F" w:rsidRPr="00616E3F" w:rsidRDefault="00616E3F" w:rsidP="00616E3F">
      <w:r w:rsidRPr="00616E3F">
        <w:t>To effectively and successfully implement the plan of expansion into the Vietnamese market, P&amp;G needs to have a balanced and gradual implementation plan, which is consistent with organisational strengths, market responsive, and sustainable in the long run</w:t>
      </w:r>
      <w:r w:rsidR="008812A6" w:rsidRPr="008812A6">
        <w:t xml:space="preserve"> (Verweire, 2014)</w:t>
      </w:r>
      <w:r w:rsidRPr="00616E3F">
        <w:t>. The upcoming five stages provide a logical roadmap that facilitates efficiency in operations, flexibility in culture, and competitive diversification.</w:t>
      </w:r>
    </w:p>
    <w:p w:rsidR="00616E3F" w:rsidRPr="00616E3F" w:rsidRDefault="00616E3F" w:rsidP="00616E3F">
      <w:r w:rsidRPr="00616E3F">
        <w:t>Phase</w:t>
      </w:r>
      <w:r w:rsidR="008812A6">
        <w:t xml:space="preserve"> 1: Evaluation of Joint Venture</w:t>
      </w:r>
    </w:p>
    <w:p w:rsidR="00616E3F" w:rsidRPr="00616E3F" w:rsidRDefault="00616E3F" w:rsidP="00616E3F">
      <w:r w:rsidRPr="00616E3F">
        <w:t>The initial step is a search, analysis and legalisation of a strategic joint venture (JV) relationship with a good team of distributors or producers in Vietnam. P&amp;G should ensure that due diligence is done so as to evaluate the potential partners on the basis of their distribution network, financial soundness, operational potential and how well they match the corporate values and culture of governance at P&amp;G</w:t>
      </w:r>
      <w:r w:rsidR="008812A6" w:rsidRPr="008812A6">
        <w:t xml:space="preserve"> (Steilmann, 2017)</w:t>
      </w:r>
      <w:r w:rsidRPr="00616E3F">
        <w:t xml:space="preserve">. This </w:t>
      </w:r>
      <w:r w:rsidRPr="00616E3F">
        <w:lastRenderedPageBreak/>
        <w:t>evaluation guarantees that the JV partner brings in the complementary strengths and eliminates the operational risks. After getting a good partner, P&amp;G must come up with clear governance frameworks that outline decision making processes, performance benchmarks as well as responsibility areas of each member</w:t>
      </w:r>
      <w:r w:rsidR="008812A6" w:rsidRPr="008812A6">
        <w:t xml:space="preserve"> (Steilmann, 2017)</w:t>
      </w:r>
      <w:r w:rsidRPr="00616E3F">
        <w:t xml:space="preserve">. Such systems of governance are critical to transparency, accountability, and strategic alignment between P&amp;G and its partner. </w:t>
      </w:r>
    </w:p>
    <w:p w:rsidR="00616E3F" w:rsidRPr="00616E3F" w:rsidRDefault="00616E3F" w:rsidP="00616E3F">
      <w:r w:rsidRPr="00616E3F">
        <w:t>Phase 2: Market Preparation and Localisation of the Products.</w:t>
      </w:r>
    </w:p>
    <w:p w:rsidR="00616E3F" w:rsidRPr="00616E3F" w:rsidRDefault="00616E3F" w:rsidP="00616E3F">
      <w:r w:rsidRPr="00616E3F">
        <w:t>The second stage underlines market preparation and product adjustment as it is important to make sure that P&amp;G offerings are attractive to the Vietnamese preference in consumption. This starts with long consumer research in order to know the local tastes, behaviour, cultural perception, and category-specific expectation</w:t>
      </w:r>
      <w:r w:rsidR="008812A6" w:rsidRPr="008812A6">
        <w:t xml:space="preserve"> (Johansson, 2020)</w:t>
      </w:r>
      <w:r w:rsidRPr="00616E3F">
        <w:t>. The lessons learned in focus groups, the surveys and market analytics must be used to make alterations to product formulations, including changing fragrances, textures and active ingredients based on climatic conditions and local tastes. Localisation is also applied in packaging whereby the development of smaller or cheaper pack sizes is presented, which matches the buying behaviour in emerging markets. P&amp;G should also ensure that it has good local customer service systems to promote customer satisfaction and build brand trust in the form of helplines, product education programs and quality assurance mechanisms</w:t>
      </w:r>
      <w:r w:rsidR="008812A6" w:rsidRPr="008812A6">
        <w:t xml:space="preserve"> (Johansson, 2020)</w:t>
      </w:r>
      <w:r w:rsidRPr="00616E3F">
        <w:t>. All these factors make sure that the products of P&amp;G are not only technically better, but they are culturally oriented and reach various income groups.</w:t>
      </w:r>
    </w:p>
    <w:p w:rsidR="00616E3F" w:rsidRPr="00616E3F" w:rsidRDefault="00616E3F" w:rsidP="00616E3F">
      <w:r w:rsidRPr="00616E3F">
        <w:t>Phase 3 Distribution and Retail Integration.</w:t>
      </w:r>
    </w:p>
    <w:p w:rsidR="00616E3F" w:rsidRPr="00616E3F" w:rsidRDefault="00616E3F" w:rsidP="00616E3F">
      <w:r w:rsidRPr="00616E3F">
        <w:t>The third stage is to be integrated in the multifaceted retail system of Vietnam with P&amp;G products. Developing or building partnership with large retail outlets like VinMart, Co.opmart, Lotte mart and Circle K will be key in ensuring stable presence in urban markets. These alliances help P&amp;G to capitalize on the emerging use of modern retail outlets that are gaining significant popularity in the middle-income category of consumers</w:t>
      </w:r>
      <w:r w:rsidR="008812A6" w:rsidRPr="008812A6">
        <w:t xml:space="preserve"> (Markman and Hin, 2021)</w:t>
      </w:r>
      <w:r w:rsidRPr="00616E3F">
        <w:t xml:space="preserve">. Nonetheless, the rural areas make up a large part of the Vietnamese market and the distribution strategies should be able to accommodate this. P&amp;G can leverage on the already existing logistics infrastructure and networks by the JV </w:t>
      </w:r>
      <w:r w:rsidRPr="00616E3F">
        <w:lastRenderedPageBreak/>
        <w:t>partner to achieve a tailored approach in accessing the rural regions such as partnering with small independent stores and local wholesalers. Also, as the e-commerce becomes one of the key purchasing channels, P&amp;G needs to increase its presence in platforms like Shopee, Lazada, Tiki, and Tik Tok Shop. The optimal listing of products, pricing approaches, marketing offers, and algorithmic advertising guarantee the competitive positioning in the online market.</w:t>
      </w:r>
    </w:p>
    <w:p w:rsidR="00616E3F" w:rsidRPr="008812A6" w:rsidRDefault="00616E3F" w:rsidP="00616E3F">
      <w:pPr>
        <w:rPr>
          <w:b/>
        </w:rPr>
      </w:pPr>
      <w:r w:rsidRPr="008812A6">
        <w:rPr>
          <w:b/>
        </w:rPr>
        <w:t>Phase 4: Marketing and Brand</w:t>
      </w:r>
      <w:r w:rsidR="008812A6" w:rsidRPr="008812A6">
        <w:rPr>
          <w:b/>
        </w:rPr>
        <w:t xml:space="preserve"> Building</w:t>
      </w:r>
    </w:p>
    <w:p w:rsidR="00616E3F" w:rsidRPr="00616E3F" w:rsidRDefault="00616E3F" w:rsidP="00616E3F">
      <w:r w:rsidRPr="00616E3F">
        <w:t>The fourth step of implementation is marketing and brand development whereby P&amp;G needs to establish strong emotional and cultural relationships with Vietnamese consumers. It is also important to introduce culturally specific campaigns, particularly, the ones, which are devoted to such significant celebrations as Tet (Lunar New Year), Mid-Autumn Festival, and national holidays.</w:t>
      </w:r>
      <w:r w:rsidR="008812A6" w:rsidRPr="008812A6">
        <w:t xml:space="preserve"> (Wang and Pizam, 2017)</w:t>
      </w:r>
      <w:r w:rsidRPr="00616E3F">
        <w:t xml:space="preserve"> Partnerships with local celebrities, influencers and digital creators can increase the brand relatability and awareness of younger audiences. The process also demands effective expression of the sustainability commitments of P&amp;G. A strong brand name along with clear messages on environmentally friendly packaging, fewer use of plastic materials and initiating activities to engage community members can enhance the brand image of P&amp;G as well as help it to stand out among other brands, especially in the urban markets where environmental awareness is increasing</w:t>
      </w:r>
      <w:r w:rsidR="00951728" w:rsidRPr="00951728">
        <w:t xml:space="preserve"> (Wang and Pizam, 2017)</w:t>
      </w:r>
      <w:r w:rsidRPr="00616E3F">
        <w:t>.</w:t>
      </w:r>
    </w:p>
    <w:p w:rsidR="00616E3F" w:rsidRPr="00951728" w:rsidRDefault="00616E3F" w:rsidP="00616E3F">
      <w:pPr>
        <w:rPr>
          <w:b/>
        </w:rPr>
      </w:pPr>
      <w:r w:rsidRPr="00951728">
        <w:rPr>
          <w:b/>
        </w:rPr>
        <w:t>Phase 5: Operating Scale and Capability Formation.</w:t>
      </w:r>
    </w:p>
    <w:p w:rsidR="0074773D" w:rsidRDefault="00616E3F" w:rsidP="00616E3F">
      <w:pPr>
        <w:sectPr w:rsidR="0074773D" w:rsidSect="007D1D9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pPr>
      <w:r w:rsidRPr="00616E3F">
        <w:t>The last stage emphasises on long-term expansion and capacity building projects which will facilitate the growth of P&amp;G in the long-term in Vietnam. With increased market performance, P&amp;G ought to evaluate the possibility of setting up local production plants to lower the reliance on imports, lower the logistics expenses, and strengthen the supply chain</w:t>
      </w:r>
      <w:r w:rsidR="00951728" w:rsidRPr="00951728">
        <w:t xml:space="preserve"> (Shmaliy and Nayyar, 2023)</w:t>
      </w:r>
      <w:r w:rsidRPr="00616E3F">
        <w:t xml:space="preserve">. It also helps P&amp;G to be more responsive to market trends by reducing the product development and product distribution timelines with locally based production. Simultaneously, human capital should be invested in. The training programmes to local employees and managers should focus on the organisational culture, quality standards, sustainability practices, and innovativeness that P&amp;G has. </w:t>
      </w:r>
    </w:p>
    <w:p w:rsidR="00616E3F" w:rsidRDefault="00616E3F" w:rsidP="00616E3F"/>
    <w:p w:rsidR="00BD65D1" w:rsidRDefault="00BD65D1" w:rsidP="00BD65D1">
      <w:pPr>
        <w:pStyle w:val="Heading1"/>
      </w:pPr>
      <w:bookmarkStart w:id="16" w:name="_Toc216179979"/>
      <w:r>
        <w:t>5. Performance Evaluation</w:t>
      </w:r>
      <w:bookmarkEnd w:id="16"/>
    </w:p>
    <w:p w:rsidR="007D1D9D" w:rsidRPr="007D1D9D" w:rsidRDefault="007D1D9D" w:rsidP="007D1D9D">
      <w:pPr>
        <w:pStyle w:val="Heading2"/>
      </w:pPr>
      <w:r>
        <w:t xml:space="preserve">5.1 Triple Bottom Line </w:t>
      </w:r>
    </w:p>
    <w:tbl>
      <w:tblPr>
        <w:tblStyle w:val="GridTable5Dark-Accent1"/>
        <w:tblW w:w="0" w:type="auto"/>
        <w:tblLook w:val="04A0" w:firstRow="1" w:lastRow="0" w:firstColumn="1" w:lastColumn="0" w:noHBand="0" w:noVBand="1"/>
      </w:tblPr>
      <w:tblGrid>
        <w:gridCol w:w="1913"/>
        <w:gridCol w:w="2024"/>
        <w:gridCol w:w="1849"/>
        <w:gridCol w:w="2455"/>
        <w:gridCol w:w="2553"/>
        <w:gridCol w:w="2156"/>
      </w:tblGrid>
      <w:tr w:rsidR="0074773D" w:rsidRPr="00BD65D1" w:rsidTr="007477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D65D1" w:rsidRPr="00BD65D1" w:rsidRDefault="00BD65D1" w:rsidP="00BD65D1">
            <w:pPr>
              <w:spacing w:after="160"/>
            </w:pPr>
            <w:r w:rsidRPr="00BD65D1">
              <w:t>TBL Dimension</w:t>
            </w:r>
          </w:p>
        </w:tc>
        <w:tc>
          <w:tcPr>
            <w:tcW w:w="0" w:type="auto"/>
            <w:hideMark/>
          </w:tcPr>
          <w:p w:rsidR="00BD65D1" w:rsidRPr="00BD65D1" w:rsidRDefault="00BD65D1" w:rsidP="00BD65D1">
            <w:pPr>
              <w:spacing w:after="160"/>
              <w:cnfStyle w:val="100000000000" w:firstRow="1" w:lastRow="0" w:firstColumn="0" w:lastColumn="0" w:oddVBand="0" w:evenVBand="0" w:oddHBand="0" w:evenHBand="0" w:firstRowFirstColumn="0" w:firstRowLastColumn="0" w:lastRowFirstColumn="0" w:lastRowLastColumn="0"/>
            </w:pPr>
            <w:r w:rsidRPr="00BD65D1">
              <w:t>Sub-Focus</w:t>
            </w:r>
          </w:p>
        </w:tc>
        <w:tc>
          <w:tcPr>
            <w:tcW w:w="0" w:type="auto"/>
            <w:hideMark/>
          </w:tcPr>
          <w:p w:rsidR="00BD65D1" w:rsidRPr="00BD65D1" w:rsidRDefault="00BD65D1" w:rsidP="00BD65D1">
            <w:pPr>
              <w:spacing w:after="160"/>
              <w:cnfStyle w:val="100000000000" w:firstRow="1" w:lastRow="0" w:firstColumn="0" w:lastColumn="0" w:oddVBand="0" w:evenVBand="0" w:oddHBand="0" w:evenHBand="0" w:firstRowFirstColumn="0" w:firstRowLastColumn="0" w:lastRowFirstColumn="0" w:lastRowLastColumn="0"/>
            </w:pPr>
            <w:r w:rsidRPr="00BD65D1">
              <w:t>Strategic Objective (SAFE Lens)</w:t>
            </w:r>
          </w:p>
        </w:tc>
        <w:tc>
          <w:tcPr>
            <w:tcW w:w="0" w:type="auto"/>
            <w:hideMark/>
          </w:tcPr>
          <w:p w:rsidR="00BD65D1" w:rsidRPr="00BD65D1" w:rsidRDefault="00BD65D1" w:rsidP="00BD65D1">
            <w:pPr>
              <w:spacing w:after="160"/>
              <w:cnfStyle w:val="100000000000" w:firstRow="1" w:lastRow="0" w:firstColumn="0" w:lastColumn="0" w:oddVBand="0" w:evenVBand="0" w:oddHBand="0" w:evenHBand="0" w:firstRowFirstColumn="0" w:firstRowLastColumn="0" w:lastRowFirstColumn="0" w:lastRowLastColumn="0"/>
            </w:pPr>
            <w:r w:rsidRPr="00BD65D1">
              <w:t>Key Performance Indicators (KPIs)</w:t>
            </w:r>
          </w:p>
        </w:tc>
        <w:tc>
          <w:tcPr>
            <w:tcW w:w="0" w:type="auto"/>
            <w:hideMark/>
          </w:tcPr>
          <w:p w:rsidR="00BD65D1" w:rsidRPr="00BD65D1" w:rsidRDefault="00BD65D1" w:rsidP="00BD65D1">
            <w:pPr>
              <w:spacing w:after="160"/>
              <w:cnfStyle w:val="100000000000" w:firstRow="1" w:lastRow="0" w:firstColumn="0" w:lastColumn="0" w:oddVBand="0" w:evenVBand="0" w:oddHBand="0" w:evenHBand="0" w:firstRowFirstColumn="0" w:firstRowLastColumn="0" w:lastRowFirstColumn="0" w:lastRowLastColumn="0"/>
            </w:pPr>
            <w:r w:rsidRPr="00BD65D1">
              <w:t>Target / Success Metric</w:t>
            </w:r>
          </w:p>
        </w:tc>
        <w:tc>
          <w:tcPr>
            <w:tcW w:w="0" w:type="auto"/>
            <w:hideMark/>
          </w:tcPr>
          <w:p w:rsidR="00BD65D1" w:rsidRPr="00BD65D1" w:rsidRDefault="00BD65D1" w:rsidP="00BD65D1">
            <w:pPr>
              <w:spacing w:after="160"/>
              <w:cnfStyle w:val="100000000000" w:firstRow="1" w:lastRow="0" w:firstColumn="0" w:lastColumn="0" w:oddVBand="0" w:evenVBand="0" w:oddHBand="0" w:evenHBand="0" w:firstRowFirstColumn="0" w:firstRowLastColumn="0" w:lastRowFirstColumn="0" w:lastRowLastColumn="0"/>
            </w:pPr>
            <w:r w:rsidRPr="00BD65D1">
              <w:t>Data Source &amp; Frequency</w:t>
            </w:r>
          </w:p>
        </w:tc>
      </w:tr>
      <w:tr w:rsidR="0074773D" w:rsidRPr="00BD65D1" w:rsidTr="00747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D65D1" w:rsidRPr="00BD65D1" w:rsidRDefault="00BD65D1" w:rsidP="00BD65D1">
            <w:pPr>
              <w:spacing w:after="160"/>
            </w:pPr>
            <w:r w:rsidRPr="00BD65D1">
              <w:t>Economic (Profit)</w:t>
            </w:r>
          </w:p>
        </w:tc>
        <w:tc>
          <w:tcPr>
            <w:tcW w:w="0" w:type="auto"/>
            <w:hideMark/>
          </w:tcPr>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Growth &amp; Competitiveness</w:t>
            </w:r>
          </w:p>
        </w:tc>
        <w:tc>
          <w:tcPr>
            <w:tcW w:w="0" w:type="auto"/>
            <w:hideMark/>
          </w:tcPr>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Achieve </w:t>
            </w:r>
            <w:r w:rsidRPr="00BD65D1">
              <w:rPr>
                <w:b/>
                <w:bCs/>
              </w:rPr>
              <w:t>sustainable and accountable</w:t>
            </w:r>
            <w:r w:rsidRPr="00BD65D1">
              <w:t xml:space="preserve"> growth while maintaining brand superiority.</w:t>
            </w:r>
          </w:p>
        </w:tc>
        <w:tc>
          <w:tcPr>
            <w:tcW w:w="0" w:type="auto"/>
            <w:hideMark/>
          </w:tcPr>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Revenue growth from expansion market </w:t>
            </w:r>
          </w:p>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Market share vs main competitors </w:t>
            </w:r>
          </w:p>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EBIT margin from new operations </w:t>
            </w:r>
          </w:p>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Payback period on investments</w:t>
            </w:r>
          </w:p>
        </w:tc>
        <w:tc>
          <w:tcPr>
            <w:tcW w:w="0" w:type="auto"/>
            <w:hideMark/>
          </w:tcPr>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≥10–12% annual revenue growth (first 3–5 years) </w:t>
            </w:r>
          </w:p>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Top 3 position in priority categories by Year 5 </w:t>
            </w:r>
          </w:p>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EBIT margin at or above regional average </w:t>
            </w:r>
          </w:p>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Payback within 5–7 years</w:t>
            </w:r>
          </w:p>
        </w:tc>
        <w:tc>
          <w:tcPr>
            <w:tcW w:w="0" w:type="auto"/>
            <w:hideMark/>
          </w:tcPr>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Financial statements, sales dashboards – quarterly </w:t>
            </w:r>
          </w:p>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Retail audit / panel data – semi-annually</w:t>
            </w:r>
          </w:p>
        </w:tc>
      </w:tr>
      <w:tr w:rsidR="0074773D" w:rsidRPr="00BD65D1" w:rsidTr="0074773D">
        <w:tc>
          <w:tcPr>
            <w:cnfStyle w:val="001000000000" w:firstRow="0" w:lastRow="0" w:firstColumn="1" w:lastColumn="0" w:oddVBand="0" w:evenVBand="0" w:oddHBand="0" w:evenHBand="0" w:firstRowFirstColumn="0" w:firstRowLastColumn="0" w:lastRowFirstColumn="0" w:lastRowLastColumn="0"/>
            <w:tcW w:w="0" w:type="auto"/>
            <w:hideMark/>
          </w:tcPr>
          <w:p w:rsidR="00BD65D1" w:rsidRPr="00BD65D1" w:rsidRDefault="00BD65D1" w:rsidP="00BD65D1">
            <w:pPr>
              <w:spacing w:after="160"/>
            </w:pPr>
            <w:r w:rsidRPr="00BD65D1">
              <w:lastRenderedPageBreak/>
              <w:t>Economic (Profit)</w:t>
            </w:r>
          </w:p>
        </w:tc>
        <w:tc>
          <w:tcPr>
            <w:tcW w:w="0" w:type="auto"/>
            <w:hideMark/>
          </w:tcPr>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Process &amp; Efficiency</w:t>
            </w:r>
          </w:p>
        </w:tc>
        <w:tc>
          <w:tcPr>
            <w:tcW w:w="0" w:type="auto"/>
            <w:hideMark/>
          </w:tcPr>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Ensure </w:t>
            </w:r>
            <w:r w:rsidRPr="00BD65D1">
              <w:rPr>
                <w:b/>
                <w:bCs/>
              </w:rPr>
              <w:t>efficient and ethical</w:t>
            </w:r>
            <w:r w:rsidRPr="00BD65D1">
              <w:t xml:space="preserve"> operations and supply chain.</w:t>
            </w:r>
          </w:p>
        </w:tc>
        <w:tc>
          <w:tcPr>
            <w:tcW w:w="0" w:type="auto"/>
            <w:hideMark/>
          </w:tcPr>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Local sourcing ratio of inputs and packaging </w:t>
            </w:r>
          </w:p>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Logistics cost as % of sales </w:t>
            </w:r>
          </w:p>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Forecast accuracy </w:t>
            </w:r>
          </w:p>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On-shelf availability in key channels</w:t>
            </w:r>
          </w:p>
        </w:tc>
        <w:tc>
          <w:tcPr>
            <w:tcW w:w="0" w:type="auto"/>
            <w:hideMark/>
          </w:tcPr>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≥40% locally sourced materials by Year 5 </w:t>
            </w:r>
          </w:p>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Year-on-year reduction in logistics cost % of sales </w:t>
            </w:r>
          </w:p>
          <w:p w:rsidR="00BD65D1" w:rsidRPr="00BD65D1" w:rsidRDefault="0074773D" w:rsidP="00BD65D1">
            <w:pPr>
              <w:spacing w:after="160"/>
              <w:cnfStyle w:val="000000000000" w:firstRow="0" w:lastRow="0" w:firstColumn="0" w:lastColumn="0" w:oddVBand="0" w:evenVBand="0" w:oddHBand="0" w:evenHBand="0" w:firstRowFirstColumn="0" w:firstRowLastColumn="0" w:lastRowFirstColumn="0" w:lastRowLastColumn="0"/>
            </w:pPr>
            <w:r>
              <w:t xml:space="preserve">• </w:t>
            </w:r>
            <w:r w:rsidR="00BD65D1" w:rsidRPr="00BD65D1">
              <w:t>&gt;95% on-shelf availability in modern trade &amp; e-commerce</w:t>
            </w:r>
          </w:p>
        </w:tc>
        <w:tc>
          <w:tcPr>
            <w:tcW w:w="0" w:type="auto"/>
            <w:hideMark/>
          </w:tcPr>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Supply chain/ERP reports – monthly or quarterly</w:t>
            </w:r>
          </w:p>
        </w:tc>
      </w:tr>
      <w:tr w:rsidR="0074773D" w:rsidRPr="00BD65D1" w:rsidTr="00747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D65D1" w:rsidRPr="00BD65D1" w:rsidRDefault="00BD65D1" w:rsidP="00BD65D1">
            <w:pPr>
              <w:spacing w:after="160"/>
            </w:pPr>
            <w:r w:rsidRPr="00BD65D1">
              <w:t>Social (People)</w:t>
            </w:r>
          </w:p>
        </w:tc>
        <w:tc>
          <w:tcPr>
            <w:tcW w:w="0" w:type="auto"/>
            <w:hideMark/>
          </w:tcPr>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Consumers &amp; Society</w:t>
            </w:r>
          </w:p>
        </w:tc>
        <w:tc>
          <w:tcPr>
            <w:tcW w:w="0" w:type="auto"/>
            <w:hideMark/>
          </w:tcPr>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Deliver </w:t>
            </w:r>
            <w:r w:rsidRPr="00BD65D1">
              <w:rPr>
                <w:b/>
                <w:bCs/>
              </w:rPr>
              <w:t>fair, ethical and safe</w:t>
            </w:r>
            <w:r w:rsidRPr="00BD65D1">
              <w:t xml:space="preserve"> value to consumers.</w:t>
            </w:r>
          </w:p>
        </w:tc>
        <w:tc>
          <w:tcPr>
            <w:tcW w:w="0" w:type="auto"/>
            <w:hideMark/>
          </w:tcPr>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 of portfolio compliant with safety/quality standards • Number of product safety incidents / recalls • Consumer satisfaction / NPS • Penetration in rural &amp; low-income segments</w:t>
            </w:r>
          </w:p>
        </w:tc>
        <w:tc>
          <w:tcPr>
            <w:tcW w:w="0" w:type="auto"/>
            <w:hideMark/>
          </w:tcPr>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100% compliance; zero major safety breaches </w:t>
            </w:r>
          </w:p>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NPS above key competitor benchmark </w:t>
            </w:r>
          </w:p>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Year-on-year increase in rural/low-income household penetration</w:t>
            </w:r>
          </w:p>
        </w:tc>
        <w:tc>
          <w:tcPr>
            <w:tcW w:w="0" w:type="auto"/>
            <w:hideMark/>
          </w:tcPr>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Quality &amp; regulatory reports – ongoing </w:t>
            </w:r>
          </w:p>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Consumer surveys, online ratings – annually/ongoing</w:t>
            </w:r>
          </w:p>
        </w:tc>
      </w:tr>
      <w:tr w:rsidR="0074773D" w:rsidRPr="00BD65D1" w:rsidTr="0074773D">
        <w:tc>
          <w:tcPr>
            <w:cnfStyle w:val="001000000000" w:firstRow="0" w:lastRow="0" w:firstColumn="1" w:lastColumn="0" w:oddVBand="0" w:evenVBand="0" w:oddHBand="0" w:evenHBand="0" w:firstRowFirstColumn="0" w:firstRowLastColumn="0" w:lastRowFirstColumn="0" w:lastRowLastColumn="0"/>
            <w:tcW w:w="0" w:type="auto"/>
            <w:hideMark/>
          </w:tcPr>
          <w:p w:rsidR="00BD65D1" w:rsidRPr="00BD65D1" w:rsidRDefault="00BD65D1" w:rsidP="00BD65D1">
            <w:pPr>
              <w:spacing w:after="160"/>
            </w:pPr>
            <w:r w:rsidRPr="00BD65D1">
              <w:lastRenderedPageBreak/>
              <w:t>Social (People)</w:t>
            </w:r>
          </w:p>
        </w:tc>
        <w:tc>
          <w:tcPr>
            <w:tcW w:w="0" w:type="auto"/>
            <w:hideMark/>
          </w:tcPr>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Employees &amp; Partners</w:t>
            </w:r>
          </w:p>
        </w:tc>
        <w:tc>
          <w:tcPr>
            <w:tcW w:w="0" w:type="auto"/>
            <w:hideMark/>
          </w:tcPr>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Build </w:t>
            </w:r>
            <w:r w:rsidRPr="00BD65D1">
              <w:rPr>
                <w:b/>
                <w:bCs/>
              </w:rPr>
              <w:t>accountable and inclusive</w:t>
            </w:r>
            <w:r w:rsidRPr="00BD65D1">
              <w:t xml:space="preserve"> employment and partnerships.</w:t>
            </w:r>
          </w:p>
        </w:tc>
        <w:tc>
          <w:tcPr>
            <w:tcW w:w="0" w:type="auto"/>
            <w:hideMark/>
          </w:tcPr>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 of local employees in management roles </w:t>
            </w:r>
          </w:p>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Training hours per employee (safety, sustainability, leadership) </w:t>
            </w:r>
          </w:p>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Lost Time Injury Frequency Rate (LTIFR) </w:t>
            </w:r>
          </w:p>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Supplier/partner satisfaction scores</w:t>
            </w:r>
          </w:p>
        </w:tc>
        <w:tc>
          <w:tcPr>
            <w:tcW w:w="0" w:type="auto"/>
            <w:hideMark/>
          </w:tcPr>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Majority of managerial roles held by local talent by Year 5 </w:t>
            </w:r>
          </w:p>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≥20 training hours per employee per year </w:t>
            </w:r>
          </w:p>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Continuous LTIFR reduction towards best-practice level </w:t>
            </w:r>
          </w:p>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Stable or improving partner satisfaction</w:t>
            </w:r>
          </w:p>
        </w:tc>
        <w:tc>
          <w:tcPr>
            <w:tcW w:w="0" w:type="auto"/>
            <w:hideMark/>
          </w:tcPr>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HR metrics – quarterly </w:t>
            </w:r>
          </w:p>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HSE reports – quarterly </w:t>
            </w:r>
          </w:p>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Partner surveys – annually</w:t>
            </w:r>
          </w:p>
        </w:tc>
      </w:tr>
      <w:tr w:rsidR="0074773D" w:rsidRPr="00BD65D1" w:rsidTr="00747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D65D1" w:rsidRPr="00BD65D1" w:rsidRDefault="00BD65D1" w:rsidP="00BD65D1">
            <w:pPr>
              <w:spacing w:after="160"/>
            </w:pPr>
            <w:r w:rsidRPr="00BD65D1">
              <w:t>Environmental (Planet)</w:t>
            </w:r>
          </w:p>
        </w:tc>
        <w:tc>
          <w:tcPr>
            <w:tcW w:w="0" w:type="auto"/>
            <w:hideMark/>
          </w:tcPr>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Emissions &amp; Resources</w:t>
            </w:r>
          </w:p>
        </w:tc>
        <w:tc>
          <w:tcPr>
            <w:tcW w:w="0" w:type="auto"/>
            <w:hideMark/>
          </w:tcPr>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Ensure </w:t>
            </w:r>
            <w:r w:rsidRPr="00BD65D1">
              <w:rPr>
                <w:b/>
                <w:bCs/>
              </w:rPr>
              <w:t>sustainable and low-impact</w:t>
            </w:r>
            <w:r w:rsidRPr="00BD65D1">
              <w:t xml:space="preserve"> growth.</w:t>
            </w:r>
          </w:p>
        </w:tc>
        <w:tc>
          <w:tcPr>
            <w:tcW w:w="0" w:type="auto"/>
            <w:hideMark/>
          </w:tcPr>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CO₂ emissions per unit produced/sold (Scopes 1 &amp; 2, selected Scope 3) </w:t>
            </w:r>
          </w:p>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Energy intensity of operations </w:t>
            </w:r>
          </w:p>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lastRenderedPageBreak/>
              <w:t>• Water consumption per unit produced</w:t>
            </w:r>
          </w:p>
        </w:tc>
        <w:tc>
          <w:tcPr>
            <w:tcW w:w="0" w:type="auto"/>
            <w:hideMark/>
          </w:tcPr>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lastRenderedPageBreak/>
              <w:t>• Year-on-year reduction in emissions and energy/water intensity, in line with corporate climate goals</w:t>
            </w:r>
          </w:p>
        </w:tc>
        <w:tc>
          <w:tcPr>
            <w:tcW w:w="0" w:type="auto"/>
            <w:hideMark/>
          </w:tcPr>
          <w:p w:rsidR="0074773D"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xml:space="preserve">• ESG / sustainability reports – annually </w:t>
            </w:r>
          </w:p>
          <w:p w:rsidR="00BD65D1" w:rsidRPr="00BD65D1" w:rsidRDefault="00BD65D1" w:rsidP="00BD65D1">
            <w:pPr>
              <w:spacing w:after="160"/>
              <w:cnfStyle w:val="000000100000" w:firstRow="0" w:lastRow="0" w:firstColumn="0" w:lastColumn="0" w:oddVBand="0" w:evenVBand="0" w:oddHBand="1" w:evenHBand="0" w:firstRowFirstColumn="0" w:firstRowLastColumn="0" w:lastRowFirstColumn="0" w:lastRowLastColumn="0"/>
            </w:pPr>
            <w:r w:rsidRPr="00BD65D1">
              <w:t>• Environmental audits – annually</w:t>
            </w:r>
          </w:p>
        </w:tc>
      </w:tr>
      <w:tr w:rsidR="0074773D" w:rsidRPr="00BD65D1" w:rsidTr="0074773D">
        <w:tc>
          <w:tcPr>
            <w:cnfStyle w:val="001000000000" w:firstRow="0" w:lastRow="0" w:firstColumn="1" w:lastColumn="0" w:oddVBand="0" w:evenVBand="0" w:oddHBand="0" w:evenHBand="0" w:firstRowFirstColumn="0" w:firstRowLastColumn="0" w:lastRowFirstColumn="0" w:lastRowLastColumn="0"/>
            <w:tcW w:w="0" w:type="auto"/>
            <w:hideMark/>
          </w:tcPr>
          <w:p w:rsidR="00BD65D1" w:rsidRPr="00BD65D1" w:rsidRDefault="00BD65D1" w:rsidP="00BD65D1">
            <w:pPr>
              <w:spacing w:after="160"/>
            </w:pPr>
            <w:r w:rsidRPr="00BD65D1">
              <w:lastRenderedPageBreak/>
              <w:t>Environmental (Planet)</w:t>
            </w:r>
          </w:p>
        </w:tc>
        <w:tc>
          <w:tcPr>
            <w:tcW w:w="0" w:type="auto"/>
            <w:hideMark/>
          </w:tcPr>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Waste &amp; Packaging</w:t>
            </w:r>
          </w:p>
        </w:tc>
        <w:tc>
          <w:tcPr>
            <w:tcW w:w="0" w:type="auto"/>
            <w:hideMark/>
          </w:tcPr>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Minimise waste and promote </w:t>
            </w:r>
            <w:r w:rsidRPr="00BD65D1">
              <w:rPr>
                <w:b/>
                <w:bCs/>
              </w:rPr>
              <w:t>ethical, circular</w:t>
            </w:r>
            <w:r w:rsidRPr="00BD65D1">
              <w:t xml:space="preserve"> use of materials.</w:t>
            </w:r>
          </w:p>
        </w:tc>
        <w:tc>
          <w:tcPr>
            <w:tcW w:w="0" w:type="auto"/>
            <w:hideMark/>
          </w:tcPr>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 of packaging that is recyclable, reusable or from recycled content </w:t>
            </w:r>
          </w:p>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Total waste generated and % sent to landfill</w:t>
            </w:r>
          </w:p>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Recycling rate in operations and logistics</w:t>
            </w:r>
          </w:p>
        </w:tc>
        <w:tc>
          <w:tcPr>
            <w:tcW w:w="0" w:type="auto"/>
            <w:hideMark/>
          </w:tcPr>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≥80–100% recyclable/reusable packaging in key categories by agreed timeline </w:t>
            </w:r>
          </w:p>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Steady reduction in waste to landfill; medium-term zero non-hazardous waste to landfill ambition</w:t>
            </w:r>
          </w:p>
        </w:tc>
        <w:tc>
          <w:tcPr>
            <w:tcW w:w="0" w:type="auto"/>
            <w:hideMark/>
          </w:tcPr>
          <w:p w:rsidR="0074773D"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xml:space="preserve">• Factory and logistics waste reports – quarterly </w:t>
            </w:r>
          </w:p>
          <w:p w:rsidR="00BD65D1" w:rsidRPr="00BD65D1" w:rsidRDefault="00BD65D1" w:rsidP="00BD65D1">
            <w:pPr>
              <w:spacing w:after="160"/>
              <w:cnfStyle w:val="000000000000" w:firstRow="0" w:lastRow="0" w:firstColumn="0" w:lastColumn="0" w:oddVBand="0" w:evenVBand="0" w:oddHBand="0" w:evenHBand="0" w:firstRowFirstColumn="0" w:firstRowLastColumn="0" w:lastRowFirstColumn="0" w:lastRowLastColumn="0"/>
            </w:pPr>
            <w:r w:rsidRPr="00BD65D1">
              <w:t>• External environmental audits – annually</w:t>
            </w:r>
          </w:p>
        </w:tc>
      </w:tr>
    </w:tbl>
    <w:p w:rsidR="00BD65D1" w:rsidRPr="00BD65D1" w:rsidRDefault="00BD65D1" w:rsidP="00BD65D1"/>
    <w:p w:rsidR="003C3470" w:rsidRPr="003C3470" w:rsidRDefault="003C3470" w:rsidP="003C3470"/>
    <w:p w:rsidR="0074773D" w:rsidRDefault="0074773D">
      <w:pPr>
        <w:sectPr w:rsidR="0074773D" w:rsidSect="0074773D">
          <w:pgSz w:w="15840" w:h="12240" w:orient="landscape"/>
          <w:pgMar w:top="1440" w:right="1440" w:bottom="1440" w:left="1440" w:header="720" w:footer="720" w:gutter="0"/>
          <w:cols w:space="720"/>
          <w:docGrid w:linePitch="360"/>
        </w:sectPr>
      </w:pPr>
    </w:p>
    <w:p w:rsidR="003C3470" w:rsidRDefault="0074773D" w:rsidP="0074773D">
      <w:pPr>
        <w:pStyle w:val="Heading1"/>
      </w:pPr>
      <w:bookmarkStart w:id="17" w:name="_Toc216179980"/>
      <w:r>
        <w:lastRenderedPageBreak/>
        <w:t>Conclusion</w:t>
      </w:r>
      <w:bookmarkEnd w:id="17"/>
    </w:p>
    <w:p w:rsidR="0074773D" w:rsidRPr="0074773D" w:rsidRDefault="0074773D" w:rsidP="0074773D">
      <w:r w:rsidRPr="0074773D">
        <w:t>According to the study of the expansion proposed by Procter and Gamble to Vietnam, the project can be discussed as both strategic and operationally viable, in case it is implemented with discipline and sensitivity to the local conditions. The macro-environment analysis using PESTEL and Porter's Five Forces indicates that the economy of Vietnam has been growing robustly, the demographics and changing retailing trends are favourable, and the key facilitators are considered to be the regulatory complexity, the presence of strong competitors such as Unilever and home brands, and weak distribution. The SWOT analysis ascertains that the global brand equity, innovation ability and financial power of P&amp;G can be well utilised to seize the opportunity of the contemporary trade, e-commerce and emerging middle-class demand and weaknesses such as the price perception and insufficient local insight can be addressed by partnering and localisation.</w:t>
      </w:r>
    </w:p>
    <w:p w:rsidR="0074773D" w:rsidRPr="0074773D" w:rsidRDefault="0074773D" w:rsidP="0074773D">
      <w:r w:rsidRPr="0074773D">
        <w:t>The selected joint venture entry mode and strategy of progressive implementation present a viable entry mode into the market, building capabilities and managing risks. Given the local partner knowledge and the systems and technology of P&amp; G, the company can produce, pack and communicate to the preferences of the Vietnamese consumer, scaling manufacturing, logistics and talent development at a gradual pace.</w:t>
      </w:r>
    </w:p>
    <w:p w:rsidR="007D1D9D" w:rsidRDefault="0074773D" w:rsidP="0074773D">
      <w:r w:rsidRPr="0074773D">
        <w:t>The Triple Bottom Line model, designed on the basis of the SAFE criteria, is aimed at making sure that the expansion is not rated only on the financial returns but also on social and environmental results. Economic KPIs are used to measure growth, efficiency and competitiveness, social measures are used to measure consumer welfare, employee development and partner relationships, and environmental measures are used to monitor emissions, resource use and waste. When combined, they form a closed feedback loop in which performance data can be used to make continual strategic adjustments. Altogether, this report indicates that the targeted, well-managed, sustainability-driven entry into Vietnam can boost the presence of P&amp;G in the region and play a positive role in the economic and social progress of the host market.</w:t>
      </w:r>
    </w:p>
    <w:p w:rsidR="007D1D9D" w:rsidRDefault="007D1D9D">
      <w:pPr>
        <w:spacing w:line="259" w:lineRule="auto"/>
        <w:jc w:val="left"/>
      </w:pPr>
      <w:r>
        <w:br w:type="page"/>
      </w:r>
    </w:p>
    <w:p w:rsidR="0074773D" w:rsidRDefault="007D1D9D" w:rsidP="007D1D9D">
      <w:pPr>
        <w:pStyle w:val="Heading1"/>
      </w:pPr>
      <w:r>
        <w:lastRenderedPageBreak/>
        <w:t>Reference</w:t>
      </w:r>
    </w:p>
    <w:p w:rsidR="007D1D9D" w:rsidRPr="007D1D9D" w:rsidRDefault="007D1D9D" w:rsidP="007D1D9D">
      <w:r w:rsidRPr="007D1D9D">
        <w:t xml:space="preserve">Adeel, M. (2017). </w:t>
      </w:r>
      <w:r w:rsidRPr="007D1D9D">
        <w:rPr>
          <w:i/>
          <w:iCs/>
        </w:rPr>
        <w:t>Resource-Based View of Knowledge Management for Competitive Advantage in an organization</w:t>
      </w:r>
      <w:r w:rsidRPr="007D1D9D">
        <w:t>. GRIN Verlag.</w:t>
      </w:r>
    </w:p>
    <w:p w:rsidR="007D1D9D" w:rsidRPr="007D1D9D" w:rsidRDefault="007D1D9D" w:rsidP="007D1D9D">
      <w:r w:rsidRPr="007D1D9D">
        <w:t xml:space="preserve">amro-admin (2021). </w:t>
      </w:r>
      <w:r w:rsidRPr="007D1D9D">
        <w:rPr>
          <w:i/>
          <w:iCs/>
        </w:rPr>
        <w:t>How Vietnam Can Remain a Foreign Investment Sweet Spot</w:t>
      </w:r>
      <w:r w:rsidRPr="007D1D9D">
        <w:t>. [online] ASEAN+3 Macroeconomic Research Office - AMRO ASIA. Available at: https://amro-asia.org/how-vietnam-can-remain-a-foreign-investment-sweet-spot/.</w:t>
      </w:r>
    </w:p>
    <w:p w:rsidR="007D1D9D" w:rsidRPr="007D1D9D" w:rsidRDefault="007D1D9D" w:rsidP="007D1D9D">
      <w:r w:rsidRPr="007D1D9D">
        <w:t xml:space="preserve">Bensoussan, B.E. and Fleisher, C.S. (2018). </w:t>
      </w:r>
      <w:r w:rsidRPr="007D1D9D">
        <w:rPr>
          <w:i/>
          <w:iCs/>
        </w:rPr>
        <w:t>Analysis without paralysis : 10 tools to make better strategic decisions</w:t>
      </w:r>
      <w:r w:rsidRPr="007D1D9D">
        <w:t>. Upper Saddle River, N.J.: Ft Press.</w:t>
      </w:r>
    </w:p>
    <w:p w:rsidR="007D1D9D" w:rsidRPr="007D1D9D" w:rsidRDefault="007D1D9D" w:rsidP="007D1D9D">
      <w:r w:rsidRPr="007D1D9D">
        <w:t xml:space="preserve">Bizasean.com. (2018). </w:t>
      </w:r>
      <w:r w:rsidRPr="007D1D9D">
        <w:rPr>
          <w:i/>
          <w:iCs/>
        </w:rPr>
        <w:t>Demographic Advantage Vietnam</w:t>
      </w:r>
      <w:r w:rsidRPr="007D1D9D">
        <w:t>. [online] Available at: https://bizasean.com/demographic-advantage-vietnam [Accessed 9 Dec. 2025].</w:t>
      </w:r>
    </w:p>
    <w:p w:rsidR="007D1D9D" w:rsidRPr="007D1D9D" w:rsidRDefault="007D1D9D" w:rsidP="007D1D9D">
      <w:r w:rsidRPr="007D1D9D">
        <w:t xml:space="preserve">Cantwell, J. (2019). </w:t>
      </w:r>
      <w:r w:rsidRPr="007D1D9D">
        <w:rPr>
          <w:i/>
          <w:iCs/>
        </w:rPr>
        <w:t>The Eclectic Paradigm.</w:t>
      </w:r>
      <w:r w:rsidRPr="007D1D9D">
        <w:t xml:space="preserve"> Basingstoke, Zulu: Palgrave Macmillan.</w:t>
      </w:r>
    </w:p>
    <w:p w:rsidR="007D1D9D" w:rsidRPr="007D1D9D" w:rsidRDefault="007D1D9D" w:rsidP="007D1D9D">
      <w:r w:rsidRPr="007D1D9D">
        <w:t xml:space="preserve">Clapham, W.B. and Pestel, R.F. (2020). </w:t>
      </w:r>
      <w:r w:rsidRPr="007D1D9D">
        <w:rPr>
          <w:i/>
          <w:iCs/>
        </w:rPr>
        <w:t>Policy, uncertainty, and analysis</w:t>
      </w:r>
      <w:r w:rsidRPr="007D1D9D">
        <w:t>. Laxenburg, Austria Internat. Inst. For Applied Systems Analysis.</w:t>
      </w:r>
    </w:p>
    <w:p w:rsidR="007D1D9D" w:rsidRPr="007D1D9D" w:rsidRDefault="007D1D9D" w:rsidP="007D1D9D">
      <w:r w:rsidRPr="007D1D9D">
        <w:t xml:space="preserve">Das, A. (2017). </w:t>
      </w:r>
      <w:r w:rsidRPr="007D1D9D">
        <w:rPr>
          <w:i/>
          <w:iCs/>
        </w:rPr>
        <w:t>Building Organizational Capabilities</w:t>
      </w:r>
      <w:r w:rsidRPr="007D1D9D">
        <w:t>. Educreation Publishing.</w:t>
      </w:r>
    </w:p>
    <w:p w:rsidR="007D1D9D" w:rsidRPr="007D1D9D" w:rsidRDefault="007D1D9D" w:rsidP="007D1D9D">
      <w:r w:rsidRPr="007D1D9D">
        <w:t xml:space="preserve">Devadiga, D. and Aithal, S. (2025). Procter &amp; Gamble: Mastering Global Markets Through Innovation, Strategy, and Consumer Excellence Procter &amp;... </w:t>
      </w:r>
      <w:r w:rsidRPr="007D1D9D">
        <w:rPr>
          <w:i/>
          <w:iCs/>
        </w:rPr>
        <w:t>ResearchGate</w:t>
      </w:r>
      <w:r w:rsidRPr="007D1D9D">
        <w:t>, [online] pp.316–347. doi:https://doi.org/10.5281/zenodo.17340100.</w:t>
      </w:r>
    </w:p>
    <w:p w:rsidR="007D1D9D" w:rsidRPr="007D1D9D" w:rsidRDefault="007D1D9D" w:rsidP="007D1D9D">
      <w:r w:rsidRPr="007D1D9D">
        <w:t xml:space="preserve">Duester, E. (2023). </w:t>
      </w:r>
      <w:r w:rsidRPr="007D1D9D">
        <w:rPr>
          <w:i/>
          <w:iCs/>
        </w:rPr>
        <w:t>Digitization and Culture in Vietnam</w:t>
      </w:r>
      <w:r w:rsidRPr="007D1D9D">
        <w:t>. Taylor &amp; Francis.</w:t>
      </w:r>
    </w:p>
    <w:p w:rsidR="007D1D9D" w:rsidRPr="007D1D9D" w:rsidRDefault="007D1D9D" w:rsidP="007D1D9D">
      <w:r w:rsidRPr="007D1D9D">
        <w:t xml:space="preserve">Filippell, M.A. (2011). </w:t>
      </w:r>
      <w:r w:rsidRPr="007D1D9D">
        <w:rPr>
          <w:i/>
          <w:iCs/>
        </w:rPr>
        <w:t>Mergers and acquisitions playbook : lessons from the middle-market trenches</w:t>
      </w:r>
      <w:r w:rsidRPr="007D1D9D">
        <w:t>. Hoboken, N.J.: Wiley.</w:t>
      </w:r>
    </w:p>
    <w:p w:rsidR="007D1D9D" w:rsidRPr="007D1D9D" w:rsidRDefault="007D1D9D" w:rsidP="007D1D9D">
      <w:r w:rsidRPr="007D1D9D">
        <w:t xml:space="preserve">Johansson, J.K. (2020). </w:t>
      </w:r>
      <w:r w:rsidRPr="007D1D9D">
        <w:rPr>
          <w:i/>
          <w:iCs/>
        </w:rPr>
        <w:t>Global Marketing: Foreign Entry, Local Marketing, and Global Management</w:t>
      </w:r>
      <w:r w:rsidRPr="007D1D9D">
        <w:t>. McGraw-Hill/Irwin.</w:t>
      </w:r>
    </w:p>
    <w:p w:rsidR="007D1D9D" w:rsidRPr="007D1D9D" w:rsidRDefault="007D1D9D" w:rsidP="007D1D9D">
      <w:r w:rsidRPr="007D1D9D">
        <w:t xml:space="preserve">Jones, J. and Wren, C. (2020). </w:t>
      </w:r>
      <w:r w:rsidRPr="007D1D9D">
        <w:rPr>
          <w:i/>
          <w:iCs/>
        </w:rPr>
        <w:t>Foreign Direct Investment and the Regional Economy</w:t>
      </w:r>
      <w:r w:rsidRPr="007D1D9D">
        <w:t>. Routledge.</w:t>
      </w:r>
    </w:p>
    <w:p w:rsidR="007D1D9D" w:rsidRPr="007D1D9D" w:rsidRDefault="007D1D9D" w:rsidP="007D1D9D">
      <w:r w:rsidRPr="007D1D9D">
        <w:t xml:space="preserve">Killing, P. (2014). </w:t>
      </w:r>
      <w:r w:rsidRPr="007D1D9D">
        <w:rPr>
          <w:i/>
          <w:iCs/>
        </w:rPr>
        <w:t xml:space="preserve">Strategies for joint venture success </w:t>
      </w:r>
      <w:r w:rsidRPr="007D1D9D">
        <w:t>. Routledge.</w:t>
      </w:r>
    </w:p>
    <w:p w:rsidR="007D1D9D" w:rsidRPr="007D1D9D" w:rsidRDefault="007D1D9D" w:rsidP="007D1D9D">
      <w:r w:rsidRPr="007D1D9D">
        <w:lastRenderedPageBreak/>
        <w:t xml:space="preserve">Long, H.C., Quan, A., Tra, X., Pham, T.-D., Linh, N.T. and Ngo (2024). Factors affecting customer engagement and brand loyalty in Vietnam FMCG: the moderation of artificial intelligence. </w:t>
      </w:r>
      <w:r w:rsidRPr="007D1D9D">
        <w:rPr>
          <w:i/>
          <w:iCs/>
        </w:rPr>
        <w:t>Cogent Business &amp; Management</w:t>
      </w:r>
      <w:r w:rsidRPr="007D1D9D">
        <w:t>, 11(1). doi:https://doi.org/10.1080/23311975.2024.2428778.</w:t>
      </w:r>
    </w:p>
    <w:p w:rsidR="007D1D9D" w:rsidRPr="007D1D9D" w:rsidRDefault="007D1D9D" w:rsidP="007D1D9D">
      <w:r w:rsidRPr="007D1D9D">
        <w:t xml:space="preserve">Markman, G.D. and Hin, P. (2021). </w:t>
      </w:r>
      <w:r w:rsidRPr="007D1D9D">
        <w:rPr>
          <w:i/>
          <w:iCs/>
        </w:rPr>
        <w:t>Competitive dynamics of entrepreneurial market entry</w:t>
      </w:r>
      <w:r w:rsidRPr="007D1D9D">
        <w:t>. Cheltenham, Glos, Uk ; Northampton, Ma: Edward Elgar.</w:t>
      </w:r>
    </w:p>
    <w:p w:rsidR="007D1D9D" w:rsidRPr="007D1D9D" w:rsidRDefault="007D1D9D" w:rsidP="007D1D9D">
      <w:r w:rsidRPr="007D1D9D">
        <w:t xml:space="preserve">Maruyama, M. and Trung, L.V. (2011). Modern Retailers in Transition Economies. </w:t>
      </w:r>
      <w:r w:rsidRPr="007D1D9D">
        <w:rPr>
          <w:i/>
          <w:iCs/>
        </w:rPr>
        <w:t>Journal of Macromarketing</w:t>
      </w:r>
      <w:r w:rsidRPr="007D1D9D">
        <w:t>, [online] 32(1), pp.31–51. doi:https://doi.org/10.1177/0276146711421932.</w:t>
      </w:r>
    </w:p>
    <w:p w:rsidR="007D1D9D" w:rsidRPr="007D1D9D" w:rsidRDefault="007D1D9D" w:rsidP="007D1D9D">
      <w:r w:rsidRPr="007D1D9D">
        <w:t xml:space="preserve">Paliwoda, S., Andrews, T. and Chen, J. (2019). </w:t>
      </w:r>
      <w:r w:rsidRPr="007D1D9D">
        <w:rPr>
          <w:i/>
          <w:iCs/>
        </w:rPr>
        <w:t>Marketing Management in Asia.</w:t>
      </w:r>
      <w:r w:rsidRPr="007D1D9D">
        <w:t xml:space="preserve"> Routledge.</w:t>
      </w:r>
    </w:p>
    <w:p w:rsidR="007D1D9D" w:rsidRPr="007D1D9D" w:rsidRDefault="007D1D9D" w:rsidP="007D1D9D">
      <w:r w:rsidRPr="007D1D9D">
        <w:t xml:space="preserve">Pham, H.S.T. and Petersen, B. (2021). The bargaining power, value capture, and export performance of Vietnamese manufacturers in global value chains. </w:t>
      </w:r>
      <w:r w:rsidRPr="007D1D9D">
        <w:rPr>
          <w:i/>
          <w:iCs/>
        </w:rPr>
        <w:t>International Business Review</w:t>
      </w:r>
      <w:r w:rsidRPr="007D1D9D">
        <w:t>, 30(6), p.101829. doi:https://doi.org/10.1016/j.ibusrev.2021.101829.</w:t>
      </w:r>
    </w:p>
    <w:p w:rsidR="007D1D9D" w:rsidRPr="007D1D9D" w:rsidRDefault="007D1D9D" w:rsidP="007D1D9D">
      <w:r w:rsidRPr="007D1D9D">
        <w:t xml:space="preserve">Procter &amp; Gamble (2025). </w:t>
      </w:r>
      <w:r w:rsidRPr="007D1D9D">
        <w:rPr>
          <w:i/>
          <w:iCs/>
        </w:rPr>
        <w:t>Procter &amp; Gamble</w:t>
      </w:r>
      <w:r w:rsidRPr="007D1D9D">
        <w:t>. [online] Pg.com. Available at: https://us.pg.com/.</w:t>
      </w:r>
    </w:p>
    <w:p w:rsidR="007D1D9D" w:rsidRPr="007D1D9D" w:rsidRDefault="007D1D9D" w:rsidP="007D1D9D">
      <w:r w:rsidRPr="007D1D9D">
        <w:t xml:space="preserve">Rao, C.B. (2017). </w:t>
      </w:r>
      <w:r w:rsidRPr="007D1D9D">
        <w:rPr>
          <w:i/>
          <w:iCs/>
        </w:rPr>
        <w:t>Competitive Strategy</w:t>
      </w:r>
      <w:r w:rsidRPr="007D1D9D">
        <w:t>. Notion Press.</w:t>
      </w:r>
    </w:p>
    <w:p w:rsidR="007D1D9D" w:rsidRPr="007D1D9D" w:rsidRDefault="007D1D9D" w:rsidP="007D1D9D">
      <w:r w:rsidRPr="007D1D9D">
        <w:t xml:space="preserve">Sandholm, T., Levine, D., Concordia, M., Martyn, P., Hughes, R., Jacobs, J. and Begg, D. (2006). Changing the Game in Strategic Sourcing at Procter &amp; Gamble: Expressive Competition Enabled by Optimization. </w:t>
      </w:r>
      <w:r w:rsidRPr="007D1D9D">
        <w:rPr>
          <w:i/>
          <w:iCs/>
        </w:rPr>
        <w:t>Interfaces</w:t>
      </w:r>
      <w:r w:rsidRPr="007D1D9D">
        <w:t>, [online] 36(1), pp.55–68. doi:https://doi.org/10.1287/inte.1050.0185.</w:t>
      </w:r>
    </w:p>
    <w:p w:rsidR="007D1D9D" w:rsidRPr="007D1D9D" w:rsidRDefault="007D1D9D" w:rsidP="007D1D9D">
      <w:r w:rsidRPr="007D1D9D">
        <w:t xml:space="preserve">Shmaliy, Y.S. and Nayyar, A. (2023). </w:t>
      </w:r>
      <w:r w:rsidRPr="007D1D9D">
        <w:rPr>
          <w:i/>
          <w:iCs/>
        </w:rPr>
        <w:t>7th International Conference on Computing, Control and Industrial Engineering (CCIE 2023)</w:t>
      </w:r>
      <w:r w:rsidRPr="007D1D9D">
        <w:t>. Springer Nature.</w:t>
      </w:r>
    </w:p>
    <w:p w:rsidR="007D1D9D" w:rsidRPr="007D1D9D" w:rsidRDefault="007D1D9D" w:rsidP="007D1D9D">
      <w:r w:rsidRPr="007D1D9D">
        <w:t xml:space="preserve">Snee, R. and Hoerl, R. (2019). </w:t>
      </w:r>
      <w:r w:rsidRPr="007D1D9D">
        <w:rPr>
          <w:i/>
          <w:iCs/>
        </w:rPr>
        <w:t>Strategies for Formulations Development</w:t>
      </w:r>
      <w:r w:rsidRPr="007D1D9D">
        <w:t>. SAS Institute.</w:t>
      </w:r>
    </w:p>
    <w:p w:rsidR="007D1D9D" w:rsidRPr="007D1D9D" w:rsidRDefault="007D1D9D" w:rsidP="007D1D9D">
      <w:r w:rsidRPr="007D1D9D">
        <w:t xml:space="preserve">States, U. (2020). </w:t>
      </w:r>
      <w:r w:rsidRPr="007D1D9D">
        <w:rPr>
          <w:i/>
          <w:iCs/>
        </w:rPr>
        <w:t>SWOT analysis : a tool for making better business decisions.</w:t>
      </w:r>
      <w:r w:rsidRPr="007D1D9D">
        <w:t xml:space="preserve"> Washington, D.C.: U.S. Dept. Of Agriculture, Risk Management Agency.</w:t>
      </w:r>
    </w:p>
    <w:p w:rsidR="007D1D9D" w:rsidRPr="007D1D9D" w:rsidRDefault="007D1D9D" w:rsidP="007D1D9D">
      <w:r w:rsidRPr="007D1D9D">
        <w:lastRenderedPageBreak/>
        <w:t xml:space="preserve">Steilmann, L. (2017). </w:t>
      </w:r>
      <w:r w:rsidRPr="007D1D9D">
        <w:rPr>
          <w:i/>
          <w:iCs/>
        </w:rPr>
        <w:t>An evaluation of joint venture as a mode of entry. The example of ‘Volkswagen’</w:t>
      </w:r>
      <w:r w:rsidRPr="007D1D9D">
        <w:t>. GRIN Verlag.</w:t>
      </w:r>
    </w:p>
    <w:p w:rsidR="007D1D9D" w:rsidRPr="007D1D9D" w:rsidRDefault="007D1D9D" w:rsidP="007D1D9D">
      <w:r w:rsidRPr="007D1D9D">
        <w:t xml:space="preserve">Theinvestor.vn. (2024). </w:t>
      </w:r>
      <w:r w:rsidRPr="007D1D9D">
        <w:rPr>
          <w:i/>
          <w:iCs/>
        </w:rPr>
        <w:t>Procter &amp; Gamble deploys new technology to make razors, blades in Vietnam</w:t>
      </w:r>
      <w:r w:rsidRPr="007D1D9D">
        <w:t>. [online] Available at: https://theinvestor.vn/procter-gamble-deploys-new-technology-to-make-razors-blades-in-vietnam-d8884.html.</w:t>
      </w:r>
    </w:p>
    <w:p w:rsidR="007D1D9D" w:rsidRPr="007D1D9D" w:rsidRDefault="007D1D9D" w:rsidP="007D1D9D">
      <w:r w:rsidRPr="007D1D9D">
        <w:t xml:space="preserve">Unilever (2025). </w:t>
      </w:r>
      <w:r w:rsidRPr="007D1D9D">
        <w:rPr>
          <w:i/>
          <w:iCs/>
        </w:rPr>
        <w:t>Unilever at a Glance</w:t>
      </w:r>
      <w:r w:rsidRPr="007D1D9D">
        <w:t>. [online] Unilever. Available at: https://www.unilever.com/our-company/at-a-glance/.</w:t>
      </w:r>
    </w:p>
    <w:p w:rsidR="007D1D9D" w:rsidRPr="007D1D9D" w:rsidRDefault="007D1D9D" w:rsidP="007D1D9D">
      <w:r w:rsidRPr="007D1D9D">
        <w:t xml:space="preserve">Verweire, K. (2014). </w:t>
      </w:r>
      <w:r w:rsidRPr="007D1D9D">
        <w:rPr>
          <w:i/>
          <w:iCs/>
        </w:rPr>
        <w:t>Strategy implementation</w:t>
      </w:r>
      <w:r w:rsidRPr="007D1D9D">
        <w:t>. Abingdon, Oxon: Routledge.</w:t>
      </w:r>
    </w:p>
    <w:p w:rsidR="007D1D9D" w:rsidRPr="007D1D9D" w:rsidRDefault="007D1D9D" w:rsidP="007D1D9D">
      <w:r w:rsidRPr="007D1D9D">
        <w:t xml:space="preserve">Wang, Y. and Pizam, A. (2017). </w:t>
      </w:r>
      <w:r w:rsidRPr="007D1D9D">
        <w:rPr>
          <w:i/>
          <w:iCs/>
        </w:rPr>
        <w:t>Destination Marketing and Management : Theories and Applications</w:t>
      </w:r>
      <w:r w:rsidRPr="007D1D9D">
        <w:t>. Wallington, Oxfordshire, Uk ; Cambridge, Ma: Cabi.</w:t>
      </w:r>
    </w:p>
    <w:p w:rsidR="007D1D9D" w:rsidRPr="007D1D9D" w:rsidRDefault="007D1D9D" w:rsidP="007D1D9D">
      <w:bookmarkStart w:id="18" w:name="_GoBack"/>
      <w:bookmarkEnd w:id="18"/>
    </w:p>
    <w:p w:rsidR="0074773D" w:rsidRPr="0074773D" w:rsidRDefault="0074773D" w:rsidP="0074773D"/>
    <w:sectPr w:rsidR="0074773D" w:rsidRPr="0074773D" w:rsidSect="007477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642" w:rsidRDefault="004A0642" w:rsidP="00A96EF9">
      <w:pPr>
        <w:spacing w:after="0" w:line="240" w:lineRule="auto"/>
      </w:pPr>
      <w:r>
        <w:separator/>
      </w:r>
    </w:p>
  </w:endnote>
  <w:endnote w:type="continuationSeparator" w:id="0">
    <w:p w:rsidR="004A0642" w:rsidRDefault="004A0642" w:rsidP="00A96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609" w:rsidRDefault="00F4560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5891640"/>
      <w:docPartObj>
        <w:docPartGallery w:val="Page Numbers (Bottom of Page)"/>
        <w:docPartUnique/>
      </w:docPartObj>
    </w:sdtPr>
    <w:sdtEndPr>
      <w:rPr>
        <w:noProof/>
      </w:rPr>
    </w:sdtEndPr>
    <w:sdtContent>
      <w:p w:rsidR="00A96EF9" w:rsidRDefault="00A96EF9">
        <w:pPr>
          <w:pStyle w:val="Footer"/>
          <w:jc w:val="center"/>
        </w:pPr>
        <w:r>
          <w:fldChar w:fldCharType="begin"/>
        </w:r>
        <w:r>
          <w:instrText xml:space="preserve"> PAGE   \* MERGEFORMAT </w:instrText>
        </w:r>
        <w:r>
          <w:fldChar w:fldCharType="separate"/>
        </w:r>
        <w:r w:rsidR="00F45609">
          <w:rPr>
            <w:noProof/>
          </w:rPr>
          <w:t>25</w:t>
        </w:r>
        <w:r>
          <w:rPr>
            <w:noProof/>
          </w:rPr>
          <w:fldChar w:fldCharType="end"/>
        </w:r>
      </w:p>
    </w:sdtContent>
  </w:sdt>
  <w:p w:rsidR="00A96EF9" w:rsidRDefault="00A96EF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609" w:rsidRDefault="00F456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642" w:rsidRDefault="004A0642" w:rsidP="00A96EF9">
      <w:pPr>
        <w:spacing w:after="0" w:line="240" w:lineRule="auto"/>
      </w:pPr>
      <w:r>
        <w:separator/>
      </w:r>
    </w:p>
  </w:footnote>
  <w:footnote w:type="continuationSeparator" w:id="0">
    <w:p w:rsidR="004A0642" w:rsidRDefault="004A0642" w:rsidP="00A96E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609" w:rsidRDefault="00F4560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609" w:rsidRDefault="00F4560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609" w:rsidRDefault="00F456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4AF"/>
    <w:rsid w:val="00146379"/>
    <w:rsid w:val="001C0D89"/>
    <w:rsid w:val="003C3470"/>
    <w:rsid w:val="004A0642"/>
    <w:rsid w:val="006035FE"/>
    <w:rsid w:val="00616E3F"/>
    <w:rsid w:val="006755E6"/>
    <w:rsid w:val="0074773D"/>
    <w:rsid w:val="007504AF"/>
    <w:rsid w:val="007D1D9D"/>
    <w:rsid w:val="008812A6"/>
    <w:rsid w:val="00951728"/>
    <w:rsid w:val="00A93DF9"/>
    <w:rsid w:val="00A96EF9"/>
    <w:rsid w:val="00BD65D1"/>
    <w:rsid w:val="00F154FF"/>
    <w:rsid w:val="00F45609"/>
    <w:rsid w:val="00FE7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72B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D9D"/>
    <w:pPr>
      <w:spacing w:line="360" w:lineRule="auto"/>
      <w:jc w:val="both"/>
    </w:pPr>
    <w:rPr>
      <w:rFonts w:ascii="Arial" w:hAnsi="Arial"/>
      <w:sz w:val="24"/>
    </w:rPr>
  </w:style>
  <w:style w:type="paragraph" w:styleId="Heading1">
    <w:name w:val="heading 1"/>
    <w:basedOn w:val="Normal"/>
    <w:next w:val="Normal"/>
    <w:link w:val="Heading1Char"/>
    <w:uiPriority w:val="9"/>
    <w:qFormat/>
    <w:rsid w:val="0014637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46379"/>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37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46379"/>
    <w:rPr>
      <w:rFonts w:ascii="Times New Roman" w:eastAsiaTheme="majorEastAsia" w:hAnsi="Times New Roman" w:cstheme="majorBidi"/>
      <w:b/>
      <w:sz w:val="28"/>
      <w:szCs w:val="26"/>
    </w:rPr>
  </w:style>
  <w:style w:type="table" w:styleId="PlainTable3">
    <w:name w:val="Plain Table 3"/>
    <w:basedOn w:val="TableNormal"/>
    <w:uiPriority w:val="43"/>
    <w:rsid w:val="007504A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3C347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3C3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7477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NoSpacing">
    <w:name w:val="No Spacing"/>
    <w:link w:val="NoSpacingChar"/>
    <w:uiPriority w:val="1"/>
    <w:qFormat/>
    <w:rsid w:val="007D1D9D"/>
    <w:pPr>
      <w:spacing w:after="0" w:line="240" w:lineRule="auto"/>
    </w:pPr>
    <w:rPr>
      <w:rFonts w:eastAsiaTheme="minorEastAsia"/>
    </w:rPr>
  </w:style>
  <w:style w:type="character" w:customStyle="1" w:styleId="NoSpacingChar">
    <w:name w:val="No Spacing Char"/>
    <w:basedOn w:val="DefaultParagraphFont"/>
    <w:link w:val="NoSpacing"/>
    <w:uiPriority w:val="1"/>
    <w:rsid w:val="007D1D9D"/>
    <w:rPr>
      <w:rFonts w:eastAsiaTheme="minorEastAsia"/>
    </w:rPr>
  </w:style>
  <w:style w:type="paragraph" w:styleId="TOCHeading">
    <w:name w:val="TOC Heading"/>
    <w:basedOn w:val="Heading1"/>
    <w:next w:val="Normal"/>
    <w:uiPriority w:val="39"/>
    <w:unhideWhenUsed/>
    <w:qFormat/>
    <w:rsid w:val="007D1D9D"/>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D1D9D"/>
    <w:pPr>
      <w:spacing w:after="100"/>
    </w:pPr>
  </w:style>
  <w:style w:type="paragraph" w:styleId="TOC2">
    <w:name w:val="toc 2"/>
    <w:basedOn w:val="Normal"/>
    <w:next w:val="Normal"/>
    <w:autoRedefine/>
    <w:uiPriority w:val="39"/>
    <w:unhideWhenUsed/>
    <w:rsid w:val="007D1D9D"/>
    <w:pPr>
      <w:spacing w:after="100"/>
      <w:ind w:left="240"/>
    </w:pPr>
  </w:style>
  <w:style w:type="character" w:styleId="Hyperlink">
    <w:name w:val="Hyperlink"/>
    <w:basedOn w:val="DefaultParagraphFont"/>
    <w:uiPriority w:val="99"/>
    <w:unhideWhenUsed/>
    <w:rsid w:val="007D1D9D"/>
    <w:rPr>
      <w:color w:val="0563C1" w:themeColor="hyperlink"/>
      <w:u w:val="single"/>
    </w:rPr>
  </w:style>
  <w:style w:type="paragraph" w:styleId="Header">
    <w:name w:val="header"/>
    <w:basedOn w:val="Normal"/>
    <w:link w:val="HeaderChar"/>
    <w:uiPriority w:val="99"/>
    <w:unhideWhenUsed/>
    <w:rsid w:val="00A96E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EF9"/>
    <w:rPr>
      <w:rFonts w:ascii="Arial" w:hAnsi="Arial"/>
      <w:sz w:val="24"/>
    </w:rPr>
  </w:style>
  <w:style w:type="paragraph" w:styleId="Footer">
    <w:name w:val="footer"/>
    <w:basedOn w:val="Normal"/>
    <w:link w:val="FooterChar"/>
    <w:uiPriority w:val="99"/>
    <w:unhideWhenUsed/>
    <w:rsid w:val="00A96E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EF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47818">
      <w:bodyDiv w:val="1"/>
      <w:marLeft w:val="0"/>
      <w:marRight w:val="0"/>
      <w:marTop w:val="0"/>
      <w:marBottom w:val="0"/>
      <w:divBdr>
        <w:top w:val="none" w:sz="0" w:space="0" w:color="auto"/>
        <w:left w:val="none" w:sz="0" w:space="0" w:color="auto"/>
        <w:bottom w:val="none" w:sz="0" w:space="0" w:color="auto"/>
        <w:right w:val="none" w:sz="0" w:space="0" w:color="auto"/>
      </w:divBdr>
    </w:div>
    <w:div w:id="143206218">
      <w:bodyDiv w:val="1"/>
      <w:marLeft w:val="0"/>
      <w:marRight w:val="0"/>
      <w:marTop w:val="0"/>
      <w:marBottom w:val="0"/>
      <w:divBdr>
        <w:top w:val="none" w:sz="0" w:space="0" w:color="auto"/>
        <w:left w:val="none" w:sz="0" w:space="0" w:color="auto"/>
        <w:bottom w:val="none" w:sz="0" w:space="0" w:color="auto"/>
        <w:right w:val="none" w:sz="0" w:space="0" w:color="auto"/>
      </w:divBdr>
    </w:div>
    <w:div w:id="243227073">
      <w:bodyDiv w:val="1"/>
      <w:marLeft w:val="0"/>
      <w:marRight w:val="0"/>
      <w:marTop w:val="0"/>
      <w:marBottom w:val="0"/>
      <w:divBdr>
        <w:top w:val="none" w:sz="0" w:space="0" w:color="auto"/>
        <w:left w:val="none" w:sz="0" w:space="0" w:color="auto"/>
        <w:bottom w:val="none" w:sz="0" w:space="0" w:color="auto"/>
        <w:right w:val="none" w:sz="0" w:space="0" w:color="auto"/>
      </w:divBdr>
      <w:divsChild>
        <w:div w:id="357051068">
          <w:marLeft w:val="0"/>
          <w:marRight w:val="0"/>
          <w:marTop w:val="120"/>
          <w:marBottom w:val="120"/>
          <w:divBdr>
            <w:top w:val="none" w:sz="0" w:space="0" w:color="auto"/>
            <w:left w:val="none" w:sz="0" w:space="0" w:color="auto"/>
            <w:bottom w:val="none" w:sz="0" w:space="0" w:color="auto"/>
            <w:right w:val="none" w:sz="0" w:space="0" w:color="auto"/>
          </w:divBdr>
        </w:div>
      </w:divsChild>
    </w:div>
    <w:div w:id="388647887">
      <w:bodyDiv w:val="1"/>
      <w:marLeft w:val="0"/>
      <w:marRight w:val="0"/>
      <w:marTop w:val="0"/>
      <w:marBottom w:val="0"/>
      <w:divBdr>
        <w:top w:val="none" w:sz="0" w:space="0" w:color="auto"/>
        <w:left w:val="none" w:sz="0" w:space="0" w:color="auto"/>
        <w:bottom w:val="none" w:sz="0" w:space="0" w:color="auto"/>
        <w:right w:val="none" w:sz="0" w:space="0" w:color="auto"/>
      </w:divBdr>
      <w:divsChild>
        <w:div w:id="165555307">
          <w:marLeft w:val="0"/>
          <w:marRight w:val="0"/>
          <w:marTop w:val="120"/>
          <w:marBottom w:val="120"/>
          <w:divBdr>
            <w:top w:val="none" w:sz="0" w:space="0" w:color="auto"/>
            <w:left w:val="none" w:sz="0" w:space="0" w:color="auto"/>
            <w:bottom w:val="none" w:sz="0" w:space="0" w:color="auto"/>
            <w:right w:val="none" w:sz="0" w:space="0" w:color="auto"/>
          </w:divBdr>
        </w:div>
        <w:div w:id="409229658">
          <w:marLeft w:val="0"/>
          <w:marRight w:val="0"/>
          <w:marTop w:val="120"/>
          <w:marBottom w:val="120"/>
          <w:divBdr>
            <w:top w:val="none" w:sz="0" w:space="0" w:color="auto"/>
            <w:left w:val="none" w:sz="0" w:space="0" w:color="auto"/>
            <w:bottom w:val="none" w:sz="0" w:space="0" w:color="auto"/>
            <w:right w:val="none" w:sz="0" w:space="0" w:color="auto"/>
          </w:divBdr>
        </w:div>
        <w:div w:id="1749226172">
          <w:marLeft w:val="0"/>
          <w:marRight w:val="0"/>
          <w:marTop w:val="120"/>
          <w:marBottom w:val="120"/>
          <w:divBdr>
            <w:top w:val="none" w:sz="0" w:space="0" w:color="auto"/>
            <w:left w:val="none" w:sz="0" w:space="0" w:color="auto"/>
            <w:bottom w:val="none" w:sz="0" w:space="0" w:color="auto"/>
            <w:right w:val="none" w:sz="0" w:space="0" w:color="auto"/>
          </w:divBdr>
        </w:div>
        <w:div w:id="1445421418">
          <w:marLeft w:val="0"/>
          <w:marRight w:val="0"/>
          <w:marTop w:val="120"/>
          <w:marBottom w:val="120"/>
          <w:divBdr>
            <w:top w:val="none" w:sz="0" w:space="0" w:color="auto"/>
            <w:left w:val="none" w:sz="0" w:space="0" w:color="auto"/>
            <w:bottom w:val="none" w:sz="0" w:space="0" w:color="auto"/>
            <w:right w:val="none" w:sz="0" w:space="0" w:color="auto"/>
          </w:divBdr>
        </w:div>
        <w:div w:id="963340935">
          <w:marLeft w:val="0"/>
          <w:marRight w:val="0"/>
          <w:marTop w:val="120"/>
          <w:marBottom w:val="120"/>
          <w:divBdr>
            <w:top w:val="none" w:sz="0" w:space="0" w:color="auto"/>
            <w:left w:val="none" w:sz="0" w:space="0" w:color="auto"/>
            <w:bottom w:val="none" w:sz="0" w:space="0" w:color="auto"/>
            <w:right w:val="none" w:sz="0" w:space="0" w:color="auto"/>
          </w:divBdr>
        </w:div>
        <w:div w:id="1517425957">
          <w:marLeft w:val="0"/>
          <w:marRight w:val="0"/>
          <w:marTop w:val="120"/>
          <w:marBottom w:val="120"/>
          <w:divBdr>
            <w:top w:val="none" w:sz="0" w:space="0" w:color="auto"/>
            <w:left w:val="none" w:sz="0" w:space="0" w:color="auto"/>
            <w:bottom w:val="none" w:sz="0" w:space="0" w:color="auto"/>
            <w:right w:val="none" w:sz="0" w:space="0" w:color="auto"/>
          </w:divBdr>
        </w:div>
        <w:div w:id="738400744">
          <w:marLeft w:val="0"/>
          <w:marRight w:val="0"/>
          <w:marTop w:val="120"/>
          <w:marBottom w:val="120"/>
          <w:divBdr>
            <w:top w:val="none" w:sz="0" w:space="0" w:color="auto"/>
            <w:left w:val="none" w:sz="0" w:space="0" w:color="auto"/>
            <w:bottom w:val="none" w:sz="0" w:space="0" w:color="auto"/>
            <w:right w:val="none" w:sz="0" w:space="0" w:color="auto"/>
          </w:divBdr>
        </w:div>
        <w:div w:id="1971327051">
          <w:marLeft w:val="0"/>
          <w:marRight w:val="0"/>
          <w:marTop w:val="120"/>
          <w:marBottom w:val="120"/>
          <w:divBdr>
            <w:top w:val="none" w:sz="0" w:space="0" w:color="auto"/>
            <w:left w:val="none" w:sz="0" w:space="0" w:color="auto"/>
            <w:bottom w:val="none" w:sz="0" w:space="0" w:color="auto"/>
            <w:right w:val="none" w:sz="0" w:space="0" w:color="auto"/>
          </w:divBdr>
        </w:div>
        <w:div w:id="613293178">
          <w:marLeft w:val="0"/>
          <w:marRight w:val="0"/>
          <w:marTop w:val="120"/>
          <w:marBottom w:val="120"/>
          <w:divBdr>
            <w:top w:val="none" w:sz="0" w:space="0" w:color="auto"/>
            <w:left w:val="none" w:sz="0" w:space="0" w:color="auto"/>
            <w:bottom w:val="none" w:sz="0" w:space="0" w:color="auto"/>
            <w:right w:val="none" w:sz="0" w:space="0" w:color="auto"/>
          </w:divBdr>
        </w:div>
        <w:div w:id="2028171855">
          <w:marLeft w:val="0"/>
          <w:marRight w:val="0"/>
          <w:marTop w:val="120"/>
          <w:marBottom w:val="120"/>
          <w:divBdr>
            <w:top w:val="none" w:sz="0" w:space="0" w:color="auto"/>
            <w:left w:val="none" w:sz="0" w:space="0" w:color="auto"/>
            <w:bottom w:val="none" w:sz="0" w:space="0" w:color="auto"/>
            <w:right w:val="none" w:sz="0" w:space="0" w:color="auto"/>
          </w:divBdr>
        </w:div>
        <w:div w:id="1891108779">
          <w:marLeft w:val="0"/>
          <w:marRight w:val="0"/>
          <w:marTop w:val="120"/>
          <w:marBottom w:val="120"/>
          <w:divBdr>
            <w:top w:val="none" w:sz="0" w:space="0" w:color="auto"/>
            <w:left w:val="none" w:sz="0" w:space="0" w:color="auto"/>
            <w:bottom w:val="none" w:sz="0" w:space="0" w:color="auto"/>
            <w:right w:val="none" w:sz="0" w:space="0" w:color="auto"/>
          </w:divBdr>
        </w:div>
        <w:div w:id="592276201">
          <w:marLeft w:val="0"/>
          <w:marRight w:val="0"/>
          <w:marTop w:val="120"/>
          <w:marBottom w:val="120"/>
          <w:divBdr>
            <w:top w:val="none" w:sz="0" w:space="0" w:color="auto"/>
            <w:left w:val="none" w:sz="0" w:space="0" w:color="auto"/>
            <w:bottom w:val="none" w:sz="0" w:space="0" w:color="auto"/>
            <w:right w:val="none" w:sz="0" w:space="0" w:color="auto"/>
          </w:divBdr>
        </w:div>
      </w:divsChild>
    </w:div>
    <w:div w:id="398601174">
      <w:bodyDiv w:val="1"/>
      <w:marLeft w:val="0"/>
      <w:marRight w:val="0"/>
      <w:marTop w:val="0"/>
      <w:marBottom w:val="0"/>
      <w:divBdr>
        <w:top w:val="none" w:sz="0" w:space="0" w:color="auto"/>
        <w:left w:val="none" w:sz="0" w:space="0" w:color="auto"/>
        <w:bottom w:val="none" w:sz="0" w:space="0" w:color="auto"/>
        <w:right w:val="none" w:sz="0" w:space="0" w:color="auto"/>
      </w:divBdr>
    </w:div>
    <w:div w:id="498929143">
      <w:bodyDiv w:val="1"/>
      <w:marLeft w:val="0"/>
      <w:marRight w:val="0"/>
      <w:marTop w:val="0"/>
      <w:marBottom w:val="0"/>
      <w:divBdr>
        <w:top w:val="none" w:sz="0" w:space="0" w:color="auto"/>
        <w:left w:val="none" w:sz="0" w:space="0" w:color="auto"/>
        <w:bottom w:val="none" w:sz="0" w:space="0" w:color="auto"/>
        <w:right w:val="none" w:sz="0" w:space="0" w:color="auto"/>
      </w:divBdr>
    </w:div>
    <w:div w:id="510527592">
      <w:bodyDiv w:val="1"/>
      <w:marLeft w:val="0"/>
      <w:marRight w:val="0"/>
      <w:marTop w:val="0"/>
      <w:marBottom w:val="0"/>
      <w:divBdr>
        <w:top w:val="none" w:sz="0" w:space="0" w:color="auto"/>
        <w:left w:val="none" w:sz="0" w:space="0" w:color="auto"/>
        <w:bottom w:val="none" w:sz="0" w:space="0" w:color="auto"/>
        <w:right w:val="none" w:sz="0" w:space="0" w:color="auto"/>
      </w:divBdr>
      <w:divsChild>
        <w:div w:id="634943377">
          <w:marLeft w:val="0"/>
          <w:marRight w:val="0"/>
          <w:marTop w:val="120"/>
          <w:marBottom w:val="120"/>
          <w:divBdr>
            <w:top w:val="none" w:sz="0" w:space="0" w:color="auto"/>
            <w:left w:val="none" w:sz="0" w:space="0" w:color="auto"/>
            <w:bottom w:val="none" w:sz="0" w:space="0" w:color="auto"/>
            <w:right w:val="none" w:sz="0" w:space="0" w:color="auto"/>
          </w:divBdr>
        </w:div>
      </w:divsChild>
    </w:div>
    <w:div w:id="731345238">
      <w:bodyDiv w:val="1"/>
      <w:marLeft w:val="0"/>
      <w:marRight w:val="0"/>
      <w:marTop w:val="0"/>
      <w:marBottom w:val="0"/>
      <w:divBdr>
        <w:top w:val="none" w:sz="0" w:space="0" w:color="auto"/>
        <w:left w:val="none" w:sz="0" w:space="0" w:color="auto"/>
        <w:bottom w:val="none" w:sz="0" w:space="0" w:color="auto"/>
        <w:right w:val="none" w:sz="0" w:space="0" w:color="auto"/>
      </w:divBdr>
    </w:div>
    <w:div w:id="978995380">
      <w:bodyDiv w:val="1"/>
      <w:marLeft w:val="0"/>
      <w:marRight w:val="0"/>
      <w:marTop w:val="0"/>
      <w:marBottom w:val="0"/>
      <w:divBdr>
        <w:top w:val="none" w:sz="0" w:space="0" w:color="auto"/>
        <w:left w:val="none" w:sz="0" w:space="0" w:color="auto"/>
        <w:bottom w:val="none" w:sz="0" w:space="0" w:color="auto"/>
        <w:right w:val="none" w:sz="0" w:space="0" w:color="auto"/>
      </w:divBdr>
      <w:divsChild>
        <w:div w:id="1232739478">
          <w:marLeft w:val="0"/>
          <w:marRight w:val="0"/>
          <w:marTop w:val="120"/>
          <w:marBottom w:val="120"/>
          <w:divBdr>
            <w:top w:val="none" w:sz="0" w:space="0" w:color="auto"/>
            <w:left w:val="none" w:sz="0" w:space="0" w:color="auto"/>
            <w:bottom w:val="none" w:sz="0" w:space="0" w:color="auto"/>
            <w:right w:val="none" w:sz="0" w:space="0" w:color="auto"/>
          </w:divBdr>
        </w:div>
      </w:divsChild>
    </w:div>
    <w:div w:id="1091196969">
      <w:bodyDiv w:val="1"/>
      <w:marLeft w:val="0"/>
      <w:marRight w:val="0"/>
      <w:marTop w:val="0"/>
      <w:marBottom w:val="0"/>
      <w:divBdr>
        <w:top w:val="none" w:sz="0" w:space="0" w:color="auto"/>
        <w:left w:val="none" w:sz="0" w:space="0" w:color="auto"/>
        <w:bottom w:val="none" w:sz="0" w:space="0" w:color="auto"/>
        <w:right w:val="none" w:sz="0" w:space="0" w:color="auto"/>
      </w:divBdr>
      <w:divsChild>
        <w:div w:id="598567525">
          <w:marLeft w:val="0"/>
          <w:marRight w:val="0"/>
          <w:marTop w:val="120"/>
          <w:marBottom w:val="120"/>
          <w:divBdr>
            <w:top w:val="none" w:sz="0" w:space="0" w:color="auto"/>
            <w:left w:val="none" w:sz="0" w:space="0" w:color="auto"/>
            <w:bottom w:val="none" w:sz="0" w:space="0" w:color="auto"/>
            <w:right w:val="none" w:sz="0" w:space="0" w:color="auto"/>
          </w:divBdr>
        </w:div>
      </w:divsChild>
    </w:div>
    <w:div w:id="1101221423">
      <w:bodyDiv w:val="1"/>
      <w:marLeft w:val="0"/>
      <w:marRight w:val="0"/>
      <w:marTop w:val="0"/>
      <w:marBottom w:val="0"/>
      <w:divBdr>
        <w:top w:val="none" w:sz="0" w:space="0" w:color="auto"/>
        <w:left w:val="none" w:sz="0" w:space="0" w:color="auto"/>
        <w:bottom w:val="none" w:sz="0" w:space="0" w:color="auto"/>
        <w:right w:val="none" w:sz="0" w:space="0" w:color="auto"/>
      </w:divBdr>
      <w:divsChild>
        <w:div w:id="1059743092">
          <w:marLeft w:val="0"/>
          <w:marRight w:val="0"/>
          <w:marTop w:val="0"/>
          <w:marBottom w:val="0"/>
          <w:divBdr>
            <w:top w:val="none" w:sz="0" w:space="0" w:color="auto"/>
            <w:left w:val="none" w:sz="0" w:space="0" w:color="auto"/>
            <w:bottom w:val="none" w:sz="0" w:space="0" w:color="auto"/>
            <w:right w:val="none" w:sz="0" w:space="0" w:color="auto"/>
          </w:divBdr>
        </w:div>
      </w:divsChild>
    </w:div>
    <w:div w:id="1124424359">
      <w:bodyDiv w:val="1"/>
      <w:marLeft w:val="0"/>
      <w:marRight w:val="0"/>
      <w:marTop w:val="0"/>
      <w:marBottom w:val="0"/>
      <w:divBdr>
        <w:top w:val="none" w:sz="0" w:space="0" w:color="auto"/>
        <w:left w:val="none" w:sz="0" w:space="0" w:color="auto"/>
        <w:bottom w:val="none" w:sz="0" w:space="0" w:color="auto"/>
        <w:right w:val="none" w:sz="0" w:space="0" w:color="auto"/>
      </w:divBdr>
      <w:divsChild>
        <w:div w:id="450129205">
          <w:marLeft w:val="0"/>
          <w:marRight w:val="0"/>
          <w:marTop w:val="120"/>
          <w:marBottom w:val="120"/>
          <w:divBdr>
            <w:top w:val="none" w:sz="0" w:space="0" w:color="auto"/>
            <w:left w:val="none" w:sz="0" w:space="0" w:color="auto"/>
            <w:bottom w:val="none" w:sz="0" w:space="0" w:color="auto"/>
            <w:right w:val="none" w:sz="0" w:space="0" w:color="auto"/>
          </w:divBdr>
        </w:div>
        <w:div w:id="894194910">
          <w:marLeft w:val="0"/>
          <w:marRight w:val="0"/>
          <w:marTop w:val="120"/>
          <w:marBottom w:val="120"/>
          <w:divBdr>
            <w:top w:val="none" w:sz="0" w:space="0" w:color="auto"/>
            <w:left w:val="none" w:sz="0" w:space="0" w:color="auto"/>
            <w:bottom w:val="none" w:sz="0" w:space="0" w:color="auto"/>
            <w:right w:val="none" w:sz="0" w:space="0" w:color="auto"/>
          </w:divBdr>
        </w:div>
        <w:div w:id="1952079773">
          <w:marLeft w:val="0"/>
          <w:marRight w:val="0"/>
          <w:marTop w:val="120"/>
          <w:marBottom w:val="120"/>
          <w:divBdr>
            <w:top w:val="none" w:sz="0" w:space="0" w:color="auto"/>
            <w:left w:val="none" w:sz="0" w:space="0" w:color="auto"/>
            <w:bottom w:val="none" w:sz="0" w:space="0" w:color="auto"/>
            <w:right w:val="none" w:sz="0" w:space="0" w:color="auto"/>
          </w:divBdr>
        </w:div>
        <w:div w:id="754857824">
          <w:marLeft w:val="0"/>
          <w:marRight w:val="0"/>
          <w:marTop w:val="120"/>
          <w:marBottom w:val="120"/>
          <w:divBdr>
            <w:top w:val="none" w:sz="0" w:space="0" w:color="auto"/>
            <w:left w:val="none" w:sz="0" w:space="0" w:color="auto"/>
            <w:bottom w:val="none" w:sz="0" w:space="0" w:color="auto"/>
            <w:right w:val="none" w:sz="0" w:space="0" w:color="auto"/>
          </w:divBdr>
        </w:div>
        <w:div w:id="26877572">
          <w:marLeft w:val="0"/>
          <w:marRight w:val="0"/>
          <w:marTop w:val="120"/>
          <w:marBottom w:val="120"/>
          <w:divBdr>
            <w:top w:val="none" w:sz="0" w:space="0" w:color="auto"/>
            <w:left w:val="none" w:sz="0" w:space="0" w:color="auto"/>
            <w:bottom w:val="none" w:sz="0" w:space="0" w:color="auto"/>
            <w:right w:val="none" w:sz="0" w:space="0" w:color="auto"/>
          </w:divBdr>
        </w:div>
      </w:divsChild>
    </w:div>
    <w:div w:id="1434667507">
      <w:bodyDiv w:val="1"/>
      <w:marLeft w:val="0"/>
      <w:marRight w:val="0"/>
      <w:marTop w:val="0"/>
      <w:marBottom w:val="0"/>
      <w:divBdr>
        <w:top w:val="none" w:sz="0" w:space="0" w:color="auto"/>
        <w:left w:val="none" w:sz="0" w:space="0" w:color="auto"/>
        <w:bottom w:val="none" w:sz="0" w:space="0" w:color="auto"/>
        <w:right w:val="none" w:sz="0" w:space="0" w:color="auto"/>
      </w:divBdr>
      <w:divsChild>
        <w:div w:id="1795903476">
          <w:marLeft w:val="0"/>
          <w:marRight w:val="0"/>
          <w:marTop w:val="120"/>
          <w:marBottom w:val="120"/>
          <w:divBdr>
            <w:top w:val="none" w:sz="0" w:space="0" w:color="auto"/>
            <w:left w:val="none" w:sz="0" w:space="0" w:color="auto"/>
            <w:bottom w:val="none" w:sz="0" w:space="0" w:color="auto"/>
            <w:right w:val="none" w:sz="0" w:space="0" w:color="auto"/>
          </w:divBdr>
        </w:div>
        <w:div w:id="1760179249">
          <w:marLeft w:val="0"/>
          <w:marRight w:val="0"/>
          <w:marTop w:val="120"/>
          <w:marBottom w:val="120"/>
          <w:divBdr>
            <w:top w:val="none" w:sz="0" w:space="0" w:color="auto"/>
            <w:left w:val="none" w:sz="0" w:space="0" w:color="auto"/>
            <w:bottom w:val="none" w:sz="0" w:space="0" w:color="auto"/>
            <w:right w:val="none" w:sz="0" w:space="0" w:color="auto"/>
          </w:divBdr>
        </w:div>
        <w:div w:id="1326935623">
          <w:marLeft w:val="0"/>
          <w:marRight w:val="0"/>
          <w:marTop w:val="120"/>
          <w:marBottom w:val="120"/>
          <w:divBdr>
            <w:top w:val="none" w:sz="0" w:space="0" w:color="auto"/>
            <w:left w:val="none" w:sz="0" w:space="0" w:color="auto"/>
            <w:bottom w:val="none" w:sz="0" w:space="0" w:color="auto"/>
            <w:right w:val="none" w:sz="0" w:space="0" w:color="auto"/>
          </w:divBdr>
        </w:div>
      </w:divsChild>
    </w:div>
    <w:div w:id="1862695798">
      <w:bodyDiv w:val="1"/>
      <w:marLeft w:val="0"/>
      <w:marRight w:val="0"/>
      <w:marTop w:val="0"/>
      <w:marBottom w:val="0"/>
      <w:divBdr>
        <w:top w:val="none" w:sz="0" w:space="0" w:color="auto"/>
        <w:left w:val="none" w:sz="0" w:space="0" w:color="auto"/>
        <w:bottom w:val="none" w:sz="0" w:space="0" w:color="auto"/>
        <w:right w:val="none" w:sz="0" w:space="0" w:color="auto"/>
      </w:divBdr>
      <w:divsChild>
        <w:div w:id="948779797">
          <w:marLeft w:val="0"/>
          <w:marRight w:val="0"/>
          <w:marTop w:val="120"/>
          <w:marBottom w:val="120"/>
          <w:divBdr>
            <w:top w:val="none" w:sz="0" w:space="0" w:color="auto"/>
            <w:left w:val="none" w:sz="0" w:space="0" w:color="auto"/>
            <w:bottom w:val="none" w:sz="0" w:space="0" w:color="auto"/>
            <w:right w:val="none" w:sz="0" w:space="0" w:color="auto"/>
          </w:divBdr>
        </w:div>
        <w:div w:id="747575242">
          <w:marLeft w:val="0"/>
          <w:marRight w:val="0"/>
          <w:marTop w:val="120"/>
          <w:marBottom w:val="120"/>
          <w:divBdr>
            <w:top w:val="none" w:sz="0" w:space="0" w:color="auto"/>
            <w:left w:val="none" w:sz="0" w:space="0" w:color="auto"/>
            <w:bottom w:val="none" w:sz="0" w:space="0" w:color="auto"/>
            <w:right w:val="none" w:sz="0" w:space="0" w:color="auto"/>
          </w:divBdr>
        </w:div>
        <w:div w:id="973174154">
          <w:marLeft w:val="0"/>
          <w:marRight w:val="0"/>
          <w:marTop w:val="120"/>
          <w:marBottom w:val="120"/>
          <w:divBdr>
            <w:top w:val="none" w:sz="0" w:space="0" w:color="auto"/>
            <w:left w:val="none" w:sz="0" w:space="0" w:color="auto"/>
            <w:bottom w:val="none" w:sz="0" w:space="0" w:color="auto"/>
            <w:right w:val="none" w:sz="0" w:space="0" w:color="auto"/>
          </w:divBdr>
        </w:div>
        <w:div w:id="1673679180">
          <w:marLeft w:val="0"/>
          <w:marRight w:val="0"/>
          <w:marTop w:val="120"/>
          <w:marBottom w:val="120"/>
          <w:divBdr>
            <w:top w:val="none" w:sz="0" w:space="0" w:color="auto"/>
            <w:left w:val="none" w:sz="0" w:space="0" w:color="auto"/>
            <w:bottom w:val="none" w:sz="0" w:space="0" w:color="auto"/>
            <w:right w:val="none" w:sz="0" w:space="0" w:color="auto"/>
          </w:divBdr>
        </w:div>
        <w:div w:id="1891723050">
          <w:marLeft w:val="0"/>
          <w:marRight w:val="0"/>
          <w:marTop w:val="120"/>
          <w:marBottom w:val="120"/>
          <w:divBdr>
            <w:top w:val="none" w:sz="0" w:space="0" w:color="auto"/>
            <w:left w:val="none" w:sz="0" w:space="0" w:color="auto"/>
            <w:bottom w:val="none" w:sz="0" w:space="0" w:color="auto"/>
            <w:right w:val="none" w:sz="0" w:space="0" w:color="auto"/>
          </w:divBdr>
        </w:div>
        <w:div w:id="1287156161">
          <w:marLeft w:val="0"/>
          <w:marRight w:val="0"/>
          <w:marTop w:val="120"/>
          <w:marBottom w:val="120"/>
          <w:divBdr>
            <w:top w:val="none" w:sz="0" w:space="0" w:color="auto"/>
            <w:left w:val="none" w:sz="0" w:space="0" w:color="auto"/>
            <w:bottom w:val="none" w:sz="0" w:space="0" w:color="auto"/>
            <w:right w:val="none" w:sz="0" w:space="0" w:color="auto"/>
          </w:divBdr>
        </w:div>
        <w:div w:id="733431804">
          <w:marLeft w:val="0"/>
          <w:marRight w:val="0"/>
          <w:marTop w:val="120"/>
          <w:marBottom w:val="120"/>
          <w:divBdr>
            <w:top w:val="none" w:sz="0" w:space="0" w:color="auto"/>
            <w:left w:val="none" w:sz="0" w:space="0" w:color="auto"/>
            <w:bottom w:val="none" w:sz="0" w:space="0" w:color="auto"/>
            <w:right w:val="none" w:sz="0" w:space="0" w:color="auto"/>
          </w:divBdr>
        </w:div>
        <w:div w:id="429087322">
          <w:marLeft w:val="0"/>
          <w:marRight w:val="0"/>
          <w:marTop w:val="120"/>
          <w:marBottom w:val="120"/>
          <w:divBdr>
            <w:top w:val="none" w:sz="0" w:space="0" w:color="auto"/>
            <w:left w:val="none" w:sz="0" w:space="0" w:color="auto"/>
            <w:bottom w:val="none" w:sz="0" w:space="0" w:color="auto"/>
            <w:right w:val="none" w:sz="0" w:space="0" w:color="auto"/>
          </w:divBdr>
        </w:div>
        <w:div w:id="1688019133">
          <w:marLeft w:val="0"/>
          <w:marRight w:val="0"/>
          <w:marTop w:val="120"/>
          <w:marBottom w:val="120"/>
          <w:divBdr>
            <w:top w:val="none" w:sz="0" w:space="0" w:color="auto"/>
            <w:left w:val="none" w:sz="0" w:space="0" w:color="auto"/>
            <w:bottom w:val="none" w:sz="0" w:space="0" w:color="auto"/>
            <w:right w:val="none" w:sz="0" w:space="0" w:color="auto"/>
          </w:divBdr>
        </w:div>
        <w:div w:id="19670150">
          <w:marLeft w:val="0"/>
          <w:marRight w:val="0"/>
          <w:marTop w:val="120"/>
          <w:marBottom w:val="120"/>
          <w:divBdr>
            <w:top w:val="none" w:sz="0" w:space="0" w:color="auto"/>
            <w:left w:val="none" w:sz="0" w:space="0" w:color="auto"/>
            <w:bottom w:val="none" w:sz="0" w:space="0" w:color="auto"/>
            <w:right w:val="none" w:sz="0" w:space="0" w:color="auto"/>
          </w:divBdr>
        </w:div>
        <w:div w:id="1304240851">
          <w:marLeft w:val="0"/>
          <w:marRight w:val="0"/>
          <w:marTop w:val="120"/>
          <w:marBottom w:val="120"/>
          <w:divBdr>
            <w:top w:val="none" w:sz="0" w:space="0" w:color="auto"/>
            <w:left w:val="none" w:sz="0" w:space="0" w:color="auto"/>
            <w:bottom w:val="none" w:sz="0" w:space="0" w:color="auto"/>
            <w:right w:val="none" w:sz="0" w:space="0" w:color="auto"/>
          </w:divBdr>
        </w:div>
        <w:div w:id="220024408">
          <w:marLeft w:val="0"/>
          <w:marRight w:val="0"/>
          <w:marTop w:val="120"/>
          <w:marBottom w:val="120"/>
          <w:divBdr>
            <w:top w:val="none" w:sz="0" w:space="0" w:color="auto"/>
            <w:left w:val="none" w:sz="0" w:space="0" w:color="auto"/>
            <w:bottom w:val="none" w:sz="0" w:space="0" w:color="auto"/>
            <w:right w:val="none" w:sz="0" w:space="0" w:color="auto"/>
          </w:divBdr>
        </w:div>
        <w:div w:id="536701148">
          <w:marLeft w:val="0"/>
          <w:marRight w:val="0"/>
          <w:marTop w:val="120"/>
          <w:marBottom w:val="120"/>
          <w:divBdr>
            <w:top w:val="none" w:sz="0" w:space="0" w:color="auto"/>
            <w:left w:val="none" w:sz="0" w:space="0" w:color="auto"/>
            <w:bottom w:val="none" w:sz="0" w:space="0" w:color="auto"/>
            <w:right w:val="none" w:sz="0" w:space="0" w:color="auto"/>
          </w:divBdr>
        </w:div>
        <w:div w:id="1957710356">
          <w:marLeft w:val="0"/>
          <w:marRight w:val="0"/>
          <w:marTop w:val="120"/>
          <w:marBottom w:val="120"/>
          <w:divBdr>
            <w:top w:val="none" w:sz="0" w:space="0" w:color="auto"/>
            <w:left w:val="none" w:sz="0" w:space="0" w:color="auto"/>
            <w:bottom w:val="none" w:sz="0" w:space="0" w:color="auto"/>
            <w:right w:val="none" w:sz="0" w:space="0" w:color="auto"/>
          </w:divBdr>
        </w:div>
        <w:div w:id="2131975017">
          <w:marLeft w:val="0"/>
          <w:marRight w:val="0"/>
          <w:marTop w:val="120"/>
          <w:marBottom w:val="120"/>
          <w:divBdr>
            <w:top w:val="none" w:sz="0" w:space="0" w:color="auto"/>
            <w:left w:val="none" w:sz="0" w:space="0" w:color="auto"/>
            <w:bottom w:val="none" w:sz="0" w:space="0" w:color="auto"/>
            <w:right w:val="none" w:sz="0" w:space="0" w:color="auto"/>
          </w:divBdr>
        </w:div>
      </w:divsChild>
    </w:div>
    <w:div w:id="1940866760">
      <w:bodyDiv w:val="1"/>
      <w:marLeft w:val="0"/>
      <w:marRight w:val="0"/>
      <w:marTop w:val="0"/>
      <w:marBottom w:val="0"/>
      <w:divBdr>
        <w:top w:val="none" w:sz="0" w:space="0" w:color="auto"/>
        <w:left w:val="none" w:sz="0" w:space="0" w:color="auto"/>
        <w:bottom w:val="none" w:sz="0" w:space="0" w:color="auto"/>
        <w:right w:val="none" w:sz="0" w:space="0" w:color="auto"/>
      </w:divBdr>
      <w:divsChild>
        <w:div w:id="1063484681">
          <w:marLeft w:val="0"/>
          <w:marRight w:val="0"/>
          <w:marTop w:val="120"/>
          <w:marBottom w:val="120"/>
          <w:divBdr>
            <w:top w:val="none" w:sz="0" w:space="0" w:color="auto"/>
            <w:left w:val="none" w:sz="0" w:space="0" w:color="auto"/>
            <w:bottom w:val="none" w:sz="0" w:space="0" w:color="auto"/>
            <w:right w:val="none" w:sz="0" w:space="0" w:color="auto"/>
          </w:divBdr>
        </w:div>
        <w:div w:id="1757629853">
          <w:marLeft w:val="0"/>
          <w:marRight w:val="0"/>
          <w:marTop w:val="120"/>
          <w:marBottom w:val="120"/>
          <w:divBdr>
            <w:top w:val="none" w:sz="0" w:space="0" w:color="auto"/>
            <w:left w:val="none" w:sz="0" w:space="0" w:color="auto"/>
            <w:bottom w:val="none" w:sz="0" w:space="0" w:color="auto"/>
            <w:right w:val="none" w:sz="0" w:space="0" w:color="auto"/>
          </w:divBdr>
        </w:div>
        <w:div w:id="413093452">
          <w:marLeft w:val="0"/>
          <w:marRight w:val="0"/>
          <w:marTop w:val="120"/>
          <w:marBottom w:val="120"/>
          <w:divBdr>
            <w:top w:val="none" w:sz="0" w:space="0" w:color="auto"/>
            <w:left w:val="none" w:sz="0" w:space="0" w:color="auto"/>
            <w:bottom w:val="none" w:sz="0" w:space="0" w:color="auto"/>
            <w:right w:val="none" w:sz="0" w:space="0" w:color="auto"/>
          </w:divBdr>
        </w:div>
        <w:div w:id="1461804390">
          <w:marLeft w:val="0"/>
          <w:marRight w:val="0"/>
          <w:marTop w:val="120"/>
          <w:marBottom w:val="120"/>
          <w:divBdr>
            <w:top w:val="none" w:sz="0" w:space="0" w:color="auto"/>
            <w:left w:val="none" w:sz="0" w:space="0" w:color="auto"/>
            <w:bottom w:val="none" w:sz="0" w:space="0" w:color="auto"/>
            <w:right w:val="none" w:sz="0" w:space="0" w:color="auto"/>
          </w:divBdr>
        </w:div>
        <w:div w:id="922838403">
          <w:marLeft w:val="0"/>
          <w:marRight w:val="0"/>
          <w:marTop w:val="120"/>
          <w:marBottom w:val="120"/>
          <w:divBdr>
            <w:top w:val="none" w:sz="0" w:space="0" w:color="auto"/>
            <w:left w:val="none" w:sz="0" w:space="0" w:color="auto"/>
            <w:bottom w:val="none" w:sz="0" w:space="0" w:color="auto"/>
            <w:right w:val="none" w:sz="0" w:space="0" w:color="auto"/>
          </w:divBdr>
        </w:div>
        <w:div w:id="153187760">
          <w:marLeft w:val="0"/>
          <w:marRight w:val="0"/>
          <w:marTop w:val="120"/>
          <w:marBottom w:val="120"/>
          <w:divBdr>
            <w:top w:val="none" w:sz="0" w:space="0" w:color="auto"/>
            <w:left w:val="none" w:sz="0" w:space="0" w:color="auto"/>
            <w:bottom w:val="none" w:sz="0" w:space="0" w:color="auto"/>
            <w:right w:val="none" w:sz="0" w:space="0" w:color="auto"/>
          </w:divBdr>
        </w:div>
        <w:div w:id="289825068">
          <w:marLeft w:val="0"/>
          <w:marRight w:val="0"/>
          <w:marTop w:val="120"/>
          <w:marBottom w:val="120"/>
          <w:divBdr>
            <w:top w:val="none" w:sz="0" w:space="0" w:color="auto"/>
            <w:left w:val="none" w:sz="0" w:space="0" w:color="auto"/>
            <w:bottom w:val="none" w:sz="0" w:space="0" w:color="auto"/>
            <w:right w:val="none" w:sz="0" w:space="0" w:color="auto"/>
          </w:divBdr>
        </w:div>
        <w:div w:id="82335463">
          <w:marLeft w:val="0"/>
          <w:marRight w:val="0"/>
          <w:marTop w:val="120"/>
          <w:marBottom w:val="120"/>
          <w:divBdr>
            <w:top w:val="none" w:sz="0" w:space="0" w:color="auto"/>
            <w:left w:val="none" w:sz="0" w:space="0" w:color="auto"/>
            <w:bottom w:val="none" w:sz="0" w:space="0" w:color="auto"/>
            <w:right w:val="none" w:sz="0" w:space="0" w:color="auto"/>
          </w:divBdr>
        </w:div>
        <w:div w:id="2050108112">
          <w:marLeft w:val="0"/>
          <w:marRight w:val="0"/>
          <w:marTop w:val="120"/>
          <w:marBottom w:val="120"/>
          <w:divBdr>
            <w:top w:val="none" w:sz="0" w:space="0" w:color="auto"/>
            <w:left w:val="none" w:sz="0" w:space="0" w:color="auto"/>
            <w:bottom w:val="none" w:sz="0" w:space="0" w:color="auto"/>
            <w:right w:val="none" w:sz="0" w:space="0" w:color="auto"/>
          </w:divBdr>
        </w:div>
      </w:divsChild>
    </w:div>
    <w:div w:id="2059433035">
      <w:bodyDiv w:val="1"/>
      <w:marLeft w:val="0"/>
      <w:marRight w:val="0"/>
      <w:marTop w:val="0"/>
      <w:marBottom w:val="0"/>
      <w:divBdr>
        <w:top w:val="none" w:sz="0" w:space="0" w:color="auto"/>
        <w:left w:val="none" w:sz="0" w:space="0" w:color="auto"/>
        <w:bottom w:val="none" w:sz="0" w:space="0" w:color="auto"/>
        <w:right w:val="none" w:sz="0" w:space="0" w:color="auto"/>
      </w:divBdr>
      <w:divsChild>
        <w:div w:id="437024783">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5B1"/>
    <w:rsid w:val="003E7188"/>
    <w:rsid w:val="005B4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347B4F17C1486F9622806C359BEAF3">
    <w:name w:val="03347B4F17C1486F9622806C359BEAF3"/>
    <w:rsid w:val="005B45B1"/>
  </w:style>
  <w:style w:type="paragraph" w:customStyle="1" w:styleId="C1F673AF8E074D799A5A6D3646BDA839">
    <w:name w:val="C1F673AF8E074D799A5A6D3646BDA839"/>
    <w:rsid w:val="005B45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060A27-F2ED-441A-BF03-82B8E3040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6495</Words>
  <Characters>37023</Characters>
  <Application>Microsoft Office Word</Application>
  <DocSecurity>0</DocSecurity>
  <Lines>308</Lines>
  <Paragraphs>86</Paragraphs>
  <ScaleCrop>false</ScaleCrop>
  <Company/>
  <LinksUpToDate>false</LinksUpToDate>
  <CharactersWithSpaces>43432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2025-12-09T07:40:00Z</dcterms:created>
  <dcterms:modified xsi:type="dcterms:W3CDTF">2025-12-09T07:40:00Z</dcterms:modified>
</cp:coreProperties>
</file>