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4571" w:rsidRDefault="00C94571" w:rsidP="006018EF">
      <w:pPr>
        <w:spacing w:after="0" w:line="360" w:lineRule="auto"/>
        <w:rPr>
          <w:rFonts w:ascii="Times New Roman" w:hAnsi="Times New Roman" w:cs="Times New Roman"/>
          <w:sz w:val="24"/>
        </w:rPr>
      </w:pPr>
    </w:p>
    <w:p w:rsidR="006018EF" w:rsidRDefault="006018EF" w:rsidP="006018EF">
      <w:pPr>
        <w:spacing w:after="0" w:line="360" w:lineRule="auto"/>
        <w:rPr>
          <w:rFonts w:ascii="Times New Roman" w:hAnsi="Times New Roman" w:cs="Times New Roman"/>
          <w:sz w:val="24"/>
        </w:rPr>
      </w:pPr>
    </w:p>
    <w:p w:rsidR="006018EF" w:rsidRDefault="006018EF" w:rsidP="006018EF">
      <w:pPr>
        <w:spacing w:after="0" w:line="360" w:lineRule="auto"/>
        <w:rPr>
          <w:rFonts w:ascii="Times New Roman" w:hAnsi="Times New Roman" w:cs="Times New Roman"/>
          <w:sz w:val="24"/>
        </w:rPr>
      </w:pPr>
    </w:p>
    <w:p w:rsidR="006018EF" w:rsidRDefault="00B87915" w:rsidP="006018EF">
      <w:pPr>
        <w:spacing w:after="0" w:line="360" w:lineRule="auto"/>
        <w:jc w:val="center"/>
        <w:rPr>
          <w:rFonts w:ascii="Times New Roman" w:hAnsi="Times New Roman" w:cs="Times New Roman"/>
          <w:sz w:val="24"/>
        </w:rPr>
      </w:pPr>
      <w:r>
        <w:rPr>
          <w:rFonts w:ascii="Times New Roman" w:hAnsi="Times New Roman" w:cs="Times New Roman"/>
          <w:sz w:val="24"/>
        </w:rPr>
        <w:t>Power to The People But Only The Men</w:t>
      </w: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Default="006018EF" w:rsidP="006018EF">
      <w:pPr>
        <w:spacing w:after="0" w:line="360" w:lineRule="auto"/>
        <w:jc w:val="center"/>
        <w:rPr>
          <w:rFonts w:ascii="Times New Roman" w:hAnsi="Times New Roman" w:cs="Times New Roman"/>
          <w:sz w:val="24"/>
        </w:rPr>
      </w:pPr>
    </w:p>
    <w:p w:rsidR="006018EF" w:rsidRPr="006018EF" w:rsidRDefault="006018EF" w:rsidP="006018EF">
      <w:pPr>
        <w:spacing w:after="0" w:line="360" w:lineRule="auto"/>
        <w:jc w:val="center"/>
        <w:rPr>
          <w:rFonts w:ascii="Times New Roman" w:hAnsi="Times New Roman" w:cs="Times New Roman"/>
          <w:sz w:val="24"/>
          <w:lang w:val="es-MX"/>
        </w:rPr>
      </w:pPr>
      <w:r w:rsidRPr="006018EF">
        <w:rPr>
          <w:rFonts w:ascii="Times New Roman" w:hAnsi="Times New Roman" w:cs="Times New Roman"/>
          <w:sz w:val="24"/>
          <w:lang w:val="es-MX"/>
        </w:rPr>
        <w:t>Breanne Malo</w:t>
      </w:r>
    </w:p>
    <w:p w:rsidR="006018EF" w:rsidRPr="006018EF" w:rsidRDefault="006018EF" w:rsidP="006018EF">
      <w:pPr>
        <w:spacing w:after="0" w:line="360" w:lineRule="auto"/>
        <w:jc w:val="center"/>
        <w:rPr>
          <w:rFonts w:ascii="Times New Roman" w:hAnsi="Times New Roman" w:cs="Times New Roman"/>
          <w:sz w:val="24"/>
          <w:lang w:val="es-MX"/>
        </w:rPr>
      </w:pPr>
      <w:r w:rsidRPr="006018EF">
        <w:rPr>
          <w:rFonts w:ascii="Times New Roman" w:hAnsi="Times New Roman" w:cs="Times New Roman"/>
          <w:sz w:val="24"/>
          <w:lang w:val="es-MX"/>
        </w:rPr>
        <w:t>1703737</w:t>
      </w:r>
    </w:p>
    <w:p w:rsidR="006018EF" w:rsidRPr="006018EF" w:rsidRDefault="006018EF" w:rsidP="006018EF">
      <w:pPr>
        <w:spacing w:after="0" w:line="360" w:lineRule="auto"/>
        <w:jc w:val="center"/>
        <w:rPr>
          <w:rFonts w:ascii="Times New Roman" w:hAnsi="Times New Roman" w:cs="Times New Roman"/>
          <w:sz w:val="24"/>
          <w:lang w:val="es-MX"/>
        </w:rPr>
      </w:pPr>
      <w:r w:rsidRPr="006018EF">
        <w:rPr>
          <w:rFonts w:ascii="Times New Roman" w:hAnsi="Times New Roman" w:cs="Times New Roman"/>
          <w:sz w:val="24"/>
          <w:lang w:val="es-MX"/>
        </w:rPr>
        <w:t xml:space="preserve">Dr. Emma </w:t>
      </w:r>
      <w:proofErr w:type="spellStart"/>
      <w:r w:rsidRPr="006018EF">
        <w:rPr>
          <w:rFonts w:ascii="Times New Roman" w:hAnsi="Times New Roman" w:cs="Times New Roman"/>
          <w:sz w:val="24"/>
          <w:lang w:val="es-MX"/>
        </w:rPr>
        <w:t>Jayne</w:t>
      </w:r>
      <w:proofErr w:type="spellEnd"/>
      <w:r w:rsidRPr="006018EF">
        <w:rPr>
          <w:rFonts w:ascii="Times New Roman" w:hAnsi="Times New Roman" w:cs="Times New Roman"/>
          <w:sz w:val="24"/>
          <w:lang w:val="es-MX"/>
        </w:rPr>
        <w:t xml:space="preserve"> </w:t>
      </w:r>
      <w:proofErr w:type="spellStart"/>
      <w:r w:rsidRPr="006018EF">
        <w:rPr>
          <w:rFonts w:ascii="Times New Roman" w:hAnsi="Times New Roman" w:cs="Times New Roman"/>
          <w:sz w:val="24"/>
          <w:lang w:val="es-MX"/>
        </w:rPr>
        <w:t>Abbots</w:t>
      </w:r>
      <w:proofErr w:type="spellEnd"/>
    </w:p>
    <w:p w:rsidR="006018EF" w:rsidRDefault="006018EF" w:rsidP="006018EF">
      <w:pPr>
        <w:spacing w:after="0" w:line="360" w:lineRule="auto"/>
        <w:jc w:val="center"/>
        <w:rPr>
          <w:rFonts w:ascii="Times New Roman" w:hAnsi="Times New Roman" w:cs="Times New Roman"/>
          <w:sz w:val="24"/>
          <w:lang w:val="es-MX"/>
        </w:rPr>
      </w:pPr>
    </w:p>
    <w:p w:rsidR="006018EF" w:rsidRDefault="006018EF" w:rsidP="006018EF">
      <w:pPr>
        <w:spacing w:after="0" w:line="360" w:lineRule="auto"/>
        <w:jc w:val="center"/>
        <w:rPr>
          <w:rFonts w:ascii="Times New Roman" w:hAnsi="Times New Roman" w:cs="Times New Roman"/>
          <w:sz w:val="24"/>
          <w:lang w:val="es-MX"/>
        </w:rPr>
      </w:pPr>
    </w:p>
    <w:p w:rsidR="006018EF" w:rsidRDefault="006018EF" w:rsidP="006018EF">
      <w:pPr>
        <w:spacing w:after="0" w:line="360" w:lineRule="auto"/>
        <w:jc w:val="center"/>
        <w:rPr>
          <w:rFonts w:ascii="Times New Roman" w:hAnsi="Times New Roman" w:cs="Times New Roman"/>
          <w:sz w:val="24"/>
          <w:lang w:val="es-MX"/>
        </w:rPr>
      </w:pPr>
    </w:p>
    <w:p w:rsidR="006018EF" w:rsidRDefault="0076394C" w:rsidP="006018EF">
      <w:pPr>
        <w:spacing w:after="0" w:line="360" w:lineRule="auto"/>
        <w:rPr>
          <w:rFonts w:ascii="Times New Roman" w:hAnsi="Times New Roman" w:cs="Times New Roman"/>
          <w:sz w:val="24"/>
        </w:rPr>
      </w:pPr>
      <w:r>
        <w:rPr>
          <w:rFonts w:ascii="Times New Roman" w:hAnsi="Times New Roman" w:cs="Times New Roman"/>
          <w:sz w:val="24"/>
          <w:lang w:val="es-MX"/>
        </w:rPr>
        <w:lastRenderedPageBreak/>
        <w:tab/>
      </w:r>
      <w:r w:rsidR="00A25178">
        <w:rPr>
          <w:rFonts w:ascii="Times New Roman" w:hAnsi="Times New Roman" w:cs="Times New Roman"/>
          <w:sz w:val="24"/>
        </w:rPr>
        <w:t>It can be argued that everyone likes to have some sort of control in their life. Control o</w:t>
      </w:r>
      <w:r w:rsidR="006600A5">
        <w:rPr>
          <w:rFonts w:ascii="Times New Roman" w:hAnsi="Times New Roman" w:cs="Times New Roman"/>
          <w:sz w:val="24"/>
        </w:rPr>
        <w:t xml:space="preserve">ver important things such as their job, who they partner with, and if they want children. As well as control over smaller things like their clothes and what they are going to have for supper. Every individual has a different level of power and several factors play into that. One key factor that regulates power however is the body. The body, especially in the workplace, is the </w:t>
      </w:r>
      <w:r w:rsidR="005A4332">
        <w:rPr>
          <w:rFonts w:ascii="Times New Roman" w:hAnsi="Times New Roman" w:cs="Times New Roman"/>
          <w:sz w:val="24"/>
        </w:rPr>
        <w:t xml:space="preserve">ultimate </w:t>
      </w:r>
      <w:r w:rsidR="006600A5">
        <w:rPr>
          <w:rFonts w:ascii="Times New Roman" w:hAnsi="Times New Roman" w:cs="Times New Roman"/>
          <w:sz w:val="24"/>
        </w:rPr>
        <w:t>boss and this is most noticeable through women’s experiences in various occupations.</w:t>
      </w:r>
    </w:p>
    <w:p w:rsidR="005361E8" w:rsidRDefault="006600A5" w:rsidP="006018EF">
      <w:pPr>
        <w:spacing w:after="0" w:line="360" w:lineRule="auto"/>
        <w:rPr>
          <w:rFonts w:ascii="Times New Roman" w:hAnsi="Times New Roman" w:cs="Times New Roman"/>
          <w:sz w:val="24"/>
        </w:rPr>
      </w:pPr>
      <w:r>
        <w:rPr>
          <w:rFonts w:ascii="Times New Roman" w:hAnsi="Times New Roman" w:cs="Times New Roman"/>
          <w:sz w:val="24"/>
        </w:rPr>
        <w:tab/>
      </w:r>
      <w:r w:rsidR="002E124A">
        <w:rPr>
          <w:rFonts w:ascii="Times New Roman" w:hAnsi="Times New Roman" w:cs="Times New Roman"/>
          <w:sz w:val="24"/>
        </w:rPr>
        <w:t>Before discussing women’s power in the workforce, Butler has some excellent insight on Foucault’s regulatory power, stating that “[it] not only acts upon a pre-existing subject but also shapes and forms that subject.”</w:t>
      </w:r>
      <w:r w:rsidR="002E124A">
        <w:rPr>
          <w:rStyle w:val="FootnoteReference"/>
          <w:rFonts w:ascii="Times New Roman" w:hAnsi="Times New Roman" w:cs="Times New Roman"/>
          <w:sz w:val="24"/>
        </w:rPr>
        <w:footnoteReference w:id="1"/>
      </w:r>
      <w:r w:rsidR="00786FCC">
        <w:rPr>
          <w:rFonts w:ascii="Times New Roman" w:hAnsi="Times New Roman" w:cs="Times New Roman"/>
          <w:sz w:val="24"/>
        </w:rPr>
        <w:t xml:space="preserve"> Butler’s work on gender roles and norms helps to fit regulatory power into the particular study of women in the workforce. “Regulatory power operates on gender and has its own disciplinary regime, which primarily functions as a norm” therefore, any individual who does not comply with the accepted norm has no regulatory power.</w:t>
      </w:r>
      <w:r w:rsidR="00786FCC">
        <w:rPr>
          <w:rStyle w:val="FootnoteReference"/>
          <w:rFonts w:ascii="Times New Roman" w:hAnsi="Times New Roman" w:cs="Times New Roman"/>
          <w:sz w:val="24"/>
        </w:rPr>
        <w:footnoteReference w:id="2"/>
      </w:r>
      <w:r w:rsidR="006467C6">
        <w:rPr>
          <w:rFonts w:ascii="Times New Roman" w:hAnsi="Times New Roman" w:cs="Times New Roman"/>
          <w:sz w:val="24"/>
        </w:rPr>
        <w:t xml:space="preserve"> </w:t>
      </w:r>
      <w:r w:rsidR="00F5747C">
        <w:rPr>
          <w:rFonts w:ascii="Times New Roman" w:hAnsi="Times New Roman" w:cs="Times New Roman"/>
          <w:sz w:val="24"/>
        </w:rPr>
        <w:t xml:space="preserve">Based on this statement, it would be logical to assume that only the most feminine presenting women would be able to use power in their occupation. However, based on the findings of two research articles, the type of occupation </w:t>
      </w:r>
      <w:r w:rsidR="005361E8">
        <w:rPr>
          <w:rFonts w:ascii="Times New Roman" w:hAnsi="Times New Roman" w:cs="Times New Roman"/>
          <w:sz w:val="24"/>
        </w:rPr>
        <w:t xml:space="preserve">as well as the rank of the individual </w:t>
      </w:r>
      <w:r w:rsidR="00F5747C">
        <w:rPr>
          <w:rFonts w:ascii="Times New Roman" w:hAnsi="Times New Roman" w:cs="Times New Roman"/>
          <w:sz w:val="24"/>
        </w:rPr>
        <w:t>must also be taken into consideration.</w:t>
      </w:r>
    </w:p>
    <w:p w:rsidR="004D4ED6" w:rsidRDefault="005361E8" w:rsidP="006018EF">
      <w:pPr>
        <w:spacing w:after="0" w:line="360" w:lineRule="auto"/>
        <w:rPr>
          <w:rFonts w:ascii="Times New Roman" w:hAnsi="Times New Roman" w:cs="Times New Roman"/>
          <w:sz w:val="24"/>
        </w:rPr>
      </w:pPr>
      <w:r>
        <w:rPr>
          <w:rFonts w:ascii="Times New Roman" w:hAnsi="Times New Roman" w:cs="Times New Roman"/>
          <w:sz w:val="24"/>
        </w:rPr>
        <w:tab/>
        <w:t>Jaime Lester studied six female professors from five different faculties and found that some actions were expected from all six but that some also had contradictory expectations placed on them. Expectations that would go completely against the ideal feminine figure, yet would give them the most power in their situation. The best example of this is Arlene who is the welding professor at the college. She discusses her beginning as a welder, working on construction sites with entirely male crews and states that she “initially conformed” and “adopted a tough and unemotional persona.”</w:t>
      </w:r>
      <w:r>
        <w:rPr>
          <w:rStyle w:val="FootnoteReference"/>
          <w:rFonts w:ascii="Times New Roman" w:hAnsi="Times New Roman" w:cs="Times New Roman"/>
          <w:sz w:val="24"/>
        </w:rPr>
        <w:footnoteReference w:id="3"/>
      </w:r>
      <w:r w:rsidR="00F5747C">
        <w:rPr>
          <w:rFonts w:ascii="Times New Roman" w:hAnsi="Times New Roman" w:cs="Times New Roman"/>
          <w:sz w:val="24"/>
        </w:rPr>
        <w:t xml:space="preserve"> </w:t>
      </w:r>
      <w:r>
        <w:rPr>
          <w:rFonts w:ascii="Times New Roman" w:hAnsi="Times New Roman" w:cs="Times New Roman"/>
          <w:sz w:val="24"/>
        </w:rPr>
        <w:t xml:space="preserve">She believed that she had to literally become ‘one of the guys’ in order to be given </w:t>
      </w:r>
      <w:r w:rsidR="004F26B3">
        <w:rPr>
          <w:rFonts w:ascii="Times New Roman" w:hAnsi="Times New Roman" w:cs="Times New Roman"/>
          <w:sz w:val="24"/>
        </w:rPr>
        <w:t>the same respect and power that all the men had. She was not complying with female gender norms but she was following male gender norms which according to Foucault should have given her power. However, Arlene was not respected and “the other male workers began to reject her when she intruded on the masculine sphere” which would seem confusing since Arlene was only trying to fit into what she assumed was the expected gender norm.</w:t>
      </w:r>
      <w:r w:rsidR="004F26B3">
        <w:rPr>
          <w:rStyle w:val="FootnoteReference"/>
          <w:rFonts w:ascii="Times New Roman" w:hAnsi="Times New Roman" w:cs="Times New Roman"/>
          <w:sz w:val="24"/>
        </w:rPr>
        <w:footnoteReference w:id="4"/>
      </w:r>
      <w:r w:rsidR="004F26B3">
        <w:rPr>
          <w:rFonts w:ascii="Times New Roman" w:hAnsi="Times New Roman" w:cs="Times New Roman"/>
          <w:sz w:val="24"/>
        </w:rPr>
        <w:t xml:space="preserve"> </w:t>
      </w:r>
      <w:r w:rsidR="007063AB">
        <w:rPr>
          <w:rFonts w:ascii="Times New Roman" w:hAnsi="Times New Roman" w:cs="Times New Roman"/>
          <w:sz w:val="24"/>
        </w:rPr>
        <w:t xml:space="preserve">In the end Arlene </w:t>
      </w:r>
      <w:r w:rsidR="007063AB">
        <w:rPr>
          <w:rFonts w:ascii="Times New Roman" w:hAnsi="Times New Roman" w:cs="Times New Roman"/>
          <w:sz w:val="24"/>
        </w:rPr>
        <w:lastRenderedPageBreak/>
        <w:t>decided that the only way “to appease her male colleagues and to prevent further backlash” was to combine both feminine and masculine traits and create a new work persona.</w:t>
      </w:r>
      <w:r w:rsidR="007063AB">
        <w:rPr>
          <w:rStyle w:val="FootnoteReference"/>
          <w:rFonts w:ascii="Times New Roman" w:hAnsi="Times New Roman" w:cs="Times New Roman"/>
          <w:sz w:val="24"/>
        </w:rPr>
        <w:footnoteReference w:id="5"/>
      </w:r>
      <w:r w:rsidR="007063AB">
        <w:rPr>
          <w:rFonts w:ascii="Times New Roman" w:hAnsi="Times New Roman" w:cs="Times New Roman"/>
          <w:sz w:val="24"/>
        </w:rPr>
        <w:t xml:space="preserve"> This persona was mostly feminine traits but enough masculine traits so that the men knew she was serious. Interestingly, when Arlene moved onto teaching welding, the exact opposite occurred. On her first day of work she arrived in a skirt, heels, and </w:t>
      </w:r>
      <w:r w:rsidR="0017776A">
        <w:rPr>
          <w:rFonts w:ascii="Times New Roman" w:hAnsi="Times New Roman" w:cs="Times New Roman"/>
          <w:sz w:val="24"/>
        </w:rPr>
        <w:t>had her nails done because that is how she perceived a female professor should look.</w:t>
      </w:r>
      <w:r w:rsidR="0017776A">
        <w:rPr>
          <w:rStyle w:val="FootnoteReference"/>
          <w:rFonts w:ascii="Times New Roman" w:hAnsi="Times New Roman" w:cs="Times New Roman"/>
          <w:sz w:val="24"/>
        </w:rPr>
        <w:footnoteReference w:id="6"/>
      </w:r>
      <w:r w:rsidR="0017776A">
        <w:rPr>
          <w:rFonts w:ascii="Times New Roman" w:hAnsi="Times New Roman" w:cs="Times New Roman"/>
          <w:sz w:val="24"/>
        </w:rPr>
        <w:t xml:space="preserve"> Again, Foucault’s regulatory power should have been granted to her because she was playing the part. Unfortunately, her new students shunned her just like the men at the construction site had. They did not believe that Arlene was capable based on her appearance and did not grant her the power she should have received. </w:t>
      </w:r>
      <w:r w:rsidR="008C01E2">
        <w:rPr>
          <w:rFonts w:ascii="Times New Roman" w:hAnsi="Times New Roman" w:cs="Times New Roman"/>
          <w:sz w:val="24"/>
        </w:rPr>
        <w:t>Once again Arlene had to create a new persona which this time held more masculine traits in order for her to be given respect.</w:t>
      </w:r>
      <w:r w:rsidR="00CA4BBC">
        <w:rPr>
          <w:rFonts w:ascii="Times New Roman" w:hAnsi="Times New Roman" w:cs="Times New Roman"/>
          <w:sz w:val="24"/>
        </w:rPr>
        <w:t xml:space="preserve"> What is interesting about Arlene’s case is that when she is teaching she has to be masculine to be taken seriously</w:t>
      </w:r>
      <w:r w:rsidR="0014722E">
        <w:rPr>
          <w:rFonts w:ascii="Times New Roman" w:hAnsi="Times New Roman" w:cs="Times New Roman"/>
          <w:sz w:val="24"/>
        </w:rPr>
        <w:t>, however no matter how masculine she acts, because she is the only female in the department she is always asked to take notes at the meetings and get coffee for everyone.</w:t>
      </w:r>
      <w:r w:rsidR="0014722E">
        <w:rPr>
          <w:rStyle w:val="FootnoteReference"/>
          <w:rFonts w:ascii="Times New Roman" w:hAnsi="Times New Roman" w:cs="Times New Roman"/>
          <w:sz w:val="24"/>
        </w:rPr>
        <w:footnoteReference w:id="7"/>
      </w:r>
      <w:r w:rsidR="004D4ED6">
        <w:rPr>
          <w:rFonts w:ascii="Times New Roman" w:hAnsi="Times New Roman" w:cs="Times New Roman"/>
          <w:sz w:val="24"/>
        </w:rPr>
        <w:t xml:space="preserve"> It is also interesting to note that while Arlene’s students require her to be tough and masculine in her teaching style they also expect “her to remain a caring and compassionate female teacher.”</w:t>
      </w:r>
      <w:r w:rsidR="004D4ED6">
        <w:rPr>
          <w:rStyle w:val="FootnoteReference"/>
          <w:rFonts w:ascii="Times New Roman" w:hAnsi="Times New Roman" w:cs="Times New Roman"/>
          <w:sz w:val="24"/>
        </w:rPr>
        <w:footnoteReference w:id="8"/>
      </w:r>
      <w:r w:rsidR="004D4ED6">
        <w:rPr>
          <w:rFonts w:ascii="Times New Roman" w:hAnsi="Times New Roman" w:cs="Times New Roman"/>
          <w:sz w:val="24"/>
        </w:rPr>
        <w:t xml:space="preserve"> </w:t>
      </w:r>
    </w:p>
    <w:p w:rsidR="004D4ED6" w:rsidRDefault="004D4ED6" w:rsidP="006018EF">
      <w:pPr>
        <w:spacing w:after="0" w:line="360" w:lineRule="auto"/>
        <w:rPr>
          <w:rFonts w:ascii="Times New Roman" w:hAnsi="Times New Roman" w:cs="Times New Roman"/>
          <w:sz w:val="24"/>
        </w:rPr>
      </w:pPr>
      <w:r>
        <w:rPr>
          <w:rFonts w:ascii="Times New Roman" w:hAnsi="Times New Roman" w:cs="Times New Roman"/>
          <w:sz w:val="24"/>
        </w:rPr>
        <w:tab/>
        <w:t>The other faculty members that Lester studied all gave examples of their credibility being undermined due to the fact that they were female. It did not matter how many years of experience they had, each woman was confined by the role they had placed themselves in through their feminine actions or by the feminine actions colleagues assumed they performed.</w:t>
      </w:r>
      <w:r w:rsidR="009B0720">
        <w:rPr>
          <w:rStyle w:val="FootnoteReference"/>
          <w:rFonts w:ascii="Times New Roman" w:hAnsi="Times New Roman" w:cs="Times New Roman"/>
          <w:sz w:val="24"/>
        </w:rPr>
        <w:footnoteReference w:id="9"/>
      </w:r>
      <w:r>
        <w:rPr>
          <w:rFonts w:ascii="Times New Roman" w:hAnsi="Times New Roman" w:cs="Times New Roman"/>
          <w:sz w:val="24"/>
        </w:rPr>
        <w:t xml:space="preserve"> </w:t>
      </w:r>
      <w:r w:rsidR="009B0720">
        <w:rPr>
          <w:rFonts w:ascii="Times New Roman" w:hAnsi="Times New Roman" w:cs="Times New Roman"/>
          <w:sz w:val="24"/>
        </w:rPr>
        <w:t>Both by going against the female gender norms and by performing them, the female faculty was stripped of the regulatory power.</w:t>
      </w:r>
    </w:p>
    <w:p w:rsidR="008C50F0" w:rsidRDefault="008C50F0" w:rsidP="006018EF">
      <w:pPr>
        <w:spacing w:after="0" w:line="360" w:lineRule="auto"/>
        <w:rPr>
          <w:rFonts w:ascii="Times New Roman" w:hAnsi="Times New Roman" w:cs="Times New Roman"/>
          <w:sz w:val="24"/>
        </w:rPr>
      </w:pPr>
      <w:r>
        <w:rPr>
          <w:rFonts w:ascii="Times New Roman" w:hAnsi="Times New Roman" w:cs="Times New Roman"/>
          <w:sz w:val="24"/>
        </w:rPr>
        <w:tab/>
      </w:r>
      <w:r w:rsidR="009D2EDA">
        <w:rPr>
          <w:rFonts w:ascii="Times New Roman" w:hAnsi="Times New Roman" w:cs="Times New Roman"/>
          <w:sz w:val="24"/>
        </w:rPr>
        <w:t>The second research article, dealt with women’s power in the workplace and linked it to sexual harassment. Harassment of any kind is one powerful way to exerting one’s power over another individual or group of individuals. In this case men who are sexually harassing the women they work with, over, or under are demonstrating their power in an often public and sometimes physical manner.</w:t>
      </w:r>
      <w:r w:rsidR="00D52E78">
        <w:rPr>
          <w:rFonts w:ascii="Times New Roman" w:hAnsi="Times New Roman" w:cs="Times New Roman"/>
          <w:sz w:val="24"/>
        </w:rPr>
        <w:t xml:space="preserve"> Just like at the college, if these women question the gender norms </w:t>
      </w:r>
      <w:r w:rsidR="00D52E78">
        <w:rPr>
          <w:rFonts w:ascii="Times New Roman" w:hAnsi="Times New Roman" w:cs="Times New Roman"/>
          <w:sz w:val="24"/>
        </w:rPr>
        <w:lastRenderedPageBreak/>
        <w:t xml:space="preserve">and their subordinate position they will be deprived of any power they had, if they had any in the first place. Heather McLaughlin, Christopher </w:t>
      </w:r>
      <w:proofErr w:type="spellStart"/>
      <w:r w:rsidR="00D52E78">
        <w:rPr>
          <w:rFonts w:ascii="Times New Roman" w:hAnsi="Times New Roman" w:cs="Times New Roman"/>
          <w:sz w:val="24"/>
        </w:rPr>
        <w:t>Uggen</w:t>
      </w:r>
      <w:proofErr w:type="spellEnd"/>
      <w:r w:rsidR="00D52E78">
        <w:rPr>
          <w:rFonts w:ascii="Times New Roman" w:hAnsi="Times New Roman" w:cs="Times New Roman"/>
          <w:sz w:val="24"/>
        </w:rPr>
        <w:t>, and Amy Blackstone’s research article put forth two hypotheses</w:t>
      </w:r>
      <w:r w:rsidR="00A716B8">
        <w:rPr>
          <w:rFonts w:ascii="Times New Roman" w:hAnsi="Times New Roman" w:cs="Times New Roman"/>
          <w:sz w:val="24"/>
        </w:rPr>
        <w:t>. T</w:t>
      </w:r>
      <w:r w:rsidR="00D52E78">
        <w:rPr>
          <w:rFonts w:ascii="Times New Roman" w:hAnsi="Times New Roman" w:cs="Times New Roman"/>
          <w:sz w:val="24"/>
        </w:rPr>
        <w:t>he</w:t>
      </w:r>
      <w:r w:rsidR="00A716B8">
        <w:rPr>
          <w:rFonts w:ascii="Times New Roman" w:hAnsi="Times New Roman" w:cs="Times New Roman"/>
          <w:sz w:val="24"/>
        </w:rPr>
        <w:t xml:space="preserve"> first is the</w:t>
      </w:r>
      <w:r w:rsidR="00D52E78">
        <w:rPr>
          <w:rFonts w:ascii="Times New Roman" w:hAnsi="Times New Roman" w:cs="Times New Roman"/>
          <w:sz w:val="24"/>
        </w:rPr>
        <w:t xml:space="preserve"> vulnerable-victim hypothesis</w:t>
      </w:r>
      <w:r w:rsidR="00A716B8">
        <w:rPr>
          <w:rFonts w:ascii="Times New Roman" w:hAnsi="Times New Roman" w:cs="Times New Roman"/>
          <w:sz w:val="24"/>
        </w:rPr>
        <w:t xml:space="preserve"> which states that the most vulnerable of workers are the ones who will be harassed the most. The second is the power-threat model, which “suggests that women who threaten men’s dominance are more frequent targets” for harassment.</w:t>
      </w:r>
      <w:r w:rsidR="00A716B8">
        <w:rPr>
          <w:rStyle w:val="FootnoteReference"/>
          <w:rFonts w:ascii="Times New Roman" w:hAnsi="Times New Roman" w:cs="Times New Roman"/>
          <w:sz w:val="24"/>
        </w:rPr>
        <w:footnoteReference w:id="10"/>
      </w:r>
      <w:r w:rsidR="00D52E78">
        <w:rPr>
          <w:rFonts w:ascii="Times New Roman" w:hAnsi="Times New Roman" w:cs="Times New Roman"/>
          <w:sz w:val="24"/>
        </w:rPr>
        <w:t xml:space="preserve"> </w:t>
      </w:r>
      <w:r w:rsidR="00DF0C12">
        <w:rPr>
          <w:rFonts w:ascii="Times New Roman" w:hAnsi="Times New Roman" w:cs="Times New Roman"/>
          <w:sz w:val="24"/>
        </w:rPr>
        <w:t>Both of these hypotheses follow the idea no matter what women do, the fact that they are women is always going to put them in a dangerous position in male dominated places of work.</w:t>
      </w:r>
      <w:r w:rsidR="002927EA">
        <w:rPr>
          <w:rFonts w:ascii="Times New Roman" w:hAnsi="Times New Roman" w:cs="Times New Roman"/>
          <w:sz w:val="24"/>
        </w:rPr>
        <w:t xml:space="preserve"> These two hypotheses can also be placed over Arlene’s story from Lester’s article. While she was working on construction sites Arlene threatened the men’s dominance before she became more feminine, at which point she then became more vulnerable because she took on more feminine norms. Then later once she became a member of the college faculty, she started off as a vulnerable victim before taking on more masculine traits at which point she walked the line between being a vulnerable individual and a woman who was challenging </w:t>
      </w:r>
      <w:r w:rsidR="007728AE">
        <w:rPr>
          <w:rFonts w:ascii="Times New Roman" w:hAnsi="Times New Roman" w:cs="Times New Roman"/>
          <w:sz w:val="24"/>
        </w:rPr>
        <w:t>male dominance in her field.</w:t>
      </w:r>
    </w:p>
    <w:p w:rsidR="00354282" w:rsidRDefault="00345951" w:rsidP="006018EF">
      <w:pPr>
        <w:spacing w:after="0" w:line="360" w:lineRule="auto"/>
        <w:rPr>
          <w:rFonts w:ascii="Times New Roman" w:hAnsi="Times New Roman" w:cs="Times New Roman"/>
          <w:sz w:val="24"/>
        </w:rPr>
      </w:pPr>
      <w:r>
        <w:rPr>
          <w:rFonts w:ascii="Times New Roman" w:hAnsi="Times New Roman" w:cs="Times New Roman"/>
          <w:sz w:val="24"/>
        </w:rPr>
        <w:tab/>
        <w:t>The vulnerable-victim hypothesis makes sense because of course those individuals who are lower in rank at an occupation would be the most vulnerable and therefore an easy target for men to harass. However those women who have made their way up the ranks and hold higher positions in their fields also leave them high and dry literally. The lower ranking women are greater in number and as the saying goes ‘there is safety in numbers.’ They are more protected than the few and far between women who have made it to being the boss.</w:t>
      </w:r>
      <w:r w:rsidR="00FB23E5">
        <w:rPr>
          <w:rFonts w:ascii="Times New Roman" w:hAnsi="Times New Roman" w:cs="Times New Roman"/>
          <w:sz w:val="24"/>
        </w:rPr>
        <w:t xml:space="preserve"> Those women are just as vulnerable as the women who are in the lower ranks, if not more so. Which brings us back to the power-threat model where men feel challenged by the women who have surpassed them. These women have a lot more pressure on them to succeed just because they are women, plus the men below them who are spiteful about the fact that their dominance and superiority has somehow been shoved aside.</w:t>
      </w:r>
      <w:r w:rsidR="00354282">
        <w:rPr>
          <w:rFonts w:ascii="Times New Roman" w:hAnsi="Times New Roman" w:cs="Times New Roman"/>
          <w:sz w:val="24"/>
        </w:rPr>
        <w:t xml:space="preserve"> The authors sum it up rather nicely, stating </w:t>
      </w:r>
    </w:p>
    <w:p w:rsidR="00345951" w:rsidRDefault="00354282" w:rsidP="001D4687">
      <w:pPr>
        <w:spacing w:after="0" w:line="360" w:lineRule="auto"/>
        <w:ind w:firstLine="720"/>
        <w:rPr>
          <w:rFonts w:ascii="Times New Roman" w:hAnsi="Times New Roman" w:cs="Times New Roman"/>
          <w:sz w:val="24"/>
        </w:rPr>
      </w:pPr>
      <w:r>
        <w:rPr>
          <w:rFonts w:ascii="Times New Roman" w:hAnsi="Times New Roman" w:cs="Times New Roman"/>
          <w:sz w:val="24"/>
        </w:rPr>
        <w:t>“</w:t>
      </w:r>
      <w:proofErr w:type="gramStart"/>
      <w:r>
        <w:rPr>
          <w:rFonts w:ascii="Times New Roman" w:hAnsi="Times New Roman" w:cs="Times New Roman"/>
          <w:sz w:val="24"/>
        </w:rPr>
        <w:t>when</w:t>
      </w:r>
      <w:proofErr w:type="gramEnd"/>
      <w:r>
        <w:rPr>
          <w:rFonts w:ascii="Times New Roman" w:hAnsi="Times New Roman" w:cs="Times New Roman"/>
          <w:sz w:val="24"/>
        </w:rPr>
        <w:t xml:space="preserve"> women are able to crack the glass ceiling and attain leadership positions, stereotypical gender beliefs about their ‘natural’ abilities continue to shape perceptions of their job performance. Moreover, while men in traditionally female occupations reap the rewards of a </w:t>
      </w:r>
      <w:r>
        <w:rPr>
          <w:rFonts w:ascii="Times New Roman" w:hAnsi="Times New Roman" w:cs="Times New Roman"/>
          <w:sz w:val="24"/>
        </w:rPr>
        <w:lastRenderedPageBreak/>
        <w:t>glass escalator to leadership positions, women supervisors are often isolated and seen as undeserving of their positions.”</w:t>
      </w:r>
      <w:r w:rsidR="001D4687">
        <w:rPr>
          <w:rStyle w:val="FootnoteReference"/>
          <w:rFonts w:ascii="Times New Roman" w:hAnsi="Times New Roman" w:cs="Times New Roman"/>
          <w:sz w:val="24"/>
        </w:rPr>
        <w:footnoteReference w:id="11"/>
      </w:r>
    </w:p>
    <w:p w:rsidR="005963AB" w:rsidRDefault="005963AB" w:rsidP="005963AB">
      <w:pPr>
        <w:spacing w:after="0" w:line="360" w:lineRule="auto"/>
        <w:rPr>
          <w:rFonts w:ascii="Times New Roman" w:hAnsi="Times New Roman" w:cs="Times New Roman"/>
          <w:sz w:val="24"/>
        </w:rPr>
      </w:pPr>
      <w:r>
        <w:rPr>
          <w:rFonts w:ascii="Times New Roman" w:hAnsi="Times New Roman" w:cs="Times New Roman"/>
          <w:sz w:val="24"/>
        </w:rPr>
        <w:tab/>
      </w:r>
      <w:r w:rsidR="005766E1">
        <w:rPr>
          <w:rFonts w:ascii="Times New Roman" w:hAnsi="Times New Roman" w:cs="Times New Roman"/>
          <w:sz w:val="24"/>
        </w:rPr>
        <w:t>Women who do have higher ranking jobs are often described as assertive or bossy and are therefore going against the stereotypical woman who is always submissive and docile. These women “threaten the gender hierarchy” and are “encroach[</w:t>
      </w:r>
      <w:proofErr w:type="spellStart"/>
      <w:r w:rsidR="005766E1">
        <w:rPr>
          <w:rFonts w:ascii="Times New Roman" w:hAnsi="Times New Roman" w:cs="Times New Roman"/>
          <w:sz w:val="24"/>
        </w:rPr>
        <w:t>ing</w:t>
      </w:r>
      <w:proofErr w:type="spellEnd"/>
      <w:r w:rsidR="005766E1">
        <w:rPr>
          <w:rFonts w:ascii="Times New Roman" w:hAnsi="Times New Roman" w:cs="Times New Roman"/>
          <w:sz w:val="24"/>
        </w:rPr>
        <w:t>] on male territory” and the only way that men can think to deal with the issue is to harass them, hoping to degrade them enough to make themselves feel superior once again.</w:t>
      </w:r>
      <w:r w:rsidR="005766E1">
        <w:rPr>
          <w:rStyle w:val="FootnoteReference"/>
          <w:rFonts w:ascii="Times New Roman" w:hAnsi="Times New Roman" w:cs="Times New Roman"/>
          <w:sz w:val="24"/>
        </w:rPr>
        <w:footnoteReference w:id="12"/>
      </w:r>
      <w:r w:rsidR="00A87105">
        <w:rPr>
          <w:rFonts w:ascii="Times New Roman" w:hAnsi="Times New Roman" w:cs="Times New Roman"/>
          <w:sz w:val="24"/>
        </w:rPr>
        <w:t xml:space="preserve"> The most degrading is to relegate “women to the ‘low status of being a means to a man’s sexual ends’”</w:t>
      </w:r>
      <w:r w:rsidR="00A87105">
        <w:rPr>
          <w:rStyle w:val="FootnoteReference"/>
          <w:rFonts w:ascii="Times New Roman" w:hAnsi="Times New Roman" w:cs="Times New Roman"/>
          <w:sz w:val="24"/>
        </w:rPr>
        <w:footnoteReference w:id="13"/>
      </w:r>
      <w:r w:rsidR="00F64693">
        <w:rPr>
          <w:rFonts w:ascii="Times New Roman" w:hAnsi="Times New Roman" w:cs="Times New Roman"/>
          <w:sz w:val="24"/>
        </w:rPr>
        <w:t xml:space="preserve"> </w:t>
      </w:r>
    </w:p>
    <w:p w:rsidR="00F64693" w:rsidRDefault="00F64693" w:rsidP="005963AB">
      <w:pPr>
        <w:spacing w:after="0" w:line="360" w:lineRule="auto"/>
        <w:rPr>
          <w:rFonts w:ascii="Times New Roman" w:hAnsi="Times New Roman" w:cs="Times New Roman"/>
          <w:sz w:val="24"/>
        </w:rPr>
      </w:pPr>
      <w:r>
        <w:rPr>
          <w:rFonts w:ascii="Times New Roman" w:hAnsi="Times New Roman" w:cs="Times New Roman"/>
          <w:sz w:val="24"/>
        </w:rPr>
        <w:tab/>
        <w:t xml:space="preserve">Through their surveys, McLaughlin, </w:t>
      </w:r>
      <w:proofErr w:type="spellStart"/>
      <w:r>
        <w:rPr>
          <w:rFonts w:ascii="Times New Roman" w:hAnsi="Times New Roman" w:cs="Times New Roman"/>
          <w:sz w:val="24"/>
        </w:rPr>
        <w:t>Uggen</w:t>
      </w:r>
      <w:proofErr w:type="spellEnd"/>
      <w:r>
        <w:rPr>
          <w:rFonts w:ascii="Times New Roman" w:hAnsi="Times New Roman" w:cs="Times New Roman"/>
          <w:sz w:val="24"/>
        </w:rPr>
        <w:t>, and Blackstone found that “female supervisors are 138 percent more likely to experience any harassing behaviours</w:t>
      </w:r>
      <w:r w:rsidR="00B73E5B">
        <w:rPr>
          <w:rFonts w:ascii="Times New Roman" w:hAnsi="Times New Roman" w:cs="Times New Roman"/>
          <w:sz w:val="24"/>
        </w:rPr>
        <w:t xml:space="preserve">” and “they report a rate of harassment 73 percent greater than that of </w:t>
      </w:r>
      <w:proofErr w:type="spellStart"/>
      <w:r w:rsidR="00B73E5B">
        <w:rPr>
          <w:rFonts w:ascii="Times New Roman" w:hAnsi="Times New Roman" w:cs="Times New Roman"/>
          <w:sz w:val="24"/>
        </w:rPr>
        <w:t>nonsupervisors</w:t>
      </w:r>
      <w:proofErr w:type="spellEnd"/>
      <w:r w:rsidR="00B73E5B">
        <w:rPr>
          <w:rFonts w:ascii="Times New Roman" w:hAnsi="Times New Roman" w:cs="Times New Roman"/>
          <w:sz w:val="24"/>
        </w:rPr>
        <w:t>.”</w:t>
      </w:r>
      <w:r w:rsidR="00B73E5B">
        <w:rPr>
          <w:rStyle w:val="FootnoteReference"/>
          <w:rFonts w:ascii="Times New Roman" w:hAnsi="Times New Roman" w:cs="Times New Roman"/>
          <w:sz w:val="24"/>
        </w:rPr>
        <w:footnoteReference w:id="14"/>
      </w:r>
      <w:r w:rsidR="00F721EE">
        <w:rPr>
          <w:rFonts w:ascii="Times New Roman" w:hAnsi="Times New Roman" w:cs="Times New Roman"/>
          <w:sz w:val="24"/>
        </w:rPr>
        <w:t xml:space="preserve"> This along with their personal interviews with the women proves their power-threat model.</w:t>
      </w:r>
    </w:p>
    <w:p w:rsidR="00F721EE" w:rsidRDefault="00F721EE" w:rsidP="005963AB">
      <w:pPr>
        <w:spacing w:after="0" w:line="360" w:lineRule="auto"/>
        <w:rPr>
          <w:rFonts w:ascii="Times New Roman" w:hAnsi="Times New Roman" w:cs="Times New Roman"/>
          <w:sz w:val="24"/>
        </w:rPr>
      </w:pPr>
      <w:r>
        <w:rPr>
          <w:rFonts w:ascii="Times New Roman" w:hAnsi="Times New Roman" w:cs="Times New Roman"/>
          <w:sz w:val="24"/>
        </w:rPr>
        <w:tab/>
        <w:t>Just like the female professors in Lester’s article, these women supervisors had their abilities questioned by their male counterparts as well as the men who worked under them.</w:t>
      </w:r>
      <w:r>
        <w:rPr>
          <w:rStyle w:val="FootnoteReference"/>
          <w:rFonts w:ascii="Times New Roman" w:hAnsi="Times New Roman" w:cs="Times New Roman"/>
          <w:sz w:val="24"/>
        </w:rPr>
        <w:footnoteReference w:id="15"/>
      </w:r>
      <w:r>
        <w:rPr>
          <w:rFonts w:ascii="Times New Roman" w:hAnsi="Times New Roman" w:cs="Times New Roman"/>
          <w:sz w:val="24"/>
        </w:rPr>
        <w:t xml:space="preserve"> Many of them also felt that they had to prove something to the men that they worked over and with. Derogatory comments as well as inappropriate and unwanted touching from the men gave them their regulatory power while simultaneously taking it further away from the women.</w:t>
      </w:r>
      <w:r w:rsidR="00411852">
        <w:rPr>
          <w:rFonts w:ascii="Times New Roman" w:hAnsi="Times New Roman" w:cs="Times New Roman"/>
          <w:sz w:val="24"/>
        </w:rPr>
        <w:t xml:space="preserve"> In one instance, a woman named Holly was sexually harassed not by a colleague but by a prospective client at a meeting. She told the authors that she tried to stop him but that “ ‘he just kept going on and touching me and put his hand on [my] leg very forcefully and then he was playing the game of trying to unhook the bra with two fingers, which he did after I tried to get up and get away.’”</w:t>
      </w:r>
      <w:r w:rsidR="00411852">
        <w:rPr>
          <w:rStyle w:val="FootnoteReference"/>
          <w:rFonts w:ascii="Times New Roman" w:hAnsi="Times New Roman" w:cs="Times New Roman"/>
          <w:sz w:val="24"/>
        </w:rPr>
        <w:footnoteReference w:id="16"/>
      </w:r>
      <w:r w:rsidR="00432534">
        <w:rPr>
          <w:rFonts w:ascii="Times New Roman" w:hAnsi="Times New Roman" w:cs="Times New Roman"/>
          <w:sz w:val="24"/>
        </w:rPr>
        <w:t xml:space="preserve"> In those situations women often feel quite helpless </w:t>
      </w:r>
      <w:r w:rsidR="008B3590">
        <w:rPr>
          <w:rFonts w:ascii="Times New Roman" w:hAnsi="Times New Roman" w:cs="Times New Roman"/>
          <w:sz w:val="24"/>
        </w:rPr>
        <w:t>because attracting attention will often be taken as a sign of weakness by the men, that they let themselves by harassed. There are often few other women at these events. Holly stated that “her isolation as a woman in management may have been a key mechanism linking her supervisory status to her harassment.”</w:t>
      </w:r>
      <w:r w:rsidR="008B3590">
        <w:rPr>
          <w:rStyle w:val="FootnoteReference"/>
          <w:rFonts w:ascii="Times New Roman" w:hAnsi="Times New Roman" w:cs="Times New Roman"/>
          <w:sz w:val="24"/>
        </w:rPr>
        <w:footnoteReference w:id="17"/>
      </w:r>
      <w:r w:rsidR="008B3590">
        <w:rPr>
          <w:rFonts w:ascii="Times New Roman" w:hAnsi="Times New Roman" w:cs="Times New Roman"/>
          <w:sz w:val="24"/>
        </w:rPr>
        <w:t xml:space="preserve"> Even when her co-workers finally saw what was happening to her, their way of solving the problem was to </w:t>
      </w:r>
      <w:r w:rsidR="008B3590">
        <w:rPr>
          <w:rFonts w:ascii="Times New Roman" w:hAnsi="Times New Roman" w:cs="Times New Roman"/>
          <w:sz w:val="24"/>
        </w:rPr>
        <w:lastRenderedPageBreak/>
        <w:t>remove Holly from the scene and not the potential client who was harassing her.</w:t>
      </w:r>
      <w:r w:rsidR="008B3590">
        <w:rPr>
          <w:rStyle w:val="FootnoteReference"/>
          <w:rFonts w:ascii="Times New Roman" w:hAnsi="Times New Roman" w:cs="Times New Roman"/>
          <w:sz w:val="24"/>
        </w:rPr>
        <w:footnoteReference w:id="18"/>
      </w:r>
      <w:r w:rsidR="008B3590">
        <w:rPr>
          <w:rFonts w:ascii="Times New Roman" w:hAnsi="Times New Roman" w:cs="Times New Roman"/>
          <w:sz w:val="24"/>
        </w:rPr>
        <w:t xml:space="preserve"> Even though they were trying to protect Holly, their actions “further undermined her authority” amongst everyone present.</w:t>
      </w:r>
      <w:r w:rsidR="008B3590">
        <w:rPr>
          <w:rStyle w:val="FootnoteReference"/>
          <w:rFonts w:ascii="Times New Roman" w:hAnsi="Times New Roman" w:cs="Times New Roman"/>
          <w:sz w:val="24"/>
        </w:rPr>
        <w:footnoteReference w:id="19"/>
      </w:r>
    </w:p>
    <w:p w:rsidR="008B3590" w:rsidRDefault="008B3590" w:rsidP="005963AB">
      <w:pPr>
        <w:spacing w:after="0" w:line="360" w:lineRule="auto"/>
        <w:rPr>
          <w:rFonts w:ascii="Times New Roman" w:hAnsi="Times New Roman" w:cs="Times New Roman"/>
          <w:sz w:val="24"/>
        </w:rPr>
      </w:pPr>
      <w:r>
        <w:rPr>
          <w:rFonts w:ascii="Times New Roman" w:hAnsi="Times New Roman" w:cs="Times New Roman"/>
          <w:sz w:val="24"/>
        </w:rPr>
        <w:tab/>
        <w:t xml:space="preserve">Several of the women that McLaughlin, </w:t>
      </w:r>
      <w:proofErr w:type="spellStart"/>
      <w:r>
        <w:rPr>
          <w:rFonts w:ascii="Times New Roman" w:hAnsi="Times New Roman" w:cs="Times New Roman"/>
          <w:sz w:val="24"/>
        </w:rPr>
        <w:t>Uggen</w:t>
      </w:r>
      <w:proofErr w:type="spellEnd"/>
      <w:r>
        <w:rPr>
          <w:rFonts w:ascii="Times New Roman" w:hAnsi="Times New Roman" w:cs="Times New Roman"/>
          <w:sz w:val="24"/>
        </w:rPr>
        <w:t xml:space="preserve">, and Blackstone interviewed gave similar stories of male colleagues undermining their authority. Jordan, a police officer, told the story of how her partner and she were sent to a college party and once there, her partner said derogatory things about women. She felt that by saying those things in front of all those young people that </w:t>
      </w:r>
      <w:proofErr w:type="gramStart"/>
      <w:r>
        <w:rPr>
          <w:rFonts w:ascii="Times New Roman" w:hAnsi="Times New Roman" w:cs="Times New Roman"/>
          <w:sz w:val="24"/>
        </w:rPr>
        <w:t>“ ‘</w:t>
      </w:r>
      <w:proofErr w:type="gramEnd"/>
      <w:r>
        <w:rPr>
          <w:rFonts w:ascii="Times New Roman" w:hAnsi="Times New Roman" w:cs="Times New Roman"/>
          <w:sz w:val="24"/>
        </w:rPr>
        <w:t>[they were] not really giving these college kids any reason to show me any respect.’”</w:t>
      </w:r>
      <w:r w:rsidR="00D46DAE">
        <w:rPr>
          <w:rStyle w:val="FootnoteReference"/>
          <w:rFonts w:ascii="Times New Roman" w:hAnsi="Times New Roman" w:cs="Times New Roman"/>
          <w:sz w:val="24"/>
        </w:rPr>
        <w:footnoteReference w:id="20"/>
      </w:r>
      <w:r w:rsidR="00D46DAE">
        <w:rPr>
          <w:rFonts w:ascii="Times New Roman" w:hAnsi="Times New Roman" w:cs="Times New Roman"/>
          <w:sz w:val="24"/>
        </w:rPr>
        <w:t xml:space="preserve"> There </w:t>
      </w:r>
      <w:r w:rsidR="005C37C5">
        <w:rPr>
          <w:rFonts w:ascii="Times New Roman" w:hAnsi="Times New Roman" w:cs="Times New Roman"/>
          <w:sz w:val="24"/>
        </w:rPr>
        <w:t>was also a particular incident shared by a male interviewee who was a correctional officer. He said that the male prisoners liked to “stand naked at the front of their cells and masturbate in front of women officers.”</w:t>
      </w:r>
      <w:r w:rsidR="005C37C5">
        <w:rPr>
          <w:rStyle w:val="FootnoteReference"/>
          <w:rFonts w:ascii="Times New Roman" w:hAnsi="Times New Roman" w:cs="Times New Roman"/>
          <w:sz w:val="24"/>
        </w:rPr>
        <w:footnoteReference w:id="21"/>
      </w:r>
      <w:r w:rsidR="005C37C5">
        <w:rPr>
          <w:rFonts w:ascii="Times New Roman" w:hAnsi="Times New Roman" w:cs="Times New Roman"/>
          <w:sz w:val="24"/>
        </w:rPr>
        <w:t xml:space="preserve"> Not all harassment is the same but each occurrence has the same effect on the women involved and how they are viewed by their male counterparts. These scenarios create doubt</w:t>
      </w:r>
      <w:r w:rsidR="0066078B">
        <w:rPr>
          <w:rFonts w:ascii="Times New Roman" w:hAnsi="Times New Roman" w:cs="Times New Roman"/>
          <w:sz w:val="24"/>
        </w:rPr>
        <w:t xml:space="preserve"> in the men’s minds that the women are truly capable and pushes them further into the box of stereotypical gender norms that they were trying to escape.</w:t>
      </w:r>
    </w:p>
    <w:p w:rsidR="004521C0" w:rsidRDefault="004521C0" w:rsidP="005963AB">
      <w:pPr>
        <w:spacing w:after="0" w:line="360" w:lineRule="auto"/>
        <w:rPr>
          <w:rFonts w:ascii="Times New Roman" w:hAnsi="Times New Roman" w:cs="Times New Roman"/>
          <w:sz w:val="24"/>
        </w:rPr>
      </w:pPr>
      <w:r>
        <w:rPr>
          <w:rFonts w:ascii="Times New Roman" w:hAnsi="Times New Roman" w:cs="Times New Roman"/>
          <w:sz w:val="24"/>
        </w:rPr>
        <w:tab/>
        <w:t xml:space="preserve">There was an interesting pattern that occurred which also proved the power-threat model, in that all the female accounts from McLaughlin, </w:t>
      </w:r>
      <w:proofErr w:type="spellStart"/>
      <w:r>
        <w:rPr>
          <w:rFonts w:ascii="Times New Roman" w:hAnsi="Times New Roman" w:cs="Times New Roman"/>
          <w:sz w:val="24"/>
        </w:rPr>
        <w:t>Uggen</w:t>
      </w:r>
      <w:proofErr w:type="spellEnd"/>
      <w:r>
        <w:rPr>
          <w:rFonts w:ascii="Times New Roman" w:hAnsi="Times New Roman" w:cs="Times New Roman"/>
          <w:sz w:val="24"/>
        </w:rPr>
        <w:t>, and Blackstone’s research article, any staring or leering was from co-workers or clients, not from supervisors.</w:t>
      </w:r>
      <w:r>
        <w:rPr>
          <w:rStyle w:val="FootnoteReference"/>
          <w:rFonts w:ascii="Times New Roman" w:hAnsi="Times New Roman" w:cs="Times New Roman"/>
          <w:sz w:val="24"/>
        </w:rPr>
        <w:footnoteReference w:id="22"/>
      </w:r>
      <w:r w:rsidR="00F64ED7">
        <w:rPr>
          <w:rFonts w:ascii="Times New Roman" w:hAnsi="Times New Roman" w:cs="Times New Roman"/>
          <w:sz w:val="24"/>
        </w:rPr>
        <w:t xml:space="preserve"> </w:t>
      </w:r>
      <w:r w:rsidR="000B0FB0">
        <w:rPr>
          <w:rFonts w:ascii="Times New Roman" w:hAnsi="Times New Roman" w:cs="Times New Roman"/>
          <w:sz w:val="24"/>
        </w:rPr>
        <w:t>They state that “women in authority appear to elicit a power-threat response – especially from below…The same forces that exclude women from management positions continue to operate even after women obtain supervisory authority.”</w:t>
      </w:r>
      <w:r w:rsidR="000B0FB0">
        <w:rPr>
          <w:rStyle w:val="FootnoteReference"/>
          <w:rFonts w:ascii="Times New Roman" w:hAnsi="Times New Roman" w:cs="Times New Roman"/>
          <w:sz w:val="24"/>
        </w:rPr>
        <w:footnoteReference w:id="23"/>
      </w:r>
    </w:p>
    <w:p w:rsidR="004E2A64" w:rsidRDefault="002D2C90" w:rsidP="005963AB">
      <w:pPr>
        <w:spacing w:after="0" w:line="360" w:lineRule="auto"/>
        <w:rPr>
          <w:rFonts w:ascii="Times New Roman" w:hAnsi="Times New Roman" w:cs="Times New Roman"/>
          <w:sz w:val="24"/>
        </w:rPr>
      </w:pPr>
      <w:r>
        <w:rPr>
          <w:rFonts w:ascii="Times New Roman" w:hAnsi="Times New Roman" w:cs="Times New Roman"/>
          <w:sz w:val="24"/>
        </w:rPr>
        <w:tab/>
        <w:t>On top of men believing that they are superior to women and resorting to harassment to try and take back the power that they believe was stolen from them, they often get away with it, either because it is not reported or they get a free pass because ‘boys will be boys.’</w:t>
      </w:r>
      <w:r w:rsidR="004E2A64">
        <w:rPr>
          <w:rFonts w:ascii="Times New Roman" w:hAnsi="Times New Roman" w:cs="Times New Roman"/>
          <w:sz w:val="24"/>
        </w:rPr>
        <w:t xml:space="preserve"> Men’s general attitude of needing to ooze masculinity all the time also undermines female authority. One woman, Lisa told a story from her time working in an advertising agency. A presumed gay man was hired to work in the office and Lisa could tell that the other men were very put off by this. She said “…they were so macho and so misogynistic that I didn’t doubt for one </w:t>
      </w:r>
      <w:r w:rsidR="004E2A64">
        <w:rPr>
          <w:rFonts w:ascii="Times New Roman" w:hAnsi="Times New Roman" w:cs="Times New Roman"/>
          <w:i/>
          <w:sz w:val="24"/>
        </w:rPr>
        <w:t xml:space="preserve">second </w:t>
      </w:r>
      <w:r w:rsidR="004E2A64">
        <w:rPr>
          <w:rFonts w:ascii="Times New Roman" w:hAnsi="Times New Roman" w:cs="Times New Roman"/>
          <w:sz w:val="24"/>
        </w:rPr>
        <w:t xml:space="preserve">that </w:t>
      </w:r>
      <w:r w:rsidR="004E2A64">
        <w:rPr>
          <w:rFonts w:ascii="Times New Roman" w:hAnsi="Times New Roman" w:cs="Times New Roman"/>
          <w:sz w:val="24"/>
        </w:rPr>
        <w:lastRenderedPageBreak/>
        <w:t xml:space="preserve">they’d take him out and beat him up. I thought they were </w:t>
      </w:r>
      <w:r w:rsidR="004E2A64">
        <w:rPr>
          <w:rFonts w:ascii="Times New Roman" w:hAnsi="Times New Roman" w:cs="Times New Roman"/>
          <w:i/>
          <w:sz w:val="24"/>
        </w:rPr>
        <w:t xml:space="preserve">fully </w:t>
      </w:r>
      <w:r w:rsidR="004E2A64">
        <w:rPr>
          <w:rFonts w:ascii="Times New Roman" w:hAnsi="Times New Roman" w:cs="Times New Roman"/>
          <w:sz w:val="24"/>
        </w:rPr>
        <w:t>capable of doing that.”</w:t>
      </w:r>
      <w:r w:rsidR="004E2A64">
        <w:rPr>
          <w:rStyle w:val="FootnoteReference"/>
          <w:rFonts w:ascii="Times New Roman" w:hAnsi="Times New Roman" w:cs="Times New Roman"/>
          <w:sz w:val="24"/>
        </w:rPr>
        <w:footnoteReference w:id="24"/>
      </w:r>
      <w:r w:rsidR="00B11EB4">
        <w:rPr>
          <w:rFonts w:ascii="Times New Roman" w:hAnsi="Times New Roman" w:cs="Times New Roman"/>
          <w:sz w:val="24"/>
        </w:rPr>
        <w:t xml:space="preserve"> Lisa’s boss also told her </w:t>
      </w:r>
      <w:proofErr w:type="gramStart"/>
      <w:r w:rsidR="00B11EB4">
        <w:rPr>
          <w:rFonts w:ascii="Times New Roman" w:hAnsi="Times New Roman" w:cs="Times New Roman"/>
          <w:sz w:val="24"/>
        </w:rPr>
        <w:t>“ ‘that</w:t>
      </w:r>
      <w:proofErr w:type="gramEnd"/>
      <w:r w:rsidR="00B11EB4">
        <w:rPr>
          <w:rFonts w:ascii="Times New Roman" w:hAnsi="Times New Roman" w:cs="Times New Roman"/>
          <w:sz w:val="24"/>
        </w:rPr>
        <w:t xml:space="preserve"> guy – get him </w:t>
      </w:r>
      <w:proofErr w:type="spellStart"/>
      <w:r w:rsidR="00B11EB4">
        <w:rPr>
          <w:rFonts w:ascii="Times New Roman" w:hAnsi="Times New Roman" w:cs="Times New Roman"/>
          <w:sz w:val="24"/>
        </w:rPr>
        <w:t>outta</w:t>
      </w:r>
      <w:proofErr w:type="spellEnd"/>
      <w:r w:rsidR="00B11EB4">
        <w:rPr>
          <w:rFonts w:ascii="Times New Roman" w:hAnsi="Times New Roman" w:cs="Times New Roman"/>
          <w:sz w:val="24"/>
        </w:rPr>
        <w:t xml:space="preserve"> here or someone’s </w:t>
      </w:r>
      <w:proofErr w:type="spellStart"/>
      <w:r w:rsidR="00B11EB4">
        <w:rPr>
          <w:rFonts w:ascii="Times New Roman" w:hAnsi="Times New Roman" w:cs="Times New Roman"/>
          <w:sz w:val="24"/>
        </w:rPr>
        <w:t>gonna</w:t>
      </w:r>
      <w:proofErr w:type="spellEnd"/>
      <w:r w:rsidR="00B11EB4">
        <w:rPr>
          <w:rFonts w:ascii="Times New Roman" w:hAnsi="Times New Roman" w:cs="Times New Roman"/>
          <w:sz w:val="24"/>
        </w:rPr>
        <w:t xml:space="preserve"> break his legs.’”</w:t>
      </w:r>
      <w:r w:rsidR="00060CBE">
        <w:rPr>
          <w:rStyle w:val="FootnoteReference"/>
          <w:rFonts w:ascii="Times New Roman" w:hAnsi="Times New Roman" w:cs="Times New Roman"/>
          <w:sz w:val="24"/>
        </w:rPr>
        <w:footnoteReference w:id="25"/>
      </w:r>
      <w:r w:rsidR="00060CBE">
        <w:rPr>
          <w:rFonts w:ascii="Times New Roman" w:hAnsi="Times New Roman" w:cs="Times New Roman"/>
          <w:sz w:val="24"/>
        </w:rPr>
        <w:t xml:space="preserve"> Lisa told the individual and he actually sued the company. However, Lisa feels that she was held responsible</w:t>
      </w:r>
      <w:r w:rsidR="00606010">
        <w:rPr>
          <w:rFonts w:ascii="Times New Roman" w:hAnsi="Times New Roman" w:cs="Times New Roman"/>
          <w:sz w:val="24"/>
        </w:rPr>
        <w:t xml:space="preserve"> and that </w:t>
      </w:r>
      <w:proofErr w:type="gramStart"/>
      <w:r w:rsidR="00606010">
        <w:rPr>
          <w:rFonts w:ascii="Times New Roman" w:hAnsi="Times New Roman" w:cs="Times New Roman"/>
          <w:sz w:val="24"/>
        </w:rPr>
        <w:t>“ ‘</w:t>
      </w:r>
      <w:proofErr w:type="gramEnd"/>
      <w:r w:rsidR="00BD3026">
        <w:rPr>
          <w:rFonts w:ascii="Times New Roman" w:hAnsi="Times New Roman" w:cs="Times New Roman"/>
          <w:sz w:val="24"/>
        </w:rPr>
        <w:t>[her]</w:t>
      </w:r>
      <w:r w:rsidR="00606010">
        <w:rPr>
          <w:rFonts w:ascii="Times New Roman" w:hAnsi="Times New Roman" w:cs="Times New Roman"/>
          <w:sz w:val="24"/>
        </w:rPr>
        <w:t xml:space="preserve"> responsib</w:t>
      </w:r>
      <w:r w:rsidR="00BD3026">
        <w:rPr>
          <w:rFonts w:ascii="Times New Roman" w:hAnsi="Times New Roman" w:cs="Times New Roman"/>
          <w:sz w:val="24"/>
        </w:rPr>
        <w:t>ilities slowly eked away from [her]</w:t>
      </w:r>
      <w:r w:rsidR="00606010">
        <w:rPr>
          <w:rFonts w:ascii="Times New Roman" w:hAnsi="Times New Roman" w:cs="Times New Roman"/>
          <w:sz w:val="24"/>
        </w:rPr>
        <w:t>…’”</w:t>
      </w:r>
      <w:r w:rsidR="00606010">
        <w:rPr>
          <w:rStyle w:val="FootnoteReference"/>
          <w:rFonts w:ascii="Times New Roman" w:hAnsi="Times New Roman" w:cs="Times New Roman"/>
          <w:sz w:val="24"/>
        </w:rPr>
        <w:footnoteReference w:id="26"/>
      </w:r>
    </w:p>
    <w:p w:rsidR="00C366FD" w:rsidRDefault="0098618C" w:rsidP="005963AB">
      <w:pPr>
        <w:spacing w:after="0" w:line="360" w:lineRule="auto"/>
        <w:rPr>
          <w:rFonts w:ascii="Times New Roman" w:hAnsi="Times New Roman" w:cs="Times New Roman"/>
          <w:sz w:val="24"/>
        </w:rPr>
      </w:pPr>
      <w:r>
        <w:rPr>
          <w:rFonts w:ascii="Times New Roman" w:hAnsi="Times New Roman" w:cs="Times New Roman"/>
          <w:sz w:val="24"/>
        </w:rPr>
        <w:tab/>
        <w:t>Many men also do not believe that women belong in certain occupations which can lead to serious issues. Those women who make it into those professions are likely to have next to no authority, given no respect from their male counterparts, and basically have no power whatsoever. Adding to this “some women felt that sexual harassment came with the territory; they tolerated such behaviour while attempting to prove themselves as women in these fields.”</w:t>
      </w:r>
      <w:r>
        <w:rPr>
          <w:rStyle w:val="FootnoteReference"/>
          <w:rFonts w:ascii="Times New Roman" w:hAnsi="Times New Roman" w:cs="Times New Roman"/>
          <w:sz w:val="24"/>
        </w:rPr>
        <w:footnoteReference w:id="27"/>
      </w:r>
      <w:r>
        <w:rPr>
          <w:rFonts w:ascii="Times New Roman" w:hAnsi="Times New Roman" w:cs="Times New Roman"/>
          <w:sz w:val="24"/>
        </w:rPr>
        <w:t xml:space="preserve"> Of course while trying to prove th</w:t>
      </w:r>
      <w:r w:rsidR="00C44A3D">
        <w:rPr>
          <w:rFonts w:ascii="Times New Roman" w:hAnsi="Times New Roman" w:cs="Times New Roman"/>
          <w:sz w:val="24"/>
        </w:rPr>
        <w:t>emselves in the field they will</w:t>
      </w:r>
      <w:r>
        <w:rPr>
          <w:rFonts w:ascii="Times New Roman" w:hAnsi="Times New Roman" w:cs="Times New Roman"/>
          <w:sz w:val="24"/>
        </w:rPr>
        <w:t xml:space="preserve"> only invoke the power-threat model and bring on more harassment because they have bested the men.</w:t>
      </w:r>
      <w:r w:rsidR="00C44A3D">
        <w:rPr>
          <w:rFonts w:ascii="Times New Roman" w:hAnsi="Times New Roman" w:cs="Times New Roman"/>
          <w:sz w:val="24"/>
        </w:rPr>
        <w:t xml:space="preserve"> In their conclusion, McLaughlin, </w:t>
      </w:r>
      <w:proofErr w:type="spellStart"/>
      <w:r w:rsidR="00C44A3D">
        <w:rPr>
          <w:rFonts w:ascii="Times New Roman" w:hAnsi="Times New Roman" w:cs="Times New Roman"/>
          <w:sz w:val="24"/>
        </w:rPr>
        <w:t>Uggen</w:t>
      </w:r>
      <w:proofErr w:type="spellEnd"/>
      <w:r w:rsidR="00C44A3D">
        <w:rPr>
          <w:rFonts w:ascii="Times New Roman" w:hAnsi="Times New Roman" w:cs="Times New Roman"/>
          <w:sz w:val="24"/>
        </w:rPr>
        <w:t>, and Blackstone write that “when women’s power is viewed as illegitimate or easily undermined, co-workers, clients, and supervisors appear to employ harassment as an ‘equalizer’ against women supervisors, consistent with research showing that harassment is less about</w:t>
      </w:r>
      <w:r w:rsidR="00097738">
        <w:rPr>
          <w:rFonts w:ascii="Times New Roman" w:hAnsi="Times New Roman" w:cs="Times New Roman"/>
          <w:sz w:val="24"/>
        </w:rPr>
        <w:t xml:space="preserve"> sexual desire than about control and domination.”</w:t>
      </w:r>
      <w:r w:rsidR="00097738">
        <w:rPr>
          <w:rStyle w:val="FootnoteReference"/>
          <w:rFonts w:ascii="Times New Roman" w:hAnsi="Times New Roman" w:cs="Times New Roman"/>
          <w:sz w:val="24"/>
        </w:rPr>
        <w:footnoteReference w:id="28"/>
      </w:r>
      <w:r w:rsidR="00C366FD">
        <w:rPr>
          <w:rFonts w:ascii="Times New Roman" w:hAnsi="Times New Roman" w:cs="Times New Roman"/>
          <w:sz w:val="24"/>
        </w:rPr>
        <w:t xml:space="preserve"> However, there are ways for women to subtly take back some power.</w:t>
      </w:r>
    </w:p>
    <w:p w:rsidR="0098618C" w:rsidRDefault="00C366FD" w:rsidP="005963AB">
      <w:pPr>
        <w:spacing w:after="0" w:line="360" w:lineRule="auto"/>
        <w:rPr>
          <w:rFonts w:ascii="Times New Roman" w:hAnsi="Times New Roman" w:cs="Times New Roman"/>
          <w:sz w:val="24"/>
        </w:rPr>
      </w:pPr>
      <w:r>
        <w:rPr>
          <w:rFonts w:ascii="Times New Roman" w:hAnsi="Times New Roman" w:cs="Times New Roman"/>
          <w:sz w:val="24"/>
        </w:rPr>
        <w:tab/>
        <w:t>In Malaysia, female workers fall victim to vengeful spirits in the factories. These episodes can become epidemics in a matter of seconds and in no time an entire factory floor could be filled with young women who have become possessed.</w:t>
      </w:r>
      <w:r w:rsidR="00A44D87">
        <w:rPr>
          <w:rFonts w:ascii="Times New Roman" w:hAnsi="Times New Roman" w:cs="Times New Roman"/>
          <w:sz w:val="24"/>
        </w:rPr>
        <w:t xml:space="preserve"> They scream, hit the machines and cause a general feeling of mayhem throughout causing the supervisors to try and control them the best they can. Originally these spirits attacked </w:t>
      </w:r>
      <w:r w:rsidR="00AC2EAE">
        <w:rPr>
          <w:rFonts w:ascii="Times New Roman" w:hAnsi="Times New Roman" w:cs="Times New Roman"/>
          <w:sz w:val="24"/>
        </w:rPr>
        <w:t>older women, usually ones who are going through changes or tough times. Now they have started on these young factory workers. The first occurrences were</w:t>
      </w:r>
      <w:r w:rsidR="00A44D87">
        <w:rPr>
          <w:rFonts w:ascii="Times New Roman" w:hAnsi="Times New Roman" w:cs="Times New Roman"/>
          <w:sz w:val="24"/>
        </w:rPr>
        <w:t xml:space="preserve"> </w:t>
      </w:r>
      <w:r w:rsidR="00AC2EAE">
        <w:rPr>
          <w:rFonts w:ascii="Times New Roman" w:hAnsi="Times New Roman" w:cs="Times New Roman"/>
          <w:sz w:val="24"/>
        </w:rPr>
        <w:t>in a school and after a thorough investigation a professor of psychology stated that there were “conflicts between the headmaster and female students.”</w:t>
      </w:r>
      <w:r w:rsidR="00AC2EAE">
        <w:rPr>
          <w:rStyle w:val="FootnoteReference"/>
          <w:rFonts w:ascii="Times New Roman" w:hAnsi="Times New Roman" w:cs="Times New Roman"/>
          <w:sz w:val="24"/>
        </w:rPr>
        <w:footnoteReference w:id="29"/>
      </w:r>
      <w:r w:rsidR="00C21FB3">
        <w:rPr>
          <w:rFonts w:ascii="Times New Roman" w:hAnsi="Times New Roman" w:cs="Times New Roman"/>
          <w:sz w:val="24"/>
        </w:rPr>
        <w:t xml:space="preserve"> That kind of conflict could be interpreted from a power perspective.</w:t>
      </w:r>
    </w:p>
    <w:p w:rsidR="00C21FB3" w:rsidRDefault="00C21FB3" w:rsidP="005963AB">
      <w:pPr>
        <w:spacing w:after="0" w:line="360" w:lineRule="auto"/>
        <w:rPr>
          <w:rFonts w:ascii="Times New Roman" w:hAnsi="Times New Roman" w:cs="Times New Roman"/>
          <w:sz w:val="24"/>
        </w:rPr>
      </w:pPr>
      <w:r>
        <w:rPr>
          <w:rFonts w:ascii="Times New Roman" w:hAnsi="Times New Roman" w:cs="Times New Roman"/>
          <w:sz w:val="24"/>
        </w:rPr>
        <w:lastRenderedPageBreak/>
        <w:tab/>
        <w:t>In the cases of the factory workers, they are already in a low position in the factory. They are the lowest rank and therefore have practically no power. Add on to that, the fact that they are women and they now drop to an even lower status. Due to this low status there is not much that they can do to better their conditions. They also have to contend with the fact that the conditions of the factory go against their beliefs. “Mary Douglas has noted that taboos operate to control threats to social boundaries. In Malay society, women are hedged in by conventions that keep them out of social roles and spaces dominated by men.”</w:t>
      </w:r>
      <w:r>
        <w:rPr>
          <w:rStyle w:val="FootnoteReference"/>
          <w:rFonts w:ascii="Times New Roman" w:hAnsi="Times New Roman" w:cs="Times New Roman"/>
          <w:sz w:val="24"/>
        </w:rPr>
        <w:footnoteReference w:id="30"/>
      </w:r>
      <w:r w:rsidR="00DC4D9D">
        <w:rPr>
          <w:rFonts w:ascii="Times New Roman" w:hAnsi="Times New Roman" w:cs="Times New Roman"/>
          <w:sz w:val="24"/>
        </w:rPr>
        <w:t xml:space="preserve"> Somehow these women need to right the wrongs that have been committed by the factories and their superiors. By following their traditions, the young women can exert a small amount of control. </w:t>
      </w:r>
      <w:r w:rsidR="00120FB4">
        <w:rPr>
          <w:rFonts w:ascii="Times New Roman" w:hAnsi="Times New Roman" w:cs="Times New Roman"/>
          <w:sz w:val="24"/>
        </w:rPr>
        <w:t>Apparently “multinational factories based in free-trade zones were the favored sites of spirit visitations.”</w:t>
      </w:r>
      <w:r w:rsidR="00120FB4">
        <w:rPr>
          <w:rStyle w:val="FootnoteReference"/>
          <w:rFonts w:ascii="Times New Roman" w:hAnsi="Times New Roman" w:cs="Times New Roman"/>
          <w:sz w:val="24"/>
        </w:rPr>
        <w:footnoteReference w:id="31"/>
      </w:r>
      <w:r w:rsidR="00120FB4">
        <w:rPr>
          <w:rFonts w:ascii="Times New Roman" w:hAnsi="Times New Roman" w:cs="Times New Roman"/>
          <w:sz w:val="24"/>
        </w:rPr>
        <w:t xml:space="preserve"> How convenient. </w:t>
      </w:r>
    </w:p>
    <w:p w:rsidR="008848D4" w:rsidRDefault="008848D4" w:rsidP="005963AB">
      <w:pPr>
        <w:spacing w:after="0" w:line="360" w:lineRule="auto"/>
        <w:rPr>
          <w:rFonts w:ascii="Times New Roman" w:hAnsi="Times New Roman" w:cs="Times New Roman"/>
          <w:sz w:val="24"/>
        </w:rPr>
      </w:pPr>
      <w:r>
        <w:rPr>
          <w:rFonts w:ascii="Times New Roman" w:hAnsi="Times New Roman" w:cs="Times New Roman"/>
          <w:sz w:val="24"/>
        </w:rPr>
        <w:tab/>
        <w:t>When these women are attacked they “put up a terrific struggle against restraining male supervisors,” interrupt production lines, “often break the machines in ways that are not apparent… sometimes, they damage the products.”</w:t>
      </w:r>
      <w:r>
        <w:rPr>
          <w:rStyle w:val="FootnoteReference"/>
          <w:rFonts w:ascii="Times New Roman" w:hAnsi="Times New Roman" w:cs="Times New Roman"/>
          <w:sz w:val="24"/>
        </w:rPr>
        <w:footnoteReference w:id="32"/>
      </w:r>
      <w:r w:rsidR="00077A5D">
        <w:rPr>
          <w:rFonts w:ascii="Times New Roman" w:hAnsi="Times New Roman" w:cs="Times New Roman"/>
          <w:sz w:val="24"/>
        </w:rPr>
        <w:t xml:space="preserve"> Afterwards, the women are not blamed for their actions because they were not in control of themselves. These young women “are expected to be shy, obedient, and deferential, to be observed and not heard” and so to counteract this they use these spirit attacks as “a form of retaliation against the factory supervisors.”</w:t>
      </w:r>
      <w:r w:rsidR="00077A5D">
        <w:rPr>
          <w:rStyle w:val="FootnoteReference"/>
          <w:rFonts w:ascii="Times New Roman" w:hAnsi="Times New Roman" w:cs="Times New Roman"/>
          <w:sz w:val="24"/>
        </w:rPr>
        <w:footnoteReference w:id="33"/>
      </w:r>
      <w:r w:rsidR="00574660">
        <w:rPr>
          <w:rFonts w:ascii="Times New Roman" w:hAnsi="Times New Roman" w:cs="Times New Roman"/>
          <w:sz w:val="24"/>
        </w:rPr>
        <w:t xml:space="preserve"> The article sums it up nicely, starting with a reference to I. M. Lewis who said that these episodes are a </w:t>
      </w:r>
      <w:proofErr w:type="gramStart"/>
      <w:r w:rsidR="00574660">
        <w:rPr>
          <w:rFonts w:ascii="Times New Roman" w:hAnsi="Times New Roman" w:cs="Times New Roman"/>
          <w:sz w:val="24"/>
        </w:rPr>
        <w:t>“ ‘thinly</w:t>
      </w:r>
      <w:proofErr w:type="gramEnd"/>
      <w:r w:rsidR="00574660">
        <w:rPr>
          <w:rFonts w:ascii="Times New Roman" w:hAnsi="Times New Roman" w:cs="Times New Roman"/>
          <w:sz w:val="24"/>
        </w:rPr>
        <w:t xml:space="preserve"> disguised protest against the dominant sex.’”</w:t>
      </w:r>
      <w:r w:rsidR="00574660">
        <w:rPr>
          <w:rStyle w:val="FootnoteReference"/>
          <w:rFonts w:ascii="Times New Roman" w:hAnsi="Times New Roman" w:cs="Times New Roman"/>
          <w:sz w:val="24"/>
        </w:rPr>
        <w:footnoteReference w:id="34"/>
      </w:r>
      <w:r w:rsidR="00574660">
        <w:rPr>
          <w:rFonts w:ascii="Times New Roman" w:hAnsi="Times New Roman" w:cs="Times New Roman"/>
          <w:sz w:val="24"/>
        </w:rPr>
        <w:t xml:space="preserve"> Ong writes that in Malay society these spirit attacks </w:t>
      </w:r>
      <w:r w:rsidR="005E560C">
        <w:rPr>
          <w:rFonts w:ascii="Times New Roman" w:hAnsi="Times New Roman" w:cs="Times New Roman"/>
          <w:sz w:val="24"/>
        </w:rPr>
        <w:t>are a way of “dealing with the violation of different moral boundaries, of which gender oppression is but one dimension.”</w:t>
      </w:r>
      <w:r w:rsidR="005E560C">
        <w:rPr>
          <w:rStyle w:val="FootnoteReference"/>
          <w:rFonts w:ascii="Times New Roman" w:hAnsi="Times New Roman" w:cs="Times New Roman"/>
          <w:sz w:val="24"/>
        </w:rPr>
        <w:footnoteReference w:id="35"/>
      </w:r>
      <w:r w:rsidR="005E560C">
        <w:rPr>
          <w:rFonts w:ascii="Times New Roman" w:hAnsi="Times New Roman" w:cs="Times New Roman"/>
          <w:sz w:val="24"/>
        </w:rPr>
        <w:t xml:space="preserve"> Basically the attacks allow for a “traditional way of rebelling against authority without punishment” and the women can bask in the glory of their small but meaningful rebellion.</w:t>
      </w:r>
      <w:r w:rsidR="005E560C">
        <w:rPr>
          <w:rStyle w:val="FootnoteReference"/>
          <w:rFonts w:ascii="Times New Roman" w:hAnsi="Times New Roman" w:cs="Times New Roman"/>
          <w:sz w:val="24"/>
        </w:rPr>
        <w:footnoteReference w:id="36"/>
      </w:r>
    </w:p>
    <w:p w:rsidR="00E90C0D" w:rsidRDefault="005E560C" w:rsidP="005963AB">
      <w:pPr>
        <w:spacing w:after="0" w:line="360" w:lineRule="auto"/>
        <w:rPr>
          <w:rFonts w:ascii="Times New Roman" w:hAnsi="Times New Roman" w:cs="Times New Roman"/>
          <w:sz w:val="24"/>
        </w:rPr>
      </w:pPr>
      <w:r>
        <w:rPr>
          <w:rFonts w:ascii="Times New Roman" w:hAnsi="Times New Roman" w:cs="Times New Roman"/>
          <w:sz w:val="24"/>
        </w:rPr>
        <w:tab/>
        <w:t>There are many ways for the males in the factories to further demean the young women working. They question the women about their ‘female problems’</w:t>
      </w:r>
      <w:r w:rsidR="003D21AD">
        <w:rPr>
          <w:rFonts w:ascii="Times New Roman" w:hAnsi="Times New Roman" w:cs="Times New Roman"/>
          <w:sz w:val="24"/>
        </w:rPr>
        <w:t xml:space="preserve">, restrict their meal times as well as bathroom breaks, they invade the safe spaces such as the bathroom, the locker room, and </w:t>
      </w:r>
      <w:r w:rsidR="003D21AD">
        <w:rPr>
          <w:rFonts w:ascii="Times New Roman" w:hAnsi="Times New Roman" w:cs="Times New Roman"/>
          <w:sz w:val="24"/>
        </w:rPr>
        <w:lastRenderedPageBreak/>
        <w:t>the prayer room, and on top of all this they constantly watch them.</w:t>
      </w:r>
      <w:r w:rsidR="003D21AD">
        <w:rPr>
          <w:rStyle w:val="FootnoteReference"/>
          <w:rFonts w:ascii="Times New Roman" w:hAnsi="Times New Roman" w:cs="Times New Roman"/>
          <w:sz w:val="24"/>
        </w:rPr>
        <w:footnoteReference w:id="37"/>
      </w:r>
      <w:r w:rsidR="00AE2E09">
        <w:rPr>
          <w:rFonts w:ascii="Times New Roman" w:hAnsi="Times New Roman" w:cs="Times New Roman"/>
          <w:sz w:val="24"/>
        </w:rPr>
        <w:t xml:space="preserve"> Not to mention the possibilities for sexual harassment just like for the women in McLaughlin, </w:t>
      </w:r>
      <w:proofErr w:type="spellStart"/>
      <w:r w:rsidR="00AE2E09">
        <w:rPr>
          <w:rFonts w:ascii="Times New Roman" w:hAnsi="Times New Roman" w:cs="Times New Roman"/>
          <w:sz w:val="24"/>
        </w:rPr>
        <w:t>Oggen</w:t>
      </w:r>
      <w:proofErr w:type="spellEnd"/>
      <w:r w:rsidR="00AE2E09">
        <w:rPr>
          <w:rFonts w:ascii="Times New Roman" w:hAnsi="Times New Roman" w:cs="Times New Roman"/>
          <w:sz w:val="24"/>
        </w:rPr>
        <w:t>, and Blackstone’s article.</w:t>
      </w:r>
      <w:r w:rsidR="00AA721D">
        <w:rPr>
          <w:rFonts w:ascii="Times New Roman" w:hAnsi="Times New Roman" w:cs="Times New Roman"/>
          <w:sz w:val="24"/>
        </w:rPr>
        <w:t xml:space="preserve"> Ong also references Foucault, writing that “people subjected to the ‘</w:t>
      </w:r>
      <w:proofErr w:type="spellStart"/>
      <w:r w:rsidR="00AA721D">
        <w:rPr>
          <w:rFonts w:ascii="Times New Roman" w:hAnsi="Times New Roman" w:cs="Times New Roman"/>
          <w:sz w:val="24"/>
        </w:rPr>
        <w:t>mirco</w:t>
      </w:r>
      <w:proofErr w:type="spellEnd"/>
      <w:r w:rsidR="00AA721D">
        <w:rPr>
          <w:rFonts w:ascii="Times New Roman" w:hAnsi="Times New Roman" w:cs="Times New Roman"/>
          <w:sz w:val="24"/>
        </w:rPr>
        <w:t>-techniques’ of power are induced to regulate themselves” just like the female faculty at the college from Lester’s article. All of those women regulate their perso</w:t>
      </w:r>
      <w:r w:rsidR="00E90C0D">
        <w:rPr>
          <w:rFonts w:ascii="Times New Roman" w:hAnsi="Times New Roman" w:cs="Times New Roman"/>
          <w:sz w:val="24"/>
        </w:rPr>
        <w:t>na because of the things that the men do to exhibit their power.</w:t>
      </w:r>
    </w:p>
    <w:p w:rsidR="005E560C" w:rsidRDefault="00E90C0D" w:rsidP="005963AB">
      <w:pPr>
        <w:spacing w:after="0" w:line="360" w:lineRule="auto"/>
        <w:rPr>
          <w:rFonts w:ascii="Times New Roman" w:hAnsi="Times New Roman" w:cs="Times New Roman"/>
          <w:sz w:val="24"/>
        </w:rPr>
      </w:pPr>
      <w:r>
        <w:rPr>
          <w:rFonts w:ascii="Times New Roman" w:hAnsi="Times New Roman" w:cs="Times New Roman"/>
          <w:sz w:val="24"/>
        </w:rPr>
        <w:tab/>
        <w:t>These female factory workers are also degraded further to literally just another body who can do work. Ong writes that “this notion of women’s bodies renders them analogous to the status of the computer chips they make.”</w:t>
      </w:r>
      <w:r>
        <w:rPr>
          <w:rStyle w:val="FootnoteReference"/>
          <w:rFonts w:ascii="Times New Roman" w:hAnsi="Times New Roman" w:cs="Times New Roman"/>
          <w:sz w:val="24"/>
        </w:rPr>
        <w:footnoteReference w:id="38"/>
      </w:r>
      <w:r w:rsidR="00AA721D">
        <w:rPr>
          <w:rFonts w:ascii="Times New Roman" w:hAnsi="Times New Roman" w:cs="Times New Roman"/>
          <w:sz w:val="24"/>
        </w:rPr>
        <w:t xml:space="preserve"> </w:t>
      </w:r>
      <w:r w:rsidR="00726562">
        <w:rPr>
          <w:rFonts w:ascii="Times New Roman" w:hAnsi="Times New Roman" w:cs="Times New Roman"/>
          <w:sz w:val="24"/>
        </w:rPr>
        <w:t>All they are known for are parts of themselves. Their “eyesight, manual dexterity, and patience” as well as their “nimble fingers” are what they are valued for.</w:t>
      </w:r>
      <w:r w:rsidR="00726562">
        <w:rPr>
          <w:rStyle w:val="FootnoteReference"/>
          <w:rFonts w:ascii="Times New Roman" w:hAnsi="Times New Roman" w:cs="Times New Roman"/>
          <w:sz w:val="24"/>
        </w:rPr>
        <w:footnoteReference w:id="39"/>
      </w:r>
      <w:r w:rsidR="00695637">
        <w:rPr>
          <w:rFonts w:ascii="Times New Roman" w:hAnsi="Times New Roman" w:cs="Times New Roman"/>
          <w:sz w:val="24"/>
        </w:rPr>
        <w:t xml:space="preserve"> Nevertheless, these women have found a way to rise above all of their male superiors. “Their participation as an industrial force is subconsciously perceived by themselves…as a threat to the ordering of Malay culture” and therefore they use the spirit attacks either </w:t>
      </w:r>
      <w:r w:rsidR="00920A8C">
        <w:rPr>
          <w:rFonts w:ascii="Times New Roman" w:hAnsi="Times New Roman" w:cs="Times New Roman"/>
          <w:sz w:val="24"/>
        </w:rPr>
        <w:t>consciously or not to give themselves a little bit of power back that they lost.</w:t>
      </w:r>
      <w:r w:rsidR="00603D04">
        <w:rPr>
          <w:rStyle w:val="FootnoteReference"/>
          <w:rFonts w:ascii="Times New Roman" w:hAnsi="Times New Roman" w:cs="Times New Roman"/>
          <w:sz w:val="24"/>
        </w:rPr>
        <w:footnoteReference w:id="40"/>
      </w:r>
    </w:p>
    <w:p w:rsidR="004A40B4" w:rsidRDefault="005A4332" w:rsidP="005963AB">
      <w:pPr>
        <w:spacing w:after="0" w:line="360" w:lineRule="auto"/>
        <w:rPr>
          <w:rFonts w:ascii="Times New Roman" w:hAnsi="Times New Roman" w:cs="Times New Roman"/>
          <w:sz w:val="24"/>
        </w:rPr>
      </w:pPr>
      <w:r>
        <w:rPr>
          <w:rFonts w:ascii="Times New Roman" w:hAnsi="Times New Roman" w:cs="Times New Roman"/>
          <w:sz w:val="24"/>
        </w:rPr>
        <w:tab/>
        <w:t>In conclusion, women in the workforce are greatly ruled by their own physical bodies through men and their regulatory power. However, there are ways for women to gain power back in small doses. The women who alter their work persona, like Arlene, women who take charge like Lisa, and the women who take the production process back into their own hands like the factory workers in Malaysia. There is always something that women can do, the biggest issue is the fact that men have this superiority issue in the first place.</w:t>
      </w:r>
    </w:p>
    <w:p w:rsidR="004A40B4" w:rsidRDefault="004A40B4">
      <w:pPr>
        <w:rPr>
          <w:rFonts w:ascii="Times New Roman" w:hAnsi="Times New Roman" w:cs="Times New Roman"/>
          <w:sz w:val="24"/>
        </w:rPr>
      </w:pPr>
      <w:r>
        <w:rPr>
          <w:rFonts w:ascii="Times New Roman" w:hAnsi="Times New Roman" w:cs="Times New Roman"/>
          <w:sz w:val="24"/>
        </w:rPr>
        <w:br w:type="page"/>
      </w:r>
    </w:p>
    <w:p w:rsidR="005A4332" w:rsidRDefault="004A40B4" w:rsidP="004A40B4">
      <w:pPr>
        <w:spacing w:after="0" w:line="360" w:lineRule="auto"/>
        <w:jc w:val="center"/>
        <w:rPr>
          <w:rFonts w:ascii="Times New Roman" w:hAnsi="Times New Roman" w:cs="Times New Roman"/>
          <w:sz w:val="24"/>
        </w:rPr>
      </w:pPr>
      <w:r>
        <w:rPr>
          <w:rFonts w:ascii="Times New Roman" w:hAnsi="Times New Roman" w:cs="Times New Roman"/>
          <w:sz w:val="24"/>
        </w:rPr>
        <w:lastRenderedPageBreak/>
        <w:t>Works Cited</w:t>
      </w:r>
    </w:p>
    <w:p w:rsidR="004A40B4" w:rsidRDefault="005C4D57" w:rsidP="005C4D57">
      <w:pPr>
        <w:spacing w:after="0" w:line="360" w:lineRule="auto"/>
        <w:rPr>
          <w:rFonts w:ascii="Times New Roman" w:hAnsi="Times New Roman" w:cs="Times New Roman"/>
          <w:sz w:val="24"/>
        </w:rPr>
      </w:pPr>
      <w:r w:rsidRPr="005C4D57">
        <w:rPr>
          <w:rFonts w:ascii="Times New Roman" w:hAnsi="Times New Roman" w:cs="Times New Roman"/>
          <w:sz w:val="24"/>
        </w:rPr>
        <w:t>Lester, Jaime. "Performing Gender in the Workplace." </w:t>
      </w:r>
      <w:r w:rsidRPr="005C4D57">
        <w:rPr>
          <w:rFonts w:ascii="Times New Roman" w:hAnsi="Times New Roman" w:cs="Times New Roman"/>
          <w:i/>
          <w:iCs/>
          <w:sz w:val="24"/>
        </w:rPr>
        <w:t>Community College Review</w:t>
      </w:r>
      <w:r w:rsidRPr="005C4D57">
        <w:rPr>
          <w:rFonts w:ascii="Times New Roman" w:hAnsi="Times New Roman" w:cs="Times New Roman"/>
          <w:sz w:val="24"/>
        </w:rPr>
        <w:t> 35, no. 4</w:t>
      </w:r>
      <w:r>
        <w:rPr>
          <w:rFonts w:ascii="Times New Roman" w:hAnsi="Times New Roman" w:cs="Times New Roman"/>
          <w:sz w:val="24"/>
        </w:rPr>
        <w:tab/>
      </w:r>
      <w:r>
        <w:rPr>
          <w:rFonts w:ascii="Times New Roman" w:hAnsi="Times New Roman" w:cs="Times New Roman"/>
          <w:sz w:val="24"/>
        </w:rPr>
        <w:tab/>
      </w:r>
      <w:r w:rsidRPr="005C4D57">
        <w:rPr>
          <w:rFonts w:ascii="Times New Roman" w:hAnsi="Times New Roman" w:cs="Times New Roman"/>
          <w:sz w:val="24"/>
        </w:rPr>
        <w:t xml:space="preserve"> (April 2008): 277-305. Accessed November 12, 2017. </w:t>
      </w:r>
      <w:proofErr w:type="gramStart"/>
      <w:r w:rsidRPr="005C4D57">
        <w:rPr>
          <w:rFonts w:ascii="Times New Roman" w:hAnsi="Times New Roman" w:cs="Times New Roman"/>
          <w:sz w:val="24"/>
        </w:rPr>
        <w:t>doi:</w:t>
      </w:r>
      <w:proofErr w:type="gramEnd"/>
      <w:r w:rsidRPr="005C4D57">
        <w:rPr>
          <w:rFonts w:ascii="Times New Roman" w:hAnsi="Times New Roman" w:cs="Times New Roman"/>
          <w:sz w:val="24"/>
        </w:rPr>
        <w:t>10.1177/0091552108314756.</w:t>
      </w:r>
    </w:p>
    <w:p w:rsidR="00A51660" w:rsidRDefault="00A51660" w:rsidP="005C4D57">
      <w:pPr>
        <w:spacing w:after="0" w:line="360" w:lineRule="auto"/>
        <w:rPr>
          <w:rFonts w:ascii="Times New Roman" w:hAnsi="Times New Roman" w:cs="Times New Roman"/>
          <w:sz w:val="24"/>
        </w:rPr>
      </w:pPr>
    </w:p>
    <w:p w:rsidR="005C4D57" w:rsidRDefault="00A51660" w:rsidP="005C4D57">
      <w:pPr>
        <w:spacing w:after="0" w:line="360" w:lineRule="auto"/>
        <w:rPr>
          <w:rFonts w:ascii="Times New Roman" w:hAnsi="Times New Roman" w:cs="Times New Roman"/>
          <w:sz w:val="24"/>
        </w:rPr>
      </w:pPr>
      <w:proofErr w:type="spellStart"/>
      <w:r w:rsidRPr="00A51660">
        <w:rPr>
          <w:rFonts w:ascii="Times New Roman" w:hAnsi="Times New Roman" w:cs="Times New Roman"/>
          <w:sz w:val="24"/>
        </w:rPr>
        <w:t>Mclaughlin</w:t>
      </w:r>
      <w:proofErr w:type="spellEnd"/>
      <w:r w:rsidRPr="00A51660">
        <w:rPr>
          <w:rFonts w:ascii="Times New Roman" w:hAnsi="Times New Roman" w:cs="Times New Roman"/>
          <w:sz w:val="24"/>
        </w:rPr>
        <w:t xml:space="preserve">, Heather, Christopher </w:t>
      </w:r>
      <w:proofErr w:type="spellStart"/>
      <w:r w:rsidRPr="00A51660">
        <w:rPr>
          <w:rFonts w:ascii="Times New Roman" w:hAnsi="Times New Roman" w:cs="Times New Roman"/>
          <w:sz w:val="24"/>
        </w:rPr>
        <w:t>Uggen</w:t>
      </w:r>
      <w:proofErr w:type="spellEnd"/>
      <w:r w:rsidRPr="00A51660">
        <w:rPr>
          <w:rFonts w:ascii="Times New Roman" w:hAnsi="Times New Roman" w:cs="Times New Roman"/>
          <w:sz w:val="24"/>
        </w:rPr>
        <w:t>, and Amy Blackstone. "Sexual Harassment, Workplace</w:t>
      </w:r>
      <w:r>
        <w:rPr>
          <w:rFonts w:ascii="Times New Roman" w:hAnsi="Times New Roman" w:cs="Times New Roman"/>
          <w:sz w:val="24"/>
        </w:rPr>
        <w:tab/>
      </w:r>
      <w:r>
        <w:rPr>
          <w:rFonts w:ascii="Times New Roman" w:hAnsi="Times New Roman" w:cs="Times New Roman"/>
          <w:sz w:val="24"/>
        </w:rPr>
        <w:tab/>
      </w:r>
      <w:r w:rsidRPr="00A51660">
        <w:rPr>
          <w:rFonts w:ascii="Times New Roman" w:hAnsi="Times New Roman" w:cs="Times New Roman"/>
          <w:sz w:val="24"/>
        </w:rPr>
        <w:t xml:space="preserve"> Authority, and the Paradox of Power." </w:t>
      </w:r>
      <w:r w:rsidRPr="00A51660">
        <w:rPr>
          <w:rFonts w:ascii="Times New Roman" w:hAnsi="Times New Roman" w:cs="Times New Roman"/>
          <w:i/>
          <w:iCs/>
          <w:sz w:val="24"/>
        </w:rPr>
        <w:t>American Sociological Review</w:t>
      </w:r>
      <w:r w:rsidRPr="00A51660">
        <w:rPr>
          <w:rFonts w:ascii="Times New Roman" w:hAnsi="Times New Roman" w:cs="Times New Roman"/>
          <w:sz w:val="24"/>
        </w:rPr>
        <w:t> 77, no. 4 (2012):</w:t>
      </w:r>
      <w:r>
        <w:rPr>
          <w:rFonts w:ascii="Times New Roman" w:hAnsi="Times New Roman" w:cs="Times New Roman"/>
          <w:sz w:val="24"/>
        </w:rPr>
        <w:tab/>
      </w:r>
      <w:r>
        <w:rPr>
          <w:rFonts w:ascii="Times New Roman" w:hAnsi="Times New Roman" w:cs="Times New Roman"/>
          <w:sz w:val="24"/>
        </w:rPr>
        <w:tab/>
      </w:r>
      <w:r w:rsidRPr="00A51660">
        <w:rPr>
          <w:rFonts w:ascii="Times New Roman" w:hAnsi="Times New Roman" w:cs="Times New Roman"/>
          <w:sz w:val="24"/>
        </w:rPr>
        <w:t xml:space="preserve"> 625-47. Accessed November 12, 2017. </w:t>
      </w:r>
      <w:proofErr w:type="gramStart"/>
      <w:r w:rsidRPr="00A51660">
        <w:rPr>
          <w:rFonts w:ascii="Times New Roman" w:hAnsi="Times New Roman" w:cs="Times New Roman"/>
          <w:sz w:val="24"/>
        </w:rPr>
        <w:t>doi:</w:t>
      </w:r>
      <w:proofErr w:type="gramEnd"/>
      <w:r w:rsidRPr="00A51660">
        <w:rPr>
          <w:rFonts w:ascii="Times New Roman" w:hAnsi="Times New Roman" w:cs="Times New Roman"/>
          <w:sz w:val="24"/>
        </w:rPr>
        <w:t>10.1177/0003122412451728.</w:t>
      </w:r>
    </w:p>
    <w:p w:rsidR="005C4D57" w:rsidRDefault="005C4D57" w:rsidP="004A40B4">
      <w:pPr>
        <w:spacing w:after="0" w:line="360" w:lineRule="auto"/>
        <w:rPr>
          <w:rFonts w:ascii="Times New Roman" w:hAnsi="Times New Roman" w:cs="Times New Roman"/>
          <w:sz w:val="24"/>
        </w:rPr>
      </w:pPr>
    </w:p>
    <w:p w:rsidR="00A51660" w:rsidRPr="004E2A64" w:rsidRDefault="00F34881" w:rsidP="004A40B4">
      <w:pPr>
        <w:spacing w:after="0" w:line="360" w:lineRule="auto"/>
        <w:rPr>
          <w:rFonts w:ascii="Times New Roman" w:hAnsi="Times New Roman" w:cs="Times New Roman"/>
          <w:sz w:val="24"/>
        </w:rPr>
      </w:pPr>
      <w:r w:rsidRPr="00F34881">
        <w:rPr>
          <w:rFonts w:ascii="Times New Roman" w:hAnsi="Times New Roman" w:cs="Times New Roman"/>
          <w:sz w:val="24"/>
        </w:rPr>
        <w:t xml:space="preserve">Ong, </w:t>
      </w:r>
      <w:proofErr w:type="spellStart"/>
      <w:r w:rsidRPr="00F34881">
        <w:rPr>
          <w:rFonts w:ascii="Times New Roman" w:hAnsi="Times New Roman" w:cs="Times New Roman"/>
          <w:sz w:val="24"/>
        </w:rPr>
        <w:t>Aihwa</w:t>
      </w:r>
      <w:proofErr w:type="spellEnd"/>
      <w:r w:rsidRPr="00F34881">
        <w:rPr>
          <w:rFonts w:ascii="Times New Roman" w:hAnsi="Times New Roman" w:cs="Times New Roman"/>
          <w:sz w:val="24"/>
        </w:rPr>
        <w:t>. "The production of possession: spirits and the multinational corporation in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F34881">
        <w:rPr>
          <w:rFonts w:ascii="Times New Roman" w:hAnsi="Times New Roman" w:cs="Times New Roman"/>
          <w:sz w:val="24"/>
        </w:rPr>
        <w:t xml:space="preserve"> Malaysia." </w:t>
      </w:r>
      <w:r w:rsidRPr="00F34881">
        <w:rPr>
          <w:rFonts w:ascii="Times New Roman" w:hAnsi="Times New Roman" w:cs="Times New Roman"/>
          <w:i/>
          <w:iCs/>
          <w:sz w:val="24"/>
        </w:rPr>
        <w:t>American Ethnologist</w:t>
      </w:r>
      <w:r w:rsidRPr="00F34881">
        <w:rPr>
          <w:rFonts w:ascii="Times New Roman" w:hAnsi="Times New Roman" w:cs="Times New Roman"/>
          <w:sz w:val="24"/>
        </w:rPr>
        <w:t> 15, no. 1 (1988): 28-42. Accessed November 12, 2017.</w:t>
      </w:r>
      <w:r>
        <w:rPr>
          <w:rFonts w:ascii="Times New Roman" w:hAnsi="Times New Roman" w:cs="Times New Roman"/>
          <w:sz w:val="24"/>
        </w:rPr>
        <w:tab/>
      </w:r>
      <w:r>
        <w:rPr>
          <w:rFonts w:ascii="Times New Roman" w:hAnsi="Times New Roman" w:cs="Times New Roman"/>
          <w:sz w:val="24"/>
        </w:rPr>
        <w:tab/>
      </w:r>
      <w:bookmarkStart w:id="0" w:name="_GoBack"/>
      <w:bookmarkEnd w:id="0"/>
      <w:r w:rsidRPr="00F34881">
        <w:rPr>
          <w:rFonts w:ascii="Times New Roman" w:hAnsi="Times New Roman" w:cs="Times New Roman"/>
          <w:sz w:val="24"/>
        </w:rPr>
        <w:t xml:space="preserve"> doi:10.1525/ae.1988.15.1.02a00030.</w:t>
      </w:r>
    </w:p>
    <w:sectPr w:rsidR="00A51660" w:rsidRPr="004E2A6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047A" w:rsidRDefault="0054047A" w:rsidP="002E124A">
      <w:pPr>
        <w:spacing w:after="0" w:line="240" w:lineRule="auto"/>
      </w:pPr>
      <w:r>
        <w:separator/>
      </w:r>
    </w:p>
  </w:endnote>
  <w:endnote w:type="continuationSeparator" w:id="0">
    <w:p w:rsidR="0054047A" w:rsidRDefault="0054047A" w:rsidP="002E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047A" w:rsidRDefault="0054047A" w:rsidP="002E124A">
      <w:pPr>
        <w:spacing w:after="0" w:line="240" w:lineRule="auto"/>
      </w:pPr>
      <w:r>
        <w:separator/>
      </w:r>
    </w:p>
  </w:footnote>
  <w:footnote w:type="continuationSeparator" w:id="0">
    <w:p w:rsidR="0054047A" w:rsidRDefault="0054047A" w:rsidP="002E124A">
      <w:pPr>
        <w:spacing w:after="0" w:line="240" w:lineRule="auto"/>
      </w:pPr>
      <w:r>
        <w:continuationSeparator/>
      </w:r>
    </w:p>
  </w:footnote>
  <w:footnote w:id="1">
    <w:p w:rsidR="002E124A" w:rsidRPr="002E124A" w:rsidRDefault="002E124A">
      <w:pPr>
        <w:pStyle w:val="FootnoteText"/>
      </w:pPr>
      <w:r>
        <w:rPr>
          <w:rStyle w:val="FootnoteReference"/>
        </w:rPr>
        <w:footnoteRef/>
      </w:r>
      <w:r>
        <w:t xml:space="preserve"> Judith Butler, </w:t>
      </w:r>
      <w:r>
        <w:rPr>
          <w:i/>
        </w:rPr>
        <w:t xml:space="preserve">Undoing Gender </w:t>
      </w:r>
      <w:r>
        <w:t>(New York: Routledge, 2004), 41</w:t>
      </w:r>
    </w:p>
  </w:footnote>
  <w:footnote w:id="2">
    <w:p w:rsidR="00786FCC" w:rsidRPr="00786FCC" w:rsidRDefault="00786FCC">
      <w:pPr>
        <w:pStyle w:val="FootnoteText"/>
      </w:pPr>
      <w:r>
        <w:rPr>
          <w:rStyle w:val="FootnoteReference"/>
        </w:rPr>
        <w:footnoteRef/>
      </w:r>
      <w:r>
        <w:t xml:space="preserve"> Jaime Lester. “Performing Gender in the Workplace: Gender Socialization, Power, and Identity </w:t>
      </w:r>
      <w:proofErr w:type="gramStart"/>
      <w:r>
        <w:t>Among</w:t>
      </w:r>
      <w:proofErr w:type="gramEnd"/>
      <w:r>
        <w:t xml:space="preserve"> Women Faculty Members,” </w:t>
      </w:r>
      <w:r>
        <w:rPr>
          <w:i/>
        </w:rPr>
        <w:t>Community College Review</w:t>
      </w:r>
      <w:r w:rsidR="00D93A16">
        <w:t xml:space="preserve"> 35, no. 4 (2008): 280</w:t>
      </w:r>
      <w:r>
        <w:t xml:space="preserve">, </w:t>
      </w:r>
      <w:proofErr w:type="spellStart"/>
      <w:r>
        <w:t>doi</w:t>
      </w:r>
      <w:proofErr w:type="spellEnd"/>
      <w:r>
        <w:t>: 10.1177/00091552108314756.</w:t>
      </w:r>
    </w:p>
  </w:footnote>
  <w:footnote w:id="3">
    <w:p w:rsidR="005361E8" w:rsidRDefault="005361E8">
      <w:pPr>
        <w:pStyle w:val="FootnoteText"/>
      </w:pPr>
      <w:r>
        <w:rPr>
          <w:rStyle w:val="FootnoteReference"/>
        </w:rPr>
        <w:footnoteRef/>
      </w:r>
      <w:r>
        <w:t xml:space="preserve"> Ibid. 283</w:t>
      </w:r>
    </w:p>
  </w:footnote>
  <w:footnote w:id="4">
    <w:p w:rsidR="004F26B3" w:rsidRDefault="004F26B3">
      <w:pPr>
        <w:pStyle w:val="FootnoteText"/>
      </w:pPr>
      <w:r>
        <w:rPr>
          <w:rStyle w:val="FootnoteReference"/>
        </w:rPr>
        <w:footnoteRef/>
      </w:r>
      <w:r>
        <w:t xml:space="preserve"> Ibid. 283</w:t>
      </w:r>
    </w:p>
  </w:footnote>
  <w:footnote w:id="5">
    <w:p w:rsidR="007063AB" w:rsidRDefault="007063AB">
      <w:pPr>
        <w:pStyle w:val="FootnoteText"/>
      </w:pPr>
      <w:r>
        <w:rPr>
          <w:rStyle w:val="FootnoteReference"/>
        </w:rPr>
        <w:footnoteRef/>
      </w:r>
      <w:r>
        <w:t xml:space="preserve"> Ibid, 283</w:t>
      </w:r>
    </w:p>
  </w:footnote>
  <w:footnote w:id="6">
    <w:p w:rsidR="0017776A" w:rsidRDefault="0017776A">
      <w:pPr>
        <w:pStyle w:val="FootnoteText"/>
      </w:pPr>
      <w:r>
        <w:rPr>
          <w:rStyle w:val="FootnoteReference"/>
        </w:rPr>
        <w:footnoteRef/>
      </w:r>
      <w:r>
        <w:t xml:space="preserve"> Ibid, 284</w:t>
      </w:r>
    </w:p>
  </w:footnote>
  <w:footnote w:id="7">
    <w:p w:rsidR="0014722E" w:rsidRDefault="0014722E">
      <w:pPr>
        <w:pStyle w:val="FootnoteText"/>
      </w:pPr>
      <w:r>
        <w:rPr>
          <w:rStyle w:val="FootnoteReference"/>
        </w:rPr>
        <w:footnoteRef/>
      </w:r>
      <w:r>
        <w:t xml:space="preserve"> Ibid, </w:t>
      </w:r>
      <w:r w:rsidR="00B26E22">
        <w:t>284</w:t>
      </w:r>
    </w:p>
  </w:footnote>
  <w:footnote w:id="8">
    <w:p w:rsidR="004D4ED6" w:rsidRDefault="004D4ED6">
      <w:pPr>
        <w:pStyle w:val="FootnoteText"/>
      </w:pPr>
      <w:r>
        <w:rPr>
          <w:rStyle w:val="FootnoteReference"/>
        </w:rPr>
        <w:footnoteRef/>
      </w:r>
      <w:r>
        <w:t xml:space="preserve"> Ibid, 287</w:t>
      </w:r>
    </w:p>
  </w:footnote>
  <w:footnote w:id="9">
    <w:p w:rsidR="009B0720" w:rsidRDefault="009B0720">
      <w:pPr>
        <w:pStyle w:val="FootnoteText"/>
      </w:pPr>
      <w:r>
        <w:rPr>
          <w:rStyle w:val="FootnoteReference"/>
        </w:rPr>
        <w:footnoteRef/>
      </w:r>
      <w:r>
        <w:t xml:space="preserve"> Ibid, 287</w:t>
      </w:r>
    </w:p>
  </w:footnote>
  <w:footnote w:id="10">
    <w:p w:rsidR="00A716B8" w:rsidRPr="00A716B8" w:rsidRDefault="00A716B8">
      <w:pPr>
        <w:pStyle w:val="FootnoteText"/>
      </w:pPr>
      <w:r>
        <w:rPr>
          <w:rStyle w:val="FootnoteReference"/>
        </w:rPr>
        <w:footnoteRef/>
      </w:r>
      <w:r>
        <w:t xml:space="preserve"> Heather McLaughlin, Christopher </w:t>
      </w:r>
      <w:proofErr w:type="spellStart"/>
      <w:r>
        <w:t>Uggen</w:t>
      </w:r>
      <w:proofErr w:type="spellEnd"/>
      <w:r>
        <w:t xml:space="preserve">, and Amy Blackstone. “Sexual Harassment, Workplace Authority, and the Paradox of Power,” </w:t>
      </w:r>
      <w:r>
        <w:rPr>
          <w:i/>
        </w:rPr>
        <w:t xml:space="preserve">American Sociological Review </w:t>
      </w:r>
      <w:r>
        <w:t xml:space="preserve">77, no. 4 (2012): 627, </w:t>
      </w:r>
      <w:proofErr w:type="spellStart"/>
      <w:r>
        <w:t>doi</w:t>
      </w:r>
      <w:proofErr w:type="spellEnd"/>
      <w:r>
        <w:t>: 10.1177/0003122412451728</w:t>
      </w:r>
    </w:p>
  </w:footnote>
  <w:footnote w:id="11">
    <w:p w:rsidR="001D4687" w:rsidRDefault="001D4687">
      <w:pPr>
        <w:pStyle w:val="FootnoteText"/>
      </w:pPr>
      <w:r>
        <w:rPr>
          <w:rStyle w:val="FootnoteReference"/>
        </w:rPr>
        <w:footnoteRef/>
      </w:r>
      <w:r>
        <w:t xml:space="preserve"> Ibid, 627</w:t>
      </w:r>
    </w:p>
  </w:footnote>
  <w:footnote w:id="12">
    <w:p w:rsidR="005766E1" w:rsidRDefault="005766E1">
      <w:pPr>
        <w:pStyle w:val="FootnoteText"/>
      </w:pPr>
      <w:r>
        <w:rPr>
          <w:rStyle w:val="FootnoteReference"/>
        </w:rPr>
        <w:footnoteRef/>
      </w:r>
      <w:r>
        <w:t xml:space="preserve"> Ibid, 627</w:t>
      </w:r>
    </w:p>
  </w:footnote>
  <w:footnote w:id="13">
    <w:p w:rsidR="00A87105" w:rsidRDefault="00A87105">
      <w:pPr>
        <w:pStyle w:val="FootnoteText"/>
      </w:pPr>
      <w:r>
        <w:rPr>
          <w:rStyle w:val="FootnoteReference"/>
        </w:rPr>
        <w:footnoteRef/>
      </w:r>
      <w:r>
        <w:t xml:space="preserve"> Ibid, 628</w:t>
      </w:r>
    </w:p>
  </w:footnote>
  <w:footnote w:id="14">
    <w:p w:rsidR="00B73E5B" w:rsidRDefault="00B73E5B">
      <w:pPr>
        <w:pStyle w:val="FootnoteText"/>
      </w:pPr>
      <w:r>
        <w:rPr>
          <w:rStyle w:val="FootnoteReference"/>
        </w:rPr>
        <w:footnoteRef/>
      </w:r>
      <w:r>
        <w:t xml:space="preserve"> Ibid, 635</w:t>
      </w:r>
    </w:p>
  </w:footnote>
  <w:footnote w:id="15">
    <w:p w:rsidR="00F721EE" w:rsidRDefault="00F721EE">
      <w:pPr>
        <w:pStyle w:val="FootnoteText"/>
      </w:pPr>
      <w:r>
        <w:rPr>
          <w:rStyle w:val="FootnoteReference"/>
        </w:rPr>
        <w:footnoteRef/>
      </w:r>
      <w:r>
        <w:t xml:space="preserve"> Ibid, 636</w:t>
      </w:r>
    </w:p>
  </w:footnote>
  <w:footnote w:id="16">
    <w:p w:rsidR="00411852" w:rsidRDefault="00411852">
      <w:pPr>
        <w:pStyle w:val="FootnoteText"/>
      </w:pPr>
      <w:r>
        <w:rPr>
          <w:rStyle w:val="FootnoteReference"/>
        </w:rPr>
        <w:footnoteRef/>
      </w:r>
      <w:r>
        <w:t xml:space="preserve"> Ibid, 637</w:t>
      </w:r>
    </w:p>
  </w:footnote>
  <w:footnote w:id="17">
    <w:p w:rsidR="008B3590" w:rsidRDefault="008B3590">
      <w:pPr>
        <w:pStyle w:val="FootnoteText"/>
      </w:pPr>
      <w:r>
        <w:rPr>
          <w:rStyle w:val="FootnoteReference"/>
        </w:rPr>
        <w:footnoteRef/>
      </w:r>
      <w:r>
        <w:t xml:space="preserve"> Ibid, 637</w:t>
      </w:r>
    </w:p>
  </w:footnote>
  <w:footnote w:id="18">
    <w:p w:rsidR="008B3590" w:rsidRDefault="008B3590">
      <w:pPr>
        <w:pStyle w:val="FootnoteText"/>
      </w:pPr>
      <w:r>
        <w:rPr>
          <w:rStyle w:val="FootnoteReference"/>
        </w:rPr>
        <w:footnoteRef/>
      </w:r>
      <w:r>
        <w:t xml:space="preserve"> Ibid, 637</w:t>
      </w:r>
    </w:p>
  </w:footnote>
  <w:footnote w:id="19">
    <w:p w:rsidR="008B3590" w:rsidRDefault="008B3590">
      <w:pPr>
        <w:pStyle w:val="FootnoteText"/>
      </w:pPr>
      <w:r>
        <w:rPr>
          <w:rStyle w:val="FootnoteReference"/>
        </w:rPr>
        <w:footnoteRef/>
      </w:r>
      <w:r>
        <w:t xml:space="preserve"> Ibid, 637</w:t>
      </w:r>
    </w:p>
  </w:footnote>
  <w:footnote w:id="20">
    <w:p w:rsidR="00D46DAE" w:rsidRDefault="00D46DAE">
      <w:pPr>
        <w:pStyle w:val="FootnoteText"/>
      </w:pPr>
      <w:r>
        <w:rPr>
          <w:rStyle w:val="FootnoteReference"/>
        </w:rPr>
        <w:footnoteRef/>
      </w:r>
      <w:r>
        <w:t xml:space="preserve"> Ibid, 637</w:t>
      </w:r>
    </w:p>
  </w:footnote>
  <w:footnote w:id="21">
    <w:p w:rsidR="005C37C5" w:rsidRDefault="005C37C5">
      <w:pPr>
        <w:pStyle w:val="FootnoteText"/>
      </w:pPr>
      <w:r>
        <w:rPr>
          <w:rStyle w:val="FootnoteReference"/>
        </w:rPr>
        <w:footnoteRef/>
      </w:r>
      <w:r>
        <w:t xml:space="preserve"> Ibid, 637</w:t>
      </w:r>
    </w:p>
  </w:footnote>
  <w:footnote w:id="22">
    <w:p w:rsidR="004521C0" w:rsidRDefault="004521C0">
      <w:pPr>
        <w:pStyle w:val="FootnoteText"/>
      </w:pPr>
      <w:r>
        <w:rPr>
          <w:rStyle w:val="FootnoteReference"/>
        </w:rPr>
        <w:footnoteRef/>
      </w:r>
      <w:r>
        <w:t xml:space="preserve"> Ibid, 638</w:t>
      </w:r>
    </w:p>
  </w:footnote>
  <w:footnote w:id="23">
    <w:p w:rsidR="000B0FB0" w:rsidRDefault="000B0FB0">
      <w:pPr>
        <w:pStyle w:val="FootnoteText"/>
      </w:pPr>
      <w:r>
        <w:rPr>
          <w:rStyle w:val="FootnoteReference"/>
        </w:rPr>
        <w:footnoteRef/>
      </w:r>
      <w:r>
        <w:t xml:space="preserve"> Ibid, 638</w:t>
      </w:r>
    </w:p>
  </w:footnote>
  <w:footnote w:id="24">
    <w:p w:rsidR="004E2A64" w:rsidRDefault="004E2A64">
      <w:pPr>
        <w:pStyle w:val="FootnoteText"/>
      </w:pPr>
      <w:r>
        <w:rPr>
          <w:rStyle w:val="FootnoteReference"/>
        </w:rPr>
        <w:footnoteRef/>
      </w:r>
      <w:r>
        <w:t xml:space="preserve"> Ibid, 639</w:t>
      </w:r>
    </w:p>
  </w:footnote>
  <w:footnote w:id="25">
    <w:p w:rsidR="00060CBE" w:rsidRDefault="00060CBE">
      <w:pPr>
        <w:pStyle w:val="FootnoteText"/>
      </w:pPr>
      <w:r>
        <w:rPr>
          <w:rStyle w:val="FootnoteReference"/>
        </w:rPr>
        <w:footnoteRef/>
      </w:r>
      <w:r>
        <w:t xml:space="preserve"> Ibid, 639</w:t>
      </w:r>
    </w:p>
  </w:footnote>
  <w:footnote w:id="26">
    <w:p w:rsidR="00606010" w:rsidRDefault="00606010">
      <w:pPr>
        <w:pStyle w:val="FootnoteText"/>
      </w:pPr>
      <w:r>
        <w:rPr>
          <w:rStyle w:val="FootnoteReference"/>
        </w:rPr>
        <w:footnoteRef/>
      </w:r>
      <w:r>
        <w:t xml:space="preserve"> Ibid, 639</w:t>
      </w:r>
    </w:p>
  </w:footnote>
  <w:footnote w:id="27">
    <w:p w:rsidR="0098618C" w:rsidRDefault="0098618C">
      <w:pPr>
        <w:pStyle w:val="FootnoteText"/>
      </w:pPr>
      <w:r>
        <w:rPr>
          <w:rStyle w:val="FootnoteReference"/>
        </w:rPr>
        <w:footnoteRef/>
      </w:r>
      <w:r>
        <w:t xml:space="preserve"> Ibid, 640</w:t>
      </w:r>
    </w:p>
  </w:footnote>
  <w:footnote w:id="28">
    <w:p w:rsidR="00097738" w:rsidRDefault="00097738">
      <w:pPr>
        <w:pStyle w:val="FootnoteText"/>
      </w:pPr>
      <w:r>
        <w:rPr>
          <w:rStyle w:val="FootnoteReference"/>
        </w:rPr>
        <w:footnoteRef/>
      </w:r>
      <w:r>
        <w:t xml:space="preserve"> Ibid, 643</w:t>
      </w:r>
    </w:p>
  </w:footnote>
  <w:footnote w:id="29">
    <w:p w:rsidR="00AC2EAE" w:rsidRPr="000A54A0" w:rsidRDefault="00AC2EAE">
      <w:pPr>
        <w:pStyle w:val="FootnoteText"/>
      </w:pPr>
      <w:r>
        <w:rPr>
          <w:rStyle w:val="FootnoteReference"/>
        </w:rPr>
        <w:footnoteRef/>
      </w:r>
      <w:r>
        <w:t xml:space="preserve"> </w:t>
      </w:r>
      <w:proofErr w:type="spellStart"/>
      <w:r w:rsidR="000A54A0">
        <w:t>Aihwa</w:t>
      </w:r>
      <w:proofErr w:type="spellEnd"/>
      <w:r w:rsidR="000A54A0">
        <w:t xml:space="preserve"> Ong. “The Production of Possession: Spirits and the Multinational Corporation in Malaysia,” </w:t>
      </w:r>
      <w:r w:rsidR="000A54A0">
        <w:rPr>
          <w:i/>
        </w:rPr>
        <w:t xml:space="preserve">American Ethnologist </w:t>
      </w:r>
      <w:r w:rsidR="000A54A0">
        <w:t>15, no 1 (1988): 29</w:t>
      </w:r>
    </w:p>
  </w:footnote>
  <w:footnote w:id="30">
    <w:p w:rsidR="00C21FB3" w:rsidRDefault="00C21FB3">
      <w:pPr>
        <w:pStyle w:val="FootnoteText"/>
      </w:pPr>
      <w:r>
        <w:rPr>
          <w:rStyle w:val="FootnoteReference"/>
        </w:rPr>
        <w:footnoteRef/>
      </w:r>
      <w:r>
        <w:t xml:space="preserve"> Ibid, 31</w:t>
      </w:r>
    </w:p>
  </w:footnote>
  <w:footnote w:id="31">
    <w:p w:rsidR="00120FB4" w:rsidRDefault="00120FB4">
      <w:pPr>
        <w:pStyle w:val="FootnoteText"/>
      </w:pPr>
      <w:r>
        <w:rPr>
          <w:rStyle w:val="FootnoteReference"/>
        </w:rPr>
        <w:footnoteRef/>
      </w:r>
      <w:r>
        <w:t xml:space="preserve"> Ibid, 32</w:t>
      </w:r>
    </w:p>
  </w:footnote>
  <w:footnote w:id="32">
    <w:p w:rsidR="008848D4" w:rsidRDefault="008848D4">
      <w:pPr>
        <w:pStyle w:val="FootnoteText"/>
      </w:pPr>
      <w:r>
        <w:rPr>
          <w:rStyle w:val="FootnoteReference"/>
        </w:rPr>
        <w:footnoteRef/>
      </w:r>
      <w:r>
        <w:t xml:space="preserve"> Ibid, 32, 38</w:t>
      </w:r>
    </w:p>
  </w:footnote>
  <w:footnote w:id="33">
    <w:p w:rsidR="00077A5D" w:rsidRDefault="00077A5D">
      <w:pPr>
        <w:pStyle w:val="FootnoteText"/>
      </w:pPr>
      <w:r>
        <w:rPr>
          <w:rStyle w:val="FootnoteReference"/>
        </w:rPr>
        <w:footnoteRef/>
      </w:r>
      <w:r>
        <w:t xml:space="preserve"> Ibid, 32, 33</w:t>
      </w:r>
    </w:p>
  </w:footnote>
  <w:footnote w:id="34">
    <w:p w:rsidR="00574660" w:rsidRDefault="00574660">
      <w:pPr>
        <w:pStyle w:val="FootnoteText"/>
      </w:pPr>
      <w:r>
        <w:rPr>
          <w:rStyle w:val="FootnoteReference"/>
        </w:rPr>
        <w:footnoteRef/>
      </w:r>
      <w:r>
        <w:t xml:space="preserve"> Ibid, 33</w:t>
      </w:r>
    </w:p>
  </w:footnote>
  <w:footnote w:id="35">
    <w:p w:rsidR="005E560C" w:rsidRDefault="005E560C">
      <w:pPr>
        <w:pStyle w:val="FootnoteText"/>
      </w:pPr>
      <w:r>
        <w:rPr>
          <w:rStyle w:val="FootnoteReference"/>
        </w:rPr>
        <w:footnoteRef/>
      </w:r>
      <w:r>
        <w:t xml:space="preserve"> Ibid, 33</w:t>
      </w:r>
    </w:p>
  </w:footnote>
  <w:footnote w:id="36">
    <w:p w:rsidR="005E560C" w:rsidRDefault="005E560C">
      <w:pPr>
        <w:pStyle w:val="FootnoteText"/>
      </w:pPr>
      <w:r>
        <w:rPr>
          <w:rStyle w:val="FootnoteReference"/>
        </w:rPr>
        <w:footnoteRef/>
      </w:r>
      <w:r>
        <w:t xml:space="preserve"> Ibid, 33</w:t>
      </w:r>
    </w:p>
  </w:footnote>
  <w:footnote w:id="37">
    <w:p w:rsidR="003D21AD" w:rsidRDefault="003D21AD">
      <w:pPr>
        <w:pStyle w:val="FootnoteText"/>
      </w:pPr>
      <w:r>
        <w:rPr>
          <w:rStyle w:val="FootnoteReference"/>
        </w:rPr>
        <w:footnoteRef/>
      </w:r>
      <w:r>
        <w:t xml:space="preserve"> Ibid, 33, 34</w:t>
      </w:r>
    </w:p>
  </w:footnote>
  <w:footnote w:id="38">
    <w:p w:rsidR="00E90C0D" w:rsidRDefault="00E90C0D">
      <w:pPr>
        <w:pStyle w:val="FootnoteText"/>
      </w:pPr>
      <w:r>
        <w:rPr>
          <w:rStyle w:val="FootnoteReference"/>
        </w:rPr>
        <w:footnoteRef/>
      </w:r>
      <w:r>
        <w:t xml:space="preserve"> Ibid, 35</w:t>
      </w:r>
    </w:p>
  </w:footnote>
  <w:footnote w:id="39">
    <w:p w:rsidR="00726562" w:rsidRDefault="00726562">
      <w:pPr>
        <w:pStyle w:val="FootnoteText"/>
      </w:pPr>
      <w:r>
        <w:rPr>
          <w:rStyle w:val="FootnoteReference"/>
        </w:rPr>
        <w:footnoteRef/>
      </w:r>
      <w:r>
        <w:t xml:space="preserve"> Ibid, 35</w:t>
      </w:r>
    </w:p>
  </w:footnote>
  <w:footnote w:id="40">
    <w:p w:rsidR="00603D04" w:rsidRDefault="00603D04">
      <w:pPr>
        <w:pStyle w:val="FootnoteText"/>
      </w:pPr>
      <w:r>
        <w:rPr>
          <w:rStyle w:val="FootnoteReference"/>
        </w:rPr>
        <w:footnoteRef/>
      </w:r>
      <w:r>
        <w:t xml:space="preserve"> Ibid, 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8EF"/>
    <w:rsid w:val="00060CBE"/>
    <w:rsid w:val="00077A5D"/>
    <w:rsid w:val="00097738"/>
    <w:rsid w:val="000A54A0"/>
    <w:rsid w:val="000B0FB0"/>
    <w:rsid w:val="00120FB4"/>
    <w:rsid w:val="0014722E"/>
    <w:rsid w:val="0017580E"/>
    <w:rsid w:val="0017776A"/>
    <w:rsid w:val="001D4687"/>
    <w:rsid w:val="002927EA"/>
    <w:rsid w:val="002D2C90"/>
    <w:rsid w:val="002E124A"/>
    <w:rsid w:val="00345951"/>
    <w:rsid w:val="00354282"/>
    <w:rsid w:val="003D21AD"/>
    <w:rsid w:val="00411852"/>
    <w:rsid w:val="00432534"/>
    <w:rsid w:val="004521C0"/>
    <w:rsid w:val="004A40B4"/>
    <w:rsid w:val="004D4ED6"/>
    <w:rsid w:val="004E2A64"/>
    <w:rsid w:val="004F26B3"/>
    <w:rsid w:val="005361E8"/>
    <w:rsid w:val="0054047A"/>
    <w:rsid w:val="00574660"/>
    <w:rsid w:val="005766E1"/>
    <w:rsid w:val="005963AB"/>
    <w:rsid w:val="005A4332"/>
    <w:rsid w:val="005C37C5"/>
    <w:rsid w:val="005C4D57"/>
    <w:rsid w:val="005E560C"/>
    <w:rsid w:val="006018EF"/>
    <w:rsid w:val="00603D04"/>
    <w:rsid w:val="00606010"/>
    <w:rsid w:val="006467C6"/>
    <w:rsid w:val="006600A5"/>
    <w:rsid w:val="0066078B"/>
    <w:rsid w:val="00695637"/>
    <w:rsid w:val="007063AB"/>
    <w:rsid w:val="00726562"/>
    <w:rsid w:val="0076394C"/>
    <w:rsid w:val="007728AE"/>
    <w:rsid w:val="00786FCC"/>
    <w:rsid w:val="008848D4"/>
    <w:rsid w:val="008B3590"/>
    <w:rsid w:val="008C01E2"/>
    <w:rsid w:val="008C50F0"/>
    <w:rsid w:val="00920A8C"/>
    <w:rsid w:val="0098618C"/>
    <w:rsid w:val="009B0720"/>
    <w:rsid w:val="009D2EDA"/>
    <w:rsid w:val="00A2235D"/>
    <w:rsid w:val="00A25178"/>
    <w:rsid w:val="00A44D87"/>
    <w:rsid w:val="00A51660"/>
    <w:rsid w:val="00A716B8"/>
    <w:rsid w:val="00A87105"/>
    <w:rsid w:val="00AA721D"/>
    <w:rsid w:val="00AC2EAE"/>
    <w:rsid w:val="00AE2E09"/>
    <w:rsid w:val="00B11EB4"/>
    <w:rsid w:val="00B26E22"/>
    <w:rsid w:val="00B73E5B"/>
    <w:rsid w:val="00B87915"/>
    <w:rsid w:val="00BD3026"/>
    <w:rsid w:val="00C21FB3"/>
    <w:rsid w:val="00C366FD"/>
    <w:rsid w:val="00C44A3D"/>
    <w:rsid w:val="00C94571"/>
    <w:rsid w:val="00CA4BBC"/>
    <w:rsid w:val="00D26063"/>
    <w:rsid w:val="00D46DAE"/>
    <w:rsid w:val="00D52E78"/>
    <w:rsid w:val="00D93A16"/>
    <w:rsid w:val="00DC4D9D"/>
    <w:rsid w:val="00DF0C12"/>
    <w:rsid w:val="00E90C0D"/>
    <w:rsid w:val="00F34881"/>
    <w:rsid w:val="00F5747C"/>
    <w:rsid w:val="00F64693"/>
    <w:rsid w:val="00F64ED7"/>
    <w:rsid w:val="00F721EE"/>
    <w:rsid w:val="00FB23E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13DD7E-A0B3-45CE-B9F9-414C15E97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E12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124A"/>
    <w:rPr>
      <w:sz w:val="20"/>
      <w:szCs w:val="20"/>
    </w:rPr>
  </w:style>
  <w:style w:type="character" w:styleId="FootnoteReference">
    <w:name w:val="footnote reference"/>
    <w:basedOn w:val="DefaultParagraphFont"/>
    <w:uiPriority w:val="99"/>
    <w:semiHidden/>
    <w:unhideWhenUsed/>
    <w:rsid w:val="002E12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9102B-6ECC-444C-A289-9933EFCEA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10</Pages>
  <Words>2848</Words>
  <Characters>16238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Breanne Malo</dc:creator>
  <cp:keywords/>
  <dc:description/>
  <cp:lastModifiedBy>Breanne Malo</cp:lastModifiedBy>
  <cp:revision>59</cp:revision>
  <dcterms:created xsi:type="dcterms:W3CDTF">2017-11-13T15:54:00Z</dcterms:created>
  <dcterms:modified xsi:type="dcterms:W3CDTF">2017-11-13T20:30:00Z</dcterms:modified>
</cp:coreProperties>
</file>