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83F2D7" w14:textId="01F6A73A" w:rsidR="00050604" w:rsidRPr="002E2408" w:rsidRDefault="00050604" w:rsidP="002E2408">
      <w:pPr>
        <w:spacing w:before="120" w:after="240"/>
        <w:jc w:val="center"/>
        <w:rPr>
          <w:b/>
          <w:color w:val="1F4E79"/>
        </w:rPr>
      </w:pPr>
      <w:r>
        <w:rPr>
          <w:noProof/>
        </w:rPr>
        <w:drawing>
          <wp:inline distT="0" distB="0" distL="0" distR="0" wp14:anchorId="1613858B" wp14:editId="05F6E15E">
            <wp:extent cx="6309360" cy="878205"/>
            <wp:effectExtent l="0" t="0" r="0" b="0"/>
            <wp:docPr id="190928087" name="Picture 1">
              <a:extLst xmlns:a="http://schemas.openxmlformats.org/drawingml/2006/main">
                <a:ext uri="{FF2B5EF4-FFF2-40B4-BE49-F238E27FC236}">
                  <a16:creationId xmlns:a16="http://schemas.microsoft.com/office/drawing/2014/main" id="{66C9CDA6-FE61-4968-B9BB-86A5FC8B7C4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928087" name=""/>
                    <pic:cNvPicPr/>
                  </pic:nvPicPr>
                  <pic:blipFill>
                    <a:blip r:embed="rId8"/>
                    <a:stretch>
                      <a:fillRect/>
                    </a:stretch>
                  </pic:blipFill>
                  <pic:spPr>
                    <a:xfrm>
                      <a:off x="0" y="0"/>
                      <a:ext cx="6309360" cy="878205"/>
                    </a:xfrm>
                    <a:prstGeom prst="rect">
                      <a:avLst/>
                    </a:prstGeom>
                  </pic:spPr>
                </pic:pic>
              </a:graphicData>
            </a:graphic>
          </wp:inline>
        </w:drawing>
      </w:r>
      <w:r w:rsidRPr="00974BE4">
        <w:rPr>
          <w:b/>
          <w:sz w:val="32"/>
          <w:szCs w:val="32"/>
        </w:rPr>
        <w:t>BMHP5014: Changemakers: Creativity and Value Creation Professions</w:t>
      </w:r>
    </w:p>
    <w:p w14:paraId="2E0A1F79" w14:textId="77777777" w:rsidR="00154E3D" w:rsidRDefault="00050604" w:rsidP="00154E3D">
      <w:pPr>
        <w:spacing w:before="120" w:after="240"/>
        <w:jc w:val="center"/>
        <w:rPr>
          <w:b/>
          <w:sz w:val="32"/>
          <w:szCs w:val="32"/>
        </w:rPr>
      </w:pPr>
      <w:r w:rsidRPr="00974BE4">
        <w:rPr>
          <w:b/>
          <w:sz w:val="32"/>
          <w:szCs w:val="32"/>
        </w:rPr>
        <w:t>Component 1: Online Portfolio of Set Exercise</w:t>
      </w:r>
      <w:r w:rsidR="00906022">
        <w:rPr>
          <w:b/>
          <w:sz w:val="32"/>
          <w:szCs w:val="32"/>
        </w:rPr>
        <w:t xml:space="preserve"> </w:t>
      </w:r>
    </w:p>
    <w:p w14:paraId="297714FA" w14:textId="5535CA31" w:rsidR="002277FE" w:rsidRDefault="0007716E" w:rsidP="002277FE">
      <w:pPr>
        <w:spacing w:before="120" w:after="240"/>
        <w:jc w:val="center"/>
        <w:rPr>
          <w:b/>
          <w:sz w:val="32"/>
          <w:szCs w:val="32"/>
        </w:rPr>
      </w:pPr>
      <w:r>
        <w:rPr>
          <w:b/>
          <w:sz w:val="32"/>
          <w:szCs w:val="32"/>
        </w:rPr>
        <w:t xml:space="preserve">Student </w:t>
      </w:r>
      <w:r w:rsidR="001E7F82">
        <w:rPr>
          <w:b/>
          <w:sz w:val="32"/>
          <w:szCs w:val="32"/>
        </w:rPr>
        <w:t>Name: Abass</w:t>
      </w:r>
      <w:r>
        <w:rPr>
          <w:b/>
          <w:sz w:val="32"/>
          <w:szCs w:val="32"/>
        </w:rPr>
        <w:t xml:space="preserve"> Bundu </w:t>
      </w:r>
      <w:r w:rsidR="000F224A">
        <w:rPr>
          <w:b/>
          <w:sz w:val="32"/>
          <w:szCs w:val="32"/>
        </w:rPr>
        <w:t>Kamar</w:t>
      </w:r>
      <w:r w:rsidR="00492252">
        <w:rPr>
          <w:b/>
          <w:sz w:val="32"/>
          <w:szCs w:val="32"/>
        </w:rPr>
        <w:t>a</w:t>
      </w:r>
    </w:p>
    <w:p w14:paraId="22B0EACD" w14:textId="400C0DB8" w:rsidR="000F224A" w:rsidRDefault="000F224A" w:rsidP="002277FE">
      <w:pPr>
        <w:spacing w:before="120" w:after="240"/>
        <w:jc w:val="center"/>
        <w:rPr>
          <w:b/>
          <w:sz w:val="32"/>
          <w:szCs w:val="32"/>
        </w:rPr>
      </w:pPr>
      <w:r>
        <w:rPr>
          <w:b/>
          <w:sz w:val="32"/>
          <w:szCs w:val="32"/>
        </w:rPr>
        <w:t>Student Number:2416734</w:t>
      </w:r>
    </w:p>
    <w:p w14:paraId="03E7BBA0" w14:textId="00F1CBD2" w:rsidR="00661AC6" w:rsidRDefault="006863E5" w:rsidP="008523FA">
      <w:pPr>
        <w:spacing w:before="120" w:after="240"/>
        <w:jc w:val="center"/>
        <w:rPr>
          <w:b/>
          <w:sz w:val="32"/>
          <w:szCs w:val="32"/>
        </w:rPr>
      </w:pPr>
      <w:r>
        <w:rPr>
          <w:b/>
          <w:sz w:val="32"/>
          <w:szCs w:val="32"/>
        </w:rPr>
        <w:t xml:space="preserve">Module </w:t>
      </w:r>
      <w:r w:rsidR="00C2615B">
        <w:rPr>
          <w:b/>
          <w:sz w:val="32"/>
          <w:szCs w:val="32"/>
        </w:rPr>
        <w:t>Code: BMHP</w:t>
      </w:r>
      <w:r>
        <w:rPr>
          <w:b/>
          <w:sz w:val="32"/>
          <w:szCs w:val="32"/>
        </w:rPr>
        <w:t>50</w:t>
      </w:r>
      <w:r w:rsidR="00704883">
        <w:rPr>
          <w:b/>
          <w:sz w:val="32"/>
          <w:szCs w:val="32"/>
        </w:rPr>
        <w:t>14</w:t>
      </w:r>
    </w:p>
    <w:p w14:paraId="49366B3F" w14:textId="35FC0FD5" w:rsidR="000F224A" w:rsidRDefault="00820178" w:rsidP="004C7283">
      <w:pPr>
        <w:spacing w:before="120" w:after="240"/>
        <w:jc w:val="center"/>
        <w:rPr>
          <w:b/>
          <w:sz w:val="32"/>
          <w:szCs w:val="32"/>
        </w:rPr>
      </w:pPr>
      <w:r>
        <w:rPr>
          <w:b/>
          <w:sz w:val="32"/>
          <w:szCs w:val="32"/>
        </w:rPr>
        <w:t>Lecturer</w:t>
      </w:r>
      <w:r w:rsidR="00704883">
        <w:rPr>
          <w:b/>
          <w:sz w:val="32"/>
          <w:szCs w:val="32"/>
        </w:rPr>
        <w:t xml:space="preserve"> </w:t>
      </w:r>
      <w:r w:rsidR="00EF5AED">
        <w:rPr>
          <w:b/>
          <w:sz w:val="32"/>
          <w:szCs w:val="32"/>
        </w:rPr>
        <w:t>Name: Laila Sura</w:t>
      </w:r>
      <w:r w:rsidR="00C92C5A">
        <w:rPr>
          <w:b/>
          <w:sz w:val="32"/>
          <w:szCs w:val="32"/>
        </w:rPr>
        <w:t>ni</w:t>
      </w:r>
    </w:p>
    <w:p w14:paraId="07CA575D" w14:textId="77777777" w:rsidR="008523FA" w:rsidRDefault="008523FA" w:rsidP="008523FA">
      <w:pPr>
        <w:spacing w:before="120" w:after="240"/>
        <w:jc w:val="center"/>
        <w:rPr>
          <w:b/>
          <w:sz w:val="32"/>
          <w:szCs w:val="32"/>
        </w:rPr>
      </w:pPr>
    </w:p>
    <w:p w14:paraId="5259F323" w14:textId="77777777" w:rsidR="008523FA" w:rsidRPr="00974BE4" w:rsidRDefault="008523FA" w:rsidP="008523FA">
      <w:pPr>
        <w:spacing w:before="120" w:after="240"/>
        <w:jc w:val="center"/>
        <w:rPr>
          <w:sz w:val="36"/>
          <w:szCs w:val="32"/>
        </w:rPr>
      </w:pPr>
    </w:p>
    <w:p w14:paraId="4C23D79D" w14:textId="77777777" w:rsidR="00050604" w:rsidRDefault="00050604" w:rsidP="008523FA">
      <w:pPr>
        <w:spacing w:before="120" w:after="240"/>
        <w:jc w:val="center"/>
        <w:rPr>
          <w:b/>
          <w:sz w:val="32"/>
          <w:szCs w:val="32"/>
        </w:rPr>
      </w:pPr>
      <w:r w:rsidRPr="00974BE4">
        <w:rPr>
          <w:b/>
          <w:sz w:val="32"/>
          <w:szCs w:val="32"/>
        </w:rPr>
        <w:t>Portfolio on</w:t>
      </w:r>
    </w:p>
    <w:p w14:paraId="593237C6" w14:textId="76404C9B" w:rsidR="00050604" w:rsidRPr="000D6B9F" w:rsidRDefault="000D6B9F" w:rsidP="008523FA">
      <w:pPr>
        <w:spacing w:before="120" w:after="240"/>
        <w:jc w:val="center"/>
        <w:rPr>
          <w:b/>
          <w:i/>
          <w:iCs/>
          <w:sz w:val="28"/>
          <w:szCs w:val="28"/>
        </w:rPr>
      </w:pPr>
      <w:r w:rsidRPr="000D6B9F">
        <w:rPr>
          <w:b/>
          <w:i/>
          <w:iCs/>
          <w:sz w:val="28"/>
          <w:szCs w:val="28"/>
        </w:rPr>
        <w:t>Creativity, Innovation and Value Creation in Health and Social Care Practice</w:t>
      </w:r>
    </w:p>
    <w:p w14:paraId="69C34AA4" w14:textId="77777777" w:rsidR="005B5B88" w:rsidRDefault="00911DFC" w:rsidP="000D6B9F">
      <w:pPr>
        <w:spacing w:before="120" w:after="240"/>
      </w:pPr>
      <w:r>
        <w:br w:type="page"/>
      </w:r>
    </w:p>
    <w:p w14:paraId="041364C7" w14:textId="77777777" w:rsidR="005B5B88" w:rsidRDefault="00911DFC" w:rsidP="000D6B9F">
      <w:pPr>
        <w:pStyle w:val="Heading1"/>
      </w:pPr>
      <w:bookmarkStart w:id="0" w:name="_Toc234177030"/>
      <w:bookmarkStart w:id="1" w:name="_Toc234044951"/>
      <w:r>
        <w:lastRenderedPageBreak/>
        <w:t>Table of Contents</w:t>
      </w:r>
      <w:bookmarkEnd w:id="0"/>
      <w:bookmarkEnd w:id="1"/>
    </w:p>
    <w:p w14:paraId="3BC2DF52" w14:textId="21230D42" w:rsidR="005B5B88" w:rsidRDefault="007939D3" w:rsidP="007939D3">
      <w:r w:rsidRPr="007939D3">
        <w:rPr>
          <w:noProof/>
        </w:rPr>
        <w:drawing>
          <wp:inline distT="0" distB="0" distL="0" distR="0" wp14:anchorId="58C05A31" wp14:editId="29419A3C">
            <wp:extent cx="5731510" cy="3930015"/>
            <wp:effectExtent l="0" t="0" r="2540" b="0"/>
            <wp:docPr id="107500050" name="Picture 1">
              <a:extLst xmlns:a="http://schemas.openxmlformats.org/drawingml/2006/main">
                <a:ext uri="{FF2B5EF4-FFF2-40B4-BE49-F238E27FC236}">
                  <a16:creationId xmlns:a16="http://schemas.microsoft.com/office/drawing/2014/main" id="{1ED64411-F809-4AF0-87AC-744554BE9A3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500050" name=""/>
                    <pic:cNvPicPr/>
                  </pic:nvPicPr>
                  <pic:blipFill>
                    <a:blip r:embed="rId9"/>
                    <a:stretch>
                      <a:fillRect/>
                    </a:stretch>
                  </pic:blipFill>
                  <pic:spPr>
                    <a:xfrm>
                      <a:off x="0" y="0"/>
                      <a:ext cx="5731510" cy="3930015"/>
                    </a:xfrm>
                    <a:prstGeom prst="rect">
                      <a:avLst/>
                    </a:prstGeom>
                  </pic:spPr>
                </pic:pic>
              </a:graphicData>
            </a:graphic>
          </wp:inline>
        </w:drawing>
      </w:r>
    </w:p>
    <w:p w14:paraId="3DFE21D5" w14:textId="77777777" w:rsidR="005B5B88" w:rsidRDefault="00911DFC" w:rsidP="000D6B9F">
      <w:pPr>
        <w:spacing w:before="120" w:after="240"/>
      </w:pPr>
      <w:r>
        <w:br w:type="page"/>
      </w:r>
    </w:p>
    <w:p w14:paraId="5964C870" w14:textId="77777777" w:rsidR="005B5B88" w:rsidRDefault="00911DFC" w:rsidP="000D6B9F">
      <w:pPr>
        <w:pStyle w:val="Heading1"/>
      </w:pPr>
      <w:bookmarkStart w:id="2" w:name="_Toc234177031"/>
      <w:bookmarkStart w:id="3" w:name="_Toc234044952"/>
      <w:r>
        <w:lastRenderedPageBreak/>
        <w:t>Introduction</w:t>
      </w:r>
      <w:bookmarkEnd w:id="2"/>
      <w:bookmarkEnd w:id="3"/>
    </w:p>
    <w:p w14:paraId="0A6A4549" w14:textId="07E7C8C7" w:rsidR="005B5B88" w:rsidRDefault="00E370CE" w:rsidP="000D6B9F">
      <w:pPr>
        <w:spacing w:before="120" w:after="240"/>
      </w:pPr>
      <w:r w:rsidRPr="00E370CE">
        <w:t>This online portfolio brings together the set exercises for BMHP5014 Changemakers: Creativity and Value Creation. It covers how creativity, innovation, leadership and digital technology can add value to health and social care. One long-standing problem I use as my main one throughout the work is long waiting times and poor communication between care pathways. This topic was selected, as it has an impact on patients, families, staff and service quality. The portfolio includes theory and application of theory to practical UK examples. Demonstrates the link between ideas and enhanced care for patients, safety, access and outcomes.</w:t>
      </w:r>
    </w:p>
    <w:p w14:paraId="29F0B7C5" w14:textId="77777777" w:rsidR="005B5B88" w:rsidRDefault="00911DFC" w:rsidP="000D6B9F">
      <w:pPr>
        <w:pStyle w:val="Heading1"/>
      </w:pPr>
      <w:bookmarkStart w:id="4" w:name="_Toc234177032"/>
      <w:bookmarkStart w:id="5" w:name="_Toc234044953"/>
      <w:r>
        <w:t>Task 1 - Defining Key Concepts in Practice</w:t>
      </w:r>
      <w:bookmarkEnd w:id="4"/>
      <w:bookmarkEnd w:id="5"/>
    </w:p>
    <w:p w14:paraId="1E14AB7E" w14:textId="77777777" w:rsidR="00771444" w:rsidRDefault="00771444" w:rsidP="000D6B9F">
      <w:pPr>
        <w:spacing w:before="120" w:after="240"/>
        <w:rPr>
          <w:lang w:val="en-GB"/>
        </w:rPr>
      </w:pPr>
      <w:r w:rsidRPr="00771444">
        <w:rPr>
          <w:lang w:val="en-GB"/>
        </w:rPr>
        <w:t>Innovation is the introduction of a new idea, process, technology or service that enhances practice. Innovation is important as services are required to meet high demand and staff pressure and changing user needs. Rogers' Diffusion of Innovation Theory suggests that a new thought will gain traction if people perceive it as beneficial, appropriate and accessible (Rogers, 2003). One such example is virtual wards. This model sees some patients who would typically be admitted to hospital treated at home for their acute monitoring and support (NHS England, 2024a). This can lead to more comfortable and convenient care under clinical conditions.</w:t>
      </w:r>
    </w:p>
    <w:p w14:paraId="27950F4B" w14:textId="215DE488" w:rsidR="003F1F19" w:rsidRDefault="003F1F19" w:rsidP="000D6B9F">
      <w:pPr>
        <w:spacing w:before="120" w:after="240"/>
        <w:rPr>
          <w:lang w:val="en-GB"/>
        </w:rPr>
      </w:pPr>
      <w:r w:rsidRPr="003F1F19">
        <w:rPr>
          <w:noProof/>
          <w:lang w:val="en-GB"/>
        </w:rPr>
        <w:drawing>
          <wp:inline distT="0" distB="0" distL="0" distR="0" wp14:anchorId="32173FF1" wp14:editId="380DF202">
            <wp:extent cx="5731510" cy="2596515"/>
            <wp:effectExtent l="0" t="0" r="2540" b="0"/>
            <wp:docPr id="220013206" name="Picture 1">
              <a:extLst xmlns:a="http://schemas.openxmlformats.org/drawingml/2006/main">
                <a:ext uri="{FF2B5EF4-FFF2-40B4-BE49-F238E27FC236}">
                  <a16:creationId xmlns:a16="http://schemas.microsoft.com/office/drawing/2014/main" id="{AF30A1FD-898D-4155-A050-104AC0B9726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596515"/>
                    </a:xfrm>
                    <a:prstGeom prst="rect">
                      <a:avLst/>
                    </a:prstGeom>
                    <a:noFill/>
                    <a:ln>
                      <a:noFill/>
                    </a:ln>
                  </pic:spPr>
                </pic:pic>
              </a:graphicData>
            </a:graphic>
          </wp:inline>
        </w:drawing>
      </w:r>
    </w:p>
    <w:p w14:paraId="1A03D479" w14:textId="77777777" w:rsidR="00771444" w:rsidRPr="00771444" w:rsidRDefault="00771444" w:rsidP="000D6B9F">
      <w:pPr>
        <w:spacing w:before="120" w:after="240"/>
        <w:rPr>
          <w:lang w:val="en-GB"/>
        </w:rPr>
      </w:pPr>
      <w:r w:rsidRPr="00771444">
        <w:rPr>
          <w:lang w:val="en-GB"/>
        </w:rPr>
        <w:t xml:space="preserve">Creativity is the ability to produce original and useful ideas. Amabile (1996) suggests that creativity relies on knowledge, creative thinking skills and motivation through her </w:t>
      </w:r>
      <w:r w:rsidRPr="00771444">
        <w:rPr>
          <w:lang w:val="en-GB"/>
        </w:rPr>
        <w:lastRenderedPageBreak/>
        <w:t>theory of components. In health and social care this is important because staff are required to tackle everyday issues with time and resources that are restricted. A care team might adopt a simple language for its reminder system or translate texts and follow up by telephone for those who don't have the technology. This is creative because it addresses the service user's needs rather than applying a uniform approach.</w:t>
      </w:r>
    </w:p>
    <w:p w14:paraId="1FFAD550" w14:textId="77777777" w:rsidR="00771444" w:rsidRPr="00771444" w:rsidRDefault="00771444" w:rsidP="000D6B9F">
      <w:pPr>
        <w:spacing w:before="120" w:after="240"/>
        <w:rPr>
          <w:lang w:val="en-GB"/>
        </w:rPr>
      </w:pPr>
      <w:r w:rsidRPr="00771444">
        <w:rPr>
          <w:lang w:val="en-GB"/>
        </w:rPr>
        <w:t>Value creation is creating outcomes and experience while responsibly using resources. Patient outcomes relative to cost is the measure of value in health care (Porter, 2010). Value is achieved when a service does fewer unnecessary assessments, avoids unnecessary hospitalisations and provides confidence for patients and families in practice. An example of this is the shared care records. They facilitate a professional's access to more complete and up-to-date information across care settings (NHS England, 2023). This can help to minimise delays and create a more joined-up approach to care.</w:t>
      </w:r>
    </w:p>
    <w:p w14:paraId="3349CC9C" w14:textId="27063FC7" w:rsidR="005B5B88" w:rsidRPr="00771444" w:rsidRDefault="00771444" w:rsidP="000D6B9F">
      <w:pPr>
        <w:spacing w:before="120" w:after="240"/>
        <w:rPr>
          <w:lang w:val="en-GB"/>
        </w:rPr>
      </w:pPr>
      <w:r w:rsidRPr="00771444">
        <w:rPr>
          <w:lang w:val="en-GB"/>
        </w:rPr>
        <w:t>Change is the transition from what is currently working to what is better or more suitable. The model of Lewin is the process of unfreezing old behaviours, introducing new behaviours, and making the improvement become routine (Burnes, 2017). Change is important because a good idea can't create value unless it's applied in practice. For instance, a GP practice to implement digital triage requires more than just new software. Patients must be guided, and the service must be reviewed regularly to identify and rectify issues.</w:t>
      </w:r>
    </w:p>
    <w:p w14:paraId="313B547D" w14:textId="24D83105" w:rsidR="005B5B88" w:rsidRDefault="00911DFC" w:rsidP="000D6B9F">
      <w:pPr>
        <w:pStyle w:val="Heading1"/>
      </w:pPr>
      <w:bookmarkStart w:id="6" w:name="_Toc234177033"/>
      <w:bookmarkStart w:id="7" w:name="_Toc234044954"/>
      <w:r>
        <w:t>Task 2 - Mind Map Explanation</w:t>
      </w:r>
      <w:bookmarkEnd w:id="6"/>
      <w:bookmarkEnd w:id="7"/>
    </w:p>
    <w:p w14:paraId="14DD471D" w14:textId="250BA6B8" w:rsidR="00A6409F" w:rsidRPr="00A6409F" w:rsidRDefault="00A6409F" w:rsidP="00A6409F">
      <w:r w:rsidRPr="00A6409F">
        <w:t>The issue that has been selected for this mind map is long waiting times and poor communication across health &amp; social care pathways. This is important as missed appointments, poor communication and chasing referrals can raise anxieties, affect health and diminish trust in services. The problem can be framed as the consequence of interlocked factors, rather than a single cause (Meadows, 2008).</w:t>
      </w:r>
    </w:p>
    <w:p w14:paraId="4C2514C1" w14:textId="77777777" w:rsidR="005B5B88" w:rsidRDefault="00911DFC" w:rsidP="000D6B9F">
      <w:pPr>
        <w:spacing w:before="120" w:after="240"/>
        <w:jc w:val="center"/>
      </w:pPr>
      <w:r>
        <w:rPr>
          <w:noProof/>
        </w:rPr>
        <w:lastRenderedPageBreak/>
        <w:drawing>
          <wp:inline distT="0" distB="0" distL="0" distR="0" wp14:anchorId="0A905D8B" wp14:editId="3AAE9033">
            <wp:extent cx="4785170" cy="2897884"/>
            <wp:effectExtent l="0" t="0" r="0" b="0"/>
            <wp:docPr id="1" name="Picture 1">
              <a:extLst xmlns:a="http://schemas.openxmlformats.org/drawingml/2006/main">
                <a:ext uri="{FF2B5EF4-FFF2-40B4-BE49-F238E27FC236}">
                  <a16:creationId xmlns:a16="http://schemas.microsoft.com/office/drawing/2014/main" id="{55A75F45-7F00-49C6-90D2-56568B00741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mhp5014_mind_map.png"/>
                    <pic:cNvPicPr/>
                  </pic:nvPicPr>
                  <pic:blipFill>
                    <a:blip r:embed="rId11"/>
                    <a:stretch>
                      <a:fillRect/>
                    </a:stretch>
                  </pic:blipFill>
                  <pic:spPr>
                    <a:xfrm>
                      <a:off x="0" y="0"/>
                      <a:ext cx="4793690" cy="2903044"/>
                    </a:xfrm>
                    <a:prstGeom prst="rect">
                      <a:avLst/>
                    </a:prstGeom>
                  </pic:spPr>
                </pic:pic>
              </a:graphicData>
            </a:graphic>
          </wp:inline>
        </w:drawing>
      </w:r>
    </w:p>
    <w:p w14:paraId="459A05AE" w14:textId="77777777" w:rsidR="005B5B88" w:rsidRPr="00613C70" w:rsidRDefault="00911DFC" w:rsidP="00613C70">
      <w:pPr>
        <w:spacing w:before="120" w:after="240" w:line="276" w:lineRule="auto"/>
        <w:jc w:val="center"/>
        <w:rPr>
          <w:b/>
          <w:bCs/>
          <w:sz w:val="32"/>
          <w:szCs w:val="28"/>
        </w:rPr>
      </w:pPr>
      <w:r w:rsidRPr="00613C70">
        <w:rPr>
          <w:b/>
          <w:bCs/>
          <w:i/>
          <w:sz w:val="22"/>
          <w:szCs w:val="28"/>
        </w:rPr>
        <w:t>Figure 1: Mind map showing causes, impacts and possible solutions for long waiting times and poor communication.</w:t>
      </w:r>
    </w:p>
    <w:p w14:paraId="40D8CEAF" w14:textId="55DEBDF5" w:rsidR="005B5B88" w:rsidRDefault="008A40D6" w:rsidP="000D6B9F">
      <w:pPr>
        <w:spacing w:before="120" w:after="240"/>
      </w:pPr>
      <w:r w:rsidRPr="000D6B9F">
        <w:t xml:space="preserve">It can be viewed through a system </w:t>
      </w:r>
      <w:r w:rsidRPr="008A40D6">
        <w:t>thinking approach. High demand, staff limitations, lack of records, digital exclusion, and lack of good coordination between services are some of the reasons. Impacts are delayed diagnosis, stress, complaints or health inequalities in the staff. Care navigation, clear messages about appointments, shared records, virtual follow-up, inclusion support for digital, and clear pathways for escalating vulnerable patients are possible solutions.</w:t>
      </w:r>
    </w:p>
    <w:p w14:paraId="102F78E7" w14:textId="74462B92" w:rsidR="003F1F19" w:rsidRDefault="00DF2535" w:rsidP="000D6B9F">
      <w:pPr>
        <w:spacing w:before="120" w:after="240"/>
      </w:pPr>
      <w:r w:rsidRPr="00DF2535">
        <w:rPr>
          <w:noProof/>
        </w:rPr>
        <w:drawing>
          <wp:inline distT="0" distB="0" distL="0" distR="0" wp14:anchorId="1C5F4612" wp14:editId="2D4FBF38">
            <wp:extent cx="5731510" cy="2638425"/>
            <wp:effectExtent l="0" t="0" r="2540" b="9525"/>
            <wp:docPr id="885407552" name="Picture 2">
              <a:extLst xmlns:a="http://schemas.openxmlformats.org/drawingml/2006/main">
                <a:ext uri="{FF2B5EF4-FFF2-40B4-BE49-F238E27FC236}">
                  <a16:creationId xmlns:a16="http://schemas.microsoft.com/office/drawing/2014/main" id="{67C49862-6547-436C-B92A-4808B9AA7C1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638425"/>
                    </a:xfrm>
                    <a:prstGeom prst="rect">
                      <a:avLst/>
                    </a:prstGeom>
                    <a:noFill/>
                    <a:ln>
                      <a:noFill/>
                    </a:ln>
                  </pic:spPr>
                </pic:pic>
              </a:graphicData>
            </a:graphic>
          </wp:inline>
        </w:drawing>
      </w:r>
    </w:p>
    <w:p w14:paraId="587DEDAF" w14:textId="77777777" w:rsidR="005B5B88" w:rsidRDefault="00911DFC" w:rsidP="000D6B9F">
      <w:pPr>
        <w:pStyle w:val="Heading1"/>
      </w:pPr>
      <w:bookmarkStart w:id="8" w:name="_Toc234044955"/>
      <w:bookmarkStart w:id="9" w:name="_Toc234177034"/>
      <w:r>
        <w:lastRenderedPageBreak/>
        <w:t>Task 3 - Self-Reflection of Group Activity</w:t>
      </w:r>
      <w:bookmarkEnd w:id="8"/>
      <w:bookmarkEnd w:id="9"/>
    </w:p>
    <w:p w14:paraId="2B90C5E9" w14:textId="77777777" w:rsidR="00D82B59" w:rsidRPr="00D82B59" w:rsidRDefault="00D82B59" w:rsidP="000D6B9F">
      <w:pPr>
        <w:spacing w:before="120" w:after="240"/>
        <w:rPr>
          <w:lang w:val="en-GB"/>
        </w:rPr>
      </w:pPr>
      <w:r w:rsidRPr="00D82B59">
        <w:rPr>
          <w:lang w:val="en-GB"/>
        </w:rPr>
        <w:t>I am employing the Gibbs' reflective cycle because it enables me to shift between the description and feelings, evaluation, analysis and action (Gibbs, 1988). During the class activity we started by using divergent thinking in our group. We proposed ideas on how to reduce waiting times (including digital triage, text reminders, volunteer support and improved signposting). This was helpful as there was a point where everyone could talk without ideas being evaluated. Then we applied convergent thinking to select the solution that was most realistic. The ideas were ranked according to cost and probable impact and use.</w:t>
      </w:r>
    </w:p>
    <w:p w14:paraId="0BC7A6DF" w14:textId="0CB5E501" w:rsidR="005B5B88" w:rsidRDefault="00D82B59" w:rsidP="000D6B9F">
      <w:pPr>
        <w:spacing w:before="120" w:after="240"/>
        <w:rPr>
          <w:lang w:val="en-GB"/>
        </w:rPr>
      </w:pPr>
      <w:r w:rsidRPr="00D82B59">
        <w:rPr>
          <w:lang w:val="en-GB"/>
        </w:rPr>
        <w:t>Initially, I saw that there was the desire to rush towards one answer. I learnt how important it is to be patient when working in a creative team. If the group was unable to reach a consensus, I offered to use a pros</w:t>
      </w:r>
      <w:r w:rsidR="002F7719">
        <w:rPr>
          <w:lang w:val="en-GB"/>
        </w:rPr>
        <w:t xml:space="preserve"> and </w:t>
      </w:r>
      <w:r w:rsidRPr="00D82B59">
        <w:rPr>
          <w:lang w:val="en-GB"/>
        </w:rPr>
        <w:t>cons list. This helped us to look at the evidence and not our own personal opinions</w:t>
      </w:r>
      <w:r w:rsidR="00563037">
        <w:rPr>
          <w:lang w:val="en-GB"/>
        </w:rPr>
        <w:t xml:space="preserve"> </w:t>
      </w:r>
      <w:r w:rsidR="00563037" w:rsidRPr="00563037">
        <w:t>(Dodson</w:t>
      </w:r>
      <w:r w:rsidR="00563037">
        <w:t>,</w:t>
      </w:r>
      <w:r w:rsidR="00563037" w:rsidRPr="00563037">
        <w:t xml:space="preserve"> 2024)</w:t>
      </w:r>
      <w:r w:rsidRPr="00D82B59">
        <w:rPr>
          <w:lang w:val="en-GB"/>
        </w:rPr>
        <w:t xml:space="preserve">. I was told that I can play a role in contributing by facilitating discussion and supporting </w:t>
      </w:r>
      <w:r w:rsidR="000D6B9F" w:rsidRPr="00D82B59">
        <w:rPr>
          <w:lang w:val="en-GB"/>
        </w:rPr>
        <w:t>fewer</w:t>
      </w:r>
      <w:r w:rsidRPr="00D82B59">
        <w:rPr>
          <w:lang w:val="en-GB"/>
        </w:rPr>
        <w:t xml:space="preserve"> vocal members in expressing their opinions. I would encourage the group to develop the criteria for success earlier next time. This will render the final decision more transparent, just and understandable.</w:t>
      </w:r>
    </w:p>
    <w:p w14:paraId="296ED3BF" w14:textId="38AFD04A" w:rsidR="00DF2535" w:rsidRDefault="00DF2535" w:rsidP="000D6B9F">
      <w:pPr>
        <w:spacing w:before="120" w:after="240"/>
        <w:rPr>
          <w:lang w:val="en-GB"/>
        </w:rPr>
      </w:pPr>
      <w:r w:rsidRPr="00DF2535">
        <w:rPr>
          <w:noProof/>
          <w:lang w:val="en-GB"/>
        </w:rPr>
        <w:drawing>
          <wp:inline distT="0" distB="0" distL="0" distR="0" wp14:anchorId="199EB974" wp14:editId="01C04DB5">
            <wp:extent cx="5731510" cy="2527935"/>
            <wp:effectExtent l="0" t="0" r="2540" b="5715"/>
            <wp:docPr id="565838275" name="Picture 4">
              <a:extLst xmlns:a="http://schemas.openxmlformats.org/drawingml/2006/main">
                <a:ext uri="{FF2B5EF4-FFF2-40B4-BE49-F238E27FC236}">
                  <a16:creationId xmlns:a16="http://schemas.microsoft.com/office/drawing/2014/main" id="{20202A77-16EB-42CE-A777-C55DD6311DE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2527935"/>
                    </a:xfrm>
                    <a:prstGeom prst="rect">
                      <a:avLst/>
                    </a:prstGeom>
                    <a:noFill/>
                    <a:ln>
                      <a:noFill/>
                    </a:ln>
                  </pic:spPr>
                </pic:pic>
              </a:graphicData>
            </a:graphic>
          </wp:inline>
        </w:drawing>
      </w:r>
    </w:p>
    <w:p w14:paraId="0C6607D9" w14:textId="77777777" w:rsidR="00DF2535" w:rsidRPr="00D82B59" w:rsidRDefault="00DF2535" w:rsidP="000D6B9F">
      <w:pPr>
        <w:spacing w:before="120" w:after="240"/>
        <w:rPr>
          <w:lang w:val="en-GB"/>
        </w:rPr>
      </w:pPr>
    </w:p>
    <w:p w14:paraId="05597662" w14:textId="77777777" w:rsidR="005B5B88" w:rsidRDefault="00911DFC" w:rsidP="000D6B9F">
      <w:pPr>
        <w:pStyle w:val="Heading1"/>
      </w:pPr>
      <w:bookmarkStart w:id="10" w:name="_Toc234177035"/>
      <w:bookmarkStart w:id="11" w:name="_Toc234044956"/>
      <w:r>
        <w:lastRenderedPageBreak/>
        <w:t>Task 4 - Case Study Analysis of a UK Innovation</w:t>
      </w:r>
      <w:bookmarkEnd w:id="10"/>
      <w:bookmarkEnd w:id="11"/>
    </w:p>
    <w:p w14:paraId="67D19F0F" w14:textId="77777777" w:rsidR="00D26571" w:rsidRPr="00D26571" w:rsidRDefault="00D26571" w:rsidP="000D6B9F">
      <w:pPr>
        <w:spacing w:before="120" w:after="240"/>
        <w:rPr>
          <w:lang w:val="en-GB"/>
        </w:rPr>
      </w:pPr>
      <w:r w:rsidRPr="00D26571">
        <w:rPr>
          <w:lang w:val="en-GB"/>
        </w:rPr>
        <w:t>A useful innovation in the UK is the “NHS virtual ward”, which is also known as “hospital at home”. The issue with this innovation was hospital pressure due to high demand, long waiting periods, and limited beds. There is scope for some patients to be treated at home rather than a hospital, with appropriate monitoring and clinical support. Virtual wards enable appropriate patients to access acute care at home, including in care homes, with clinical oversight, remote monitoring and escalation if necessary (NHS England, 2024a). Creativity is demonstrated as the model reconsiders the location of care. It provides multidisciplinary support, home visits and technology, rather than solely hospital beds.</w:t>
      </w:r>
    </w:p>
    <w:p w14:paraId="4CB49D96" w14:textId="30781D71" w:rsidR="005B5B88" w:rsidRPr="00D26571" w:rsidRDefault="00D26571" w:rsidP="000D6B9F">
      <w:pPr>
        <w:spacing w:before="120" w:after="240"/>
        <w:rPr>
          <w:lang w:val="en-GB"/>
        </w:rPr>
      </w:pPr>
      <w:r w:rsidRPr="00D26571">
        <w:rPr>
          <w:lang w:val="en-GB"/>
        </w:rPr>
        <w:t>Patients benefit from being surrounded by what are familiar surroundings, creating valuable experiences. This can help to maintain comfort, independence and family involvement. Staff and services can also benefit; hospital beds can be kept for those who need them the most. The NHS guidance on virtual wards sets out that there needs to be 80% capacity to maximise occupancy, so this is linked to urgent and emergency care recovery (NHS England, 2024b). The theory is useful as it relates to adoption because staff and patients must view the innovation as useful, safe and practical (Rogers, 2003).</w:t>
      </w:r>
    </w:p>
    <w:p w14:paraId="480E5CCE" w14:textId="77777777" w:rsidR="005B5B88" w:rsidRDefault="00911DFC" w:rsidP="000D6B9F">
      <w:pPr>
        <w:pStyle w:val="Heading1"/>
      </w:pPr>
      <w:bookmarkStart w:id="12" w:name="_Toc234044957"/>
      <w:bookmarkStart w:id="13" w:name="_Toc234177036"/>
      <w:r>
        <w:t>Task 5 - Research Task</w:t>
      </w:r>
      <w:bookmarkEnd w:id="12"/>
      <w:bookmarkEnd w:id="13"/>
    </w:p>
    <w:p w14:paraId="53ACC4DD" w14:textId="77777777" w:rsidR="001F57F0" w:rsidRPr="001F57F0" w:rsidRDefault="001F57F0" w:rsidP="000D6B9F">
      <w:pPr>
        <w:spacing w:before="120" w:after="240"/>
        <w:rPr>
          <w:lang w:val="en-GB"/>
        </w:rPr>
      </w:pPr>
      <w:r w:rsidRPr="001F57F0">
        <w:rPr>
          <w:lang w:val="en-GB"/>
        </w:rPr>
        <w:t xml:space="preserve">According to the study by </w:t>
      </w:r>
      <w:proofErr w:type="spellStart"/>
      <w:r w:rsidRPr="001F57F0">
        <w:rPr>
          <w:lang w:val="en-GB"/>
        </w:rPr>
        <w:t>Dall'Ora</w:t>
      </w:r>
      <w:proofErr w:type="spellEnd"/>
      <w:r w:rsidRPr="001F57F0">
        <w:rPr>
          <w:lang w:val="en-GB"/>
        </w:rPr>
        <w:t xml:space="preserve"> et al. (2020), the nurse burnout is highly correlated with high workload, low staffing levels, long shifts, time pressure and lack of control over work. This article is helpful because it demonstrates how burnout is not merely a personal failing. This is frequently linked with the design and management of the workplace. It also corresponds with Maslach's theory of burnout (1982). Depersonalisation and diminished personal accomplishment constitute the three elements of burnout, along with emotional exhaustion.</w:t>
      </w:r>
    </w:p>
    <w:p w14:paraId="4B81B061" w14:textId="12CB76A0" w:rsidR="005B5B88" w:rsidRDefault="001F57F0" w:rsidP="000D6B9F">
      <w:pPr>
        <w:spacing w:before="120" w:after="240"/>
        <w:rPr>
          <w:lang w:val="en-GB"/>
        </w:rPr>
      </w:pPr>
      <w:r w:rsidRPr="001F57F0">
        <w:rPr>
          <w:lang w:val="en-GB"/>
        </w:rPr>
        <w:t xml:space="preserve">During the COVID-19 pandemic, Greenberg et al. (2020) mentioned the mental health issues that were encountered by healthcare workers. They said that when resources are limited or when work tasks put staff in a situation where they </w:t>
      </w:r>
      <w:proofErr w:type="gramStart"/>
      <w:r w:rsidRPr="001F57F0">
        <w:rPr>
          <w:lang w:val="en-GB"/>
        </w:rPr>
        <w:t>have to</w:t>
      </w:r>
      <w:proofErr w:type="gramEnd"/>
      <w:r w:rsidRPr="001F57F0">
        <w:rPr>
          <w:lang w:val="en-GB"/>
        </w:rPr>
        <w:t xml:space="preserve"> make tough choices and face threats to their safety. They can feel overwhelmed and threatened, </w:t>
      </w:r>
      <w:r w:rsidRPr="001F57F0">
        <w:rPr>
          <w:lang w:val="en-GB"/>
        </w:rPr>
        <w:lastRenderedPageBreak/>
        <w:t xml:space="preserve">make difficult decisions and suffer moral injuries. Both articles concur that conditions in the organisation have an impact on staff stress. </w:t>
      </w:r>
      <w:proofErr w:type="spellStart"/>
      <w:r w:rsidRPr="001F57F0">
        <w:rPr>
          <w:lang w:val="en-GB"/>
        </w:rPr>
        <w:t>Dall'Ora</w:t>
      </w:r>
      <w:proofErr w:type="spellEnd"/>
      <w:r w:rsidRPr="001F57F0">
        <w:rPr>
          <w:lang w:val="en-GB"/>
        </w:rPr>
        <w:t xml:space="preserve"> et al.</w:t>
      </w:r>
      <w:r w:rsidR="000D6B9F" w:rsidRPr="000D6B9F">
        <w:rPr>
          <w:lang w:val="en-GB"/>
        </w:rPr>
        <w:t xml:space="preserve"> </w:t>
      </w:r>
      <w:r w:rsidR="000D6B9F" w:rsidRPr="001F57F0">
        <w:rPr>
          <w:lang w:val="en-GB"/>
        </w:rPr>
        <w:t>(2020)</w:t>
      </w:r>
      <w:r w:rsidRPr="001F57F0">
        <w:rPr>
          <w:lang w:val="en-GB"/>
        </w:rPr>
        <w:t xml:space="preserve"> are more interested in workload and staffing, while Greenberg et al. are more interested in psychological pressures and moral difficulty. These two combined demonstrate the need for well-being support to encompass safer staffing, improved work design and emotional support.</w:t>
      </w:r>
    </w:p>
    <w:p w14:paraId="68D6AD0D" w14:textId="18D2388C" w:rsidR="00C22A1E" w:rsidRPr="001F57F0" w:rsidRDefault="00C22A1E" w:rsidP="000D6B9F">
      <w:pPr>
        <w:spacing w:before="120" w:after="240"/>
        <w:rPr>
          <w:lang w:val="en-GB"/>
        </w:rPr>
      </w:pPr>
      <w:r w:rsidRPr="00C22A1E">
        <w:rPr>
          <w:noProof/>
          <w:lang w:val="en-GB"/>
        </w:rPr>
        <w:drawing>
          <wp:inline distT="0" distB="0" distL="0" distR="0" wp14:anchorId="6461451E" wp14:editId="1F4C1468">
            <wp:extent cx="5731510" cy="2497455"/>
            <wp:effectExtent l="0" t="0" r="2540" b="0"/>
            <wp:docPr id="1672875659" name="Picture 5">
              <a:extLst xmlns:a="http://schemas.openxmlformats.org/drawingml/2006/main">
                <a:ext uri="{FF2B5EF4-FFF2-40B4-BE49-F238E27FC236}">
                  <a16:creationId xmlns:a16="http://schemas.microsoft.com/office/drawing/2014/main" id="{49F92ACD-E2E6-431A-8D47-9CA288CF138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2497455"/>
                    </a:xfrm>
                    <a:prstGeom prst="rect">
                      <a:avLst/>
                    </a:prstGeom>
                    <a:noFill/>
                    <a:ln>
                      <a:noFill/>
                    </a:ln>
                  </pic:spPr>
                </pic:pic>
              </a:graphicData>
            </a:graphic>
          </wp:inline>
        </w:drawing>
      </w:r>
    </w:p>
    <w:p w14:paraId="495844D7" w14:textId="77777777" w:rsidR="005B5B88" w:rsidRDefault="00911DFC" w:rsidP="000D6B9F">
      <w:pPr>
        <w:pStyle w:val="Heading1"/>
      </w:pPr>
      <w:bookmarkStart w:id="14" w:name="_Toc234177037"/>
      <w:bookmarkStart w:id="15" w:name="_Toc234044958"/>
      <w:r>
        <w:t>Task 6 - Exploring Digital Innovation in Health and Social Care</w:t>
      </w:r>
      <w:bookmarkEnd w:id="14"/>
      <w:bookmarkEnd w:id="15"/>
    </w:p>
    <w:p w14:paraId="4076342E" w14:textId="77777777" w:rsidR="00677089" w:rsidRPr="00677089" w:rsidRDefault="00677089" w:rsidP="000D6B9F">
      <w:pPr>
        <w:spacing w:before="120" w:after="240"/>
        <w:rPr>
          <w:lang w:val="en-GB"/>
        </w:rPr>
      </w:pPr>
      <w:r w:rsidRPr="00677089">
        <w:rPr>
          <w:lang w:val="en-GB"/>
        </w:rPr>
        <w:t>The use of wearable health technologies can aid in chronic condition management, as they enable monitoring outside of a clinic. For instance, anyone with diabetes can wear a continuous glucose monitor to view their glucose trends and transmit data to healthcare professionals. Gagnon et al. (2024) concluded that wearable devices were able to help with chronic disease self-management and healthy lifestyle behaviours. This provides value, as signs may be detected sooner, treatment discussions can be guided by actual data, and patients may feel more involved in their treatment. According to the Technology Acceptance Model, people tend to adopt technology if they believe it is useful and easy to use (Davis, 1989).</w:t>
      </w:r>
      <w:r w:rsidRPr="00677089">
        <w:rPr>
          <w:b/>
          <w:bCs/>
          <w:lang w:val="en-GB"/>
        </w:rPr>
        <w:t xml:space="preserve"> </w:t>
      </w:r>
      <w:r w:rsidRPr="00677089">
        <w:rPr>
          <w:lang w:val="en-GB"/>
        </w:rPr>
        <w:t>Thus, easy-to-use wearable devices can boost patient uptake. Furthermore, the live information these gadgets provide can help to customise treatment plans to suit the individual.</w:t>
      </w:r>
    </w:p>
    <w:p w14:paraId="11BC8F39" w14:textId="77777777" w:rsidR="00677089" w:rsidRPr="00677089" w:rsidRDefault="00677089" w:rsidP="000D6B9F">
      <w:pPr>
        <w:spacing w:before="120" w:after="240"/>
        <w:rPr>
          <w:lang w:val="en-GB"/>
        </w:rPr>
      </w:pPr>
      <w:r w:rsidRPr="00677089">
        <w:rPr>
          <w:lang w:val="en-GB"/>
        </w:rPr>
        <w:t xml:space="preserve">EHRs can enhance communication because healthcare providers don't need to rely solely on individual paper notes or phone calls and repeating patient explanations. NHS </w:t>
      </w:r>
      <w:r w:rsidRPr="00677089">
        <w:rPr>
          <w:lang w:val="en-GB"/>
        </w:rPr>
        <w:lastRenderedPageBreak/>
        <w:t>shared care records are a collection of current information, including health issues, medicines, test results, care plans and social care needs (NHS England, 2023). It facilitates collaboration between GPs, hospitals, mental health teams, community services and social care. For instance, after a discharge visit by a community nurse, he or she can verify any changes in medication without having to wait for a letter. The value is safer decisions, fewer delays and more coordinated care. But there is still a need for staff training and systems to be interdependent. This will allow all health care professionals to fully access and maintain the shared care records system. Moreover, privacy is needed to ensure patient trust and confidentiality.</w:t>
      </w:r>
    </w:p>
    <w:p w14:paraId="3CA6F477" w14:textId="0C35A942" w:rsidR="005B5B88" w:rsidRDefault="00677089" w:rsidP="000D6B9F">
      <w:pPr>
        <w:spacing w:before="120" w:after="240"/>
        <w:rPr>
          <w:lang w:val="en-GB"/>
        </w:rPr>
      </w:pPr>
      <w:r w:rsidRPr="00677089">
        <w:rPr>
          <w:lang w:val="en-GB"/>
        </w:rPr>
        <w:t>Digital technology can be used to help facilitate preventative care and health promotion. For instance, the NHS app can remind patients to request repeat prescriptions, see test results and book appointments. Repeat prescription requests via the app bring down GP surgery time when compared to analogue requests, according to NHS Digital (2026). One of the most basic examples is a patient with high blood pressure who uses the app to remind them to take their blood pressure. This helps to prevent complications as it promotes early intervention. The primary constraint is digital exclusion, and services need to maintain support for those who are not confident with technology or do not have internet access</w:t>
      </w:r>
      <w:r w:rsidR="00585A2C">
        <w:rPr>
          <w:lang w:val="en-GB"/>
        </w:rPr>
        <w:t xml:space="preserve"> </w:t>
      </w:r>
      <w:r w:rsidR="00585A2C" w:rsidRPr="00585A2C">
        <w:t>(Houston</w:t>
      </w:r>
      <w:r w:rsidR="00585A2C">
        <w:t>,</w:t>
      </w:r>
      <w:r w:rsidR="00585A2C" w:rsidRPr="00585A2C">
        <w:t xml:space="preserve"> 2019)</w:t>
      </w:r>
      <w:r w:rsidRPr="00677089">
        <w:rPr>
          <w:lang w:val="en-GB"/>
        </w:rPr>
        <w:t>. Accessibility is important to prevent disparities in healthcare access for all patients. For those who can't use digital platforms, health services should still provide other options.</w:t>
      </w:r>
    </w:p>
    <w:p w14:paraId="7E098803" w14:textId="5212D3E9" w:rsidR="00797D28" w:rsidRDefault="008C4010" w:rsidP="000D6B9F">
      <w:pPr>
        <w:spacing w:before="120" w:after="240"/>
        <w:rPr>
          <w:lang w:val="en-GB"/>
        </w:rPr>
      </w:pPr>
      <w:r w:rsidRPr="008C4010">
        <w:rPr>
          <w:noProof/>
          <w:lang w:val="en-GB"/>
        </w:rPr>
        <w:lastRenderedPageBreak/>
        <w:drawing>
          <wp:inline distT="0" distB="0" distL="0" distR="0" wp14:anchorId="6842F361" wp14:editId="32B77436">
            <wp:extent cx="5615940" cy="3158888"/>
            <wp:effectExtent l="0" t="0" r="3810" b="3810"/>
            <wp:docPr id="4729663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632035" cy="3167941"/>
                    </a:xfrm>
                    <a:prstGeom prst="rect">
                      <a:avLst/>
                    </a:prstGeom>
                    <a:noFill/>
                    <a:ln>
                      <a:noFill/>
                    </a:ln>
                  </pic:spPr>
                </pic:pic>
              </a:graphicData>
            </a:graphic>
          </wp:inline>
        </w:drawing>
      </w:r>
    </w:p>
    <w:p w14:paraId="5BE8FE47" w14:textId="7415477F" w:rsidR="00007EC9" w:rsidRDefault="00007EC9" w:rsidP="000D6B9F">
      <w:pPr>
        <w:spacing w:before="120" w:after="240"/>
        <w:rPr>
          <w:lang w:val="en-GB"/>
        </w:rPr>
      </w:pPr>
      <w:r w:rsidRPr="00007EC9">
        <w:rPr>
          <w:noProof/>
          <w:lang w:val="en-GB"/>
        </w:rPr>
        <w:drawing>
          <wp:inline distT="0" distB="0" distL="0" distR="0" wp14:anchorId="1FE1205F" wp14:editId="4EAE8716">
            <wp:extent cx="5731510" cy="3223895"/>
            <wp:effectExtent l="0" t="0" r="2540" b="0"/>
            <wp:docPr id="141944730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56627C38" w14:textId="77777777" w:rsidR="00007EC9" w:rsidRPr="00677089" w:rsidRDefault="00007EC9" w:rsidP="000D6B9F">
      <w:pPr>
        <w:spacing w:before="120" w:after="240"/>
        <w:rPr>
          <w:lang w:val="en-GB"/>
        </w:rPr>
      </w:pPr>
    </w:p>
    <w:p w14:paraId="6BFD55EA" w14:textId="77777777" w:rsidR="005B5B88" w:rsidRDefault="00911DFC" w:rsidP="000D6B9F">
      <w:pPr>
        <w:pStyle w:val="Heading1"/>
      </w:pPr>
      <w:bookmarkStart w:id="16" w:name="_Toc234177038"/>
      <w:bookmarkStart w:id="17" w:name="_Toc234044959"/>
      <w:r>
        <w:t>Task 7 - Understanding the NHS Leadership Framework</w:t>
      </w:r>
      <w:bookmarkEnd w:id="16"/>
      <w:bookmarkEnd w:id="17"/>
    </w:p>
    <w:p w14:paraId="5A6DAD0F" w14:textId="59F18B83" w:rsidR="00A11AF3" w:rsidRPr="00A11AF3" w:rsidRDefault="00A11AF3" w:rsidP="000D6B9F">
      <w:pPr>
        <w:spacing w:before="120" w:after="240"/>
        <w:rPr>
          <w:lang w:val="en-GB"/>
        </w:rPr>
      </w:pPr>
      <w:r w:rsidRPr="00A11AF3">
        <w:rPr>
          <w:lang w:val="en-GB"/>
        </w:rPr>
        <w:t xml:space="preserve">The NHS Healthcare Leadership Model is about leadership as a series of behaviours that staff can learn at various levels and not just for senior leaders. It covers nine dimensions: Inspiring shared purpose, leading with care, evaluating information, connecting the service, Sharing the vision, engaging the team, holding to account, </w:t>
      </w:r>
      <w:r w:rsidRPr="00A11AF3">
        <w:rPr>
          <w:lang w:val="en-GB"/>
        </w:rPr>
        <w:lastRenderedPageBreak/>
        <w:t>developing capability and influencing for results</w:t>
      </w:r>
      <w:r w:rsidR="00040692" w:rsidRPr="00040692">
        <w:rPr>
          <w:lang w:val="en-GB"/>
        </w:rPr>
        <w:t xml:space="preserve"> </w:t>
      </w:r>
      <w:r w:rsidR="00040692" w:rsidRPr="00A11AF3">
        <w:rPr>
          <w:lang w:val="en-GB"/>
        </w:rPr>
        <w:t xml:space="preserve">NHS Leadership Academy, </w:t>
      </w:r>
      <w:r w:rsidR="00040692">
        <w:rPr>
          <w:lang w:val="en-GB"/>
        </w:rPr>
        <w:t>(</w:t>
      </w:r>
      <w:r w:rsidR="00040692" w:rsidRPr="00A11AF3">
        <w:rPr>
          <w:lang w:val="en-GB"/>
        </w:rPr>
        <w:t>2024</w:t>
      </w:r>
      <w:r w:rsidR="00040692">
        <w:rPr>
          <w:lang w:val="en-GB"/>
        </w:rPr>
        <w:t>)</w:t>
      </w:r>
      <w:r w:rsidRPr="00A11AF3">
        <w:rPr>
          <w:lang w:val="en-GB"/>
        </w:rPr>
        <w:t>. Communication, learning and working together are critical to quality improvement, and the model is important. Leadership isn't all about the authority. It's also about establishing a culture of psychological safety, being evidence-based, supporting staff and putting the benefit of the patient at the heart of decisions.</w:t>
      </w:r>
    </w:p>
    <w:p w14:paraId="3C94EC25" w14:textId="77777777" w:rsidR="00A11AF3" w:rsidRPr="00A11AF3" w:rsidRDefault="00A11AF3" w:rsidP="000D6B9F">
      <w:pPr>
        <w:spacing w:before="120" w:after="240"/>
        <w:rPr>
          <w:lang w:val="en-GB"/>
        </w:rPr>
      </w:pPr>
      <w:r w:rsidRPr="00A11AF3">
        <w:rPr>
          <w:lang w:val="en-GB"/>
        </w:rPr>
        <w:t>The behaviour I would select is inspiring shared purpose. The NHS Leadership Academy (2024) describes this behaviour as 'value service ethos, improve the care of patients, and behave in ways that align with NHS values'. This behaviour could be a tool for a leader to stimulate creativity by posing a question to staff and service users: ‘What would make this pathway easier and safer?' This question is designed for people to relate the concept of innovation to caring practice. It also relates to transformational leadership, which is a type of leadership that inspires others with vision, support and encouragement (Bass and Avolio 1994). In making a change, humans are willing to try new ideas and learn from their errors when they comprehend the reason for the change.</w:t>
      </w:r>
    </w:p>
    <w:p w14:paraId="282FD2BC" w14:textId="117AC441" w:rsidR="005B5B88" w:rsidRDefault="00A11AF3" w:rsidP="000D6B9F">
      <w:pPr>
        <w:spacing w:before="120" w:after="240"/>
        <w:rPr>
          <w:lang w:val="en-GB"/>
        </w:rPr>
      </w:pPr>
      <w:r w:rsidRPr="00A11AF3">
        <w:rPr>
          <w:lang w:val="en-GB"/>
        </w:rPr>
        <w:t>A ward manager, in practice, could be inspirational in persuading people to have shared purpose by giving reasons for the introduction of a new communication board. The manager could be able to listen to staff concerns and demonstrate to them how the board will be able to alleviate the patient's anxiety</w:t>
      </w:r>
      <w:r w:rsidR="00585A2C">
        <w:rPr>
          <w:lang w:val="en-GB"/>
        </w:rPr>
        <w:t xml:space="preserve"> </w:t>
      </w:r>
      <w:r w:rsidR="00585A2C" w:rsidRPr="00585A2C">
        <w:t>(Maddux</w:t>
      </w:r>
      <w:r w:rsidR="00585A2C">
        <w:t>,</w:t>
      </w:r>
      <w:r w:rsidR="00585A2C" w:rsidRPr="00585A2C">
        <w:t xml:space="preserve"> 2016)</w:t>
      </w:r>
      <w:r w:rsidRPr="00A11AF3">
        <w:rPr>
          <w:lang w:val="en-GB"/>
        </w:rPr>
        <w:t>. They could also ask healthcare assistants, nurses, patients and relatives for ideas regarding simple changes they could make to the wording and layout. This would give more meaning to creativity, as it would be linked to improved care processes, rather than to organisational goals. It would also make it apparent that 'little' ideas can be of great assistance in improving service from different people.</w:t>
      </w:r>
    </w:p>
    <w:p w14:paraId="20FDD078" w14:textId="15E0429B" w:rsidR="000C0F5D" w:rsidRDefault="00E76DE5" w:rsidP="000D6B9F">
      <w:pPr>
        <w:spacing w:before="120" w:after="240"/>
        <w:rPr>
          <w:lang w:val="en-GB"/>
        </w:rPr>
      </w:pPr>
      <w:r>
        <w:rPr>
          <w:noProof/>
        </w:rPr>
        <w:lastRenderedPageBreak/>
        <w:drawing>
          <wp:inline distT="0" distB="0" distL="0" distR="0" wp14:anchorId="3BEFCD9F" wp14:editId="78C41ECD">
            <wp:extent cx="5731510" cy="2889250"/>
            <wp:effectExtent l="0" t="0" r="2540" b="6350"/>
            <wp:docPr id="82019916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2889250"/>
                    </a:xfrm>
                    <a:prstGeom prst="rect">
                      <a:avLst/>
                    </a:prstGeom>
                    <a:noFill/>
                    <a:ln>
                      <a:noFill/>
                    </a:ln>
                  </pic:spPr>
                </pic:pic>
              </a:graphicData>
            </a:graphic>
          </wp:inline>
        </w:drawing>
      </w:r>
    </w:p>
    <w:p w14:paraId="725548CE" w14:textId="77777777" w:rsidR="00E76DE5" w:rsidRPr="00A11AF3" w:rsidRDefault="00E76DE5" w:rsidP="000D6B9F">
      <w:pPr>
        <w:spacing w:before="120" w:after="240"/>
        <w:rPr>
          <w:lang w:val="en-GB"/>
        </w:rPr>
      </w:pPr>
    </w:p>
    <w:p w14:paraId="4DB43649" w14:textId="77777777" w:rsidR="005B5B88" w:rsidRDefault="00911DFC" w:rsidP="000D6B9F">
      <w:pPr>
        <w:pStyle w:val="Heading1"/>
      </w:pPr>
      <w:bookmarkStart w:id="18" w:name="_Toc234044960"/>
      <w:bookmarkStart w:id="19" w:name="_Toc234177039"/>
      <w:r>
        <w:t>Task 8 - Self-Reflection Journal Entry</w:t>
      </w:r>
      <w:bookmarkEnd w:id="18"/>
      <w:bookmarkEnd w:id="19"/>
    </w:p>
    <w:p w14:paraId="15936D02" w14:textId="26EF8BFA" w:rsidR="005B5B88" w:rsidRPr="001E3FEA" w:rsidRDefault="001E3FEA" w:rsidP="000D6B9F">
      <w:pPr>
        <w:spacing w:before="120" w:after="240"/>
        <w:rPr>
          <w:lang w:val="en-GB"/>
        </w:rPr>
      </w:pPr>
      <w:r w:rsidRPr="001E3FEA">
        <w:rPr>
          <w:lang w:val="en-GB"/>
        </w:rPr>
        <w:t>It was an eye-opening module for me, as far as creativity is concerned. Before this module I didn't have much of a concept of what creativity was and thought of it in the context of art. I now recognise that the creative use of ideas in health and social care can be the way of enhancing the experience, safety and outcomes of people</w:t>
      </w:r>
      <w:r w:rsidR="00AD64E7" w:rsidRPr="00AD64E7">
        <w:t xml:space="preserve"> (Roy</w:t>
      </w:r>
      <w:r w:rsidR="00AD64E7">
        <w:t>,</w:t>
      </w:r>
      <w:r w:rsidR="00AD64E7" w:rsidRPr="00AD64E7">
        <w:t xml:space="preserve"> 2008)</w:t>
      </w:r>
      <w:r w:rsidRPr="001E3FEA">
        <w:rPr>
          <w:lang w:val="en-GB"/>
        </w:rPr>
        <w:t xml:space="preserve">. The mind map task enabled one to see problems as having related causes and components. The group activity enabled me to aim for open idea generation but have clear decision-making. Gibbs' reflection also led me to understand that the learning is deeper if I do reflect and analyse what </w:t>
      </w:r>
      <w:proofErr w:type="gramStart"/>
      <w:r w:rsidRPr="001E3FEA">
        <w:rPr>
          <w:lang w:val="en-GB"/>
        </w:rPr>
        <w:t>actually has</w:t>
      </w:r>
      <w:proofErr w:type="gramEnd"/>
      <w:r w:rsidRPr="001E3FEA">
        <w:rPr>
          <w:lang w:val="en-GB"/>
        </w:rPr>
        <w:t xml:space="preserve"> happened and plan for the next time how to do it </w:t>
      </w:r>
      <w:proofErr w:type="gramStart"/>
      <w:r w:rsidRPr="001E3FEA">
        <w:rPr>
          <w:lang w:val="en-GB"/>
        </w:rPr>
        <w:t>better and better</w:t>
      </w:r>
      <w:proofErr w:type="gramEnd"/>
      <w:r w:rsidRPr="001E3FEA">
        <w:rPr>
          <w:lang w:val="en-GB"/>
        </w:rPr>
        <w:t>. (Gibbs, 1988). In the future I will be working to identify small issues and listen to the service user and recommend feasible improvements.</w:t>
      </w:r>
    </w:p>
    <w:p w14:paraId="695349A7" w14:textId="7A4F2212" w:rsidR="00DC28FD" w:rsidRDefault="00DC28FD" w:rsidP="000D6B9F">
      <w:pPr>
        <w:pStyle w:val="Heading1"/>
        <w:rPr>
          <w:lang w:val="en-GB"/>
        </w:rPr>
      </w:pPr>
      <w:bookmarkStart w:id="20" w:name="_Toc234044961"/>
      <w:bookmarkStart w:id="21" w:name="_Toc234177040"/>
      <w:r>
        <w:rPr>
          <w:lang w:val="en-GB"/>
        </w:rPr>
        <w:t>Conclusion</w:t>
      </w:r>
      <w:bookmarkEnd w:id="20"/>
      <w:bookmarkEnd w:id="21"/>
    </w:p>
    <w:p w14:paraId="7C3AE634" w14:textId="06C90862" w:rsidR="00DC28FD" w:rsidRPr="00DC28FD" w:rsidRDefault="00DC28FD" w:rsidP="000D6B9F">
      <w:pPr>
        <w:spacing w:before="120" w:after="240"/>
        <w:rPr>
          <w:lang w:val="en-GB"/>
        </w:rPr>
      </w:pPr>
      <w:r w:rsidRPr="00DC28FD">
        <w:rPr>
          <w:lang w:val="en-GB"/>
        </w:rPr>
        <w:t>In conclusion, this portfolio illustrates the power of innovation in improving health services. It's about creativity, leadership and digital transformation in action. It uses theory to discuss real problems and solutions in the NHS. It demonstrates value creation by patient outcomes and efficiency.</w:t>
      </w:r>
    </w:p>
    <w:p w14:paraId="3F28F1AC" w14:textId="77777777" w:rsidR="00DC28FD" w:rsidRDefault="00DC28FD" w:rsidP="000D6B9F">
      <w:pPr>
        <w:spacing w:before="120" w:after="240"/>
        <w:ind w:firstLine="288"/>
      </w:pPr>
    </w:p>
    <w:p w14:paraId="53C99B13" w14:textId="77777777" w:rsidR="005B5B88" w:rsidRDefault="00911DFC" w:rsidP="000D6B9F">
      <w:pPr>
        <w:spacing w:before="120" w:after="240"/>
      </w:pPr>
      <w:r>
        <w:lastRenderedPageBreak/>
        <w:br w:type="page"/>
      </w:r>
    </w:p>
    <w:p w14:paraId="784F0E54" w14:textId="10490E63" w:rsidR="005B5B88" w:rsidRDefault="00911DFC" w:rsidP="00AD64E7">
      <w:pPr>
        <w:pStyle w:val="Heading1"/>
      </w:pPr>
      <w:bookmarkStart w:id="22" w:name="_Toc234177041"/>
      <w:bookmarkStart w:id="23" w:name="_Toc234044962"/>
      <w:r>
        <w:lastRenderedPageBreak/>
        <w:t>Reference</w:t>
      </w:r>
      <w:r w:rsidR="00AD64E7">
        <w:t>s</w:t>
      </w:r>
      <w:bookmarkEnd w:id="22"/>
      <w:bookmarkEnd w:id="23"/>
    </w:p>
    <w:p w14:paraId="1A57E49A" w14:textId="77777777" w:rsidR="00AD64E7" w:rsidRPr="00AD64E7" w:rsidRDefault="00AD64E7" w:rsidP="00AD64E7">
      <w:pPr>
        <w:spacing w:before="120" w:after="240"/>
        <w:rPr>
          <w:lang w:val="en-GB"/>
        </w:rPr>
      </w:pPr>
      <w:r w:rsidRPr="00AD64E7">
        <w:rPr>
          <w:lang w:val="en-GB"/>
        </w:rPr>
        <w:t xml:space="preserve">Amabile, T.M. 1996, </w:t>
      </w:r>
      <w:r w:rsidRPr="00AD64E7">
        <w:rPr>
          <w:i/>
          <w:iCs/>
          <w:lang w:val="en-GB"/>
        </w:rPr>
        <w:t>Creativity in context</w:t>
      </w:r>
      <w:r w:rsidRPr="00AD64E7">
        <w:rPr>
          <w:lang w:val="en-GB"/>
        </w:rPr>
        <w:t>, Westview Press, Boulder, CO.</w:t>
      </w:r>
    </w:p>
    <w:p w14:paraId="38E9B1FA" w14:textId="77777777" w:rsidR="00AD64E7" w:rsidRPr="00AD64E7" w:rsidRDefault="00AD64E7" w:rsidP="00AD64E7">
      <w:pPr>
        <w:spacing w:before="120" w:after="240"/>
        <w:rPr>
          <w:lang w:val="en-GB"/>
        </w:rPr>
      </w:pPr>
      <w:r w:rsidRPr="00AD64E7">
        <w:rPr>
          <w:lang w:val="en-GB"/>
        </w:rPr>
        <w:t xml:space="preserve">Bass, B.M. &amp; Avolio, B.J. (eds.) 1994, </w:t>
      </w:r>
      <w:r w:rsidRPr="00AD64E7">
        <w:rPr>
          <w:i/>
          <w:iCs/>
          <w:lang w:val="en-GB"/>
        </w:rPr>
        <w:t>Improving organizational effectiveness through transformational leadership</w:t>
      </w:r>
      <w:r w:rsidRPr="00AD64E7">
        <w:rPr>
          <w:lang w:val="en-GB"/>
        </w:rPr>
        <w:t>, Sage Publications, Thousand Oaks, CA.</w:t>
      </w:r>
    </w:p>
    <w:p w14:paraId="785D88FA" w14:textId="77777777" w:rsidR="00AD64E7" w:rsidRPr="00AD64E7" w:rsidRDefault="00AD64E7" w:rsidP="00AD64E7">
      <w:pPr>
        <w:spacing w:before="120" w:after="240"/>
        <w:rPr>
          <w:lang w:val="en-GB"/>
        </w:rPr>
      </w:pPr>
      <w:r w:rsidRPr="00AD64E7">
        <w:rPr>
          <w:lang w:val="en-GB"/>
        </w:rPr>
        <w:t xml:space="preserve">Burnes, B. 2004, ‘Kurt Lewin and the planned approach to change: a re-appraisal’, </w:t>
      </w:r>
      <w:r w:rsidRPr="00AD64E7">
        <w:rPr>
          <w:i/>
          <w:iCs/>
          <w:lang w:val="en-GB"/>
        </w:rPr>
        <w:t>Journal of Management Studies</w:t>
      </w:r>
      <w:r w:rsidRPr="00AD64E7">
        <w:rPr>
          <w:lang w:val="en-GB"/>
        </w:rPr>
        <w:t xml:space="preserve">, vol. 41, pp. 977–1002. </w:t>
      </w:r>
      <w:hyperlink r:id="rId18" w:tgtFrame="_blank" w:history="1">
        <w:r w:rsidRPr="00AD64E7">
          <w:rPr>
            <w:rStyle w:val="Hyperlink"/>
            <w:lang w:val="en-GB"/>
          </w:rPr>
          <w:t>https://doi.org/10.1111/j.1467-6486.2004.00463.x</w:t>
        </w:r>
      </w:hyperlink>
    </w:p>
    <w:p w14:paraId="375CD1C3" w14:textId="77777777" w:rsidR="00AD64E7" w:rsidRPr="00AD64E7" w:rsidRDefault="00AD64E7" w:rsidP="00AD64E7">
      <w:pPr>
        <w:spacing w:before="120" w:after="240"/>
        <w:rPr>
          <w:lang w:val="en-GB"/>
        </w:rPr>
      </w:pPr>
      <w:r w:rsidRPr="00AD64E7">
        <w:rPr>
          <w:lang w:val="en-GB"/>
        </w:rPr>
        <w:t xml:space="preserve">Dodson, J. 2024, </w:t>
      </w:r>
      <w:r w:rsidRPr="00AD64E7">
        <w:rPr>
          <w:i/>
          <w:iCs/>
          <w:lang w:val="en-GB"/>
        </w:rPr>
        <w:t>What ambition is and how to maintain a healthy sense of it</w:t>
      </w:r>
      <w:r w:rsidRPr="00AD64E7">
        <w:rPr>
          <w:lang w:val="en-GB"/>
        </w:rPr>
        <w:t xml:space="preserve">, BetterHelp, available at: </w:t>
      </w:r>
      <w:hyperlink r:id="rId19" w:tgtFrame="_blank" w:history="1">
        <w:r w:rsidRPr="00AD64E7">
          <w:rPr>
            <w:rStyle w:val="Hyperlink"/>
            <w:lang w:val="en-GB"/>
          </w:rPr>
          <w:t>https://www.betterhelp.com/advice/ambition/what-does-ambition-mean-an-overview/</w:t>
        </w:r>
      </w:hyperlink>
    </w:p>
    <w:p w14:paraId="7EE7F1E3" w14:textId="77777777" w:rsidR="00AD64E7" w:rsidRPr="00AD64E7" w:rsidRDefault="00AD64E7" w:rsidP="00AD64E7">
      <w:pPr>
        <w:spacing w:before="120" w:after="240"/>
        <w:rPr>
          <w:lang w:val="en-GB"/>
        </w:rPr>
      </w:pPr>
      <w:proofErr w:type="spellStart"/>
      <w:r w:rsidRPr="00AD64E7">
        <w:rPr>
          <w:lang w:val="en-GB"/>
        </w:rPr>
        <w:t>Dall’Ora</w:t>
      </w:r>
      <w:proofErr w:type="spellEnd"/>
      <w:r w:rsidRPr="00AD64E7">
        <w:rPr>
          <w:lang w:val="en-GB"/>
        </w:rPr>
        <w:t xml:space="preserve">, C., Ball, J., </w:t>
      </w:r>
      <w:proofErr w:type="spellStart"/>
      <w:r w:rsidRPr="00AD64E7">
        <w:rPr>
          <w:lang w:val="en-GB"/>
        </w:rPr>
        <w:t>Reinius</w:t>
      </w:r>
      <w:proofErr w:type="spellEnd"/>
      <w:r w:rsidRPr="00AD64E7">
        <w:rPr>
          <w:lang w:val="en-GB"/>
        </w:rPr>
        <w:t xml:space="preserve">, M. &amp; Griffiths, P. 2020, ‘Burnout in nursing: a theoretical review’, </w:t>
      </w:r>
      <w:r w:rsidRPr="00AD64E7">
        <w:rPr>
          <w:i/>
          <w:iCs/>
          <w:lang w:val="en-GB"/>
        </w:rPr>
        <w:t>Human Resources for Health</w:t>
      </w:r>
      <w:r w:rsidRPr="00AD64E7">
        <w:rPr>
          <w:lang w:val="en-GB"/>
        </w:rPr>
        <w:t xml:space="preserve">, vol. 18, no. 1, 41. </w:t>
      </w:r>
      <w:hyperlink r:id="rId20" w:tgtFrame="_blank" w:history="1">
        <w:r w:rsidRPr="00AD64E7">
          <w:rPr>
            <w:rStyle w:val="Hyperlink"/>
            <w:lang w:val="en-GB"/>
          </w:rPr>
          <w:t>https://doi.org/10.1186/s12960-020-00469-9</w:t>
        </w:r>
      </w:hyperlink>
    </w:p>
    <w:p w14:paraId="23379FAE" w14:textId="77777777" w:rsidR="00AD64E7" w:rsidRPr="00AD64E7" w:rsidRDefault="00AD64E7" w:rsidP="00AD64E7">
      <w:pPr>
        <w:spacing w:before="120" w:after="240"/>
        <w:rPr>
          <w:lang w:val="en-GB"/>
        </w:rPr>
      </w:pPr>
      <w:r w:rsidRPr="00AD64E7">
        <w:rPr>
          <w:lang w:val="en-GB"/>
        </w:rPr>
        <w:t xml:space="preserve">Davis, F.D. 1989, ‘Perceived usefulness, perceived ease of use, and user acceptance of information technology’, </w:t>
      </w:r>
      <w:r w:rsidRPr="00AD64E7">
        <w:rPr>
          <w:i/>
          <w:iCs/>
          <w:lang w:val="en-GB"/>
        </w:rPr>
        <w:t>MIS Quarterly</w:t>
      </w:r>
      <w:r w:rsidRPr="00AD64E7">
        <w:rPr>
          <w:lang w:val="en-GB"/>
        </w:rPr>
        <w:t xml:space="preserve">, vol. 13, no. 3, pp. 319–340. </w:t>
      </w:r>
      <w:hyperlink r:id="rId21" w:tgtFrame="_blank" w:history="1">
        <w:r w:rsidRPr="00AD64E7">
          <w:rPr>
            <w:rStyle w:val="Hyperlink"/>
            <w:lang w:val="en-GB"/>
          </w:rPr>
          <w:t>https://doi.org/10.2307/249008</w:t>
        </w:r>
      </w:hyperlink>
    </w:p>
    <w:p w14:paraId="27F5A6C3" w14:textId="77777777" w:rsidR="00AD64E7" w:rsidRPr="00AD64E7" w:rsidRDefault="00AD64E7" w:rsidP="00AD64E7">
      <w:pPr>
        <w:spacing w:before="120" w:after="240"/>
        <w:rPr>
          <w:lang w:val="en-GB"/>
        </w:rPr>
      </w:pPr>
      <w:r w:rsidRPr="00AD64E7">
        <w:rPr>
          <w:lang w:val="en-GB"/>
        </w:rPr>
        <w:t xml:space="preserve">Gagnon, M.P., Ouellet, S., </w:t>
      </w:r>
      <w:proofErr w:type="spellStart"/>
      <w:r w:rsidRPr="00AD64E7">
        <w:rPr>
          <w:lang w:val="en-GB"/>
        </w:rPr>
        <w:t>Attisso</w:t>
      </w:r>
      <w:proofErr w:type="spellEnd"/>
      <w:r w:rsidRPr="00AD64E7">
        <w:rPr>
          <w:lang w:val="en-GB"/>
        </w:rPr>
        <w:t xml:space="preserve">, E., Supper, W., Amil, S., </w:t>
      </w:r>
      <w:proofErr w:type="spellStart"/>
      <w:r w:rsidRPr="00AD64E7">
        <w:rPr>
          <w:lang w:val="en-GB"/>
        </w:rPr>
        <w:t>Rhéaume</w:t>
      </w:r>
      <w:proofErr w:type="spellEnd"/>
      <w:r w:rsidRPr="00AD64E7">
        <w:rPr>
          <w:lang w:val="en-GB"/>
        </w:rPr>
        <w:t xml:space="preserve">, C., Paquette, J.S., Chabot, C., Laferrière, M.C. &amp; Sasseville, M. 2024, ‘Wearable devices for supporting chronic disease self-management: scoping review’, </w:t>
      </w:r>
      <w:r w:rsidRPr="00AD64E7">
        <w:rPr>
          <w:i/>
          <w:iCs/>
          <w:lang w:val="en-GB"/>
        </w:rPr>
        <w:t>Interactive Journal of Medical Research</w:t>
      </w:r>
      <w:r w:rsidRPr="00AD64E7">
        <w:rPr>
          <w:lang w:val="en-GB"/>
        </w:rPr>
        <w:t xml:space="preserve">, vol. 13, e55925. </w:t>
      </w:r>
      <w:hyperlink r:id="rId22" w:tgtFrame="_blank" w:history="1">
        <w:r w:rsidRPr="00AD64E7">
          <w:rPr>
            <w:rStyle w:val="Hyperlink"/>
            <w:lang w:val="en-GB"/>
          </w:rPr>
          <w:t>https://doi.org/10.2196/55925</w:t>
        </w:r>
      </w:hyperlink>
    </w:p>
    <w:p w14:paraId="160B446F" w14:textId="77777777" w:rsidR="00AD64E7" w:rsidRPr="00AD64E7" w:rsidRDefault="00AD64E7" w:rsidP="00AD64E7">
      <w:pPr>
        <w:spacing w:before="120" w:after="240"/>
        <w:rPr>
          <w:lang w:val="en-GB"/>
        </w:rPr>
      </w:pPr>
      <w:r w:rsidRPr="00AD64E7">
        <w:rPr>
          <w:lang w:val="en-GB"/>
        </w:rPr>
        <w:t xml:space="preserve">Greenberg, N., Docherty, M., </w:t>
      </w:r>
      <w:proofErr w:type="spellStart"/>
      <w:r w:rsidRPr="00AD64E7">
        <w:rPr>
          <w:lang w:val="en-GB"/>
        </w:rPr>
        <w:t>Gnanapragasam</w:t>
      </w:r>
      <w:proofErr w:type="spellEnd"/>
      <w:r w:rsidRPr="00AD64E7">
        <w:rPr>
          <w:lang w:val="en-GB"/>
        </w:rPr>
        <w:t xml:space="preserve">, S. &amp; Wessely, S. 2020, ‘Managing mental health challenges faced by healthcare workers during COVID-19 pandemic’, </w:t>
      </w:r>
      <w:r w:rsidRPr="00AD64E7">
        <w:rPr>
          <w:i/>
          <w:iCs/>
          <w:lang w:val="en-GB"/>
        </w:rPr>
        <w:t>BMJ</w:t>
      </w:r>
      <w:r w:rsidRPr="00AD64E7">
        <w:rPr>
          <w:lang w:val="en-GB"/>
        </w:rPr>
        <w:t xml:space="preserve">, vol. 368, m1211. </w:t>
      </w:r>
      <w:hyperlink r:id="rId23" w:tgtFrame="_blank" w:history="1">
        <w:r w:rsidRPr="00AD64E7">
          <w:rPr>
            <w:rStyle w:val="Hyperlink"/>
            <w:lang w:val="en-GB"/>
          </w:rPr>
          <w:t>https://doi.org/10.1136/bmj.m1211</w:t>
        </w:r>
      </w:hyperlink>
    </w:p>
    <w:p w14:paraId="494D15A3" w14:textId="77777777" w:rsidR="00AD64E7" w:rsidRPr="00AD64E7" w:rsidRDefault="00AD64E7" w:rsidP="00AD64E7">
      <w:pPr>
        <w:spacing w:before="120" w:after="240"/>
        <w:rPr>
          <w:lang w:val="en-GB"/>
        </w:rPr>
      </w:pPr>
      <w:r w:rsidRPr="00AD64E7">
        <w:rPr>
          <w:lang w:val="en-GB"/>
        </w:rPr>
        <w:t xml:space="preserve">Gibbs, G. 1988, </w:t>
      </w:r>
      <w:r w:rsidRPr="00AD64E7">
        <w:rPr>
          <w:i/>
          <w:iCs/>
          <w:lang w:val="en-GB"/>
        </w:rPr>
        <w:t>Learning by doing: a guide to teaching and learning methods</w:t>
      </w:r>
      <w:r w:rsidRPr="00AD64E7">
        <w:rPr>
          <w:lang w:val="en-GB"/>
        </w:rPr>
        <w:t>, Further Education Unit, Oxford Polytechnic, Oxford.</w:t>
      </w:r>
    </w:p>
    <w:p w14:paraId="2D43FAB6" w14:textId="77777777" w:rsidR="00AD64E7" w:rsidRPr="00AD64E7" w:rsidRDefault="00AD64E7" w:rsidP="00AD64E7">
      <w:pPr>
        <w:spacing w:before="120" w:after="240"/>
        <w:rPr>
          <w:lang w:val="en-GB"/>
        </w:rPr>
      </w:pPr>
      <w:r w:rsidRPr="00AD64E7">
        <w:rPr>
          <w:lang w:val="en-GB"/>
        </w:rPr>
        <w:lastRenderedPageBreak/>
        <w:t xml:space="preserve">Houston, 2019, </w:t>
      </w:r>
      <w:r w:rsidRPr="00AD64E7">
        <w:rPr>
          <w:i/>
          <w:iCs/>
          <w:lang w:val="en-GB"/>
        </w:rPr>
        <w:t>What is goal setting and how to do it well</w:t>
      </w:r>
      <w:r w:rsidRPr="00AD64E7">
        <w:rPr>
          <w:lang w:val="en-GB"/>
        </w:rPr>
        <w:t xml:space="preserve">, Positive Psychology, available at: </w:t>
      </w:r>
      <w:hyperlink r:id="rId24" w:tgtFrame="_blank" w:history="1">
        <w:r w:rsidRPr="00AD64E7">
          <w:rPr>
            <w:rStyle w:val="Hyperlink"/>
            <w:lang w:val="en-GB"/>
          </w:rPr>
          <w:t>https://positivepsychology.com/goal-setting/</w:t>
        </w:r>
      </w:hyperlink>
    </w:p>
    <w:p w14:paraId="23F5F28F" w14:textId="77777777" w:rsidR="00AD64E7" w:rsidRPr="00AD64E7" w:rsidRDefault="00AD64E7" w:rsidP="00AD64E7">
      <w:pPr>
        <w:spacing w:before="120" w:after="240"/>
        <w:rPr>
          <w:lang w:val="en-GB"/>
        </w:rPr>
      </w:pPr>
      <w:r w:rsidRPr="00AD64E7">
        <w:rPr>
          <w:lang w:val="en-GB"/>
        </w:rPr>
        <w:t xml:space="preserve">Maslach, C. &amp; Leiter, M.P. 2016, ‘Understanding the burnout experience: recent research and its implications for psychiatry’, </w:t>
      </w:r>
      <w:r w:rsidRPr="00AD64E7">
        <w:rPr>
          <w:i/>
          <w:iCs/>
          <w:lang w:val="en-GB"/>
        </w:rPr>
        <w:t>World Psychiatry</w:t>
      </w:r>
      <w:r w:rsidRPr="00AD64E7">
        <w:rPr>
          <w:lang w:val="en-GB"/>
        </w:rPr>
        <w:t xml:space="preserve">, vol. 15, no. 2, pp. 103–111. </w:t>
      </w:r>
      <w:hyperlink r:id="rId25" w:tgtFrame="_blank" w:history="1">
        <w:r w:rsidRPr="00AD64E7">
          <w:rPr>
            <w:rStyle w:val="Hyperlink"/>
            <w:lang w:val="en-GB"/>
          </w:rPr>
          <w:t>https://doi.org/10.1002/wps.20311</w:t>
        </w:r>
      </w:hyperlink>
    </w:p>
    <w:p w14:paraId="2D6714A5" w14:textId="77777777" w:rsidR="00AD64E7" w:rsidRPr="00AD64E7" w:rsidRDefault="00AD64E7" w:rsidP="00AD64E7">
      <w:pPr>
        <w:spacing w:before="120" w:after="240"/>
        <w:rPr>
          <w:lang w:val="en-GB"/>
        </w:rPr>
      </w:pPr>
      <w:r w:rsidRPr="00AD64E7">
        <w:rPr>
          <w:lang w:val="en-GB"/>
        </w:rPr>
        <w:t xml:space="preserve">Meadows, D.H. 2008, </w:t>
      </w:r>
      <w:r w:rsidRPr="00AD64E7">
        <w:rPr>
          <w:i/>
          <w:iCs/>
          <w:lang w:val="en-GB"/>
        </w:rPr>
        <w:t>Thinking in systems: a primer</w:t>
      </w:r>
      <w:r w:rsidRPr="00AD64E7">
        <w:rPr>
          <w:lang w:val="en-GB"/>
        </w:rPr>
        <w:t>, Chelsea Green Publishing, White River Junction, VT.</w:t>
      </w:r>
    </w:p>
    <w:p w14:paraId="668FB65C" w14:textId="77777777" w:rsidR="00AD64E7" w:rsidRPr="00AD64E7" w:rsidRDefault="00AD64E7" w:rsidP="00AD64E7">
      <w:pPr>
        <w:spacing w:before="120" w:after="240"/>
        <w:rPr>
          <w:lang w:val="en-GB"/>
        </w:rPr>
      </w:pPr>
      <w:r w:rsidRPr="00AD64E7">
        <w:rPr>
          <w:lang w:val="en-GB"/>
        </w:rPr>
        <w:t xml:space="preserve">Maddux, J.E. 2016, ‘Self-efficacy’, in </w:t>
      </w:r>
      <w:r w:rsidRPr="00AD64E7">
        <w:rPr>
          <w:i/>
          <w:iCs/>
          <w:lang w:val="en-GB"/>
        </w:rPr>
        <w:t>Interpersonal and intrapersonal expectancies</w:t>
      </w:r>
      <w:r w:rsidRPr="00AD64E7">
        <w:rPr>
          <w:lang w:val="en-GB"/>
        </w:rPr>
        <w:t>, Routledge, pp. 41–46.</w:t>
      </w:r>
    </w:p>
    <w:p w14:paraId="3253DF02" w14:textId="77777777" w:rsidR="00AD64E7" w:rsidRPr="00AD64E7" w:rsidRDefault="00AD64E7" w:rsidP="00AD64E7">
      <w:pPr>
        <w:spacing w:before="120" w:after="240"/>
        <w:rPr>
          <w:lang w:val="en-GB"/>
        </w:rPr>
      </w:pPr>
      <w:r w:rsidRPr="00AD64E7">
        <w:rPr>
          <w:lang w:val="en-GB"/>
        </w:rPr>
        <w:t xml:space="preserve">NHS Digital (2026), </w:t>
      </w:r>
      <w:r w:rsidRPr="00AD64E7">
        <w:rPr>
          <w:i/>
          <w:iCs/>
          <w:lang w:val="en-GB"/>
        </w:rPr>
        <w:t>NHS App roadmap</w:t>
      </w:r>
      <w:r w:rsidRPr="00AD64E7">
        <w:rPr>
          <w:lang w:val="en-GB"/>
        </w:rPr>
        <w:t xml:space="preserve">, NHS Digital. Available at: </w:t>
      </w:r>
      <w:hyperlink r:id="rId26" w:tgtFrame="_blank" w:history="1">
        <w:r w:rsidRPr="00AD64E7">
          <w:rPr>
            <w:rStyle w:val="Hyperlink"/>
            <w:lang w:val="en-GB"/>
          </w:rPr>
          <w:t>https://digital.nhs.uk/services/nhs-app/roadmap</w:t>
        </w:r>
      </w:hyperlink>
    </w:p>
    <w:p w14:paraId="569F25AB" w14:textId="77777777" w:rsidR="00AD64E7" w:rsidRPr="00AD64E7" w:rsidRDefault="00AD64E7" w:rsidP="00AD64E7">
      <w:pPr>
        <w:spacing w:before="120" w:after="240"/>
        <w:rPr>
          <w:lang w:val="en-GB"/>
        </w:rPr>
      </w:pPr>
      <w:r w:rsidRPr="00AD64E7">
        <w:rPr>
          <w:lang w:val="en-GB"/>
        </w:rPr>
        <w:t xml:space="preserve">NHS England 2023, ‘Shared care records’, Available at: </w:t>
      </w:r>
      <w:hyperlink r:id="rId27" w:tgtFrame="_blank" w:history="1">
        <w:r w:rsidRPr="00AD64E7">
          <w:rPr>
            <w:rStyle w:val="Hyperlink"/>
            <w:lang w:val="en-GB"/>
          </w:rPr>
          <w:t>https://www.england.nhs.uk/long-read/shared-care-records/</w:t>
        </w:r>
      </w:hyperlink>
    </w:p>
    <w:p w14:paraId="3274F813" w14:textId="77777777" w:rsidR="00AD64E7" w:rsidRPr="00AD64E7" w:rsidRDefault="00AD64E7" w:rsidP="00AD64E7">
      <w:pPr>
        <w:spacing w:before="120" w:after="240"/>
        <w:rPr>
          <w:lang w:val="en-GB"/>
        </w:rPr>
      </w:pPr>
      <w:r w:rsidRPr="00AD64E7">
        <w:rPr>
          <w:lang w:val="en-GB"/>
        </w:rPr>
        <w:t xml:space="preserve">NHS England (2024a), </w:t>
      </w:r>
      <w:r w:rsidRPr="00AD64E7">
        <w:rPr>
          <w:i/>
          <w:iCs/>
          <w:lang w:val="en-GB"/>
        </w:rPr>
        <w:t>Virtual wards</w:t>
      </w:r>
      <w:r w:rsidRPr="00AD64E7">
        <w:rPr>
          <w:lang w:val="en-GB"/>
        </w:rPr>
        <w:t xml:space="preserve">, NHS England. Available at: </w:t>
      </w:r>
      <w:hyperlink r:id="rId28" w:tgtFrame="_blank" w:history="1">
        <w:r w:rsidRPr="00AD64E7">
          <w:rPr>
            <w:rStyle w:val="Hyperlink"/>
            <w:lang w:val="en-GB"/>
          </w:rPr>
          <w:t>https://www.england.nhs.uk/virtual-wards/</w:t>
        </w:r>
      </w:hyperlink>
    </w:p>
    <w:p w14:paraId="4C5DBA68" w14:textId="77777777" w:rsidR="00AD64E7" w:rsidRPr="00AD64E7" w:rsidRDefault="00AD64E7" w:rsidP="00AD64E7">
      <w:pPr>
        <w:spacing w:before="120" w:after="240"/>
        <w:rPr>
          <w:lang w:val="en-GB"/>
        </w:rPr>
      </w:pPr>
      <w:r w:rsidRPr="00AD64E7">
        <w:rPr>
          <w:lang w:val="en-GB"/>
        </w:rPr>
        <w:t xml:space="preserve">NHS England (2024b), ‘Virtual wards operational framework’, Available at: </w:t>
      </w:r>
      <w:hyperlink r:id="rId29" w:tgtFrame="_blank" w:history="1">
        <w:r w:rsidRPr="00AD64E7">
          <w:rPr>
            <w:rStyle w:val="Hyperlink"/>
            <w:lang w:val="en-GB"/>
          </w:rPr>
          <w:t>https://www.england.nhs.uk/long-read/virtual-wards-operational-framework/</w:t>
        </w:r>
      </w:hyperlink>
    </w:p>
    <w:p w14:paraId="42C508E3" w14:textId="77777777" w:rsidR="00AD64E7" w:rsidRPr="00AD64E7" w:rsidRDefault="00AD64E7" w:rsidP="00AD64E7">
      <w:pPr>
        <w:spacing w:before="120" w:after="240"/>
        <w:rPr>
          <w:lang w:val="en-GB"/>
        </w:rPr>
      </w:pPr>
      <w:r w:rsidRPr="00AD64E7">
        <w:rPr>
          <w:lang w:val="en-GB"/>
        </w:rPr>
        <w:t xml:space="preserve">NHS Leadership Academy (2024), </w:t>
      </w:r>
      <w:r w:rsidRPr="00AD64E7">
        <w:rPr>
          <w:i/>
          <w:iCs/>
          <w:lang w:val="en-GB"/>
        </w:rPr>
        <w:t>Explore the Healthcare Leadership Model</w:t>
      </w:r>
      <w:r w:rsidRPr="00AD64E7">
        <w:rPr>
          <w:lang w:val="en-GB"/>
        </w:rPr>
        <w:t xml:space="preserve">, NHS Leadership Academy. Available at: </w:t>
      </w:r>
      <w:hyperlink r:id="rId30" w:tgtFrame="_blank" w:history="1">
        <w:r w:rsidRPr="00AD64E7">
          <w:rPr>
            <w:rStyle w:val="Hyperlink"/>
            <w:lang w:val="en-GB"/>
          </w:rPr>
          <w:t>https://www.leadershipacademy.nhs.uk/healthcare-leadership-model/explore-the-healthcare-leadership-model/</w:t>
        </w:r>
      </w:hyperlink>
    </w:p>
    <w:p w14:paraId="1BF2D5E4" w14:textId="77777777" w:rsidR="00AD64E7" w:rsidRPr="00AD64E7" w:rsidRDefault="00AD64E7" w:rsidP="00AD64E7">
      <w:pPr>
        <w:spacing w:before="120" w:after="240"/>
        <w:rPr>
          <w:lang w:val="en-GB"/>
        </w:rPr>
      </w:pPr>
      <w:r w:rsidRPr="00AD64E7">
        <w:rPr>
          <w:lang w:val="en-GB"/>
        </w:rPr>
        <w:t xml:space="preserve">Porter, M.E. 2010, ‘What is value in health care?’, </w:t>
      </w:r>
      <w:r w:rsidRPr="00AD64E7">
        <w:rPr>
          <w:i/>
          <w:iCs/>
          <w:lang w:val="en-GB"/>
        </w:rPr>
        <w:t>New England Journal of Medicine</w:t>
      </w:r>
      <w:r w:rsidRPr="00AD64E7">
        <w:rPr>
          <w:lang w:val="en-GB"/>
        </w:rPr>
        <w:t xml:space="preserve">, vol. 363, no. 26, pp. 2477–2481. </w:t>
      </w:r>
      <w:hyperlink r:id="rId31" w:tgtFrame="_blank" w:history="1">
        <w:r w:rsidRPr="00AD64E7">
          <w:rPr>
            <w:rStyle w:val="Hyperlink"/>
            <w:lang w:val="en-GB"/>
          </w:rPr>
          <w:t>https://doi.org/10.1056/NEJMp1011024</w:t>
        </w:r>
      </w:hyperlink>
    </w:p>
    <w:p w14:paraId="4E04551C" w14:textId="77777777" w:rsidR="00AD64E7" w:rsidRPr="00AD64E7" w:rsidRDefault="00AD64E7" w:rsidP="00AD64E7">
      <w:pPr>
        <w:spacing w:before="120" w:after="240"/>
        <w:rPr>
          <w:lang w:val="en-GB"/>
        </w:rPr>
      </w:pPr>
      <w:r w:rsidRPr="00AD64E7">
        <w:rPr>
          <w:lang w:val="en-GB"/>
        </w:rPr>
        <w:t xml:space="preserve">Rogers, E.M. 2003, </w:t>
      </w:r>
      <w:r w:rsidRPr="00AD64E7">
        <w:rPr>
          <w:i/>
          <w:iCs/>
          <w:lang w:val="en-GB"/>
        </w:rPr>
        <w:t>Diffusion of innovations</w:t>
      </w:r>
      <w:r w:rsidRPr="00AD64E7">
        <w:rPr>
          <w:lang w:val="en-GB"/>
        </w:rPr>
        <w:t xml:space="preserve">, 5th </w:t>
      </w:r>
      <w:proofErr w:type="spellStart"/>
      <w:r w:rsidRPr="00AD64E7">
        <w:rPr>
          <w:lang w:val="en-GB"/>
        </w:rPr>
        <w:t>edn</w:t>
      </w:r>
      <w:proofErr w:type="spellEnd"/>
      <w:r w:rsidRPr="00AD64E7">
        <w:rPr>
          <w:lang w:val="en-GB"/>
        </w:rPr>
        <w:t>, Free Press, New York.</w:t>
      </w:r>
    </w:p>
    <w:p w14:paraId="40D68270" w14:textId="621836DE" w:rsidR="005B5B88" w:rsidRPr="00AD64E7" w:rsidRDefault="00AD64E7" w:rsidP="00AD64E7">
      <w:pPr>
        <w:spacing w:before="120" w:after="240"/>
        <w:rPr>
          <w:lang w:val="en-GB"/>
        </w:rPr>
      </w:pPr>
      <w:r w:rsidRPr="00AD64E7">
        <w:rPr>
          <w:lang w:val="en-GB"/>
        </w:rPr>
        <w:t xml:space="preserve">Roy, S.K. 2008, ‘Identifying the dimensions of attractiveness of an employer brand in the Indian context’, </w:t>
      </w:r>
      <w:r w:rsidRPr="00AD64E7">
        <w:rPr>
          <w:i/>
          <w:iCs/>
          <w:lang w:val="en-GB"/>
        </w:rPr>
        <w:t>South Asian Journal of Management</w:t>
      </w:r>
      <w:r w:rsidRPr="00AD64E7">
        <w:rPr>
          <w:lang w:val="en-GB"/>
        </w:rPr>
        <w:t>, vol. 15, no. 4, pp. 110–130.</w:t>
      </w:r>
    </w:p>
    <w:sectPr w:rsidR="005B5B88" w:rsidRPr="00AD64E7" w:rsidSect="000D6B9F">
      <w:footerReference w:type="default" r:id="rId32"/>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AE872E" w14:textId="77777777" w:rsidR="00D06617" w:rsidRDefault="00D06617">
      <w:pPr>
        <w:spacing w:after="0" w:line="240" w:lineRule="auto"/>
      </w:pPr>
      <w:r>
        <w:separator/>
      </w:r>
    </w:p>
  </w:endnote>
  <w:endnote w:type="continuationSeparator" w:id="0">
    <w:p w14:paraId="3AF63D45" w14:textId="77777777" w:rsidR="00D06617" w:rsidRDefault="00D066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Vrinda">
    <w:panose1 w:val="00000400000000000000"/>
    <w:charset w:val="00"/>
    <w:family w:val="swiss"/>
    <w:pitch w:val="variable"/>
    <w:sig w:usb0="00010003" w:usb1="00000000" w:usb2="00000000" w:usb3="00000000" w:csb0="00000001" w:csb1="00000000"/>
  </w:font>
  <w:font w:name="Aptos">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FDACD6" w14:textId="7D16D0B2" w:rsidR="005B5B88" w:rsidRDefault="005B5B88">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600E0D" w14:textId="77777777" w:rsidR="00D06617" w:rsidRDefault="00D06617">
      <w:pPr>
        <w:spacing w:after="0" w:line="240" w:lineRule="auto"/>
      </w:pPr>
      <w:r>
        <w:separator/>
      </w:r>
    </w:p>
  </w:footnote>
  <w:footnote w:type="continuationSeparator" w:id="0">
    <w:p w14:paraId="50972AFA" w14:textId="77777777" w:rsidR="00D06617" w:rsidRDefault="00D0661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0422592">
    <w:abstractNumId w:val="4"/>
  </w:num>
  <w:num w:numId="2" w16cid:durableId="1400245847">
    <w:abstractNumId w:val="6"/>
  </w:num>
  <w:num w:numId="3" w16cid:durableId="169293821">
    <w:abstractNumId w:val="0"/>
  </w:num>
  <w:num w:numId="4" w16cid:durableId="1777166643">
    <w:abstractNumId w:val="1"/>
  </w:num>
  <w:num w:numId="5" w16cid:durableId="218513117">
    <w:abstractNumId w:val="3"/>
  </w:num>
  <w:num w:numId="6" w16cid:durableId="227770358">
    <w:abstractNumId w:val="5"/>
  </w:num>
  <w:num w:numId="7" w16cid:durableId="315719465">
    <w:abstractNumId w:val="2"/>
  </w:num>
  <w:num w:numId="8" w16cid:durableId="543519105">
    <w:abstractNumId w:val="8"/>
  </w:num>
  <w:num w:numId="9" w16cid:durableId="7054841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07EC9"/>
    <w:rsid w:val="000313F7"/>
    <w:rsid w:val="00034616"/>
    <w:rsid w:val="00040692"/>
    <w:rsid w:val="000428A4"/>
    <w:rsid w:val="00050604"/>
    <w:rsid w:val="0006063C"/>
    <w:rsid w:val="0007716E"/>
    <w:rsid w:val="000C0F5D"/>
    <w:rsid w:val="000D6B9F"/>
    <w:rsid w:val="000E3196"/>
    <w:rsid w:val="000F224A"/>
    <w:rsid w:val="0015074B"/>
    <w:rsid w:val="00154E3D"/>
    <w:rsid w:val="001E3FEA"/>
    <w:rsid w:val="001E7F82"/>
    <w:rsid w:val="001F57F0"/>
    <w:rsid w:val="00204BD7"/>
    <w:rsid w:val="002277FE"/>
    <w:rsid w:val="00275BB4"/>
    <w:rsid w:val="0029639D"/>
    <w:rsid w:val="002E2408"/>
    <w:rsid w:val="002F7719"/>
    <w:rsid w:val="00311A6C"/>
    <w:rsid w:val="00315E47"/>
    <w:rsid w:val="00326F90"/>
    <w:rsid w:val="003F1F19"/>
    <w:rsid w:val="00406715"/>
    <w:rsid w:val="00426350"/>
    <w:rsid w:val="00492252"/>
    <w:rsid w:val="004C7283"/>
    <w:rsid w:val="004D42EF"/>
    <w:rsid w:val="00515CC1"/>
    <w:rsid w:val="0054210C"/>
    <w:rsid w:val="00563037"/>
    <w:rsid w:val="005838F1"/>
    <w:rsid w:val="00585A2C"/>
    <w:rsid w:val="005B5B88"/>
    <w:rsid w:val="005C2858"/>
    <w:rsid w:val="00610C78"/>
    <w:rsid w:val="00613C70"/>
    <w:rsid w:val="00626CD8"/>
    <w:rsid w:val="00661AC6"/>
    <w:rsid w:val="00677089"/>
    <w:rsid w:val="006863E5"/>
    <w:rsid w:val="006F4E3E"/>
    <w:rsid w:val="00704883"/>
    <w:rsid w:val="007236B2"/>
    <w:rsid w:val="007476A0"/>
    <w:rsid w:val="00771444"/>
    <w:rsid w:val="007939D3"/>
    <w:rsid w:val="00797D28"/>
    <w:rsid w:val="007D6716"/>
    <w:rsid w:val="007E7BC9"/>
    <w:rsid w:val="00820178"/>
    <w:rsid w:val="008523FA"/>
    <w:rsid w:val="008A40D6"/>
    <w:rsid w:val="008C4010"/>
    <w:rsid w:val="00906022"/>
    <w:rsid w:val="00911DFC"/>
    <w:rsid w:val="00926D3E"/>
    <w:rsid w:val="00A11AF3"/>
    <w:rsid w:val="00A6409F"/>
    <w:rsid w:val="00AA1D8D"/>
    <w:rsid w:val="00AD64E7"/>
    <w:rsid w:val="00B47730"/>
    <w:rsid w:val="00BA6E92"/>
    <w:rsid w:val="00BB5DD2"/>
    <w:rsid w:val="00C22A1E"/>
    <w:rsid w:val="00C2615B"/>
    <w:rsid w:val="00C92C5A"/>
    <w:rsid w:val="00CB0664"/>
    <w:rsid w:val="00CD2BAE"/>
    <w:rsid w:val="00CE6B0B"/>
    <w:rsid w:val="00D06617"/>
    <w:rsid w:val="00D26571"/>
    <w:rsid w:val="00D82B59"/>
    <w:rsid w:val="00D9231D"/>
    <w:rsid w:val="00DC28FD"/>
    <w:rsid w:val="00DF2535"/>
    <w:rsid w:val="00E34C4F"/>
    <w:rsid w:val="00E370CE"/>
    <w:rsid w:val="00E44C98"/>
    <w:rsid w:val="00E76DE5"/>
    <w:rsid w:val="00EE300D"/>
    <w:rsid w:val="00EF5AED"/>
    <w:rsid w:val="00F64DDB"/>
    <w:rsid w:val="00F64E1E"/>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bn-BD"/>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4062061"/>
  <w14:defaultImageDpi w14:val="300"/>
  <w15:docId w15:val="{0FC6F251-6CFF-47D2-9CBA-FFD28A11A4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7089"/>
    <w:pPr>
      <w:spacing w:after="120" w:line="360" w:lineRule="auto"/>
      <w:jc w:val="both"/>
    </w:pPr>
    <w:rPr>
      <w:rFonts w:ascii="Aptos" w:eastAsia="Aptos" w:hAnsi="Aptos"/>
      <w:sz w:val="24"/>
    </w:rPr>
  </w:style>
  <w:style w:type="paragraph" w:styleId="Heading1">
    <w:name w:val="heading 1"/>
    <w:basedOn w:val="Normal"/>
    <w:next w:val="Normal"/>
    <w:link w:val="Heading1Char"/>
    <w:uiPriority w:val="9"/>
    <w:qFormat/>
    <w:rsid w:val="000E3196"/>
    <w:pPr>
      <w:keepNext/>
      <w:keepLines/>
      <w:spacing w:before="120" w:after="240" w:line="240" w:lineRule="auto"/>
      <w:outlineLvl w:val="0"/>
    </w:pPr>
    <w:rPr>
      <w:rFonts w:eastAsiaTheme="majorEastAsia" w:cstheme="majorBidi"/>
      <w:b/>
      <w:bCs/>
      <w:color w:val="000000" w:themeColor="text1"/>
      <w:szCs w:val="28"/>
      <w:u w:val="single"/>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2F5597"/>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0E3196"/>
    <w:rPr>
      <w:rFonts w:ascii="Aptos" w:eastAsiaTheme="majorEastAsia" w:hAnsi="Aptos" w:cstheme="majorBidi"/>
      <w:b/>
      <w:bCs/>
      <w:color w:val="000000" w:themeColor="text1"/>
      <w:sz w:val="24"/>
      <w:szCs w:val="28"/>
      <w:u w:val="single"/>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b/>
      <w:color w:val="1F4E79"/>
      <w:spacing w:val="5"/>
      <w:kern w:val="28"/>
      <w:sz w:val="44"/>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8"/>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6"/>
      </w:numPr>
      <w:contextualSpacing/>
    </w:pPr>
  </w:style>
  <w:style w:type="paragraph" w:styleId="ListNumber">
    <w:name w:val="List Number"/>
    <w:basedOn w:val="Normal"/>
    <w:uiPriority w:val="99"/>
    <w:unhideWhenUsed/>
    <w:rsid w:val="00326F90"/>
    <w:pPr>
      <w:numPr>
        <w:numId w:val="9"/>
      </w:numPr>
      <w:contextualSpacing/>
    </w:pPr>
  </w:style>
  <w:style w:type="paragraph" w:styleId="ListNumber2">
    <w:name w:val="List Number 2"/>
    <w:basedOn w:val="Normal"/>
    <w:uiPriority w:val="99"/>
    <w:unhideWhenUsed/>
    <w:rsid w:val="0029639D"/>
    <w:pPr>
      <w:numPr>
        <w:numId w:val="5"/>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customStyle="1" w:styleId="ColorfulShading-Accent1">
    <w:name w:val="Colorful Shading -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customStyle="1" w:styleId="ColorfulShading-Accent2">
    <w:name w:val="Colorful Shading -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customStyle="1" w:styleId="ColorfulShading-Accent3">
    <w:name w:val="Colorful Shading -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customStyle="1" w:styleId="ColorfulShading-Accent4">
    <w:name w:val="Colorful Shading -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customStyle="1" w:styleId="ColorfulShading-Accent5">
    <w:name w:val="Colorful Shading -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customStyle="1" w:styleId="ColorfulShading-Accent6">
    <w:name w:val="Colorful Shading -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customStyle="1" w:styleId="ColorfulList-Accent1">
    <w:name w:val="Colorful List -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customStyle="1" w:styleId="ColorfulList-Accent2">
    <w:name w:val="Colorful List -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customStyle="1" w:styleId="ColorfulList-Accent3">
    <w:name w:val="Colorful List -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customStyle="1" w:styleId="ColorfulList-Accent4">
    <w:name w:val="Colorful List -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customStyle="1" w:styleId="ColorfulList-Accent5">
    <w:name w:val="Colorful List -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customStyle="1" w:styleId="ColorfulList-Accent6">
    <w:name w:val="Colorful List -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customStyle="1" w:styleId="ColorfulGrid-Accent1">
    <w:name w:val="Colorful Grid -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customStyle="1" w:styleId="ColorfulGrid-Accent2">
    <w:name w:val="Colorful Grid -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customStyle="1" w:styleId="ColorfulGrid-Accent3">
    <w:name w:val="Colorful Grid -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customStyle="1" w:styleId="ColorfulGrid-Accent4">
    <w:name w:val="Colorful Grid -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customStyle="1" w:styleId="ColorfulGrid-Accent5">
    <w:name w:val="Colorful Grid -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customStyle="1" w:styleId="ColorfulGrid-Accent6">
    <w:name w:val="Colorful Grid -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AD64E7"/>
    <w:rPr>
      <w:color w:val="0000FF" w:themeColor="hyperlink"/>
      <w:u w:val="single"/>
    </w:rPr>
  </w:style>
  <w:style w:type="character" w:styleId="UnresolvedMention">
    <w:name w:val="Unresolved Mention"/>
    <w:basedOn w:val="DefaultParagraphFont"/>
    <w:uiPriority w:val="99"/>
    <w:semiHidden/>
    <w:unhideWhenUsed/>
    <w:rsid w:val="00AD64E7"/>
    <w:rPr>
      <w:color w:val="605E5C"/>
      <w:shd w:val="clear" w:color="auto" w:fill="E1DFDD"/>
    </w:rPr>
  </w:style>
  <w:style w:type="paragraph" w:styleId="TOC1">
    <w:name w:val="toc 1"/>
    <w:basedOn w:val="Normal"/>
    <w:next w:val="Normal"/>
    <w:autoRedefine/>
    <w:uiPriority w:val="39"/>
    <w:unhideWhenUsed/>
    <w:rsid w:val="00AD64E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doi.org/10.1111/j.1467-6486.2004.00463.x" TargetMode="External"/><Relationship Id="rId26" Type="http://schemas.openxmlformats.org/officeDocument/2006/relationships/hyperlink" Target="https://digital.nhs.uk/services/nhs-app/roadmap" TargetMode="External"/><Relationship Id="rId3" Type="http://schemas.openxmlformats.org/officeDocument/2006/relationships/styles" Target="styles.xml"/><Relationship Id="rId21" Type="http://schemas.openxmlformats.org/officeDocument/2006/relationships/hyperlink" Target="https://doi.org/10.2307/249008"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doi.org/10.1002/wps.20311"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doi.org/10.1186/s12960-020-00469-9" TargetMode="External"/><Relationship Id="rId29" Type="http://schemas.openxmlformats.org/officeDocument/2006/relationships/hyperlink" Target="https://www.england.nhs.uk/long-read/virtual-wards-operational-framewor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positivepsychology.com/goal-setting/"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doi.org/10.1136/bmj.m1211" TargetMode="External"/><Relationship Id="rId28" Type="http://schemas.openxmlformats.org/officeDocument/2006/relationships/hyperlink" Target="https://www.england.nhs.uk/virtual-wards/" TargetMode="External"/><Relationship Id="rId10" Type="http://schemas.openxmlformats.org/officeDocument/2006/relationships/image" Target="media/image3.png"/><Relationship Id="rId19" Type="http://schemas.openxmlformats.org/officeDocument/2006/relationships/hyperlink" Target="https://www.betterhelp.com/advice/ambition/what-does-ambition-mean-an-overview/" TargetMode="External"/><Relationship Id="rId31" Type="http://schemas.openxmlformats.org/officeDocument/2006/relationships/hyperlink" Target="https://doi.org/10.1056/NEJMp1011024"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doi.org/10.2196/55925" TargetMode="External"/><Relationship Id="rId27" Type="http://schemas.openxmlformats.org/officeDocument/2006/relationships/hyperlink" Target="https://www.england.nhs.uk/long-read/shared-care-records/" TargetMode="External"/><Relationship Id="rId30" Type="http://schemas.openxmlformats.org/officeDocument/2006/relationships/hyperlink" Target="https://www.leadershipacademy.nhs.uk/healthcare-leadership-model/explore-the-healthcare-leadership-model/"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TotalTime>
  <Pages>15</Pages>
  <Words>2848</Words>
  <Characters>16237</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19047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Abass Bundu</cp:lastModifiedBy>
  <cp:revision>36</cp:revision>
  <dcterms:created xsi:type="dcterms:W3CDTF">2013-12-23T15:15:00Z</dcterms:created>
  <dcterms:modified xsi:type="dcterms:W3CDTF">2026-07-28T20:26:00Z</dcterms:modified>
  <cp:category/>
</cp:coreProperties>
</file>