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E5C" w:rsidRDefault="00456E5C" w:rsidP="00456E5C">
      <w:pPr>
        <w:spacing w:after="0" w:line="240" w:lineRule="auto"/>
        <w:ind w:left="-180" w:right="-334"/>
        <w:rPr>
          <w:rFonts w:ascii="Arial" w:eastAsia="SimSun" w:hAnsi="Arial" w:cs="Arial"/>
          <w:b/>
          <w:color w:val="000000"/>
          <w:sz w:val="28"/>
          <w:szCs w:val="28"/>
          <w:lang w:val="cy-GB" w:eastAsia="zh-CN"/>
        </w:rPr>
      </w:pPr>
      <w:r>
        <w:rPr>
          <w:noProof/>
          <w:lang w:eastAsia="en-GB"/>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56E5C" w:rsidRPr="00456E5C" w:rsidRDefault="00456E5C" w:rsidP="00A2275C">
      <w:pPr>
        <w:spacing w:after="0" w:line="240" w:lineRule="auto"/>
        <w:ind w:left="1440" w:right="-334" w:firstLine="720"/>
        <w:rPr>
          <w:rFonts w:ascii="Arial" w:eastAsia="SimSun" w:hAnsi="Arial" w:cs="Arial"/>
          <w:b/>
          <w:color w:val="000000"/>
          <w:sz w:val="28"/>
          <w:szCs w:val="28"/>
          <w:lang w:val="cy-GB" w:eastAsia="zh-CN"/>
        </w:rPr>
      </w:pPr>
      <w:r w:rsidRPr="00456E5C">
        <w:rPr>
          <w:rFonts w:ascii="Arial" w:eastAsia="SimSun" w:hAnsi="Arial" w:cs="Arial"/>
          <w:b/>
          <w:color w:val="000000"/>
          <w:sz w:val="28"/>
          <w:szCs w:val="28"/>
          <w:lang w:val="cy-GB" w:eastAsia="zh-CN"/>
        </w:rPr>
        <w:t xml:space="preserve">Postgraduate/Distance Learning </w:t>
      </w:r>
    </w:p>
    <w:p w:rsidR="00456E5C" w:rsidRPr="00456E5C" w:rsidRDefault="00456E5C" w:rsidP="00456E5C">
      <w:pPr>
        <w:spacing w:after="0" w:line="240" w:lineRule="auto"/>
        <w:ind w:left="-180" w:right="-334"/>
        <w:jc w:val="center"/>
        <w:rPr>
          <w:rFonts w:ascii="Arial" w:eastAsia="SimSun" w:hAnsi="Arial" w:cs="Arial"/>
          <w:b/>
          <w:color w:val="000000"/>
          <w:sz w:val="28"/>
          <w:szCs w:val="28"/>
          <w:lang w:eastAsia="zh-CN"/>
        </w:rPr>
      </w:pPr>
      <w:r w:rsidRPr="00456E5C">
        <w:rPr>
          <w:rFonts w:ascii="Arial" w:eastAsia="SimSun" w:hAnsi="Arial" w:cs="Arial"/>
          <w:b/>
          <w:color w:val="000000"/>
          <w:sz w:val="28"/>
          <w:szCs w:val="28"/>
          <w:lang w:val="cy-GB" w:eastAsia="zh-CN"/>
        </w:rPr>
        <w:t>Assignment coversheet &amp; feedback form</w:t>
      </w:r>
    </w:p>
    <w:p w:rsidR="00456E5C" w:rsidRPr="00456E5C" w:rsidRDefault="00456E5C" w:rsidP="00456E5C">
      <w:pPr>
        <w:spacing w:after="0" w:line="240" w:lineRule="auto"/>
        <w:rPr>
          <w:rFonts w:ascii="Arial" w:eastAsia="SimSun" w:hAnsi="Arial" w:cs="Arial"/>
          <w:sz w:val="28"/>
          <w:szCs w:val="28"/>
          <w:lang w:val="cy-GB" w:eastAsia="zh-CN"/>
        </w:rPr>
      </w:pPr>
    </w:p>
    <w:p w:rsidR="00456E5C" w:rsidRPr="00456E5C" w:rsidRDefault="00456E5C" w:rsidP="00456E5C">
      <w:pPr>
        <w:keepNext/>
        <w:spacing w:after="0" w:line="240" w:lineRule="auto"/>
        <w:ind w:left="720"/>
        <w:jc w:val="center"/>
        <w:outlineLvl w:val="2"/>
        <w:rPr>
          <w:rFonts w:ascii="Tahoma" w:eastAsia="SimSun" w:hAnsi="Tahoma" w:cs="Tahoma"/>
          <w:b/>
          <w:bCs/>
          <w:sz w:val="20"/>
          <w:szCs w:val="20"/>
          <w:lang w:val="cy-GB" w:eastAsia="zh-CN"/>
        </w:rPr>
      </w:pPr>
      <w:r w:rsidRPr="00456E5C">
        <w:rPr>
          <w:rFonts w:ascii="Tahoma" w:eastAsia="SimSun" w:hAnsi="Tahoma" w:cs="Tahoma"/>
          <w:b/>
          <w:bCs/>
          <w:sz w:val="20"/>
          <w:szCs w:val="20"/>
          <w:lang w:val="cy-GB" w:eastAsia="zh-CN"/>
        </w:rPr>
        <w:t>THIS SHEET MUST BE THE FIRST PAGE OF THE ASSIGNMENT YOU ARE SUBMITTING  (DO NOT SEND AS A SEPARATE FILE)</w:t>
      </w:r>
    </w:p>
    <w:p w:rsidR="00456E5C" w:rsidRPr="00456E5C" w:rsidRDefault="00456E5C" w:rsidP="00456E5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6E5C" w:rsidRPr="00456E5C" w:rsidTr="005022D7">
        <w:trPr>
          <w:trHeight w:val="614"/>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b/>
                <w:color w:val="000000"/>
                <w:lang w:eastAsia="zh-CN"/>
              </w:rPr>
              <w:t>For completion by the student</w:t>
            </w:r>
            <w:r w:rsidRPr="00456E5C">
              <w:rPr>
                <w:rFonts w:ascii="Arial" w:eastAsia="SimSun" w:hAnsi="Arial" w:cs="Arial"/>
                <w:color w:val="000000"/>
                <w:lang w:eastAsia="zh-CN"/>
              </w:rPr>
              <w:t>:</w:t>
            </w:r>
          </w:p>
        </w:tc>
      </w:tr>
      <w:tr w:rsidR="00456E5C" w:rsidRPr="00456E5C" w:rsidTr="005022D7">
        <w:trPr>
          <w:trHeight w:val="718"/>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Name: Niema Bohrayba</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Student </w:t>
            </w:r>
            <w:r w:rsidRPr="00456E5C">
              <w:rPr>
                <w:rFonts w:ascii="Arial" w:eastAsia="SimSun" w:hAnsi="Arial" w:cs="Arial"/>
                <w:b/>
                <w:bCs/>
                <w:color w:val="000000"/>
                <w:u w:val="single"/>
                <w:lang w:eastAsia="zh-CN"/>
              </w:rPr>
              <w:t>University</w:t>
            </w:r>
            <w:r w:rsidRPr="00456E5C">
              <w:rPr>
                <w:rFonts w:ascii="Arial" w:eastAsia="SimSun" w:hAnsi="Arial" w:cs="Arial"/>
                <w:color w:val="000000"/>
                <w:u w:val="single"/>
                <w:lang w:eastAsia="zh-CN"/>
              </w:rPr>
              <w:t xml:space="preserve"> </w:t>
            </w:r>
            <w:r w:rsidRPr="00456E5C">
              <w:rPr>
                <w:rFonts w:ascii="Arial" w:eastAsia="SimSun" w:hAnsi="Arial" w:cs="Arial"/>
                <w:color w:val="000000"/>
                <w:lang w:eastAsia="zh-CN"/>
              </w:rPr>
              <w:t xml:space="preserve">Email: </w:t>
            </w:r>
            <w:r w:rsidRPr="00456E5C">
              <w:rPr>
                <w:rFonts w:ascii="Arial" w:eastAsia="SimSun" w:hAnsi="Arial" w:cs="Arial"/>
                <w:color w:val="333333"/>
                <w:sz w:val="21"/>
                <w:szCs w:val="21"/>
                <w:lang w:eastAsia="zh-CN"/>
              </w:rPr>
              <w:t>1707539@student.uwtsd.ac.uk</w:t>
            </w:r>
          </w:p>
        </w:tc>
      </w:tr>
      <w:tr w:rsidR="00456E5C" w:rsidRPr="00456E5C" w:rsidTr="005022D7">
        <w:trPr>
          <w:trHeight w:val="849"/>
        </w:trPr>
        <w:tc>
          <w:tcPr>
            <w:tcW w:w="4788"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code: </w:t>
            </w:r>
            <w:r w:rsidR="008E501A">
              <w:rPr>
                <w:rFonts w:ascii="Arial" w:eastAsia="SimSun" w:hAnsi="Arial" w:cs="Arial"/>
                <w:bCs/>
                <w:color w:val="000000" w:themeColor="text1"/>
                <w:sz w:val="24"/>
                <w:szCs w:val="24"/>
                <w:lang w:val="de-DE" w:eastAsia="zh-CN"/>
              </w:rPr>
              <w:t>HPCA7007</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title: </w:t>
            </w:r>
            <w:r w:rsidR="008E501A">
              <w:rPr>
                <w:rFonts w:ascii="Arial" w:eastAsia="SimSun" w:hAnsi="Arial" w:cs="Arial"/>
                <w:color w:val="000000"/>
                <w:lang w:eastAsia="zh-CN"/>
              </w:rPr>
              <w:t>Astral Religion</w:t>
            </w:r>
          </w:p>
          <w:p w:rsidR="00456E5C" w:rsidRPr="00456E5C" w:rsidRDefault="00456E5C" w:rsidP="00456E5C">
            <w:pPr>
              <w:spacing w:after="0" w:line="240" w:lineRule="auto"/>
              <w:ind w:right="34"/>
              <w:rPr>
                <w:rFonts w:ascii="Arial" w:eastAsia="SimSun" w:hAnsi="Arial" w:cs="Arial"/>
                <w:color w:val="000000"/>
                <w:lang w:eastAsia="zh-CN"/>
              </w:rPr>
            </w:pPr>
          </w:p>
        </w:tc>
        <w:tc>
          <w:tcPr>
            <w:tcW w:w="2266" w:type="dxa"/>
            <w:gridSpan w:val="3"/>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ID number:</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Times New Roman" w:hAnsi="Arial" w:cs="Arial"/>
                <w:color w:val="000000"/>
                <w:sz w:val="21"/>
                <w:szCs w:val="21"/>
                <w:lang w:eastAsia="zh-CN"/>
              </w:rPr>
              <w:t>1707539</w:t>
            </w:r>
          </w:p>
        </w:tc>
        <w:tc>
          <w:tcPr>
            <w:tcW w:w="1802"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Educational support needs: No</w:t>
            </w:r>
          </w:p>
        </w:tc>
      </w:tr>
      <w:tr w:rsidR="00456E5C" w:rsidRPr="00456E5C" w:rsidTr="005022D7">
        <w:trPr>
          <w:trHeight w:val="1139"/>
        </w:trPr>
        <w:tc>
          <w:tcPr>
            <w:tcW w:w="8856" w:type="dxa"/>
            <w:gridSpan w:val="5"/>
          </w:tcPr>
          <w:p w:rsidR="008E501A" w:rsidRDefault="00456E5C" w:rsidP="008E501A">
            <w:pPr>
              <w:spacing w:line="360" w:lineRule="auto"/>
              <w:rPr>
                <w:rFonts w:ascii="Arial" w:hAnsi="Arial" w:cs="Arial"/>
                <w:sz w:val="24"/>
                <w:szCs w:val="24"/>
              </w:rPr>
            </w:pPr>
            <w:r w:rsidRPr="00456E5C">
              <w:rPr>
                <w:rFonts w:ascii="Arial" w:eastAsia="SimSun" w:hAnsi="Arial" w:cs="Arial"/>
                <w:lang w:eastAsia="zh-CN"/>
              </w:rPr>
              <w:t xml:space="preserve">Assignment title: </w:t>
            </w:r>
            <w:r w:rsidR="00EB3E09">
              <w:rPr>
                <w:rFonts w:ascii="Arial" w:hAnsi="Arial" w:cs="Arial"/>
                <w:sz w:val="24"/>
                <w:szCs w:val="24"/>
              </w:rPr>
              <w:t xml:space="preserve">Were Jewish attitudes to astrology more or less sympathetic than Christian ones? Explain your answer be reference to competing theories of the cosmos. </w:t>
            </w:r>
          </w:p>
          <w:p w:rsidR="00456E5C" w:rsidRPr="00456E5C" w:rsidRDefault="00456E5C" w:rsidP="00456E5C">
            <w:pPr>
              <w:spacing w:after="0" w:line="240" w:lineRule="auto"/>
              <w:rPr>
                <w:rFonts w:ascii="Arial" w:eastAsia="Calibri" w:hAnsi="Arial" w:cs="Arial"/>
                <w:sz w:val="24"/>
                <w:szCs w:val="24"/>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EB3E09"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29.04</w:t>
            </w:r>
            <w:r w:rsidR="008E501A">
              <w:rPr>
                <w:rFonts w:ascii="Arial" w:eastAsia="SimSun" w:hAnsi="Arial" w:cs="Arial"/>
                <w:color w:val="000000"/>
                <w:lang w:eastAsia="zh-CN"/>
              </w:rPr>
              <w:t>.2019</w:t>
            </w:r>
          </w:p>
        </w:tc>
      </w:tr>
      <w:tr w:rsidR="00456E5C" w:rsidRPr="00456E5C" w:rsidTr="005022D7">
        <w:trPr>
          <w:trHeight w:val="978"/>
        </w:trPr>
        <w:tc>
          <w:tcPr>
            <w:tcW w:w="8856" w:type="dxa"/>
            <w:gridSpan w:val="5"/>
            <w:tcBorders>
              <w:bottom w:val="single" w:sz="4" w:space="0" w:color="000000"/>
            </w:tcBorders>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This assignment is for the       1</w:t>
            </w:r>
            <w:r w:rsidRPr="00456E5C">
              <w:rPr>
                <w:rFonts w:ascii="Arial" w:eastAsia="SimSun" w:hAnsi="Arial" w:cs="Arial"/>
                <w:vertAlign w:val="superscript"/>
                <w:lang w:eastAsia="zh-CN"/>
              </w:rPr>
              <w:t xml:space="preserve">st </w:t>
            </w:r>
            <w:r w:rsidRPr="00456E5C">
              <w:rPr>
                <w:rFonts w:ascii="Arial" w:eastAsia="SimSun" w:hAnsi="Arial" w:cs="Arial"/>
                <w:lang w:eastAsia="zh-CN"/>
              </w:rPr>
              <w:t>X    2</w:t>
            </w:r>
            <w:r w:rsidRPr="00456E5C">
              <w:rPr>
                <w:rFonts w:ascii="Arial" w:eastAsia="SimSun" w:hAnsi="Arial" w:cs="Arial"/>
                <w:vertAlign w:val="superscript"/>
                <w:lang w:eastAsia="zh-CN"/>
              </w:rPr>
              <w:t>nd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4"/>
                  <w:enabled/>
                  <w:calcOnExit w:val="0"/>
                  <w:checkBox>
                    <w:sizeAuto/>
                    <w:default w:val="0"/>
                  </w:checkBox>
                </w:ffData>
              </w:fldChar>
            </w:r>
            <w:bookmarkStart w:id="0" w:name="Check14"/>
            <w:r w:rsidRPr="00456E5C">
              <w:rPr>
                <w:rFonts w:ascii="Arial" w:eastAsia="SimSun" w:hAnsi="Arial" w:cs="Arial"/>
                <w:lang w:eastAsia="zh-CN"/>
              </w:rPr>
              <w:instrText xml:space="preserve"> FORMCHECKBOX </w:instrText>
            </w:r>
            <w:r w:rsidR="00274E7C">
              <w:rPr>
                <w:rFonts w:ascii="Arial" w:eastAsia="SimSun" w:hAnsi="Arial" w:cs="Arial"/>
                <w:lang w:eastAsia="zh-CN"/>
              </w:rPr>
            </w:r>
            <w:r w:rsidR="00274E7C">
              <w:rPr>
                <w:rFonts w:ascii="Arial" w:eastAsia="SimSun" w:hAnsi="Arial" w:cs="Arial"/>
                <w:lang w:eastAsia="zh-CN"/>
              </w:rPr>
              <w:fldChar w:fldCharType="separate"/>
            </w:r>
            <w:r w:rsidRPr="00456E5C">
              <w:rPr>
                <w:rFonts w:ascii="Arial" w:eastAsia="SimSun" w:hAnsi="Arial" w:cs="Arial"/>
                <w:lang w:eastAsia="zh-CN"/>
              </w:rPr>
              <w:fldChar w:fldCharType="end"/>
            </w:r>
            <w:bookmarkEnd w:id="0"/>
            <w:r w:rsidRPr="00456E5C">
              <w:rPr>
                <w:rFonts w:ascii="Arial" w:eastAsia="SimSun" w:hAnsi="Arial" w:cs="Arial"/>
                <w:lang w:eastAsia="zh-CN"/>
              </w:rPr>
              <w:t xml:space="preserve">     3</w:t>
            </w:r>
            <w:r w:rsidRPr="00456E5C">
              <w:rPr>
                <w:rFonts w:ascii="Arial" w:eastAsia="SimSun" w:hAnsi="Arial" w:cs="Arial"/>
                <w:vertAlign w:val="superscript"/>
                <w:lang w:eastAsia="zh-CN"/>
              </w:rPr>
              <w:t>rd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5"/>
                  <w:enabled/>
                  <w:calcOnExit w:val="0"/>
                  <w:checkBox>
                    <w:sizeAuto/>
                    <w:default w:val="0"/>
                  </w:checkBox>
                </w:ffData>
              </w:fldChar>
            </w:r>
            <w:bookmarkStart w:id="1" w:name="Check15"/>
            <w:r w:rsidRPr="00456E5C">
              <w:rPr>
                <w:rFonts w:ascii="Arial" w:eastAsia="SimSun" w:hAnsi="Arial" w:cs="Arial"/>
                <w:lang w:eastAsia="zh-CN"/>
              </w:rPr>
              <w:instrText xml:space="preserve"> FORMCHECKBOX </w:instrText>
            </w:r>
            <w:r w:rsidR="00274E7C">
              <w:rPr>
                <w:rFonts w:ascii="Arial" w:eastAsia="SimSun" w:hAnsi="Arial" w:cs="Arial"/>
                <w:lang w:eastAsia="zh-CN"/>
              </w:rPr>
            </w:r>
            <w:r w:rsidR="00274E7C">
              <w:rPr>
                <w:rFonts w:ascii="Arial" w:eastAsia="SimSun" w:hAnsi="Arial" w:cs="Arial"/>
                <w:lang w:eastAsia="zh-CN"/>
              </w:rPr>
              <w:fldChar w:fldCharType="separate"/>
            </w:r>
            <w:r w:rsidRPr="00456E5C">
              <w:rPr>
                <w:rFonts w:ascii="Arial" w:eastAsia="SimSun" w:hAnsi="Arial" w:cs="Arial"/>
                <w:lang w:eastAsia="zh-CN"/>
              </w:rPr>
              <w:fldChar w:fldCharType="end"/>
            </w:r>
            <w:bookmarkEnd w:id="1"/>
            <w:r w:rsidRPr="00456E5C">
              <w:rPr>
                <w:rFonts w:ascii="Arial" w:eastAsia="SimSun" w:hAnsi="Arial" w:cs="Arial"/>
                <w:lang w:eastAsia="zh-CN"/>
              </w:rPr>
              <w:t xml:space="preserve">      4</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6"/>
                  <w:enabled/>
                  <w:calcOnExit w:val="0"/>
                  <w:checkBox>
                    <w:sizeAuto/>
                    <w:default w:val="0"/>
                  </w:checkBox>
                </w:ffData>
              </w:fldChar>
            </w:r>
            <w:bookmarkStart w:id="2" w:name="Check16"/>
            <w:r w:rsidRPr="00456E5C">
              <w:rPr>
                <w:rFonts w:ascii="Arial" w:eastAsia="SimSun" w:hAnsi="Arial" w:cs="Arial"/>
                <w:lang w:eastAsia="zh-CN"/>
              </w:rPr>
              <w:instrText xml:space="preserve"> FORMCHECKBOX </w:instrText>
            </w:r>
            <w:r w:rsidR="00274E7C">
              <w:rPr>
                <w:rFonts w:ascii="Arial" w:eastAsia="SimSun" w:hAnsi="Arial" w:cs="Arial"/>
                <w:lang w:eastAsia="zh-CN"/>
              </w:rPr>
            </w:r>
            <w:r w:rsidR="00274E7C">
              <w:rPr>
                <w:rFonts w:ascii="Arial" w:eastAsia="SimSun" w:hAnsi="Arial" w:cs="Arial"/>
                <w:lang w:eastAsia="zh-CN"/>
              </w:rPr>
              <w:fldChar w:fldCharType="separate"/>
            </w:r>
            <w:r w:rsidRPr="00456E5C">
              <w:rPr>
                <w:rFonts w:ascii="Arial" w:eastAsia="SimSun" w:hAnsi="Arial" w:cs="Arial"/>
                <w:lang w:eastAsia="zh-CN"/>
              </w:rPr>
              <w:fldChar w:fldCharType="end"/>
            </w:r>
            <w:bookmarkEnd w:id="2"/>
            <w:r w:rsidRPr="00456E5C">
              <w:rPr>
                <w:rFonts w:ascii="Arial" w:eastAsia="SimSun" w:hAnsi="Arial" w:cs="Arial"/>
                <w:lang w:eastAsia="zh-CN"/>
              </w:rPr>
              <w:t xml:space="preserve">      5</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7"/>
                  <w:enabled/>
                  <w:calcOnExit w:val="0"/>
                  <w:checkBox>
                    <w:sizeAuto/>
                    <w:default w:val="0"/>
                  </w:checkBox>
                </w:ffData>
              </w:fldChar>
            </w:r>
            <w:bookmarkStart w:id="3" w:name="Check17"/>
            <w:r w:rsidRPr="00456E5C">
              <w:rPr>
                <w:rFonts w:ascii="Arial" w:eastAsia="SimSun" w:hAnsi="Arial" w:cs="Arial"/>
                <w:lang w:eastAsia="zh-CN"/>
              </w:rPr>
              <w:instrText xml:space="preserve"> FORMCHECKBOX </w:instrText>
            </w:r>
            <w:r w:rsidR="00274E7C">
              <w:rPr>
                <w:rFonts w:ascii="Arial" w:eastAsia="SimSun" w:hAnsi="Arial" w:cs="Arial"/>
                <w:lang w:eastAsia="zh-CN"/>
              </w:rPr>
            </w:r>
            <w:r w:rsidR="00274E7C">
              <w:rPr>
                <w:rFonts w:ascii="Arial" w:eastAsia="SimSun" w:hAnsi="Arial" w:cs="Arial"/>
                <w:lang w:eastAsia="zh-CN"/>
              </w:rPr>
              <w:fldChar w:fldCharType="separate"/>
            </w:r>
            <w:r w:rsidRPr="00456E5C">
              <w:rPr>
                <w:rFonts w:ascii="Arial" w:eastAsia="SimSun" w:hAnsi="Arial" w:cs="Arial"/>
                <w:lang w:eastAsia="zh-CN"/>
              </w:rPr>
              <w:fldChar w:fldCharType="end"/>
            </w:r>
            <w:bookmarkEnd w:id="3"/>
            <w:r w:rsidRPr="00456E5C">
              <w:rPr>
                <w:rFonts w:ascii="Arial" w:eastAsia="SimSun" w:hAnsi="Arial" w:cs="Arial"/>
                <w:lang w:eastAsia="zh-CN"/>
              </w:rPr>
              <w:t xml:space="preserve">      6</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8"/>
                  <w:enabled/>
                  <w:calcOnExit w:val="0"/>
                  <w:checkBox>
                    <w:sizeAuto/>
                    <w:default w:val="0"/>
                  </w:checkBox>
                </w:ffData>
              </w:fldChar>
            </w:r>
            <w:bookmarkStart w:id="4" w:name="Check18"/>
            <w:r w:rsidRPr="00456E5C">
              <w:rPr>
                <w:rFonts w:ascii="Arial" w:eastAsia="SimSun" w:hAnsi="Arial" w:cs="Arial"/>
                <w:lang w:eastAsia="zh-CN"/>
              </w:rPr>
              <w:instrText xml:space="preserve"> FORMCHECKBOX </w:instrText>
            </w:r>
            <w:r w:rsidR="00274E7C">
              <w:rPr>
                <w:rFonts w:ascii="Arial" w:eastAsia="SimSun" w:hAnsi="Arial" w:cs="Arial"/>
                <w:lang w:eastAsia="zh-CN"/>
              </w:rPr>
            </w:r>
            <w:r w:rsidR="00274E7C">
              <w:rPr>
                <w:rFonts w:ascii="Arial" w:eastAsia="SimSun" w:hAnsi="Arial" w:cs="Arial"/>
                <w:lang w:eastAsia="zh-CN"/>
              </w:rPr>
              <w:fldChar w:fldCharType="separate"/>
            </w:r>
            <w:r w:rsidRPr="00456E5C">
              <w:rPr>
                <w:rFonts w:ascii="Arial" w:eastAsia="SimSun" w:hAnsi="Arial" w:cs="Arial"/>
                <w:lang w:eastAsia="zh-CN"/>
              </w:rPr>
              <w:fldChar w:fldCharType="end"/>
            </w:r>
            <w:bookmarkEnd w:id="4"/>
            <w:r w:rsidRPr="00456E5C">
              <w:rPr>
                <w:rFonts w:ascii="Arial" w:eastAsia="SimSun" w:hAnsi="Arial" w:cs="Arial"/>
                <w:b/>
                <w:lang w:eastAsia="zh-CN"/>
              </w:rPr>
              <w:t xml:space="preserve">   </w:t>
            </w:r>
            <w:r w:rsidRPr="00456E5C">
              <w:rPr>
                <w:rFonts w:ascii="Arial" w:eastAsia="SimSun" w:hAnsi="Arial" w:cs="Arial"/>
                <w:lang w:eastAsia="zh-CN"/>
              </w:rPr>
              <w:t>module of the degree</w:t>
            </w:r>
          </w:p>
        </w:tc>
      </w:tr>
      <w:tr w:rsidR="00456E5C" w:rsidRPr="00456E5C" w:rsidTr="005022D7">
        <w:trPr>
          <w:trHeight w:val="978"/>
        </w:trPr>
        <w:tc>
          <w:tcPr>
            <w:tcW w:w="8856" w:type="dxa"/>
            <w:gridSpan w:val="5"/>
            <w:shd w:val="clear" w:color="auto" w:fill="D9D9D9"/>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I confirm that this is my original work and that I have adhered to the University policy on plagiarism.</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Signed …</w:t>
            </w:r>
            <w:r w:rsidR="00746DFA">
              <w:rPr>
                <w:rFonts w:ascii="Arial" w:eastAsia="SimSun" w:hAnsi="Arial" w:cs="Arial"/>
                <w:color w:val="000000"/>
                <w:lang w:eastAsia="zh-CN"/>
              </w:rPr>
              <w:t>Niema Bohrayba</w:t>
            </w:r>
            <w:r w:rsidRPr="00456E5C">
              <w:rPr>
                <w:rFonts w:ascii="Arial" w:eastAsia="SimSun" w:hAnsi="Arial" w:cs="Arial"/>
                <w:color w:val="000000"/>
                <w:lang w:eastAsia="zh-CN"/>
              </w:rPr>
              <w:t>…………………………………………………………</w:t>
            </w:r>
          </w:p>
          <w:p w:rsidR="00456E5C" w:rsidRPr="00456E5C" w:rsidRDefault="00456E5C" w:rsidP="00456E5C">
            <w:pPr>
              <w:spacing w:after="0" w:line="240" w:lineRule="auto"/>
              <w:ind w:right="34"/>
              <w:rPr>
                <w:rFonts w:ascii="Calibri" w:eastAsia="SimSun" w:hAnsi="Calibri" w:cs="Calibri"/>
                <w:b/>
                <w:color w:val="000000"/>
                <w:sz w:val="44"/>
                <w:szCs w:val="44"/>
                <w:lang w:eastAsia="zh-CN"/>
              </w:rPr>
            </w:pPr>
            <w:r w:rsidRPr="00456E5C">
              <w:rPr>
                <w:rFonts w:ascii="Calibri" w:eastAsia="SimSun" w:hAnsi="Calibri" w:cs="Tahoma"/>
                <w:b/>
                <w:color w:val="000000"/>
                <w:sz w:val="24"/>
                <w:szCs w:val="24"/>
                <w:lang w:eastAsia="zh-CN"/>
              </w:rPr>
              <w:t xml:space="preserve">Email submission:if you are submitting this form via email, please tick this box </w:t>
            </w:r>
            <w:r w:rsidRPr="00456E5C">
              <w:rPr>
                <w:rFonts w:ascii="Calibri" w:eastAsia="SimSun" w:hAnsi="Calibri" w:cs="Calibri"/>
                <w:b/>
                <w:color w:val="000000"/>
                <w:sz w:val="44"/>
                <w:szCs w:val="44"/>
                <w:lang w:eastAsia="zh-CN"/>
              </w:rPr>
              <w:t>□</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Calibri" w:eastAsia="SimSun" w:hAnsi="Calibri" w:cs="Tahoma"/>
                <w:b/>
                <w:color w:val="000000"/>
                <w:sz w:val="24"/>
                <w:szCs w:val="24"/>
                <w:lang w:eastAsia="zh-CN"/>
              </w:rPr>
              <w:t>(as a substitute for your signature) to confirm that you agree to the above declaration.</w:t>
            </w:r>
          </w:p>
        </w:tc>
      </w:tr>
      <w:tr w:rsidR="00456E5C" w:rsidRPr="00456E5C" w:rsidTr="005022D7">
        <w:trPr>
          <w:trHeight w:val="3972"/>
        </w:trPr>
        <w:tc>
          <w:tcPr>
            <w:tcW w:w="8856" w:type="dxa"/>
            <w:gridSpan w:val="5"/>
          </w:tcPr>
          <w:p w:rsidR="00456E5C" w:rsidRPr="00456E5C" w:rsidRDefault="00456E5C" w:rsidP="00456E5C">
            <w:pPr>
              <w:spacing w:after="0" w:line="240" w:lineRule="auto"/>
              <w:rPr>
                <w:rFonts w:ascii="Arial" w:eastAsia="SimSun" w:hAnsi="Arial" w:cs="Times New Roman"/>
                <w:b/>
                <w:sz w:val="24"/>
                <w:szCs w:val="24"/>
                <w:lang w:eastAsia="zh-CN"/>
              </w:rPr>
            </w:pPr>
          </w:p>
          <w:p w:rsidR="00456E5C" w:rsidRPr="00456E5C" w:rsidRDefault="00456E5C" w:rsidP="00456E5C">
            <w:pPr>
              <w:spacing w:after="0" w:line="240" w:lineRule="auto"/>
              <w:rPr>
                <w:rFonts w:ascii="Arial" w:eastAsia="SimSun" w:hAnsi="Arial" w:cs="Times New Roman"/>
                <w:sz w:val="24"/>
                <w:szCs w:val="24"/>
                <w:lang w:eastAsia="zh-CN"/>
              </w:rPr>
            </w:pPr>
            <w:r w:rsidRPr="00456E5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1</w:t>
                  </w:r>
                  <w:r w:rsidRPr="00456E5C">
                    <w:rPr>
                      <w:rFonts w:ascii="Arial" w:eastAsia="SimSun" w:hAnsi="Arial" w:cs="Times New Roman"/>
                      <w:sz w:val="20"/>
                      <w:szCs w:val="20"/>
                      <w:vertAlign w:val="superscript"/>
                      <w:lang w:eastAsia="zh-CN"/>
                    </w:rPr>
                    <w:t>st</w:t>
                  </w:r>
                  <w:r w:rsidRPr="00456E5C">
                    <w:rPr>
                      <w:rFonts w:ascii="Arial" w:eastAsia="SimSun" w:hAnsi="Arial" w:cs="Times New Roman"/>
                      <w:sz w:val="20"/>
                      <w:szCs w:val="20"/>
                      <w:lang w:eastAsia="zh-CN"/>
                    </w:rPr>
                    <w:t xml:space="preserve"> Marker’s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2</w:t>
                  </w:r>
                  <w:r w:rsidRPr="00456E5C">
                    <w:rPr>
                      <w:rFonts w:ascii="Arial" w:eastAsia="SimSun" w:hAnsi="Arial" w:cs="Times New Roman"/>
                      <w:sz w:val="20"/>
                      <w:szCs w:val="20"/>
                      <w:vertAlign w:val="superscript"/>
                      <w:lang w:eastAsia="zh-CN"/>
                    </w:rPr>
                    <w:t>nd</w:t>
                  </w:r>
                  <w:r w:rsidRPr="00456E5C">
                    <w:rPr>
                      <w:rFonts w:ascii="Arial" w:eastAsia="SimSun" w:hAnsi="Arial" w:cs="Times New Roman"/>
                      <w:sz w:val="20"/>
                      <w:szCs w:val="20"/>
                      <w:lang w:eastAsia="zh-CN"/>
                    </w:rPr>
                    <w:t xml:space="preserve"> Marker’s/Moderator’s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External Examiner’s mark (if relevant)</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b/>
                      <w:sz w:val="20"/>
                      <w:szCs w:val="20"/>
                      <w:lang w:eastAsia="zh-CN"/>
                    </w:rPr>
                  </w:pPr>
                  <w:r w:rsidRPr="00456E5C">
                    <w:rPr>
                      <w:rFonts w:ascii="Arial" w:eastAsia="SimSun" w:hAnsi="Arial" w:cs="Times New Roman"/>
                      <w:b/>
                      <w:sz w:val="20"/>
                      <w:szCs w:val="20"/>
                      <w:lang w:eastAsia="zh-CN"/>
                    </w:rPr>
                    <w:t>Final Mark</w:t>
                  </w:r>
                </w:p>
                <w:p w:rsidR="00456E5C" w:rsidRPr="00456E5C" w:rsidRDefault="00456E5C" w:rsidP="00456E5C">
                  <w:pPr>
                    <w:spacing w:after="0" w:line="240" w:lineRule="auto"/>
                    <w:rPr>
                      <w:rFonts w:ascii="Arial" w:eastAsia="SimSun" w:hAnsi="Arial" w:cs="Times New Roman"/>
                      <w:sz w:val="20"/>
                      <w:szCs w:val="20"/>
                      <w:lang w:eastAsia="zh-CN"/>
                    </w:rPr>
                  </w:pP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bl>
          <w:p w:rsidR="00456E5C" w:rsidRPr="00456E5C" w:rsidRDefault="00456E5C" w:rsidP="00456E5C">
            <w:pPr>
              <w:spacing w:after="0" w:line="240" w:lineRule="auto"/>
              <w:ind w:left="142" w:right="34"/>
              <w:rPr>
                <w:rFonts w:ascii="Arial" w:eastAsia="SimSun" w:hAnsi="Arial" w:cs="Arial"/>
                <w:b/>
                <w:color w:val="000000"/>
                <w:lang w:eastAsia="zh-CN"/>
              </w:rPr>
            </w:pPr>
          </w:p>
          <w:p w:rsidR="00456E5C" w:rsidRPr="00456E5C" w:rsidRDefault="00456E5C" w:rsidP="00456E5C">
            <w:pPr>
              <w:spacing w:after="0" w:line="240" w:lineRule="auto"/>
              <w:ind w:left="142" w:right="34"/>
              <w:rPr>
                <w:rFonts w:ascii="Arial" w:eastAsia="SimSun" w:hAnsi="Arial" w:cs="Arial"/>
                <w:color w:val="000000"/>
                <w:lang w:eastAsia="zh-CN"/>
              </w:rPr>
            </w:pPr>
            <w:r w:rsidRPr="00456E5C">
              <w:rPr>
                <w:rFonts w:ascii="Arial" w:eastAsia="SimSun" w:hAnsi="Arial" w:cs="Arial"/>
                <w:b/>
                <w:color w:val="000000"/>
                <w:lang w:eastAsia="zh-CN"/>
              </w:rPr>
              <w:t>NB.</w:t>
            </w:r>
            <w:r w:rsidRPr="00456E5C">
              <w:rPr>
                <w:rFonts w:ascii="Arial" w:eastAsia="SimSun" w:hAnsi="Arial" w:cs="Arial"/>
                <w:color w:val="000000"/>
                <w:lang w:eastAsia="zh-CN"/>
              </w:rPr>
              <w:t xml:space="preserve">  All marks are provisional until confirmed by the Final Examination Board.</w:t>
            </w: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r w:rsidRPr="00456E5C">
              <w:rPr>
                <w:rFonts w:ascii="Arial" w:eastAsia="SimSun" w:hAnsi="Arial" w:cs="Arial"/>
                <w:b/>
                <w:color w:val="000000"/>
                <w:lang w:eastAsia="zh-CN"/>
              </w:rPr>
              <w:t>For completion by Marker 1 :</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r w:rsidRPr="00456E5C">
              <w:rPr>
                <w:rFonts w:ascii="Arial" w:eastAsia="SimSun" w:hAnsi="Arial" w:cs="Arial"/>
                <w:color w:val="000000"/>
                <w:lang w:eastAsia="zh-CN"/>
              </w:rPr>
              <w:t>Comments:</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p>
        </w:tc>
      </w:tr>
      <w:tr w:rsidR="00456E5C" w:rsidRPr="00456E5C" w:rsidTr="005022D7">
        <w:trPr>
          <w:trHeight w:val="492"/>
        </w:trPr>
        <w:tc>
          <w:tcPr>
            <w:tcW w:w="6768" w:type="dxa"/>
            <w:gridSpan w:val="3"/>
          </w:tcPr>
          <w:p w:rsidR="00456E5C" w:rsidRPr="00456E5C" w:rsidRDefault="00456E5C" w:rsidP="00456E5C">
            <w:pPr>
              <w:spacing w:before="100" w:beforeAutospacing="1" w:after="10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Marker’s signature:</w:t>
            </w:r>
          </w:p>
        </w:tc>
        <w:tc>
          <w:tcPr>
            <w:tcW w:w="2088" w:type="dxa"/>
            <w:gridSpan w:val="2"/>
          </w:tcPr>
          <w:p w:rsidR="00456E5C" w:rsidRPr="00456E5C" w:rsidRDefault="00456E5C" w:rsidP="00456E5C">
            <w:pPr>
              <w:spacing w:before="100" w:beforeAutospacing="1" w:after="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Date:</w:t>
            </w:r>
          </w:p>
        </w:tc>
      </w:tr>
      <w:tr w:rsidR="00456E5C" w:rsidRPr="00456E5C" w:rsidTr="005022D7">
        <w:tc>
          <w:tcPr>
            <w:tcW w:w="8856" w:type="dxa"/>
            <w:gridSpan w:val="5"/>
          </w:tcPr>
          <w:p w:rsidR="00456E5C" w:rsidRPr="00456E5C" w:rsidRDefault="00456E5C" w:rsidP="00456E5C">
            <w:pPr>
              <w:spacing w:after="0" w:line="240" w:lineRule="auto"/>
              <w:ind w:right="-334"/>
              <w:rPr>
                <w:rFonts w:ascii="Arial" w:eastAsia="SimSun" w:hAnsi="Arial" w:cs="Arial"/>
                <w:bCs/>
                <w:i/>
                <w:color w:val="000000"/>
                <w:lang w:eastAsia="zh-CN"/>
              </w:rPr>
            </w:pPr>
          </w:p>
          <w:p w:rsidR="00456E5C" w:rsidRPr="00456E5C" w:rsidRDefault="00456E5C" w:rsidP="00456E5C">
            <w:pPr>
              <w:spacing w:after="0" w:line="240" w:lineRule="auto"/>
              <w:ind w:right="-334"/>
              <w:rPr>
                <w:rFonts w:ascii="Arial" w:eastAsia="SimSun" w:hAnsi="Arial" w:cs="Arial"/>
                <w:b/>
                <w:bCs/>
                <w:color w:val="000000"/>
                <w:lang w:eastAsia="zh-CN"/>
              </w:rPr>
            </w:pPr>
            <w:r w:rsidRPr="00456E5C">
              <w:rPr>
                <w:rFonts w:ascii="Arial" w:eastAsia="SimSun" w:hAnsi="Arial" w:cs="Arial"/>
                <w:b/>
                <w:bCs/>
                <w:color w:val="000000"/>
                <w:lang w:eastAsia="zh-CN"/>
              </w:rPr>
              <w:t>For completion by Marker 2/Moderator:</w:t>
            </w:r>
          </w:p>
          <w:p w:rsidR="00456E5C" w:rsidRPr="00456E5C" w:rsidRDefault="00456E5C" w:rsidP="00456E5C">
            <w:pPr>
              <w:spacing w:after="0" w:line="240" w:lineRule="auto"/>
              <w:ind w:right="-334"/>
              <w:rPr>
                <w:rFonts w:ascii="Arial" w:eastAsia="SimSun" w:hAnsi="Arial" w:cs="Arial"/>
                <w:b/>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Comments:</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Marker’s Signature:</w:t>
            </w:r>
          </w:p>
        </w:tc>
        <w:tc>
          <w:tcPr>
            <w:tcW w:w="3645" w:type="dxa"/>
            <w:gridSpan w:val="3"/>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Date:</w:t>
            </w:r>
          </w:p>
        </w:tc>
      </w:tr>
      <w:tr w:rsidR="00456E5C" w:rsidRPr="00456E5C" w:rsidTr="005022D7">
        <w:trPr>
          <w:trHeight w:val="720"/>
        </w:trPr>
        <w:tc>
          <w:tcPr>
            <w:tcW w:w="8856" w:type="dxa"/>
            <w:gridSpan w:val="5"/>
          </w:tcPr>
          <w:p w:rsidR="00456E5C" w:rsidRPr="00456E5C" w:rsidRDefault="00456E5C" w:rsidP="00456E5C">
            <w:pPr>
              <w:spacing w:after="0" w:line="240" w:lineRule="auto"/>
              <w:rPr>
                <w:rFonts w:ascii="Arial" w:eastAsia="SimSun" w:hAnsi="Arial" w:cs="Arial"/>
                <w:b/>
                <w:lang w:eastAsia="zh-CN"/>
              </w:rPr>
            </w:pPr>
            <w:r w:rsidRPr="00456E5C">
              <w:rPr>
                <w:rFonts w:ascii="Arial" w:eastAsia="SimSun" w:hAnsi="Arial" w:cs="Arial"/>
                <w:b/>
                <w:lang w:eastAsia="zh-CN"/>
              </w:rPr>
              <w:t>External Examiner’s comments (if relevant)</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lastRenderedPageBreak/>
              <w:t>External Examiner’s Signature:</w:t>
            </w:r>
          </w:p>
        </w:tc>
        <w:tc>
          <w:tcPr>
            <w:tcW w:w="3645" w:type="dxa"/>
            <w:gridSpan w:val="3"/>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Date:</w:t>
            </w:r>
          </w:p>
        </w:tc>
      </w:tr>
    </w:tbl>
    <w:p w:rsidR="00A2275C" w:rsidRDefault="00A2275C" w:rsidP="00456E5C">
      <w:pPr>
        <w:rPr>
          <w:rFonts w:ascii="Arial" w:hAnsi="Arial" w:cs="Arial"/>
          <w:b/>
          <w:sz w:val="24"/>
          <w:szCs w:val="24"/>
        </w:rPr>
      </w:pPr>
    </w:p>
    <w:p w:rsidR="00CD3A63" w:rsidRDefault="00CD3A63"/>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Default="004A7B5A"/>
    <w:p w:rsidR="004A7B5A" w:rsidRPr="005661DC" w:rsidRDefault="004A7B5A" w:rsidP="004A7B5A">
      <w:pPr>
        <w:spacing w:line="360" w:lineRule="auto"/>
        <w:rPr>
          <w:rFonts w:ascii="Arial" w:hAnsi="Arial" w:cs="Arial"/>
          <w:b/>
          <w:sz w:val="24"/>
          <w:szCs w:val="24"/>
        </w:rPr>
      </w:pPr>
      <w:r w:rsidRPr="005661DC">
        <w:rPr>
          <w:rFonts w:ascii="Arial" w:hAnsi="Arial" w:cs="Arial"/>
          <w:b/>
          <w:sz w:val="24"/>
          <w:szCs w:val="24"/>
        </w:rPr>
        <w:lastRenderedPageBreak/>
        <w:t>Where Jewish attitudes to astrology more or less sympathetic than Christian ones? Explain your answer by reference to competing theories of the cosmos.</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This paper compares Christian and Jewish attitudes to astrology to ascertain if Jewish attitudes were more or less sympathetic than Christian ones. Due to the diversity of schools of thought within Judaism and Christianity towards astrology, the paper attempts to examine these attitudes through the lens of three key astrology features: The divinity of heavenly bodies, timing as divine, and astronomical bodies &amp; astrological events as mechanisms for foreshadowing. The paper further lists some arguments for and against astrology in both Christian and Jewish schools of thought and ascertains that up until present day, Jewish attitudes to astrology continue to evolve around astrology in comparison with Christian schools of thought and thus proving that Jewish attitudes are more sympathetic towards astrology than Christian attitudes.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sidRPr="00BF4D4F">
        <w:rPr>
          <w:rFonts w:ascii="Arial" w:hAnsi="Arial" w:cs="Arial"/>
          <w:sz w:val="24"/>
          <w:szCs w:val="24"/>
        </w:rPr>
        <w:t>Judaism and Christianity did not develop in a vacuum, they developed within cultures where astrology was a fundamental practice and woven into the fabric of these societies. Theses cultures varied from Mesopotamia to Egypt being the backdrop for early Judaism and with the Greco-Roman society serving as a backdrop for early Christianity. Due to this, it is therefore not surprising that both Judaism and Christianity responded to astrology, as a common practice, in a variety of ways.</w:t>
      </w:r>
      <w:r>
        <w:rPr>
          <w:rFonts w:ascii="Arial" w:hAnsi="Arial" w:cs="Arial"/>
          <w:sz w:val="24"/>
          <w:szCs w:val="24"/>
        </w:rPr>
        <w:t xml:space="preserve">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sidRPr="00AA1C4E">
        <w:rPr>
          <w:rFonts w:ascii="Arial" w:hAnsi="Arial" w:cs="Arial"/>
          <w:sz w:val="24"/>
          <w:szCs w:val="24"/>
        </w:rPr>
        <w:t>Examining Jewish and Christian</w:t>
      </w:r>
      <w:r>
        <w:rPr>
          <w:rFonts w:ascii="Arial" w:hAnsi="Arial" w:cs="Arial"/>
          <w:sz w:val="24"/>
          <w:szCs w:val="24"/>
        </w:rPr>
        <w:t xml:space="preserve"> attitudes to any</w:t>
      </w:r>
      <w:r w:rsidRPr="00AA1C4E">
        <w:rPr>
          <w:rFonts w:ascii="Arial" w:hAnsi="Arial" w:cs="Arial"/>
          <w:sz w:val="24"/>
          <w:szCs w:val="24"/>
        </w:rPr>
        <w:t xml:space="preserve"> concept require</w:t>
      </w:r>
      <w:r>
        <w:rPr>
          <w:rFonts w:ascii="Arial" w:hAnsi="Arial" w:cs="Arial"/>
          <w:sz w:val="24"/>
          <w:szCs w:val="24"/>
        </w:rPr>
        <w:t>s</w:t>
      </w:r>
      <w:r w:rsidRPr="00AA1C4E">
        <w:rPr>
          <w:rFonts w:ascii="Arial" w:hAnsi="Arial" w:cs="Arial"/>
          <w:sz w:val="24"/>
          <w:szCs w:val="24"/>
        </w:rPr>
        <w:t xml:space="preserve"> for the parameters of that said concept to be determined. In this case, the concept under examination is astrology. According to Campion, astrology in a broad sense “assumes that there is a significant relationship between heavenly bodies and affairs on earth”</w:t>
      </w:r>
      <w:r w:rsidRPr="00AA1C4E">
        <w:rPr>
          <w:rStyle w:val="FootnoteReference"/>
          <w:rFonts w:ascii="Arial" w:hAnsi="Arial" w:cs="Arial"/>
          <w:sz w:val="24"/>
          <w:szCs w:val="24"/>
        </w:rPr>
        <w:footnoteReference w:id="1"/>
      </w:r>
      <w:r w:rsidRPr="00AA1C4E">
        <w:rPr>
          <w:rFonts w:ascii="Arial" w:hAnsi="Arial" w:cs="Arial"/>
          <w:sz w:val="24"/>
          <w:szCs w:val="24"/>
        </w:rPr>
        <w:t xml:space="preserve"> and that it exists in most cultures, develops over time and can assume various forms</w:t>
      </w:r>
      <w:r w:rsidRPr="00AA1C4E">
        <w:rPr>
          <w:rStyle w:val="FootnoteReference"/>
          <w:rFonts w:ascii="Arial" w:hAnsi="Arial" w:cs="Arial"/>
          <w:sz w:val="24"/>
          <w:szCs w:val="24"/>
        </w:rPr>
        <w:footnoteReference w:id="2"/>
      </w:r>
      <w:r w:rsidRPr="00AA1C4E">
        <w:rPr>
          <w:rFonts w:ascii="Arial" w:hAnsi="Arial" w:cs="Arial"/>
          <w:sz w:val="24"/>
          <w:szCs w:val="24"/>
        </w:rPr>
        <w:t xml:space="preserve">.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sidRPr="00AA1C4E">
        <w:rPr>
          <w:rFonts w:ascii="Arial" w:hAnsi="Arial" w:cs="Arial"/>
          <w:sz w:val="24"/>
          <w:szCs w:val="24"/>
        </w:rPr>
        <w:lastRenderedPageBreak/>
        <w:t>Campion further outlines that these forms can include one or a combination of the following: 1. Celestial bodies are divine and are obje</w:t>
      </w:r>
      <w:r>
        <w:rPr>
          <w:rFonts w:ascii="Arial" w:hAnsi="Arial" w:cs="Arial"/>
          <w:sz w:val="24"/>
          <w:szCs w:val="24"/>
        </w:rPr>
        <w:t>cts of worship, 2.</w:t>
      </w:r>
      <w:r w:rsidRPr="00AA1C4E">
        <w:rPr>
          <w:rFonts w:ascii="Arial" w:hAnsi="Arial" w:cs="Arial"/>
          <w:sz w:val="24"/>
          <w:szCs w:val="24"/>
        </w:rPr>
        <w:t xml:space="preserve"> timing impar</w:t>
      </w:r>
      <w:r>
        <w:rPr>
          <w:rFonts w:ascii="Arial" w:hAnsi="Arial" w:cs="Arial"/>
          <w:sz w:val="24"/>
          <w:szCs w:val="24"/>
        </w:rPr>
        <w:t xml:space="preserve">ts specific qualities on events, and 3. </w:t>
      </w:r>
      <w:r w:rsidRPr="00AA1C4E">
        <w:rPr>
          <w:rFonts w:ascii="Arial" w:hAnsi="Arial" w:cs="Arial"/>
          <w:sz w:val="24"/>
          <w:szCs w:val="24"/>
        </w:rPr>
        <w:t>celestial bodies can give indications or foreshadow events here on earth</w:t>
      </w:r>
      <w:r>
        <w:rPr>
          <w:rFonts w:ascii="Arial" w:hAnsi="Arial" w:cs="Arial"/>
          <w:sz w:val="24"/>
          <w:szCs w:val="24"/>
        </w:rPr>
        <w:t>. It is through this framework that Jewish and Christian attitudes to astrology will be examined.</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As far as Judaism is concerned, Jacobs</w:t>
      </w:r>
      <w:r>
        <w:rPr>
          <w:rStyle w:val="FootnoteReference"/>
          <w:rFonts w:ascii="Arial" w:hAnsi="Arial" w:cs="Arial"/>
          <w:sz w:val="24"/>
          <w:szCs w:val="24"/>
        </w:rPr>
        <w:footnoteReference w:id="3"/>
      </w:r>
      <w:r>
        <w:rPr>
          <w:rFonts w:ascii="Arial" w:hAnsi="Arial" w:cs="Arial"/>
          <w:sz w:val="24"/>
          <w:szCs w:val="24"/>
        </w:rPr>
        <w:t xml:space="preserve"> asserts that “a </w:t>
      </w:r>
      <w:r w:rsidRPr="008C146E">
        <w:rPr>
          <w:rFonts w:ascii="Arial" w:hAnsi="Arial" w:cs="Arial"/>
          <w:sz w:val="24"/>
          <w:szCs w:val="24"/>
        </w:rPr>
        <w:t>study of the Jewish sources demonstrates that the Jews did not develop in</w:t>
      </w:r>
      <w:r>
        <w:rPr>
          <w:rFonts w:ascii="Arial" w:hAnsi="Arial" w:cs="Arial"/>
          <w:sz w:val="24"/>
          <w:szCs w:val="24"/>
        </w:rPr>
        <w:t xml:space="preserve"> </w:t>
      </w:r>
      <w:r w:rsidRPr="008C146E">
        <w:rPr>
          <w:rFonts w:ascii="Arial" w:hAnsi="Arial" w:cs="Arial"/>
          <w:sz w:val="24"/>
          <w:szCs w:val="24"/>
        </w:rPr>
        <w:t>any period of their history a spec</w:t>
      </w:r>
      <w:r>
        <w:rPr>
          <w:rFonts w:ascii="Arial" w:hAnsi="Arial" w:cs="Arial"/>
          <w:sz w:val="24"/>
          <w:szCs w:val="24"/>
        </w:rPr>
        <w:t>ial cosmology of their own. Instead they adopted or accepted the</w:t>
      </w:r>
      <w:r w:rsidRPr="008C146E">
        <w:rPr>
          <w:rFonts w:ascii="Arial" w:hAnsi="Arial" w:cs="Arial"/>
          <w:sz w:val="24"/>
          <w:szCs w:val="24"/>
        </w:rPr>
        <w:t xml:space="preserve"> cosmologies of the various civilis</w:t>
      </w:r>
      <w:r>
        <w:rPr>
          <w:rFonts w:ascii="Arial" w:hAnsi="Arial" w:cs="Arial"/>
          <w:sz w:val="24"/>
          <w:szCs w:val="24"/>
        </w:rPr>
        <w:t>ations in which they lived, but repackaged these for their own religious purposes”.</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The appropriation of culture in the context of Judaism is done so that Jewish people assimilating into their host cultures, this view point in strengthened through the notion that Jewish people do not proselytize</w:t>
      </w:r>
      <w:r>
        <w:rPr>
          <w:rStyle w:val="FootnoteReference"/>
          <w:rFonts w:ascii="Arial" w:hAnsi="Arial" w:cs="Arial"/>
          <w:sz w:val="24"/>
          <w:szCs w:val="24"/>
        </w:rPr>
        <w:footnoteReference w:id="4"/>
      </w:r>
      <w:r>
        <w:rPr>
          <w:rFonts w:ascii="Arial" w:hAnsi="Arial" w:cs="Arial"/>
          <w:sz w:val="24"/>
          <w:szCs w:val="24"/>
        </w:rPr>
        <w:t xml:space="preserve">.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With this in mind, Judaism’s relationship with astrology has continued to evolve, and the early signs of this relationship commenced with the emergence of Judaism’s earliest sources. </w:t>
      </w:r>
    </w:p>
    <w:p w:rsidR="004A7B5A" w:rsidRPr="00AA1C4E" w:rsidRDefault="004A7B5A" w:rsidP="004A7B5A">
      <w:pPr>
        <w:autoSpaceDE w:val="0"/>
        <w:autoSpaceDN w:val="0"/>
        <w:adjustRightInd w:val="0"/>
        <w:spacing w:after="0" w:line="360" w:lineRule="auto"/>
        <w:rPr>
          <w:rFonts w:ascii="Arial" w:hAnsi="Arial" w:cs="Arial"/>
          <w:sz w:val="24"/>
          <w:szCs w:val="24"/>
        </w:rPr>
      </w:pPr>
    </w:p>
    <w:p w:rsidR="004A7B5A" w:rsidRPr="00BF4D4F" w:rsidRDefault="004A7B5A" w:rsidP="004A7B5A">
      <w:pPr>
        <w:spacing w:line="360" w:lineRule="auto"/>
        <w:rPr>
          <w:rFonts w:ascii="Arial" w:hAnsi="Arial" w:cs="Arial"/>
          <w:sz w:val="24"/>
          <w:szCs w:val="24"/>
        </w:rPr>
      </w:pPr>
      <w:r w:rsidRPr="00BF4D4F">
        <w:rPr>
          <w:rFonts w:ascii="Arial" w:hAnsi="Arial" w:cs="Arial"/>
          <w:sz w:val="24"/>
          <w:szCs w:val="24"/>
        </w:rPr>
        <w:t xml:space="preserve">The primary </w:t>
      </w:r>
      <w:r>
        <w:rPr>
          <w:rFonts w:ascii="Arial" w:hAnsi="Arial" w:cs="Arial"/>
          <w:sz w:val="24"/>
          <w:szCs w:val="24"/>
        </w:rPr>
        <w:t xml:space="preserve">and earliest </w:t>
      </w:r>
      <w:r w:rsidRPr="00BF4D4F">
        <w:rPr>
          <w:rFonts w:ascii="Arial" w:hAnsi="Arial" w:cs="Arial"/>
          <w:sz w:val="24"/>
          <w:szCs w:val="24"/>
        </w:rPr>
        <w:t>scriptural sources in Judaism is the Tanakh</w:t>
      </w:r>
      <w:r w:rsidRPr="00BF4D4F">
        <w:rPr>
          <w:rStyle w:val="FootnoteReference"/>
          <w:rFonts w:ascii="Arial" w:hAnsi="Arial" w:cs="Arial"/>
          <w:sz w:val="24"/>
          <w:szCs w:val="24"/>
        </w:rPr>
        <w:footnoteReference w:id="5"/>
      </w:r>
      <w:r w:rsidRPr="00BF4D4F">
        <w:rPr>
          <w:rFonts w:ascii="Arial" w:hAnsi="Arial" w:cs="Arial"/>
          <w:sz w:val="24"/>
          <w:szCs w:val="24"/>
        </w:rPr>
        <w:t xml:space="preserve"> which is an acronym of the Torah (the first five books of Moses), the Nevi’im (the ways of life and wisdom of the prophets), and the K</w:t>
      </w:r>
      <w:r>
        <w:rPr>
          <w:rFonts w:ascii="Arial" w:hAnsi="Arial" w:cs="Arial"/>
          <w:sz w:val="24"/>
          <w:szCs w:val="24"/>
        </w:rPr>
        <w:t xml:space="preserve">etuvim (the Hebrew for writings). </w:t>
      </w:r>
    </w:p>
    <w:p w:rsidR="004A7B5A" w:rsidRPr="00BF4D4F" w:rsidRDefault="004A7B5A" w:rsidP="004A7B5A">
      <w:pPr>
        <w:spacing w:line="360" w:lineRule="auto"/>
        <w:rPr>
          <w:rFonts w:ascii="Arial" w:hAnsi="Arial" w:cs="Arial"/>
          <w:sz w:val="24"/>
          <w:szCs w:val="24"/>
        </w:rPr>
      </w:pPr>
      <w:r w:rsidRPr="00BF4D4F">
        <w:rPr>
          <w:rFonts w:ascii="Arial" w:hAnsi="Arial" w:cs="Arial"/>
          <w:sz w:val="24"/>
          <w:szCs w:val="24"/>
        </w:rPr>
        <w:t xml:space="preserve">The book of Genesis (the first of the five books of Moses) sets out the </w:t>
      </w:r>
      <w:r>
        <w:rPr>
          <w:rFonts w:ascii="Arial" w:hAnsi="Arial" w:cs="Arial"/>
          <w:sz w:val="24"/>
          <w:szCs w:val="24"/>
        </w:rPr>
        <w:t xml:space="preserve">creation of the cosmos as a one off act, </w:t>
      </w:r>
      <w:r w:rsidRPr="00BF4D4F">
        <w:rPr>
          <w:rFonts w:ascii="Arial" w:hAnsi="Arial" w:cs="Arial"/>
          <w:sz w:val="24"/>
          <w:szCs w:val="24"/>
        </w:rPr>
        <w:t xml:space="preserve">orchestrated by </w:t>
      </w:r>
      <w:r>
        <w:rPr>
          <w:rFonts w:ascii="Arial" w:hAnsi="Arial" w:cs="Arial"/>
          <w:sz w:val="24"/>
          <w:szCs w:val="24"/>
        </w:rPr>
        <w:t xml:space="preserve">God, which unfolds over the course of six days, with God resting on the seventh day: </w:t>
      </w:r>
    </w:p>
    <w:p w:rsidR="004A7B5A" w:rsidRDefault="004A7B5A" w:rsidP="004A7B5A">
      <w:pPr>
        <w:spacing w:line="360" w:lineRule="auto"/>
        <w:rPr>
          <w:rFonts w:ascii="Arial" w:hAnsi="Arial" w:cs="Arial"/>
          <w:sz w:val="24"/>
          <w:szCs w:val="24"/>
        </w:rPr>
      </w:pPr>
      <w:r w:rsidRPr="00BF4D4F">
        <w:rPr>
          <w:rFonts w:ascii="Arial" w:hAnsi="Arial" w:cs="Arial"/>
          <w:sz w:val="24"/>
          <w:szCs w:val="24"/>
        </w:rPr>
        <w:t>“In the beginning God created the heavens and the earth”</w:t>
      </w:r>
      <w:r>
        <w:rPr>
          <w:rStyle w:val="FootnoteReference"/>
          <w:rFonts w:ascii="Arial" w:hAnsi="Arial" w:cs="Arial"/>
          <w:sz w:val="24"/>
          <w:szCs w:val="24"/>
        </w:rPr>
        <w:footnoteReference w:id="6"/>
      </w:r>
    </w:p>
    <w:p w:rsidR="004A7B5A" w:rsidRDefault="004A7B5A" w:rsidP="004A7B5A">
      <w:pPr>
        <w:spacing w:line="360" w:lineRule="auto"/>
        <w:rPr>
          <w:rFonts w:ascii="Arial" w:hAnsi="Arial" w:cs="Arial"/>
          <w:sz w:val="24"/>
          <w:szCs w:val="24"/>
        </w:rPr>
      </w:pPr>
      <w:r>
        <w:rPr>
          <w:rFonts w:ascii="Arial" w:hAnsi="Arial" w:cs="Arial"/>
          <w:sz w:val="24"/>
          <w:szCs w:val="24"/>
        </w:rPr>
        <w:lastRenderedPageBreak/>
        <w:t>The book of Genesis further describes that as part of this act of creation, God assembles the sun, the moon and the stars:</w:t>
      </w:r>
    </w:p>
    <w:p w:rsidR="004A7B5A" w:rsidRDefault="004A7B5A" w:rsidP="004A7B5A">
      <w:pPr>
        <w:spacing w:line="360" w:lineRule="auto"/>
        <w:rPr>
          <w:rFonts w:ascii="Arial" w:hAnsi="Arial" w:cs="Arial"/>
          <w:sz w:val="24"/>
          <w:szCs w:val="24"/>
        </w:rPr>
      </w:pPr>
      <w:r>
        <w:rPr>
          <w:rFonts w:ascii="Arial" w:hAnsi="Arial" w:cs="Arial"/>
          <w:sz w:val="24"/>
          <w:szCs w:val="24"/>
        </w:rPr>
        <w:t>“God made two great lights-the greater light to govern the day and the lesser light to govern the night. He also made the stars”</w:t>
      </w:r>
      <w:r>
        <w:rPr>
          <w:rStyle w:val="FootnoteReference"/>
          <w:rFonts w:ascii="Arial" w:hAnsi="Arial" w:cs="Arial"/>
          <w:sz w:val="24"/>
          <w:szCs w:val="24"/>
        </w:rPr>
        <w:footnoteReference w:id="7"/>
      </w:r>
    </w:p>
    <w:p w:rsidR="004A7B5A" w:rsidRPr="00BF4D4F" w:rsidRDefault="004A7B5A" w:rsidP="004A7B5A">
      <w:pPr>
        <w:spacing w:line="360" w:lineRule="auto"/>
        <w:rPr>
          <w:rFonts w:ascii="Arial" w:hAnsi="Arial" w:cs="Arial"/>
          <w:sz w:val="24"/>
          <w:szCs w:val="24"/>
        </w:rPr>
      </w:pPr>
      <w:r>
        <w:rPr>
          <w:rFonts w:ascii="Arial" w:hAnsi="Arial" w:cs="Arial"/>
          <w:sz w:val="24"/>
          <w:szCs w:val="24"/>
        </w:rPr>
        <w:t>This very clearly sets the tone for the relationship between God the creator and the heavens and the earth being the created. God’s expectations to be set apart from the created and worshipped alone and without partners (including animate objects) is further clarified in the book of Exodus:</w:t>
      </w:r>
    </w:p>
    <w:p w:rsidR="004A7B5A" w:rsidRDefault="004A7B5A" w:rsidP="004A7B5A">
      <w:pPr>
        <w:spacing w:line="360" w:lineRule="auto"/>
        <w:rPr>
          <w:rFonts w:ascii="Arial" w:hAnsi="Arial" w:cs="Arial"/>
          <w:sz w:val="24"/>
          <w:szCs w:val="24"/>
        </w:rPr>
      </w:pPr>
      <w:r w:rsidRPr="00BF4D4F">
        <w:rPr>
          <w:rFonts w:ascii="Arial" w:hAnsi="Arial" w:cs="Arial"/>
          <w:sz w:val="24"/>
          <w:szCs w:val="24"/>
        </w:rPr>
        <w:t>"You shall not bow down to them [other gods] or serve them, for I the LORD your God am a jealous God."</w:t>
      </w:r>
      <w:r w:rsidRPr="00F307E1">
        <w:t xml:space="preserve"> </w:t>
      </w:r>
      <w:r>
        <w:rPr>
          <w:rStyle w:val="FootnoteReference"/>
        </w:rPr>
        <w:footnoteReference w:id="8"/>
      </w:r>
    </w:p>
    <w:p w:rsidR="004A7B5A" w:rsidRDefault="004A7B5A" w:rsidP="004A7B5A">
      <w:pPr>
        <w:spacing w:line="360" w:lineRule="auto"/>
        <w:rPr>
          <w:rFonts w:ascii="Arial" w:hAnsi="Arial" w:cs="Arial"/>
          <w:sz w:val="24"/>
          <w:szCs w:val="24"/>
        </w:rPr>
      </w:pPr>
    </w:p>
    <w:p w:rsidR="004A7B5A" w:rsidRDefault="004A7B5A" w:rsidP="004A7B5A">
      <w:pPr>
        <w:spacing w:line="360" w:lineRule="auto"/>
        <w:rPr>
          <w:rFonts w:ascii="Arial" w:hAnsi="Arial" w:cs="Arial"/>
          <w:sz w:val="24"/>
          <w:szCs w:val="24"/>
        </w:rPr>
      </w:pPr>
      <w:r>
        <w:rPr>
          <w:rFonts w:ascii="Arial" w:hAnsi="Arial" w:cs="Arial"/>
          <w:sz w:val="24"/>
          <w:szCs w:val="24"/>
        </w:rPr>
        <w:t xml:space="preserve">On the other hand Christian cosmology has much in common with Jewish cosmology in so much that </w:t>
      </w:r>
      <w:r w:rsidRPr="00C8767E">
        <w:rPr>
          <w:rFonts w:ascii="Arial" w:hAnsi="Arial" w:cs="Arial"/>
          <w:sz w:val="24"/>
          <w:szCs w:val="24"/>
        </w:rPr>
        <w:t>Christian cosmology centres in general terms on the idea that God brought the entire cosmos into existence, from nothing, in a signal cosmogenesis event aligned with the cosmogony described in the old testament</w:t>
      </w:r>
      <w:r>
        <w:rPr>
          <w:rFonts w:ascii="Arial" w:hAnsi="Arial" w:cs="Arial"/>
          <w:sz w:val="24"/>
          <w:szCs w:val="24"/>
        </w:rPr>
        <w:t xml:space="preserve"> which was appropriated from the Tanakh</w:t>
      </w:r>
      <w:r w:rsidRPr="00C8767E">
        <w:rPr>
          <w:rFonts w:ascii="Arial" w:hAnsi="Arial" w:cs="Arial"/>
          <w:sz w:val="24"/>
          <w:szCs w:val="24"/>
        </w:rPr>
        <w:t xml:space="preserve"> .</w:t>
      </w:r>
      <w:r w:rsidRPr="00C8767E">
        <w:rPr>
          <w:rStyle w:val="FootnoteReference"/>
          <w:rFonts w:ascii="Arial" w:hAnsi="Arial" w:cs="Arial"/>
          <w:sz w:val="24"/>
          <w:szCs w:val="24"/>
        </w:rPr>
        <w:footnoteReference w:id="9"/>
      </w:r>
      <w:r w:rsidRPr="00C8767E">
        <w:rPr>
          <w:rFonts w:ascii="Arial" w:hAnsi="Arial" w:cs="Arial"/>
          <w:sz w:val="24"/>
          <w:szCs w:val="24"/>
        </w:rPr>
        <w:t xml:space="preserve"> </w:t>
      </w:r>
    </w:p>
    <w:p w:rsidR="004A7B5A" w:rsidRPr="00C8767E" w:rsidRDefault="004A7B5A" w:rsidP="004A7B5A">
      <w:pPr>
        <w:spacing w:line="360" w:lineRule="auto"/>
        <w:rPr>
          <w:rFonts w:ascii="Arial" w:hAnsi="Arial" w:cs="Arial"/>
          <w:sz w:val="24"/>
          <w:szCs w:val="24"/>
        </w:rPr>
      </w:pPr>
      <w:r w:rsidRPr="00C8767E">
        <w:rPr>
          <w:rFonts w:ascii="Arial" w:hAnsi="Arial" w:cs="Arial"/>
          <w:sz w:val="24"/>
          <w:szCs w:val="24"/>
        </w:rPr>
        <w:t>This description of what Christian cosmology means sets out a common theme to be found in Christian theology and that is the concept of duality</w:t>
      </w:r>
      <w:r w:rsidRPr="00C8767E">
        <w:rPr>
          <w:rStyle w:val="FootnoteReference"/>
          <w:rFonts w:ascii="Arial" w:hAnsi="Arial" w:cs="Arial"/>
          <w:sz w:val="24"/>
          <w:szCs w:val="24"/>
        </w:rPr>
        <w:footnoteReference w:id="10"/>
      </w:r>
      <w:r w:rsidRPr="00C8767E">
        <w:rPr>
          <w:rFonts w:ascii="Arial" w:hAnsi="Arial" w:cs="Arial"/>
          <w:sz w:val="24"/>
          <w:szCs w:val="24"/>
        </w:rPr>
        <w:t xml:space="preserve">. In a Christian context this notion is highlighted and plays out in key concepts such as good versus evil, God versus Satan, the cosmos (representing the all) versus the nothingness that existed previously. </w:t>
      </w:r>
    </w:p>
    <w:p w:rsidR="004A7B5A" w:rsidRDefault="004A7B5A" w:rsidP="004A7B5A">
      <w:pPr>
        <w:spacing w:line="360" w:lineRule="auto"/>
        <w:rPr>
          <w:rFonts w:ascii="Arial" w:hAnsi="Arial" w:cs="Arial"/>
          <w:sz w:val="24"/>
          <w:szCs w:val="24"/>
        </w:rPr>
      </w:pPr>
      <w:r w:rsidRPr="00C8767E">
        <w:rPr>
          <w:rFonts w:ascii="Arial" w:hAnsi="Arial" w:cs="Arial"/>
          <w:sz w:val="24"/>
          <w:szCs w:val="24"/>
        </w:rPr>
        <w:t>Whilst there is no “essential physical structure to the cosmos”</w:t>
      </w:r>
      <w:r w:rsidRPr="00C8767E">
        <w:rPr>
          <w:rStyle w:val="FootnoteReference"/>
          <w:rFonts w:ascii="Arial" w:hAnsi="Arial" w:cs="Arial"/>
          <w:sz w:val="24"/>
          <w:szCs w:val="24"/>
        </w:rPr>
        <w:footnoteReference w:id="11"/>
      </w:r>
      <w:r w:rsidRPr="00C8767E">
        <w:rPr>
          <w:rFonts w:ascii="Arial" w:hAnsi="Arial" w:cs="Arial"/>
          <w:sz w:val="24"/>
          <w:szCs w:val="24"/>
        </w:rPr>
        <w:t xml:space="preserve">, and through appropriation from classical Greek thought, this duality concept is represented in the </w:t>
      </w:r>
      <w:r w:rsidRPr="00C8767E">
        <w:rPr>
          <w:rFonts w:ascii="Arial" w:hAnsi="Arial" w:cs="Arial"/>
          <w:sz w:val="24"/>
          <w:szCs w:val="24"/>
        </w:rPr>
        <w:lastRenderedPageBreak/>
        <w:t>physical manifestation of the cosmos in that the good resides in the heavens above and evil resides in the underworld below under earth</w:t>
      </w:r>
      <w:r>
        <w:rPr>
          <w:rFonts w:ascii="Arial" w:hAnsi="Arial" w:cs="Arial"/>
          <w:sz w:val="24"/>
          <w:szCs w:val="24"/>
        </w:rPr>
        <w:t>’s surface.</w:t>
      </w:r>
    </w:p>
    <w:p w:rsidR="004A7B5A" w:rsidRPr="007154DF" w:rsidRDefault="004A7B5A" w:rsidP="004A7B5A">
      <w:pPr>
        <w:spacing w:line="360" w:lineRule="auto"/>
        <w:rPr>
          <w:rFonts w:ascii="Arial" w:hAnsi="Arial" w:cs="Arial"/>
          <w:sz w:val="24"/>
          <w:szCs w:val="24"/>
          <w:lang w:val="en"/>
        </w:rPr>
      </w:pPr>
      <w:r>
        <w:rPr>
          <w:rFonts w:ascii="Arial" w:hAnsi="Arial" w:cs="Arial"/>
          <w:sz w:val="24"/>
          <w:szCs w:val="24"/>
        </w:rPr>
        <w:t>In contrast to the type of appropriation that we find in Judaism, o</w:t>
      </w:r>
      <w:r w:rsidRPr="007154DF">
        <w:rPr>
          <w:rFonts w:ascii="Arial" w:hAnsi="Arial" w:cs="Arial"/>
          <w:sz w:val="24"/>
          <w:szCs w:val="24"/>
        </w:rPr>
        <w:t xml:space="preserve">ne of Christianity’s key features is that it encourages </w:t>
      </w:r>
      <w:r w:rsidRPr="007154DF">
        <w:rPr>
          <w:rFonts w:ascii="Arial" w:hAnsi="Arial" w:cs="Arial"/>
          <w:sz w:val="24"/>
          <w:szCs w:val="24"/>
          <w:lang w:val="en"/>
        </w:rPr>
        <w:t>proselytization, to support its central idea that redemption and being saved by Jesus Christ is the only way to reach the kingdom of heaven.</w:t>
      </w:r>
      <w:r w:rsidRPr="007154DF">
        <w:rPr>
          <w:rStyle w:val="FootnoteReference"/>
          <w:rFonts w:ascii="Arial" w:hAnsi="Arial" w:cs="Arial"/>
          <w:sz w:val="24"/>
          <w:szCs w:val="24"/>
          <w:lang w:val="en"/>
        </w:rPr>
        <w:footnoteReference w:id="12"/>
      </w:r>
      <w:r w:rsidRPr="007154DF">
        <w:rPr>
          <w:rFonts w:ascii="Arial" w:hAnsi="Arial" w:cs="Arial"/>
          <w:sz w:val="24"/>
          <w:szCs w:val="24"/>
          <w:lang w:val="en"/>
        </w:rPr>
        <w:t xml:space="preserve"> A biblical verse that illustrates both this concept along with duality as a central theme in Christianity is when Jesus instructs his apostle Paul to invite the spiritually blind to Christianity: </w:t>
      </w:r>
    </w:p>
    <w:p w:rsidR="004A7B5A" w:rsidRPr="007154DF" w:rsidRDefault="004A7B5A" w:rsidP="004A7B5A">
      <w:pPr>
        <w:spacing w:line="360" w:lineRule="auto"/>
        <w:rPr>
          <w:rFonts w:ascii="Arial" w:hAnsi="Arial" w:cs="Arial"/>
          <w:sz w:val="24"/>
          <w:szCs w:val="24"/>
          <w:lang w:val="en"/>
        </w:rPr>
      </w:pPr>
      <w:r w:rsidRPr="007154DF">
        <w:rPr>
          <w:rFonts w:ascii="Arial" w:hAnsi="Arial" w:cs="Arial"/>
          <w:sz w:val="24"/>
          <w:szCs w:val="24"/>
          <w:lang w:val="en"/>
        </w:rPr>
        <w:t>“I am sending you to open their eyes, so that they may turn from darkness to light and from the power of Satan to God, that they may receive forgiveness of sins” (Acts 26:17-18)</w:t>
      </w:r>
    </w:p>
    <w:p w:rsidR="004A7B5A" w:rsidRPr="00C8767E" w:rsidRDefault="004A7B5A" w:rsidP="004A7B5A">
      <w:pPr>
        <w:spacing w:line="360" w:lineRule="auto"/>
        <w:rPr>
          <w:rFonts w:ascii="Arial" w:hAnsi="Arial" w:cs="Arial"/>
          <w:sz w:val="24"/>
          <w:szCs w:val="24"/>
        </w:rPr>
      </w:pPr>
      <w:r w:rsidRPr="00C8767E">
        <w:rPr>
          <w:rFonts w:ascii="Arial" w:hAnsi="Arial" w:cs="Arial"/>
          <w:sz w:val="24"/>
          <w:szCs w:val="24"/>
          <w:lang w:val="en"/>
        </w:rPr>
        <w:t xml:space="preserve">One of the key ways in which Christianity achieves this feature is through appropriating the customs and cultures of its intended converts. </w:t>
      </w:r>
      <w:r>
        <w:rPr>
          <w:rFonts w:ascii="Arial" w:hAnsi="Arial" w:cs="Arial"/>
          <w:sz w:val="24"/>
          <w:szCs w:val="24"/>
          <w:lang w:val="en"/>
        </w:rPr>
        <w:t>Since a key driver of Christian theology is salvation through Christ, then appropriating traditions at odds with Christianity are appropriate since they facilitate the conversation and achieve the ultimate goal. In the context of astrology, this is evident in the way that the Christian calendar incorporates a number of pagan astrological concepts, in a way, God has a plan that unfolds over time and the cycles of the sun and the moon act as cosmic timers alerting followers to the approach of sacred times.</w:t>
      </w:r>
      <w:r>
        <w:rPr>
          <w:rStyle w:val="FootnoteReference"/>
          <w:rFonts w:ascii="Arial" w:hAnsi="Arial" w:cs="Arial"/>
          <w:sz w:val="24"/>
          <w:szCs w:val="24"/>
          <w:lang w:val="en"/>
        </w:rPr>
        <w:footnoteReference w:id="13"/>
      </w:r>
      <w:r>
        <w:rPr>
          <w:rFonts w:ascii="Arial" w:hAnsi="Arial" w:cs="Arial"/>
          <w:sz w:val="24"/>
          <w:szCs w:val="24"/>
          <w:lang w:val="en"/>
        </w:rPr>
        <w:t xml:space="preserve"> </w:t>
      </w:r>
    </w:p>
    <w:p w:rsidR="004A7B5A" w:rsidRDefault="004A7B5A" w:rsidP="004A7B5A">
      <w:pPr>
        <w:spacing w:line="360" w:lineRule="auto"/>
        <w:rPr>
          <w:rFonts w:ascii="Arial" w:hAnsi="Arial" w:cs="Arial"/>
          <w:sz w:val="24"/>
          <w:szCs w:val="24"/>
        </w:rPr>
      </w:pPr>
      <w:r>
        <w:rPr>
          <w:rFonts w:ascii="Arial" w:hAnsi="Arial" w:cs="Arial"/>
          <w:sz w:val="24"/>
          <w:szCs w:val="24"/>
        </w:rPr>
        <w:t>An example of this is that whilst there is no actual evidence that Jesus is born on the 25</w:t>
      </w:r>
      <w:r w:rsidRPr="00397CFF">
        <w:rPr>
          <w:rFonts w:ascii="Arial" w:hAnsi="Arial" w:cs="Arial"/>
          <w:sz w:val="24"/>
          <w:szCs w:val="24"/>
          <w:vertAlign w:val="superscript"/>
        </w:rPr>
        <w:t>th</w:t>
      </w:r>
      <w:r>
        <w:rPr>
          <w:rFonts w:ascii="Arial" w:hAnsi="Arial" w:cs="Arial"/>
          <w:sz w:val="24"/>
          <w:szCs w:val="24"/>
        </w:rPr>
        <w:t xml:space="preserve"> of December, this tends to be the date where the birth of Christ is celebrated in some prominent Christian denominations. According to Halsberghe</w:t>
      </w:r>
      <w:r>
        <w:rPr>
          <w:rStyle w:val="FootnoteReference"/>
          <w:rFonts w:ascii="Arial" w:hAnsi="Arial" w:cs="Arial"/>
          <w:sz w:val="24"/>
          <w:szCs w:val="24"/>
        </w:rPr>
        <w:footnoteReference w:id="14"/>
      </w:r>
      <w:r>
        <w:rPr>
          <w:rFonts w:ascii="Arial" w:hAnsi="Arial" w:cs="Arial"/>
          <w:sz w:val="24"/>
          <w:szCs w:val="24"/>
        </w:rPr>
        <w:t xml:space="preserve">, This may have been an appropriation of the feast of Natalis Solis Invicti, which is sacred to Sol Invictus or the unconquered Sun God. This timing was close to the winter solstice in the Northern hemisphere, and symbolised the return of the sun light through the lengthening of the days and the sun’s journey toward full strength to be achieved in the summer solstice. </w:t>
      </w:r>
    </w:p>
    <w:p w:rsidR="004A7B5A" w:rsidRDefault="004A7B5A" w:rsidP="004A7B5A">
      <w:pPr>
        <w:spacing w:line="360" w:lineRule="auto"/>
        <w:rPr>
          <w:rFonts w:ascii="Arial" w:hAnsi="Arial" w:cs="Arial"/>
          <w:sz w:val="24"/>
          <w:szCs w:val="24"/>
        </w:rPr>
      </w:pPr>
      <w:r>
        <w:rPr>
          <w:rFonts w:ascii="Arial" w:hAnsi="Arial" w:cs="Arial"/>
          <w:sz w:val="24"/>
          <w:szCs w:val="24"/>
        </w:rPr>
        <w:lastRenderedPageBreak/>
        <w:t>A further example is the use of lunar and solar cycles to calculate the timing of Easter. This is done by selecting the first Sunday after the first full moon which takes place after the spring equinox which occurs after the sun’s ingress into Aries</w:t>
      </w:r>
      <w:r>
        <w:rPr>
          <w:rStyle w:val="FootnoteReference"/>
          <w:rFonts w:ascii="Arial" w:hAnsi="Arial" w:cs="Arial"/>
          <w:sz w:val="24"/>
          <w:szCs w:val="24"/>
        </w:rPr>
        <w:footnoteReference w:id="15"/>
      </w:r>
      <w:r>
        <w:rPr>
          <w:rFonts w:ascii="Arial" w:hAnsi="Arial" w:cs="Arial"/>
          <w:sz w:val="24"/>
          <w:szCs w:val="24"/>
        </w:rPr>
        <w:t xml:space="preserve">.  </w:t>
      </w:r>
    </w:p>
    <w:p w:rsidR="004A7B5A" w:rsidRDefault="004A7B5A" w:rsidP="004A7B5A">
      <w:pPr>
        <w:spacing w:line="360" w:lineRule="auto"/>
        <w:rPr>
          <w:rFonts w:ascii="Arial" w:hAnsi="Arial" w:cs="Arial"/>
          <w:sz w:val="24"/>
          <w:szCs w:val="24"/>
        </w:rPr>
      </w:pPr>
      <w:r>
        <w:rPr>
          <w:rFonts w:ascii="Arial" w:hAnsi="Arial" w:cs="Arial"/>
          <w:sz w:val="24"/>
          <w:szCs w:val="24"/>
        </w:rPr>
        <w:t xml:space="preserve">In Judaism, timing is given pride of place in the evolvement of early Judaism, and the first signs of this has already been set through the chronology of the creation of the cosmos. Through the act of God resting on the seventh day of the creation process, this models for Jews the expectation that they rest every seventh day which happens to be a Sabbath. This is also the first indication in Jewish scriptures that timing is critical. </w:t>
      </w:r>
    </w:p>
    <w:p w:rsidR="004A7B5A" w:rsidRDefault="004A7B5A" w:rsidP="004A7B5A">
      <w:pPr>
        <w:spacing w:line="360" w:lineRule="auto"/>
        <w:rPr>
          <w:rFonts w:ascii="Arial" w:hAnsi="Arial" w:cs="Arial"/>
          <w:sz w:val="24"/>
          <w:szCs w:val="24"/>
        </w:rPr>
      </w:pPr>
      <w:r>
        <w:rPr>
          <w:rFonts w:ascii="Arial" w:hAnsi="Arial" w:cs="Arial"/>
          <w:sz w:val="24"/>
          <w:szCs w:val="24"/>
        </w:rPr>
        <w:t>Aside from the weekly cycle, the Jewish calendar relies heavily on the cycles of both the sun and the moon to determine the sanctioned times for certain festivals. Leviticus</w:t>
      </w:r>
      <w:r>
        <w:rPr>
          <w:rStyle w:val="FootnoteReference"/>
          <w:rFonts w:ascii="Arial" w:hAnsi="Arial" w:cs="Arial"/>
          <w:sz w:val="24"/>
          <w:szCs w:val="24"/>
        </w:rPr>
        <w:footnoteReference w:id="16"/>
      </w:r>
      <w:r>
        <w:rPr>
          <w:rFonts w:ascii="Arial" w:hAnsi="Arial" w:cs="Arial"/>
          <w:sz w:val="24"/>
          <w:szCs w:val="24"/>
        </w:rPr>
        <w:t xml:space="preserve"> sets out the expectation and details around the Passover festival. The specificity that this festival is observed during allotted time frames lends itself to the concept that timing imparts quality on events and can therefore be considered as an astrological event sanctioned by a Jewish source. </w:t>
      </w:r>
    </w:p>
    <w:p w:rsidR="004A7B5A" w:rsidRDefault="004A7B5A" w:rsidP="004A7B5A">
      <w:pPr>
        <w:spacing w:line="360" w:lineRule="auto"/>
        <w:rPr>
          <w:rFonts w:ascii="Arial" w:hAnsi="Arial" w:cs="Arial"/>
          <w:sz w:val="24"/>
          <w:szCs w:val="24"/>
          <w:lang w:val="en"/>
        </w:rPr>
      </w:pPr>
      <w:r>
        <w:rPr>
          <w:rFonts w:ascii="Arial" w:hAnsi="Arial" w:cs="Arial"/>
          <w:sz w:val="24"/>
          <w:szCs w:val="24"/>
        </w:rPr>
        <w:t xml:space="preserve">With the emergence of the Talmud c. 350 AD, more instances of alignment between astrological concepts and Jewish sources become apparent, an example of this is the encouragement to undertake some activities whilst leaving others during certain months due to the astrological conditions during those said times. </w:t>
      </w:r>
      <w:r w:rsidRPr="009F5F1C">
        <w:rPr>
          <w:rFonts w:ascii="Arial" w:hAnsi="Arial" w:cs="Arial"/>
          <w:sz w:val="24"/>
          <w:szCs w:val="24"/>
        </w:rPr>
        <w:t xml:space="preserve">The Rav </w:t>
      </w:r>
      <w:r w:rsidRPr="009F5F1C">
        <w:rPr>
          <w:rFonts w:ascii="Arial" w:hAnsi="Arial" w:cs="Arial"/>
          <w:sz w:val="24"/>
          <w:szCs w:val="24"/>
          <w:lang w:val="en"/>
        </w:rPr>
        <w:t>Papa asserts in the Talmud</w:t>
      </w:r>
      <w:r w:rsidRPr="009F5F1C">
        <w:rPr>
          <w:rStyle w:val="FootnoteReference"/>
          <w:rFonts w:ascii="Arial" w:hAnsi="Arial" w:cs="Arial"/>
          <w:sz w:val="24"/>
          <w:szCs w:val="24"/>
          <w:lang w:val="en"/>
        </w:rPr>
        <w:footnoteReference w:id="17"/>
      </w:r>
      <w:r w:rsidRPr="009F5F1C">
        <w:rPr>
          <w:rFonts w:ascii="Arial" w:hAnsi="Arial" w:cs="Arial"/>
          <w:sz w:val="24"/>
          <w:szCs w:val="24"/>
          <w:lang w:val="en"/>
        </w:rPr>
        <w:t xml:space="preserve"> that: ‘A Jew should avoid litigation with gentiles in the month of </w:t>
      </w:r>
      <w:r w:rsidRPr="009F5F1C">
        <w:rPr>
          <w:rStyle w:val="glossaryitem"/>
          <w:rFonts w:ascii="Arial" w:hAnsi="Arial" w:cs="Arial"/>
          <w:sz w:val="24"/>
          <w:szCs w:val="24"/>
          <w:lang w:val="en"/>
        </w:rPr>
        <w:t>Av</w:t>
      </w:r>
      <w:r w:rsidRPr="009F5F1C">
        <w:rPr>
          <w:rFonts w:ascii="Arial" w:hAnsi="Arial" w:cs="Arial"/>
          <w:sz w:val="24"/>
          <w:szCs w:val="24"/>
          <w:lang w:val="en"/>
        </w:rPr>
        <w:t xml:space="preserve">, because his </w:t>
      </w:r>
      <w:r w:rsidRPr="009F5F1C">
        <w:rPr>
          <w:rStyle w:val="glossaryitem"/>
          <w:rFonts w:ascii="Arial" w:hAnsi="Arial" w:cs="Arial"/>
          <w:i/>
          <w:iCs/>
          <w:sz w:val="24"/>
          <w:szCs w:val="24"/>
          <w:lang w:val="en"/>
        </w:rPr>
        <w:t>mazal</w:t>
      </w:r>
      <w:r w:rsidRPr="009F5F1C">
        <w:rPr>
          <w:rFonts w:ascii="Arial" w:hAnsi="Arial" w:cs="Arial"/>
          <w:sz w:val="24"/>
          <w:szCs w:val="24"/>
          <w:lang w:val="en"/>
        </w:rPr>
        <w:t xml:space="preserve"> is bad, however he should move the court case to the month of Adar, when his </w:t>
      </w:r>
      <w:r w:rsidRPr="009F5F1C">
        <w:rPr>
          <w:rFonts w:ascii="Arial" w:hAnsi="Arial" w:cs="Arial"/>
          <w:i/>
          <w:iCs/>
          <w:sz w:val="24"/>
          <w:szCs w:val="24"/>
          <w:lang w:val="en"/>
        </w:rPr>
        <w:t>mazal</w:t>
      </w:r>
      <w:r w:rsidRPr="009F5F1C">
        <w:rPr>
          <w:rFonts w:ascii="Arial" w:hAnsi="Arial" w:cs="Arial"/>
          <w:sz w:val="24"/>
          <w:szCs w:val="24"/>
          <w:lang w:val="en"/>
        </w:rPr>
        <w:t xml:space="preserve"> is good’. There are two issues of note within this quote:  the first being use of the word </w:t>
      </w:r>
      <w:r w:rsidRPr="009F5F1C">
        <w:rPr>
          <w:rFonts w:ascii="Arial" w:hAnsi="Arial" w:cs="Arial"/>
          <w:i/>
          <w:iCs/>
          <w:sz w:val="24"/>
          <w:szCs w:val="24"/>
          <w:lang w:val="en"/>
        </w:rPr>
        <w:t>mazal</w:t>
      </w:r>
      <w:r w:rsidRPr="009F5F1C">
        <w:rPr>
          <w:rFonts w:ascii="Arial" w:hAnsi="Arial" w:cs="Arial"/>
          <w:sz w:val="24"/>
          <w:szCs w:val="24"/>
          <w:lang w:val="en"/>
        </w:rPr>
        <w:t xml:space="preserve"> is a Hebrew word and is usually translated as “luck” but literally translated means “constellations.” </w:t>
      </w:r>
    </w:p>
    <w:p w:rsidR="004A7B5A" w:rsidRDefault="004A7B5A" w:rsidP="004A7B5A">
      <w:pPr>
        <w:spacing w:line="360" w:lineRule="auto"/>
        <w:rPr>
          <w:rFonts w:ascii="Arial" w:hAnsi="Arial" w:cs="Arial"/>
          <w:sz w:val="24"/>
          <w:szCs w:val="24"/>
          <w:lang w:val="en"/>
        </w:rPr>
      </w:pPr>
      <w:r w:rsidRPr="009F5F1C">
        <w:rPr>
          <w:rFonts w:ascii="Arial" w:hAnsi="Arial" w:cs="Arial"/>
          <w:sz w:val="24"/>
          <w:szCs w:val="24"/>
          <w:lang w:val="en"/>
        </w:rPr>
        <w:t xml:space="preserve">The second </w:t>
      </w:r>
      <w:r>
        <w:rPr>
          <w:rFonts w:ascii="Arial" w:hAnsi="Arial" w:cs="Arial"/>
          <w:sz w:val="24"/>
          <w:szCs w:val="24"/>
          <w:lang w:val="en"/>
        </w:rPr>
        <w:t xml:space="preserve">issue worthy of note here is that in line with what was discussed earlier in the context of Judaism interacting with the cultures of those that have lived alongside Jews. This is the appropriation of the Babylonian months and their assimilation into a Jewish source such as the Talmud indicating the blending of </w:t>
      </w:r>
      <w:r>
        <w:rPr>
          <w:rFonts w:ascii="Arial" w:hAnsi="Arial" w:cs="Arial"/>
          <w:sz w:val="24"/>
          <w:szCs w:val="24"/>
          <w:lang w:val="en"/>
        </w:rPr>
        <w:lastRenderedPageBreak/>
        <w:t>concepts between cultures, highlighting the difficulty in identifying Jewish only cosmologies or astrological concepts.</w:t>
      </w:r>
    </w:p>
    <w:p w:rsidR="004A7B5A" w:rsidRDefault="004A7B5A" w:rsidP="004A7B5A">
      <w:pPr>
        <w:spacing w:line="360" w:lineRule="auto"/>
        <w:rPr>
          <w:rFonts w:ascii="Arial" w:hAnsi="Arial" w:cs="Arial"/>
          <w:sz w:val="24"/>
          <w:szCs w:val="24"/>
          <w:lang w:val="en"/>
        </w:rPr>
      </w:pPr>
      <w:r>
        <w:rPr>
          <w:rFonts w:ascii="Arial" w:hAnsi="Arial" w:cs="Arial"/>
          <w:sz w:val="24"/>
          <w:szCs w:val="24"/>
          <w:lang w:val="en"/>
        </w:rPr>
        <w:t>The use of astronomical bodies or astronomical/ astrological phenomena as a foreshadowing mechanism can be found in both Christian and Jewish sources. The star of Bethlehem phenomena is considered an example of the incorporation of an astrological omen foreshadowing the birth of Jesus Christ in the Christian tradition</w:t>
      </w:r>
      <w:r>
        <w:rPr>
          <w:rStyle w:val="FootnoteReference"/>
          <w:rFonts w:ascii="Arial" w:hAnsi="Arial" w:cs="Arial"/>
          <w:sz w:val="24"/>
          <w:szCs w:val="24"/>
          <w:lang w:val="en"/>
        </w:rPr>
        <w:footnoteReference w:id="18"/>
      </w:r>
      <w:r>
        <w:rPr>
          <w:rFonts w:ascii="Arial" w:hAnsi="Arial" w:cs="Arial"/>
          <w:sz w:val="24"/>
          <w:szCs w:val="24"/>
          <w:lang w:val="en"/>
        </w:rPr>
        <w:t xml:space="preserve"> , whilst in Judaism,  the book of Isaiah</w:t>
      </w:r>
      <w:r>
        <w:rPr>
          <w:rStyle w:val="FootnoteReference"/>
          <w:rFonts w:ascii="Arial" w:hAnsi="Arial" w:cs="Arial"/>
          <w:sz w:val="24"/>
          <w:szCs w:val="24"/>
          <w:lang w:val="en"/>
        </w:rPr>
        <w:footnoteReference w:id="19"/>
      </w:r>
      <w:r>
        <w:rPr>
          <w:rFonts w:ascii="Arial" w:hAnsi="Arial" w:cs="Arial"/>
          <w:sz w:val="24"/>
          <w:szCs w:val="24"/>
          <w:lang w:val="en"/>
        </w:rPr>
        <w:t xml:space="preserve"> 13:10 describes heavenly bodies foreshadowing a futuristic apocalyptic event:</w:t>
      </w:r>
    </w:p>
    <w:p w:rsidR="004A7B5A" w:rsidRPr="003F6FE1" w:rsidRDefault="004A7B5A" w:rsidP="004A7B5A">
      <w:pPr>
        <w:spacing w:line="360" w:lineRule="auto"/>
        <w:rPr>
          <w:rFonts w:ascii="Arial" w:hAnsi="Arial" w:cs="Arial"/>
          <w:sz w:val="24"/>
          <w:szCs w:val="24"/>
          <w:lang w:val="en"/>
        </w:rPr>
      </w:pPr>
      <w:r>
        <w:rPr>
          <w:rStyle w:val="text"/>
          <w:rFonts w:ascii="Arial" w:hAnsi="Arial" w:cs="Arial"/>
          <w:sz w:val="24"/>
          <w:szCs w:val="24"/>
        </w:rPr>
        <w:t>“</w:t>
      </w:r>
      <w:r w:rsidRPr="003F6FE1">
        <w:rPr>
          <w:rStyle w:val="text"/>
          <w:rFonts w:ascii="Arial" w:hAnsi="Arial" w:cs="Arial"/>
          <w:sz w:val="24"/>
          <w:szCs w:val="24"/>
        </w:rPr>
        <w:t>The stars of heaven and their constellations</w:t>
      </w:r>
      <w:r>
        <w:rPr>
          <w:rFonts w:ascii="Arial" w:hAnsi="Arial" w:cs="Arial"/>
          <w:sz w:val="24"/>
          <w:szCs w:val="24"/>
        </w:rPr>
        <w:t xml:space="preserve"> </w:t>
      </w:r>
      <w:r w:rsidRPr="003F6FE1">
        <w:rPr>
          <w:rStyle w:val="text"/>
          <w:rFonts w:ascii="Arial" w:hAnsi="Arial" w:cs="Arial"/>
          <w:sz w:val="24"/>
          <w:szCs w:val="24"/>
        </w:rPr>
        <w:t>will not show their light.</w:t>
      </w:r>
      <w:r w:rsidRPr="003F6FE1">
        <w:rPr>
          <w:rFonts w:ascii="Arial" w:hAnsi="Arial" w:cs="Arial"/>
          <w:sz w:val="24"/>
          <w:szCs w:val="24"/>
        </w:rPr>
        <w:br/>
      </w:r>
      <w:r w:rsidRPr="003F6FE1">
        <w:rPr>
          <w:rStyle w:val="text"/>
          <w:rFonts w:ascii="Arial" w:hAnsi="Arial" w:cs="Arial"/>
          <w:sz w:val="24"/>
          <w:szCs w:val="24"/>
        </w:rPr>
        <w:t>The rising sun will be darkened</w:t>
      </w:r>
      <w:r>
        <w:rPr>
          <w:rFonts w:ascii="Arial" w:hAnsi="Arial" w:cs="Arial"/>
          <w:sz w:val="24"/>
          <w:szCs w:val="24"/>
        </w:rPr>
        <w:t xml:space="preserve"> </w:t>
      </w:r>
      <w:r w:rsidRPr="003F6FE1">
        <w:rPr>
          <w:rStyle w:val="text"/>
          <w:rFonts w:ascii="Arial" w:hAnsi="Arial" w:cs="Arial"/>
          <w:sz w:val="24"/>
          <w:szCs w:val="24"/>
        </w:rPr>
        <w:t>and the moon will not give its light</w:t>
      </w:r>
      <w:r>
        <w:rPr>
          <w:rStyle w:val="text"/>
          <w:rFonts w:ascii="Arial" w:hAnsi="Arial" w:cs="Arial"/>
          <w:sz w:val="24"/>
          <w:szCs w:val="24"/>
        </w:rPr>
        <w:t>.”</w:t>
      </w:r>
    </w:p>
    <w:p w:rsidR="004A7B5A" w:rsidRDefault="004A7B5A" w:rsidP="004A7B5A">
      <w:pPr>
        <w:spacing w:line="360" w:lineRule="auto"/>
        <w:rPr>
          <w:rFonts w:ascii="Arial" w:hAnsi="Arial" w:cs="Arial"/>
          <w:sz w:val="24"/>
          <w:szCs w:val="24"/>
        </w:rPr>
      </w:pPr>
      <w:r>
        <w:rPr>
          <w:rFonts w:ascii="Arial" w:hAnsi="Arial" w:cs="Arial"/>
          <w:sz w:val="24"/>
          <w:szCs w:val="24"/>
        </w:rPr>
        <w:t>It would appear from the afore mentioned examples that both Christianity and Judaism incorporate astrological phenomena within its practices, however debates over the official stance that either religion takes toward astrology continues to be subject to much debate. Central to these debates is the arguments for and against the use of astrology as a divination tool.</w:t>
      </w:r>
    </w:p>
    <w:p w:rsidR="004A7B5A" w:rsidRDefault="004A7B5A" w:rsidP="004A7B5A">
      <w:pPr>
        <w:spacing w:line="360" w:lineRule="auto"/>
        <w:rPr>
          <w:rFonts w:ascii="Arial" w:hAnsi="Arial" w:cs="Arial"/>
          <w:sz w:val="24"/>
          <w:szCs w:val="24"/>
        </w:rPr>
      </w:pPr>
      <w:r>
        <w:rPr>
          <w:rFonts w:ascii="Arial" w:hAnsi="Arial" w:cs="Arial"/>
          <w:sz w:val="24"/>
          <w:szCs w:val="24"/>
        </w:rPr>
        <w:t>Within Christianity, one the key arguments against the use of astrology as divination were made by Augustine, where he stated that the star of Bethlehem shone as a result of Christ’s birth to guide the Magi to the path of the righteous, so that they may denounce their connection with astrology and find salvation in Christ the saviour.</w:t>
      </w:r>
      <w:r>
        <w:rPr>
          <w:rStyle w:val="FootnoteReference"/>
          <w:rFonts w:ascii="Arial" w:hAnsi="Arial" w:cs="Arial"/>
          <w:sz w:val="24"/>
          <w:szCs w:val="24"/>
        </w:rPr>
        <w:footnoteReference w:id="20"/>
      </w:r>
      <w:r>
        <w:rPr>
          <w:rFonts w:ascii="Arial" w:hAnsi="Arial" w:cs="Arial"/>
          <w:sz w:val="24"/>
          <w:szCs w:val="24"/>
        </w:rPr>
        <w:t xml:space="preserve"> </w:t>
      </w:r>
    </w:p>
    <w:p w:rsidR="004A7B5A" w:rsidRDefault="004A7B5A" w:rsidP="004A7B5A">
      <w:pPr>
        <w:spacing w:line="360" w:lineRule="auto"/>
        <w:rPr>
          <w:rFonts w:ascii="Arial" w:hAnsi="Arial" w:cs="Arial"/>
          <w:sz w:val="24"/>
          <w:szCs w:val="24"/>
        </w:rPr>
      </w:pPr>
      <w:r>
        <w:rPr>
          <w:rFonts w:ascii="Arial" w:hAnsi="Arial" w:cs="Arial"/>
          <w:sz w:val="24"/>
          <w:szCs w:val="24"/>
        </w:rPr>
        <w:t>Conversely within Judaism, warnings against attributing a divinity qualities to heavenly bodies can be found in the Tanakh (Deuteronomy 4:19)</w:t>
      </w:r>
      <w:r>
        <w:rPr>
          <w:rStyle w:val="FootnoteReference"/>
          <w:rFonts w:ascii="Arial" w:hAnsi="Arial" w:cs="Arial"/>
          <w:sz w:val="24"/>
          <w:szCs w:val="24"/>
        </w:rPr>
        <w:footnoteReference w:id="21"/>
      </w:r>
      <w:r>
        <w:rPr>
          <w:rFonts w:ascii="Arial" w:hAnsi="Arial" w:cs="Arial"/>
          <w:sz w:val="24"/>
          <w:szCs w:val="24"/>
        </w:rPr>
        <w:t xml:space="preserve"> :</w:t>
      </w: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“And take heed, lest you lift your eyes to heaven, and when you see the sun, the moon, and the stars, all the moon or any of the host of heaven, you </w:t>
      </w:r>
      <w:r w:rsidRPr="0036309A">
        <w:rPr>
          <w:rFonts w:ascii="Arial" w:hAnsi="Arial" w:cs="Arial"/>
          <w:sz w:val="24"/>
          <w:szCs w:val="24"/>
        </w:rPr>
        <w:t xml:space="preserve">feel driven </w:t>
      </w:r>
      <w:r>
        <w:rPr>
          <w:rFonts w:ascii="Arial" w:hAnsi="Arial" w:cs="Arial"/>
          <w:sz w:val="24"/>
          <w:szCs w:val="24"/>
        </w:rPr>
        <w:t xml:space="preserve">to worship </w:t>
      </w:r>
      <w:r w:rsidRPr="0036309A">
        <w:rPr>
          <w:rFonts w:ascii="Arial" w:hAnsi="Arial" w:cs="Arial"/>
          <w:sz w:val="24"/>
          <w:szCs w:val="24"/>
        </w:rPr>
        <w:t>them and serve them.”</w:t>
      </w:r>
    </w:p>
    <w:p w:rsidR="004A7B5A" w:rsidRDefault="004A7B5A" w:rsidP="004A7B5A">
      <w:pPr>
        <w:autoSpaceDE w:val="0"/>
        <w:autoSpaceDN w:val="0"/>
        <w:adjustRightInd w:val="0"/>
        <w:spacing w:after="0" w:line="360" w:lineRule="auto"/>
        <w:rPr>
          <w:rFonts w:ascii="Arial" w:hAnsi="Arial" w:cs="Arial"/>
          <w:sz w:val="24"/>
          <w:szCs w:val="24"/>
        </w:rPr>
      </w:pPr>
    </w:p>
    <w:p w:rsidR="004A7B5A" w:rsidRPr="0036309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lastRenderedPageBreak/>
        <w:t xml:space="preserve">As with Christianity, schools of thought have emerged within Judaism either against or in support of astrology. The medieval Jewish philosopher Maimonides took the stance that anything that suggested that God’s power was limited in any way, such as attributing divinity to astronomical bodies, was unacceptable. He went a step further by placing the blame of the destruction of the Jewish state and the Jewish diaspora at the door of astrologers. </w:t>
      </w:r>
      <w:r>
        <w:rPr>
          <w:rStyle w:val="FootnoteReference"/>
          <w:rFonts w:ascii="Arial" w:hAnsi="Arial" w:cs="Arial"/>
          <w:sz w:val="24"/>
          <w:szCs w:val="24"/>
        </w:rPr>
        <w:footnoteReference w:id="22"/>
      </w:r>
    </w:p>
    <w:p w:rsidR="004A7B5A" w:rsidRDefault="004A7B5A" w:rsidP="004A7B5A">
      <w:pPr>
        <w:autoSpaceDE w:val="0"/>
        <w:autoSpaceDN w:val="0"/>
        <w:adjustRightInd w:val="0"/>
        <w:spacing w:after="0" w:line="360" w:lineRule="auto"/>
        <w:rPr>
          <w:rFonts w:ascii="Arial" w:hAnsi="Arial" w:cs="Arial"/>
          <w:sz w:val="24"/>
          <w:szCs w:val="24"/>
        </w:rPr>
      </w:pPr>
    </w:p>
    <w:p w:rsidR="004A7B5A" w:rsidRPr="00A975FD"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Such a strong stance did not prevent other schools of thought in favour of astrology such as the Kabbalah from developing within the Jewish community. Kabbalah which is </w:t>
      </w:r>
      <w:r w:rsidRPr="00A975FD">
        <w:rPr>
          <w:rFonts w:ascii="Arial" w:hAnsi="Arial" w:cs="Arial"/>
          <w:color w:val="000000"/>
          <w:sz w:val="24"/>
          <w:szCs w:val="24"/>
        </w:rPr>
        <w:t xml:space="preserve">an ancient wisdom that </w:t>
      </w:r>
      <w:r>
        <w:rPr>
          <w:rFonts w:ascii="Arial" w:hAnsi="Arial" w:cs="Arial"/>
          <w:color w:val="000000"/>
          <w:sz w:val="24"/>
          <w:szCs w:val="24"/>
        </w:rPr>
        <w:t xml:space="preserve">aims to reveal how the universe works through the unfolding of astrological events, and how this can manifest in the life of the individual. In the literal sense, </w:t>
      </w:r>
      <w:r w:rsidRPr="00A975FD">
        <w:rPr>
          <w:rFonts w:ascii="Arial" w:hAnsi="Arial" w:cs="Arial"/>
          <w:color w:val="000000"/>
          <w:sz w:val="24"/>
          <w:szCs w:val="24"/>
        </w:rPr>
        <w:t>the w</w:t>
      </w:r>
      <w:r>
        <w:rPr>
          <w:rFonts w:ascii="Arial" w:hAnsi="Arial" w:cs="Arial"/>
          <w:color w:val="000000"/>
          <w:sz w:val="24"/>
          <w:szCs w:val="24"/>
        </w:rPr>
        <w:t xml:space="preserve">ord Kabbalah means "receiving the wisdom of the universe”.  </w:t>
      </w:r>
      <w:r>
        <w:rPr>
          <w:rStyle w:val="FootnoteReference"/>
          <w:rFonts w:ascii="Arial" w:hAnsi="Arial" w:cs="Arial"/>
          <w:color w:val="000000"/>
          <w:sz w:val="24"/>
          <w:szCs w:val="24"/>
        </w:rPr>
        <w:footnoteReference w:id="23"/>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spacing w:line="360" w:lineRule="auto"/>
        <w:rPr>
          <w:rFonts w:ascii="Arial" w:hAnsi="Arial" w:cs="Arial"/>
          <w:sz w:val="24"/>
          <w:szCs w:val="24"/>
        </w:rPr>
      </w:pPr>
      <w:r>
        <w:rPr>
          <w:rFonts w:ascii="Arial" w:hAnsi="Arial" w:cs="Arial"/>
          <w:sz w:val="24"/>
          <w:szCs w:val="24"/>
        </w:rPr>
        <w:t xml:space="preserve">And the evolution of thoughts and practices around astrology within Judaism continues to more recent times. An example of this is where </w:t>
      </w:r>
      <w:r w:rsidRPr="009743F3">
        <w:rPr>
          <w:rFonts w:ascii="Arial" w:hAnsi="Arial" w:cs="Arial"/>
          <w:sz w:val="24"/>
          <w:szCs w:val="24"/>
        </w:rPr>
        <w:t>Rosen &amp; Rosen (2000, 263-264) identified an increase in new moon rituals (Rosh Chodes</w:t>
      </w:r>
      <w:r>
        <w:rPr>
          <w:rFonts w:ascii="Arial" w:hAnsi="Arial" w:cs="Arial"/>
          <w:sz w:val="24"/>
          <w:szCs w:val="24"/>
        </w:rPr>
        <w:t xml:space="preserve">h or festival of the new moon) </w:t>
      </w:r>
      <w:r w:rsidRPr="009743F3">
        <w:rPr>
          <w:rFonts w:ascii="Arial" w:hAnsi="Arial" w:cs="Arial"/>
          <w:sz w:val="24"/>
          <w:szCs w:val="24"/>
        </w:rPr>
        <w:t>and credited these with the developm</w:t>
      </w:r>
      <w:r>
        <w:rPr>
          <w:rFonts w:ascii="Arial" w:hAnsi="Arial" w:cs="Arial"/>
          <w:sz w:val="24"/>
          <w:szCs w:val="24"/>
        </w:rPr>
        <w:t>ent of new religious practices focused predominately on women. These practices include holding Rosh Chodesh gatherings of women on or around the new moon. The study does not state if these gathering place any level of importance on this being the astronomical new moon or the earliest point when the moon becomes visible. These gatherings sometimes take place in a synagogue, at other times they take place in participant’s homes or in community settings.</w:t>
      </w: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Taking into account the examples discussed in this paper, it is evident that the early Christian and Jewish sources set out to attribute divinity to one God, the creator, and from a cosmology stand point are quite similar with Christianity possessing one additional factor which is the consideration of Christ as a saviour.  Additionally, </w:t>
      </w:r>
      <w:r>
        <w:rPr>
          <w:rFonts w:ascii="Arial" w:hAnsi="Arial" w:cs="Arial"/>
          <w:sz w:val="24"/>
          <w:szCs w:val="24"/>
        </w:rPr>
        <w:lastRenderedPageBreak/>
        <w:t>among the key challenges to pin pointing a particular stance from either Christianity or Judaism towards astrology is the diversity of thought and the lack of uniformity in responses to the topic.</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The debates and discussions around the topic of astrology within Judaism and Christianity focuses predominantly on determining if either religion approves or disapproves of the use of astrology, whilst not offering a uniformed definition of what astrology is or isn’t.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Furthermore, the tendency of both Christianity and Judaism in their initial development to limit the definition of astrology to being a divination mechanism without considering other ways in which astrology can be and has been incorporated into practice, has stifled the debate considerably.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From both a Christian and Jewish perspective there is evidence to support the notion that astrology is utilised in foreshadowing events and as omens and is used as a cosmic timer. There is also evidence to support that both religions appropriate ideas from other cultures.</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The key difference between the stances to astrology from both religions is that discussions around astrology within Christianity remain polarised between evidence that supports astrology and evidence against astrology. Whilst this is true within Judaism also, this has not prevented schools of thought rooted in astrological practice such as the Kabbalah to continue to evolve until present day. Another recent development is the emergence of new religious practices as a result of the astrologically based observance of marking the new moon.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This sheds light on the openness within some sectors of the Jewish community to being open to not only incorporating astrological phenomena into their activities but using these for the basis on developing new religious practices. Despite the evolution of these practises, Jewish people still retain the concept outlined in the earliest of Jewish sources the Tanakh that divinity is attributed to God, and heavenly bodies can be used as tools to enhance day to day lives. It is these emerging </w:t>
      </w:r>
      <w:r>
        <w:rPr>
          <w:rFonts w:ascii="Arial" w:hAnsi="Arial" w:cs="Arial"/>
          <w:sz w:val="24"/>
          <w:szCs w:val="24"/>
        </w:rPr>
        <w:lastRenderedPageBreak/>
        <w:t>practices that allow for a balance to be struck between the divinity of God and the cosmos as the instrument of God.</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Therefore, whilst within both Judaism and Christianity there remain schools of thought that strongly oppose astrology. The evidence explored in this paper suggests that within Judaism the continuous evolution and emergence of </w:t>
      </w:r>
      <w:r w:rsidR="00D36D38">
        <w:rPr>
          <w:rFonts w:ascii="Arial" w:hAnsi="Arial" w:cs="Arial"/>
          <w:sz w:val="24"/>
          <w:szCs w:val="24"/>
        </w:rPr>
        <w:t>practises</w:t>
      </w:r>
      <w:bookmarkStart w:id="5" w:name="_GoBack"/>
      <w:bookmarkEnd w:id="5"/>
      <w:r>
        <w:rPr>
          <w:rFonts w:ascii="Arial" w:hAnsi="Arial" w:cs="Arial"/>
          <w:sz w:val="24"/>
          <w:szCs w:val="24"/>
        </w:rPr>
        <w:t xml:space="preserve"> strongly rooted in </w:t>
      </w:r>
      <w:r w:rsidR="00D36D38">
        <w:rPr>
          <w:rFonts w:ascii="Arial" w:hAnsi="Arial" w:cs="Arial"/>
          <w:sz w:val="24"/>
          <w:szCs w:val="24"/>
        </w:rPr>
        <w:t>astrology</w:t>
      </w:r>
      <w:r>
        <w:rPr>
          <w:rFonts w:ascii="Arial" w:hAnsi="Arial" w:cs="Arial"/>
          <w:sz w:val="24"/>
          <w:szCs w:val="24"/>
        </w:rPr>
        <w:t xml:space="preserve"> such as the Kabbalah and Rosh Chodesh suggests a more sympathetic attitude to astrology in comparison with Christian attitudes. </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r>
        <w:rPr>
          <w:rFonts w:ascii="Arial" w:hAnsi="Arial" w:cs="Arial"/>
          <w:sz w:val="24"/>
          <w:szCs w:val="24"/>
        </w:rPr>
        <w:t>Niema Bohrayba</w:t>
      </w: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Default="004A7B5A" w:rsidP="004A7B5A">
      <w:pPr>
        <w:autoSpaceDE w:val="0"/>
        <w:autoSpaceDN w:val="0"/>
        <w:adjustRightInd w:val="0"/>
        <w:spacing w:after="0" w:line="360" w:lineRule="auto"/>
        <w:rPr>
          <w:rFonts w:ascii="Arial" w:hAnsi="Arial" w:cs="Arial"/>
          <w:sz w:val="24"/>
          <w:szCs w:val="24"/>
        </w:rPr>
      </w:pPr>
    </w:p>
    <w:p w:rsidR="004A7B5A" w:rsidRPr="00A62A89" w:rsidRDefault="004A7B5A" w:rsidP="004A7B5A">
      <w:pPr>
        <w:autoSpaceDE w:val="0"/>
        <w:autoSpaceDN w:val="0"/>
        <w:adjustRightInd w:val="0"/>
        <w:spacing w:after="0" w:line="240" w:lineRule="auto"/>
        <w:rPr>
          <w:rFonts w:ascii="Arial" w:hAnsi="Arial" w:cs="Arial"/>
          <w:b/>
          <w:sz w:val="24"/>
          <w:szCs w:val="24"/>
        </w:rPr>
      </w:pPr>
      <w:r w:rsidRPr="00A62A89">
        <w:rPr>
          <w:rFonts w:ascii="Arial" w:hAnsi="Arial" w:cs="Arial"/>
          <w:b/>
          <w:sz w:val="24"/>
          <w:szCs w:val="24"/>
        </w:rPr>
        <w:t>References:</w:t>
      </w:r>
    </w:p>
    <w:p w:rsidR="004A7B5A" w:rsidRDefault="004A7B5A" w:rsidP="004A7B5A">
      <w:pPr>
        <w:autoSpaceDE w:val="0"/>
        <w:autoSpaceDN w:val="0"/>
        <w:adjustRightInd w:val="0"/>
        <w:spacing w:after="0" w:line="240" w:lineRule="auto"/>
        <w:rPr>
          <w:rFonts w:ascii="Arial" w:hAnsi="Arial" w:cs="Arial"/>
          <w:sz w:val="24"/>
          <w:szCs w:val="24"/>
        </w:rPr>
      </w:pPr>
    </w:p>
    <w:p w:rsidR="004A7B5A" w:rsidRDefault="004A7B5A" w:rsidP="004A7B5A">
      <w:pPr>
        <w:autoSpaceDE w:val="0"/>
        <w:autoSpaceDN w:val="0"/>
        <w:adjustRightInd w:val="0"/>
        <w:spacing w:after="0" w:line="240" w:lineRule="auto"/>
      </w:pPr>
    </w:p>
    <w:p w:rsidR="004A7B5A" w:rsidRDefault="004A7B5A" w:rsidP="004A7B5A">
      <w:pPr>
        <w:autoSpaceDE w:val="0"/>
        <w:autoSpaceDN w:val="0"/>
        <w:adjustRightInd w:val="0"/>
        <w:spacing w:after="0" w:line="240" w:lineRule="auto"/>
        <w:rPr>
          <w:rFonts w:ascii="Arial" w:hAnsi="Arial" w:cs="Arial"/>
          <w:sz w:val="24"/>
          <w:szCs w:val="24"/>
        </w:rPr>
      </w:pPr>
      <w:r w:rsidRPr="00C142D4">
        <w:rPr>
          <w:rFonts w:ascii="Arial" w:hAnsi="Arial" w:cs="Arial"/>
          <w:sz w:val="24"/>
          <w:szCs w:val="24"/>
        </w:rPr>
        <w:t>Campion, Nicholas, “</w:t>
      </w:r>
      <w:r w:rsidRPr="00A62A89">
        <w:rPr>
          <w:rFonts w:ascii="Arial" w:hAnsi="Arial" w:cs="Arial"/>
          <w:i/>
          <w:sz w:val="24"/>
          <w:szCs w:val="24"/>
        </w:rPr>
        <w:t>Astrology And Cosmology In World Religions</w:t>
      </w:r>
      <w:r w:rsidRPr="00C142D4">
        <w:rPr>
          <w:rFonts w:ascii="Arial" w:hAnsi="Arial" w:cs="Arial"/>
          <w:sz w:val="24"/>
          <w:szCs w:val="24"/>
        </w:rPr>
        <w:t>”, New York: New York University Press., 2012</w:t>
      </w:r>
    </w:p>
    <w:p w:rsidR="00D36D38" w:rsidRDefault="00D36D38" w:rsidP="004A7B5A">
      <w:pPr>
        <w:autoSpaceDE w:val="0"/>
        <w:autoSpaceDN w:val="0"/>
        <w:adjustRightInd w:val="0"/>
        <w:spacing w:after="0" w:line="240" w:lineRule="auto"/>
        <w:rPr>
          <w:rFonts w:ascii="Arial" w:hAnsi="Arial" w:cs="Arial"/>
          <w:sz w:val="24"/>
          <w:szCs w:val="24"/>
        </w:rPr>
      </w:pPr>
    </w:p>
    <w:p w:rsidR="00D36D38" w:rsidRPr="00D36D38" w:rsidRDefault="00D36D38" w:rsidP="00D36D38">
      <w:pPr>
        <w:pStyle w:val="FootnoteText"/>
        <w:rPr>
          <w:rFonts w:ascii="Arial" w:hAnsi="Arial" w:cs="Arial"/>
          <w:sz w:val="24"/>
          <w:szCs w:val="24"/>
        </w:rPr>
      </w:pPr>
      <w:r>
        <w:t xml:space="preserve"> </w:t>
      </w:r>
      <w:r w:rsidRPr="00D36D38">
        <w:rPr>
          <w:rFonts w:ascii="Arial" w:hAnsi="Arial" w:cs="Arial"/>
          <w:sz w:val="24"/>
          <w:szCs w:val="24"/>
        </w:rPr>
        <w:t xml:space="preserve">“Christian Prosolytization: Why Christians prosolytize?” </w:t>
      </w:r>
      <w:r w:rsidRPr="00D36D38">
        <w:rPr>
          <w:rFonts w:ascii="Arial" w:hAnsi="Arial" w:cs="Arial"/>
          <w:i/>
          <w:sz w:val="24"/>
          <w:szCs w:val="24"/>
        </w:rPr>
        <w:t>Prosolytise.com</w:t>
      </w:r>
      <w:r w:rsidRPr="00D36D38">
        <w:rPr>
          <w:rFonts w:ascii="Arial" w:hAnsi="Arial" w:cs="Arial"/>
          <w:sz w:val="24"/>
          <w:szCs w:val="24"/>
        </w:rPr>
        <w:t>. Accessed April 5, 2019.</w:t>
      </w:r>
    </w:p>
    <w:p w:rsidR="00D36D38" w:rsidRPr="00D36D38" w:rsidRDefault="00D36D38" w:rsidP="004A7B5A">
      <w:pPr>
        <w:autoSpaceDE w:val="0"/>
        <w:autoSpaceDN w:val="0"/>
        <w:adjustRightInd w:val="0"/>
        <w:spacing w:after="0" w:line="240" w:lineRule="auto"/>
        <w:rPr>
          <w:rFonts w:ascii="Arial" w:hAnsi="Arial" w:cs="Arial"/>
          <w:sz w:val="24"/>
          <w:szCs w:val="24"/>
        </w:rPr>
      </w:pPr>
    </w:p>
    <w:p w:rsidR="004A7B5A" w:rsidRDefault="004A7B5A" w:rsidP="004A7B5A">
      <w:pPr>
        <w:autoSpaceDE w:val="0"/>
        <w:autoSpaceDN w:val="0"/>
        <w:adjustRightInd w:val="0"/>
        <w:spacing w:after="0" w:line="240" w:lineRule="auto"/>
        <w:rPr>
          <w:rFonts w:ascii="Arial" w:hAnsi="Arial" w:cs="Arial"/>
          <w:sz w:val="24"/>
          <w:szCs w:val="24"/>
        </w:rPr>
      </w:pPr>
    </w:p>
    <w:p w:rsidR="004A7B5A" w:rsidRPr="00C142D4" w:rsidRDefault="004A7B5A" w:rsidP="004A7B5A">
      <w:pPr>
        <w:autoSpaceDE w:val="0"/>
        <w:autoSpaceDN w:val="0"/>
        <w:adjustRightInd w:val="0"/>
        <w:spacing w:after="0" w:line="240" w:lineRule="auto"/>
        <w:rPr>
          <w:rFonts w:ascii="Arial" w:hAnsi="Arial" w:cs="Arial"/>
          <w:sz w:val="24"/>
          <w:szCs w:val="24"/>
        </w:rPr>
      </w:pPr>
      <w:r>
        <w:rPr>
          <w:rFonts w:ascii="Arial" w:hAnsi="Arial" w:cs="Arial"/>
          <w:sz w:val="24"/>
          <w:szCs w:val="24"/>
        </w:rPr>
        <w:t>Halsberghe, Gaston. H. “</w:t>
      </w:r>
      <w:r w:rsidRPr="00A62A89">
        <w:rPr>
          <w:rFonts w:ascii="Arial" w:hAnsi="Arial" w:cs="Arial"/>
          <w:i/>
          <w:sz w:val="24"/>
          <w:szCs w:val="24"/>
        </w:rPr>
        <w:t>The cult of Sol Invictus</w:t>
      </w:r>
      <w:r>
        <w:rPr>
          <w:rFonts w:ascii="Arial" w:hAnsi="Arial" w:cs="Arial"/>
          <w:sz w:val="24"/>
          <w:szCs w:val="24"/>
        </w:rPr>
        <w:t>”, Leiden: E, J, Brill, 1972.</w:t>
      </w:r>
    </w:p>
    <w:p w:rsidR="004A7B5A" w:rsidRDefault="004A7B5A" w:rsidP="004A7B5A">
      <w:pPr>
        <w:autoSpaceDE w:val="0"/>
        <w:autoSpaceDN w:val="0"/>
        <w:adjustRightInd w:val="0"/>
        <w:spacing w:after="0" w:line="240" w:lineRule="auto"/>
        <w:rPr>
          <w:rFonts w:ascii="Arial" w:hAnsi="Arial" w:cs="Arial"/>
          <w:sz w:val="24"/>
          <w:szCs w:val="24"/>
        </w:rPr>
      </w:pPr>
    </w:p>
    <w:p w:rsidR="004A7B5A" w:rsidRPr="00A62A89" w:rsidRDefault="004A7B5A" w:rsidP="004A7B5A">
      <w:pPr>
        <w:autoSpaceDE w:val="0"/>
        <w:autoSpaceDN w:val="0"/>
        <w:adjustRightInd w:val="0"/>
        <w:spacing w:after="0" w:line="240" w:lineRule="auto"/>
        <w:rPr>
          <w:rFonts w:ascii="Arial" w:hAnsi="Arial" w:cs="Arial"/>
          <w:sz w:val="24"/>
          <w:szCs w:val="24"/>
        </w:rPr>
      </w:pPr>
      <w:r w:rsidRPr="00A62A89">
        <w:rPr>
          <w:rFonts w:ascii="Arial" w:hAnsi="Arial" w:cs="Arial"/>
          <w:sz w:val="24"/>
          <w:szCs w:val="24"/>
        </w:rPr>
        <w:t>Hoffman, C. M., “</w:t>
      </w:r>
      <w:r w:rsidRPr="00A62A89">
        <w:rPr>
          <w:rFonts w:ascii="Arial" w:hAnsi="Arial" w:cs="Arial"/>
          <w:i/>
          <w:sz w:val="24"/>
          <w:szCs w:val="24"/>
        </w:rPr>
        <w:t>Judaism An Introduction</w:t>
      </w:r>
      <w:r w:rsidRPr="00A62A89">
        <w:rPr>
          <w:rFonts w:ascii="Arial" w:hAnsi="Arial" w:cs="Arial"/>
          <w:sz w:val="24"/>
          <w:szCs w:val="24"/>
        </w:rPr>
        <w:t>”, London: Hodder Education, 2010</w:t>
      </w:r>
    </w:p>
    <w:p w:rsidR="004A7B5A" w:rsidRDefault="004A7B5A" w:rsidP="004A7B5A">
      <w:pPr>
        <w:autoSpaceDE w:val="0"/>
        <w:autoSpaceDN w:val="0"/>
        <w:adjustRightInd w:val="0"/>
        <w:spacing w:after="0" w:line="240" w:lineRule="auto"/>
        <w:rPr>
          <w:rFonts w:ascii="Arial" w:hAnsi="Arial" w:cs="Arial"/>
          <w:sz w:val="24"/>
          <w:szCs w:val="24"/>
        </w:rPr>
      </w:pPr>
    </w:p>
    <w:p w:rsidR="004A7B5A" w:rsidRPr="00C142D4" w:rsidRDefault="004A7B5A" w:rsidP="004A7B5A">
      <w:pPr>
        <w:autoSpaceDE w:val="0"/>
        <w:autoSpaceDN w:val="0"/>
        <w:adjustRightInd w:val="0"/>
        <w:spacing w:after="0" w:line="240" w:lineRule="auto"/>
        <w:rPr>
          <w:rFonts w:ascii="Arial" w:hAnsi="Arial" w:cs="Arial"/>
          <w:sz w:val="24"/>
          <w:szCs w:val="24"/>
        </w:rPr>
      </w:pPr>
      <w:r>
        <w:rPr>
          <w:rFonts w:ascii="Arial" w:hAnsi="Arial" w:cs="Arial"/>
          <w:sz w:val="24"/>
          <w:szCs w:val="24"/>
        </w:rPr>
        <w:t>Jacobs, Louis, “Jewish Cosmology”</w:t>
      </w:r>
      <w:r w:rsidRPr="00C142D4">
        <w:rPr>
          <w:rFonts w:ascii="Arial" w:hAnsi="Arial" w:cs="Arial"/>
          <w:sz w:val="24"/>
          <w:szCs w:val="24"/>
        </w:rPr>
        <w:t xml:space="preserve"> in Blacker, Carmen and Loewe, Michael,</w:t>
      </w:r>
    </w:p>
    <w:p w:rsidR="004A7B5A" w:rsidRDefault="004A7B5A" w:rsidP="004A7B5A">
      <w:r w:rsidRPr="00C142D4">
        <w:rPr>
          <w:rFonts w:ascii="Arial" w:hAnsi="Arial" w:cs="Arial"/>
          <w:sz w:val="24"/>
          <w:szCs w:val="24"/>
        </w:rPr>
        <w:t>Ancient Cosmologies, London: Ge</w:t>
      </w:r>
      <w:r>
        <w:rPr>
          <w:rFonts w:ascii="Arial" w:hAnsi="Arial" w:cs="Arial"/>
          <w:sz w:val="24"/>
          <w:szCs w:val="24"/>
        </w:rPr>
        <w:t>orge Allen and Unwin Ltd., 1975.</w:t>
      </w:r>
    </w:p>
    <w:p w:rsidR="004A7B5A" w:rsidRPr="004A7B5A" w:rsidRDefault="004A7B5A" w:rsidP="004A7B5A"/>
    <w:p w:rsidR="004A7B5A" w:rsidRPr="00C142D4" w:rsidRDefault="004A7B5A" w:rsidP="004A7B5A">
      <w:pPr>
        <w:rPr>
          <w:rFonts w:ascii="Arial" w:hAnsi="Arial" w:cs="Arial"/>
          <w:color w:val="000000" w:themeColor="text1"/>
          <w:sz w:val="24"/>
          <w:szCs w:val="24"/>
          <w:lang w:val="en"/>
        </w:rPr>
      </w:pPr>
      <w:r w:rsidRPr="00C142D4">
        <w:rPr>
          <w:rFonts w:ascii="Arial" w:hAnsi="Arial" w:cs="Arial"/>
          <w:sz w:val="24"/>
          <w:szCs w:val="24"/>
        </w:rPr>
        <w:t xml:space="preserve">“Jewish Prosolytizing: Why Jewish people do not prosolytize?” </w:t>
      </w:r>
      <w:r w:rsidRPr="00C142D4">
        <w:rPr>
          <w:rFonts w:ascii="Arial" w:hAnsi="Arial" w:cs="Arial"/>
          <w:i/>
          <w:sz w:val="24"/>
          <w:szCs w:val="24"/>
        </w:rPr>
        <w:t>Prosolytise.com</w:t>
      </w:r>
      <w:r w:rsidRPr="00C142D4">
        <w:rPr>
          <w:rFonts w:ascii="Arial" w:hAnsi="Arial" w:cs="Arial"/>
          <w:sz w:val="24"/>
          <w:szCs w:val="24"/>
        </w:rPr>
        <w:t>. Accessed April 5, 2019.</w:t>
      </w:r>
    </w:p>
    <w:p w:rsidR="004A7B5A" w:rsidRDefault="004A7B5A" w:rsidP="004A7B5A">
      <w:pPr>
        <w:rPr>
          <w:rFonts w:ascii="Arial" w:hAnsi="Arial" w:cs="Arial"/>
          <w:color w:val="000000" w:themeColor="text1"/>
          <w:lang w:val="en"/>
        </w:rPr>
      </w:pPr>
      <w:r w:rsidRPr="00C142D4">
        <w:rPr>
          <w:rFonts w:ascii="Arial" w:hAnsi="Arial" w:cs="Arial"/>
          <w:color w:val="000000" w:themeColor="text1"/>
          <w:lang w:val="en"/>
        </w:rPr>
        <w:t xml:space="preserve">Rosen, David M., and Victoria P. Rosen. "New Myths and Meanings in Jewish New Moon Rituals." </w:t>
      </w:r>
      <w:r w:rsidRPr="00C142D4">
        <w:rPr>
          <w:rFonts w:ascii="Arial" w:hAnsi="Arial" w:cs="Arial"/>
          <w:i/>
          <w:iCs/>
          <w:color w:val="000000" w:themeColor="text1"/>
          <w:lang w:val="en"/>
        </w:rPr>
        <w:t>Ethnology</w:t>
      </w:r>
      <w:r w:rsidRPr="00C142D4">
        <w:rPr>
          <w:rFonts w:ascii="Arial" w:hAnsi="Arial" w:cs="Arial"/>
          <w:color w:val="000000" w:themeColor="text1"/>
          <w:lang w:val="en"/>
        </w:rPr>
        <w:t xml:space="preserve"> 39, no. 3 (2000): 263-277. doi:10.2307/3774110.</w:t>
      </w:r>
    </w:p>
    <w:p w:rsidR="004A7B5A" w:rsidRPr="00C142D4" w:rsidRDefault="004A7B5A" w:rsidP="004A7B5A">
      <w:pPr>
        <w:rPr>
          <w:rFonts w:ascii="Arial" w:hAnsi="Arial" w:cs="Arial"/>
          <w:color w:val="000000" w:themeColor="text1"/>
          <w:sz w:val="24"/>
          <w:szCs w:val="24"/>
          <w:lang w:val="en"/>
        </w:rPr>
      </w:pPr>
      <w:r w:rsidRPr="00C142D4">
        <w:rPr>
          <w:rFonts w:ascii="Arial" w:hAnsi="Arial" w:cs="Arial"/>
          <w:color w:val="000000" w:themeColor="text1"/>
          <w:sz w:val="24"/>
          <w:szCs w:val="24"/>
          <w:lang w:val="en"/>
        </w:rPr>
        <w:t>Stephanous</w:t>
      </w:r>
      <w:r>
        <w:rPr>
          <w:rFonts w:ascii="Arial" w:hAnsi="Arial" w:cs="Arial"/>
          <w:color w:val="000000" w:themeColor="text1"/>
          <w:sz w:val="24"/>
          <w:szCs w:val="24"/>
          <w:lang w:val="en"/>
        </w:rPr>
        <w:t>, Andrea, Zaki, “Arabic Christian Theology”, Grand Rapids: Zondervan., 2019</w:t>
      </w:r>
    </w:p>
    <w:p w:rsidR="004A7B5A" w:rsidRDefault="004A7B5A" w:rsidP="004A7B5A">
      <w:pPr>
        <w:rPr>
          <w:rFonts w:ascii="Arial" w:hAnsi="Arial" w:cs="Arial"/>
          <w:color w:val="000000" w:themeColor="text1"/>
          <w:lang w:val="en"/>
        </w:rPr>
      </w:pPr>
    </w:p>
    <w:p w:rsidR="004A7B5A" w:rsidRPr="00C142D4" w:rsidRDefault="004A7B5A" w:rsidP="004A7B5A">
      <w:pPr>
        <w:pStyle w:val="FootnoteText"/>
        <w:rPr>
          <w:rFonts w:ascii="Arial" w:hAnsi="Arial" w:cs="Arial"/>
          <w:sz w:val="24"/>
          <w:szCs w:val="24"/>
        </w:rPr>
      </w:pPr>
      <w:r w:rsidRPr="00C142D4">
        <w:rPr>
          <w:rFonts w:ascii="Arial" w:hAnsi="Arial" w:cs="Arial"/>
          <w:sz w:val="24"/>
          <w:szCs w:val="24"/>
        </w:rPr>
        <w:t>“The Eight Moon Phases as Personality Types”, Kelly’s Astrology, Last modified: April 24, 2017, https://kellysastrology.com/2017/04/24/the-eight-moon-phases-as-personality-types/</w:t>
      </w:r>
    </w:p>
    <w:p w:rsidR="004A7B5A" w:rsidRPr="00C142D4" w:rsidRDefault="004A7B5A" w:rsidP="004A7B5A">
      <w:pPr>
        <w:rPr>
          <w:rFonts w:ascii="Arial" w:hAnsi="Arial" w:cs="Arial"/>
          <w:sz w:val="24"/>
          <w:szCs w:val="24"/>
        </w:rPr>
      </w:pPr>
    </w:p>
    <w:p w:rsidR="004A7B5A" w:rsidRPr="00C142D4" w:rsidRDefault="004A7B5A" w:rsidP="004A7B5A">
      <w:pPr>
        <w:pStyle w:val="FootnoteText"/>
        <w:rPr>
          <w:rFonts w:ascii="Arial" w:hAnsi="Arial" w:cs="Arial"/>
          <w:sz w:val="24"/>
          <w:szCs w:val="24"/>
        </w:rPr>
      </w:pPr>
      <w:r>
        <w:rPr>
          <w:rFonts w:ascii="Arial" w:hAnsi="Arial" w:cs="Arial"/>
          <w:sz w:val="24"/>
          <w:szCs w:val="24"/>
        </w:rPr>
        <w:t xml:space="preserve">“What is Kabbalah”. </w:t>
      </w:r>
      <w:r w:rsidRPr="00C142D4">
        <w:rPr>
          <w:rFonts w:ascii="Arial" w:hAnsi="Arial" w:cs="Arial"/>
          <w:sz w:val="24"/>
          <w:szCs w:val="24"/>
        </w:rPr>
        <w:t xml:space="preserve">The Kabbalah Centre. </w:t>
      </w:r>
      <w:r>
        <w:rPr>
          <w:rFonts w:ascii="Arial" w:hAnsi="Arial" w:cs="Arial"/>
          <w:sz w:val="24"/>
          <w:szCs w:val="24"/>
        </w:rPr>
        <w:t xml:space="preserve">Last modified May 25, 2015. </w:t>
      </w:r>
      <w:r w:rsidRPr="00C142D4">
        <w:rPr>
          <w:rFonts w:ascii="Arial" w:hAnsi="Arial" w:cs="Arial"/>
          <w:sz w:val="24"/>
          <w:szCs w:val="24"/>
        </w:rPr>
        <w:t>https://kabbalah.com/en/online-courses/3190-introduction-to-kabbalah</w:t>
      </w:r>
    </w:p>
    <w:p w:rsidR="004A7B5A" w:rsidRPr="00C142D4" w:rsidRDefault="004A7B5A" w:rsidP="004A7B5A">
      <w:pPr>
        <w:rPr>
          <w:rFonts w:ascii="Arial" w:hAnsi="Arial" w:cs="Arial"/>
        </w:rPr>
      </w:pPr>
    </w:p>
    <w:p w:rsidR="004A7B5A" w:rsidRDefault="004A7B5A" w:rsidP="004A7B5A"/>
    <w:p w:rsidR="004A7B5A" w:rsidRDefault="004A7B5A" w:rsidP="004A7B5A">
      <w:pPr>
        <w:autoSpaceDE w:val="0"/>
        <w:autoSpaceDN w:val="0"/>
        <w:adjustRightInd w:val="0"/>
        <w:spacing w:after="0" w:line="360" w:lineRule="auto"/>
        <w:rPr>
          <w:rFonts w:ascii="Arial" w:hAnsi="Arial" w:cs="Arial"/>
          <w:sz w:val="24"/>
          <w:szCs w:val="24"/>
        </w:rPr>
      </w:pPr>
    </w:p>
    <w:p w:rsidR="004A7B5A" w:rsidRPr="0036309A" w:rsidRDefault="004A7B5A" w:rsidP="004A7B5A">
      <w:pPr>
        <w:autoSpaceDE w:val="0"/>
        <w:autoSpaceDN w:val="0"/>
        <w:adjustRightInd w:val="0"/>
        <w:spacing w:after="0" w:line="360" w:lineRule="auto"/>
        <w:rPr>
          <w:rFonts w:ascii="Arial" w:hAnsi="Arial" w:cs="Arial"/>
          <w:sz w:val="24"/>
          <w:szCs w:val="24"/>
        </w:rPr>
      </w:pPr>
    </w:p>
    <w:p w:rsidR="004A7B5A" w:rsidRDefault="004A7B5A"/>
    <w:sectPr w:rsidR="004A7B5A" w:rsidSect="00456E5C">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85D" w:rsidRDefault="001E485D" w:rsidP="001E485D">
      <w:pPr>
        <w:spacing w:after="0" w:line="240" w:lineRule="auto"/>
      </w:pPr>
      <w:r>
        <w:separator/>
      </w:r>
    </w:p>
  </w:endnote>
  <w:endnote w:type="continuationSeparator" w:id="0">
    <w:p w:rsidR="001E485D" w:rsidRDefault="001E485D" w:rsidP="001E4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Open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85D" w:rsidRDefault="001E485D" w:rsidP="001E485D">
      <w:pPr>
        <w:spacing w:after="0" w:line="240" w:lineRule="auto"/>
      </w:pPr>
      <w:r>
        <w:separator/>
      </w:r>
    </w:p>
  </w:footnote>
  <w:footnote w:type="continuationSeparator" w:id="0">
    <w:p w:rsidR="001E485D" w:rsidRDefault="001E485D" w:rsidP="001E485D">
      <w:pPr>
        <w:spacing w:after="0" w:line="240" w:lineRule="auto"/>
      </w:pPr>
      <w:r>
        <w:continuationSeparator/>
      </w:r>
    </w:p>
  </w:footnote>
  <w:footnote w:id="1">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1.11</w:t>
      </w:r>
    </w:p>
  </w:footnote>
  <w:footnote w:id="2">
    <w:p w:rsidR="004A7B5A" w:rsidRDefault="004A7B5A" w:rsidP="004A7B5A">
      <w:pPr>
        <w:pStyle w:val="FootnoteText"/>
      </w:pPr>
      <w:r>
        <w:rPr>
          <w:rStyle w:val="FootnoteReference"/>
        </w:rPr>
        <w:footnoteRef/>
      </w:r>
      <w:r>
        <w:t xml:space="preserve"> </w:t>
      </w:r>
      <w:r>
        <w:rPr>
          <w:rStyle w:val="selectable"/>
          <w:rFonts w:ascii="Open Sans" w:hAnsi="Open Sans" w:cs="Arial"/>
          <w:color w:val="000000"/>
          <w:lang w:val="en"/>
        </w:rPr>
        <w:t xml:space="preserve">N. Campion, </w:t>
      </w:r>
      <w:r>
        <w:rPr>
          <w:rStyle w:val="selectable"/>
          <w:rFonts w:ascii="Open Sans" w:hAnsi="Open Sans" w:cs="Arial"/>
          <w:i/>
          <w:iCs/>
          <w:color w:val="000000"/>
          <w:lang w:val="en"/>
        </w:rPr>
        <w:t>Astrology And Cosmology In The Worlds Religions</w:t>
      </w:r>
      <w:r>
        <w:rPr>
          <w:rStyle w:val="selectable"/>
          <w:rFonts w:ascii="Open Sans" w:hAnsi="Open Sans" w:cs="Arial"/>
          <w:color w:val="000000"/>
          <w:lang w:val="en"/>
        </w:rPr>
        <w:t xml:space="preserve"> (New York: New York University Press, 2012). 1, 12</w:t>
      </w:r>
    </w:p>
  </w:footnote>
  <w:footnote w:id="3">
    <w:p w:rsidR="004A7B5A" w:rsidRPr="008B3A78" w:rsidRDefault="004A7B5A" w:rsidP="004A7B5A">
      <w:pPr>
        <w:autoSpaceDE w:val="0"/>
        <w:autoSpaceDN w:val="0"/>
        <w:adjustRightInd w:val="0"/>
        <w:spacing w:after="0" w:line="240" w:lineRule="auto"/>
        <w:rPr>
          <w:rFonts w:ascii="Arial" w:hAnsi="Arial" w:cs="Arial"/>
          <w:sz w:val="16"/>
          <w:szCs w:val="16"/>
        </w:rPr>
      </w:pPr>
      <w:r>
        <w:rPr>
          <w:rStyle w:val="FootnoteReference"/>
        </w:rPr>
        <w:footnoteRef/>
      </w:r>
      <w:r>
        <w:t xml:space="preserve"> </w:t>
      </w:r>
      <w:r w:rsidRPr="008B3A78">
        <w:rPr>
          <w:rFonts w:cs="Arial"/>
          <w:sz w:val="20"/>
          <w:szCs w:val="20"/>
        </w:rPr>
        <w:t xml:space="preserve">L. Jacobs, 'Jewish Cosmology' in Blacker, Carmen and Loewe, Michael, </w:t>
      </w:r>
      <w:r w:rsidRPr="008B3A78">
        <w:rPr>
          <w:rFonts w:cs="Arial"/>
          <w:i/>
          <w:sz w:val="20"/>
          <w:szCs w:val="20"/>
        </w:rPr>
        <w:t>Ancient Cosmologies</w:t>
      </w:r>
      <w:r w:rsidRPr="008B3A78">
        <w:rPr>
          <w:rFonts w:cs="Arial"/>
          <w:sz w:val="20"/>
          <w:szCs w:val="20"/>
        </w:rPr>
        <w:t>, London: George Allen and Unwin Ltd., 1975, pp. 66-86.</w:t>
      </w:r>
    </w:p>
  </w:footnote>
  <w:footnote w:id="4">
    <w:p w:rsidR="004A7B5A" w:rsidRDefault="004A7B5A" w:rsidP="004A7B5A">
      <w:pPr>
        <w:pStyle w:val="FootnoteText"/>
      </w:pPr>
      <w:r>
        <w:rPr>
          <w:rStyle w:val="FootnoteReference"/>
        </w:rPr>
        <w:footnoteRef/>
      </w:r>
      <w:r>
        <w:t xml:space="preserve"> Prosolytise.com, “Jewish Prosolytizing: Why Jewish people do not prosolytize?” </w:t>
      </w:r>
      <w:r w:rsidRPr="00D20771">
        <w:rPr>
          <w:i/>
        </w:rPr>
        <w:t>Prosolytise.com</w:t>
      </w:r>
      <w:r>
        <w:t>. Accessed April 5, 2019.</w:t>
      </w:r>
    </w:p>
  </w:footnote>
  <w:footnote w:id="5">
    <w:p w:rsidR="004A7B5A" w:rsidRDefault="004A7B5A" w:rsidP="004A7B5A">
      <w:pPr>
        <w:pStyle w:val="FootnoteText"/>
      </w:pPr>
      <w:r>
        <w:rPr>
          <w:rStyle w:val="FootnoteReference"/>
        </w:rPr>
        <w:footnoteRef/>
      </w:r>
      <w:r>
        <w:t xml:space="preserve"> C.M. Hoffman, Judaism An Introduction (London: Hodder Education, 2010), 2. 21</w:t>
      </w:r>
    </w:p>
  </w:footnote>
  <w:footnote w:id="6">
    <w:p w:rsidR="004A7B5A" w:rsidRDefault="004A7B5A" w:rsidP="004A7B5A">
      <w:pPr>
        <w:pStyle w:val="FootnoteText"/>
      </w:pPr>
      <w:r>
        <w:rPr>
          <w:rStyle w:val="FootnoteReference"/>
        </w:rPr>
        <w:footnoteRef/>
      </w:r>
      <w:r>
        <w:t xml:space="preserve"> Gn. 1:1 (New International Version)</w:t>
      </w:r>
    </w:p>
  </w:footnote>
  <w:footnote w:id="7">
    <w:p w:rsidR="004A7B5A" w:rsidRDefault="004A7B5A" w:rsidP="004A7B5A">
      <w:pPr>
        <w:pStyle w:val="FootnoteText"/>
      </w:pPr>
      <w:r>
        <w:rPr>
          <w:rStyle w:val="FootnoteReference"/>
        </w:rPr>
        <w:footnoteRef/>
      </w:r>
      <w:r>
        <w:t xml:space="preserve"> Gn. 1:16 (New International Version)</w:t>
      </w:r>
    </w:p>
  </w:footnote>
  <w:footnote w:id="8">
    <w:p w:rsidR="004A7B5A" w:rsidRDefault="004A7B5A" w:rsidP="004A7B5A">
      <w:pPr>
        <w:pStyle w:val="FootnoteText"/>
      </w:pPr>
      <w:r>
        <w:rPr>
          <w:rStyle w:val="FootnoteReference"/>
        </w:rPr>
        <w:footnoteRef/>
      </w:r>
      <w:r>
        <w:t xml:space="preserve"> Ex. 20: 5 (New International Version)</w:t>
      </w:r>
    </w:p>
  </w:footnote>
  <w:footnote w:id="9">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14.161</w:t>
      </w:r>
    </w:p>
  </w:footnote>
  <w:footnote w:id="10">
    <w:p w:rsidR="004A7B5A" w:rsidRDefault="004A7B5A" w:rsidP="004A7B5A">
      <w:pPr>
        <w:pStyle w:val="FootnoteText"/>
      </w:pPr>
      <w:r>
        <w:rPr>
          <w:rStyle w:val="FootnoteReference"/>
        </w:rPr>
        <w:footnoteRef/>
      </w:r>
      <w:r>
        <w:t xml:space="preserve"> A. Z. Stephanous, </w:t>
      </w:r>
      <w:r w:rsidRPr="000D49F5">
        <w:rPr>
          <w:i/>
        </w:rPr>
        <w:t>Arabic Christian Theology</w:t>
      </w:r>
      <w:r>
        <w:t xml:space="preserve"> (Grand Rapids: Zondervan, 2019). 12</w:t>
      </w:r>
    </w:p>
  </w:footnote>
  <w:footnote w:id="11">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14.162</w:t>
      </w:r>
    </w:p>
  </w:footnote>
  <w:footnote w:id="12">
    <w:p w:rsidR="004A7B5A" w:rsidRDefault="004A7B5A" w:rsidP="004A7B5A">
      <w:pPr>
        <w:pStyle w:val="FootnoteText"/>
      </w:pPr>
      <w:r>
        <w:rPr>
          <w:rStyle w:val="FootnoteReference"/>
        </w:rPr>
        <w:footnoteRef/>
      </w:r>
      <w:r>
        <w:t xml:space="preserve"> Prosolytise.com, “Christian Prosolytization: Why Christians prosolytize?” </w:t>
      </w:r>
      <w:r w:rsidRPr="00D20771">
        <w:rPr>
          <w:i/>
        </w:rPr>
        <w:t>Prosolytise.com</w:t>
      </w:r>
      <w:r>
        <w:t>. Accessed April 5, 2019.</w:t>
      </w:r>
    </w:p>
  </w:footnote>
  <w:footnote w:id="13">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14.165</w:t>
      </w:r>
    </w:p>
  </w:footnote>
  <w:footnote w:id="14">
    <w:p w:rsidR="004A7B5A" w:rsidRDefault="004A7B5A" w:rsidP="004A7B5A">
      <w:pPr>
        <w:pStyle w:val="FootnoteText"/>
      </w:pPr>
      <w:r>
        <w:rPr>
          <w:rStyle w:val="FootnoteReference"/>
        </w:rPr>
        <w:footnoteRef/>
      </w:r>
      <w:r>
        <w:t xml:space="preserve"> G.H.Halsberghe, </w:t>
      </w:r>
      <w:r w:rsidRPr="00E07D00">
        <w:rPr>
          <w:i/>
        </w:rPr>
        <w:t>The Cult of Sol Invictus</w:t>
      </w:r>
      <w:r>
        <w:t xml:space="preserve"> (Leiden: E. J. Brill, 1972)</w:t>
      </w:r>
    </w:p>
  </w:footnote>
  <w:footnote w:id="15">
    <w:p w:rsidR="004A7B5A" w:rsidRDefault="004A7B5A" w:rsidP="004A7B5A">
      <w:pPr>
        <w:pStyle w:val="FootnoteText"/>
      </w:pPr>
      <w:r>
        <w:rPr>
          <w:rStyle w:val="FootnoteReference"/>
        </w:rPr>
        <w:footnoteRef/>
      </w:r>
      <w:r>
        <w:t xml:space="preserve"> “The Eight Moon Phases as Personality Types”, Kelly’s Astrology, Last modified: April 24, 2017, </w:t>
      </w:r>
      <w:r w:rsidRPr="0048694C">
        <w:t>https://kellysastrology.com/2017/04/24/the-eight-moon-phases-as-personality-types/</w:t>
      </w:r>
    </w:p>
  </w:footnote>
  <w:footnote w:id="16">
    <w:p w:rsidR="004A7B5A" w:rsidRPr="00660F93" w:rsidRDefault="004A7B5A" w:rsidP="004A7B5A">
      <w:pPr>
        <w:pStyle w:val="FootnoteText"/>
      </w:pPr>
      <w:r w:rsidRPr="00660F93">
        <w:rPr>
          <w:rStyle w:val="FootnoteReference"/>
        </w:rPr>
        <w:footnoteRef/>
      </w:r>
      <w:r w:rsidRPr="00660F93">
        <w:t xml:space="preserve"> Lv: 23: 4 (New International Version).</w:t>
      </w:r>
    </w:p>
  </w:footnote>
  <w:footnote w:id="17">
    <w:p w:rsidR="004A7B5A" w:rsidRDefault="004A7B5A" w:rsidP="004A7B5A">
      <w:pPr>
        <w:pStyle w:val="FootnoteText"/>
      </w:pPr>
      <w:r w:rsidRPr="00660F93">
        <w:rPr>
          <w:rStyle w:val="FootnoteReference"/>
        </w:rPr>
        <w:footnoteRef/>
      </w:r>
      <w:r w:rsidRPr="00660F93">
        <w:t xml:space="preserve"> </w:t>
      </w:r>
      <w:r w:rsidRPr="00660F93">
        <w:rPr>
          <w:rFonts w:cs="Arial"/>
          <w:lang w:val="en"/>
        </w:rPr>
        <w:t>Talmud, Taanit 29a–b.</w:t>
      </w:r>
    </w:p>
  </w:footnote>
  <w:footnote w:id="18">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14.168</w:t>
      </w:r>
    </w:p>
  </w:footnote>
  <w:footnote w:id="19">
    <w:p w:rsidR="004A7B5A" w:rsidRDefault="004A7B5A" w:rsidP="004A7B5A">
      <w:pPr>
        <w:pStyle w:val="FootnoteText"/>
      </w:pPr>
      <w:r>
        <w:rPr>
          <w:rStyle w:val="FootnoteReference"/>
        </w:rPr>
        <w:footnoteRef/>
      </w:r>
      <w:r>
        <w:t xml:space="preserve"> Is: 13: 10</w:t>
      </w:r>
      <w:r w:rsidRPr="00660F93">
        <w:t xml:space="preserve"> (New International Version).</w:t>
      </w:r>
    </w:p>
  </w:footnote>
  <w:footnote w:id="20">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14.169</w:t>
      </w:r>
    </w:p>
  </w:footnote>
  <w:footnote w:id="21">
    <w:p w:rsidR="004A7B5A" w:rsidRDefault="004A7B5A" w:rsidP="004A7B5A">
      <w:pPr>
        <w:pStyle w:val="FootnoteText"/>
      </w:pPr>
      <w:r>
        <w:rPr>
          <w:rStyle w:val="FootnoteReference"/>
        </w:rPr>
        <w:footnoteRef/>
      </w:r>
      <w:r>
        <w:t xml:space="preserve"> Dt: 4:19</w:t>
      </w:r>
      <w:r w:rsidRPr="00660F93">
        <w:t xml:space="preserve"> (New International Version).</w:t>
      </w:r>
    </w:p>
  </w:footnote>
  <w:footnote w:id="22">
    <w:p w:rsidR="004A7B5A" w:rsidRDefault="004A7B5A" w:rsidP="004A7B5A">
      <w:pPr>
        <w:pStyle w:val="FootnoteText"/>
      </w:pPr>
      <w:r>
        <w:rPr>
          <w:rStyle w:val="FootnoteReference"/>
        </w:rPr>
        <w:footnoteRef/>
      </w:r>
      <w:r>
        <w:t xml:space="preserve"> N. Campion, </w:t>
      </w:r>
      <w:r w:rsidRPr="00F017A5">
        <w:rPr>
          <w:i/>
        </w:rPr>
        <w:t>Astrology And Cosmology In the Worlds Religions</w:t>
      </w:r>
      <w:r>
        <w:t xml:space="preserve"> (New York: New York University Press, 2012). 14.143</w:t>
      </w:r>
    </w:p>
  </w:footnote>
  <w:footnote w:id="23">
    <w:p w:rsidR="004A7B5A" w:rsidRDefault="004A7B5A" w:rsidP="004A7B5A">
      <w:pPr>
        <w:pStyle w:val="FootnoteText"/>
      </w:pPr>
      <w:r>
        <w:rPr>
          <w:rStyle w:val="FootnoteReference"/>
        </w:rPr>
        <w:footnoteRef/>
      </w:r>
      <w:r>
        <w:t xml:space="preserve"> The Kabbalah Centre. What is the Kabbalah? </w:t>
      </w:r>
      <w:r w:rsidRPr="00A975FD">
        <w:t>https://kabbalah.com/en/online-courses/3190-introduction-to-kabbalah</w:t>
      </w:r>
    </w:p>
    <w:p w:rsidR="004A7B5A" w:rsidRDefault="004A7B5A" w:rsidP="004A7B5A">
      <w:pPr>
        <w:pStyle w:val="FootnoteText"/>
      </w:pPr>
    </w:p>
    <w:p w:rsidR="004A7B5A" w:rsidRDefault="004A7B5A" w:rsidP="004A7B5A">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746DFA" w:rsidRDefault="00746DFA" w:rsidP="00746DFA">
        <w:pPr>
          <w:pStyle w:val="Header"/>
        </w:pPr>
        <w:r>
          <w:t xml:space="preserve">Niema Bohrayba  </w:t>
        </w:r>
        <w:r>
          <w:rPr>
            <w:rFonts w:eastAsia="Times New Roman"/>
          </w:rPr>
          <w:t>1707539</w:t>
        </w:r>
      </w:p>
      <w:p w:rsidR="00746DFA" w:rsidRDefault="00746DFA">
        <w:pPr>
          <w:pStyle w:val="Header"/>
          <w:jc w:val="right"/>
        </w:pPr>
      </w:p>
      <w:p w:rsidR="00746DFA" w:rsidRDefault="00746DF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74E7C">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74E7C">
          <w:rPr>
            <w:b/>
            <w:bCs/>
            <w:noProof/>
          </w:rPr>
          <w:t>13</w:t>
        </w:r>
        <w:r>
          <w:rPr>
            <w:b/>
            <w:bCs/>
            <w:sz w:val="24"/>
            <w:szCs w:val="24"/>
          </w:rPr>
          <w:fldChar w:fldCharType="end"/>
        </w:r>
      </w:p>
    </w:sdtContent>
  </w:sdt>
  <w:p w:rsidR="001E485D" w:rsidRDefault="001E48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38"/>
    <w:rsid w:val="00070D9A"/>
    <w:rsid w:val="00083797"/>
    <w:rsid w:val="0009115F"/>
    <w:rsid w:val="000B284A"/>
    <w:rsid w:val="000F638A"/>
    <w:rsid w:val="00160D4F"/>
    <w:rsid w:val="00167136"/>
    <w:rsid w:val="00196DBB"/>
    <w:rsid w:val="001D6191"/>
    <w:rsid w:val="001E485D"/>
    <w:rsid w:val="00213B94"/>
    <w:rsid w:val="00266FAF"/>
    <w:rsid w:val="00274E7C"/>
    <w:rsid w:val="002842F0"/>
    <w:rsid w:val="002D0CD4"/>
    <w:rsid w:val="002E216A"/>
    <w:rsid w:val="003241C9"/>
    <w:rsid w:val="0039016B"/>
    <w:rsid w:val="003B38AF"/>
    <w:rsid w:val="003B63D6"/>
    <w:rsid w:val="003E3688"/>
    <w:rsid w:val="003E561D"/>
    <w:rsid w:val="00411534"/>
    <w:rsid w:val="00456E5C"/>
    <w:rsid w:val="004670EB"/>
    <w:rsid w:val="004A2527"/>
    <w:rsid w:val="004A7B5A"/>
    <w:rsid w:val="004C23E8"/>
    <w:rsid w:val="0051470F"/>
    <w:rsid w:val="0051740B"/>
    <w:rsid w:val="00523046"/>
    <w:rsid w:val="00566A9F"/>
    <w:rsid w:val="006344C5"/>
    <w:rsid w:val="00650BB0"/>
    <w:rsid w:val="00654EF2"/>
    <w:rsid w:val="0065519B"/>
    <w:rsid w:val="00674138"/>
    <w:rsid w:val="006A063B"/>
    <w:rsid w:val="006C5501"/>
    <w:rsid w:val="006D79AA"/>
    <w:rsid w:val="006E26E3"/>
    <w:rsid w:val="006F3005"/>
    <w:rsid w:val="00746DFA"/>
    <w:rsid w:val="00772EDD"/>
    <w:rsid w:val="007E385F"/>
    <w:rsid w:val="007F0857"/>
    <w:rsid w:val="008201BA"/>
    <w:rsid w:val="008E1720"/>
    <w:rsid w:val="008E3380"/>
    <w:rsid w:val="008E501A"/>
    <w:rsid w:val="008F0808"/>
    <w:rsid w:val="0093047B"/>
    <w:rsid w:val="009308A1"/>
    <w:rsid w:val="00930C09"/>
    <w:rsid w:val="00934262"/>
    <w:rsid w:val="0098448F"/>
    <w:rsid w:val="009C157D"/>
    <w:rsid w:val="00A2275C"/>
    <w:rsid w:val="00A54C1F"/>
    <w:rsid w:val="00A867E1"/>
    <w:rsid w:val="00B676C5"/>
    <w:rsid w:val="00C51316"/>
    <w:rsid w:val="00C533FB"/>
    <w:rsid w:val="00C64F27"/>
    <w:rsid w:val="00C907DF"/>
    <w:rsid w:val="00CD3A63"/>
    <w:rsid w:val="00CD41AA"/>
    <w:rsid w:val="00CD460C"/>
    <w:rsid w:val="00CE1CC3"/>
    <w:rsid w:val="00D24A53"/>
    <w:rsid w:val="00D32AEA"/>
    <w:rsid w:val="00D36D38"/>
    <w:rsid w:val="00D421DC"/>
    <w:rsid w:val="00D64056"/>
    <w:rsid w:val="00D86017"/>
    <w:rsid w:val="00D95AEA"/>
    <w:rsid w:val="00E05110"/>
    <w:rsid w:val="00E163C1"/>
    <w:rsid w:val="00E355E9"/>
    <w:rsid w:val="00EB3E09"/>
    <w:rsid w:val="00F7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EF7D9"/>
  <w15:docId w15:val="{0A982939-46BC-48EF-B473-FFA74FDB9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unhideWhenUsed/>
    <w:rsid w:val="008E501A"/>
    <w:pPr>
      <w:spacing w:after="0" w:line="240" w:lineRule="auto"/>
    </w:pPr>
    <w:rPr>
      <w:sz w:val="20"/>
      <w:szCs w:val="20"/>
    </w:rPr>
  </w:style>
  <w:style w:type="character" w:customStyle="1" w:styleId="FootnoteTextChar">
    <w:name w:val="Footnote Text Char"/>
    <w:basedOn w:val="DefaultParagraphFont"/>
    <w:link w:val="FootnoteText"/>
    <w:uiPriority w:val="99"/>
    <w:rsid w:val="008E501A"/>
    <w:rPr>
      <w:sz w:val="20"/>
      <w:szCs w:val="20"/>
    </w:rPr>
  </w:style>
  <w:style w:type="character" w:styleId="FootnoteReference">
    <w:name w:val="footnote reference"/>
    <w:basedOn w:val="DefaultParagraphFont"/>
    <w:uiPriority w:val="99"/>
    <w:semiHidden/>
    <w:unhideWhenUsed/>
    <w:rsid w:val="008E501A"/>
    <w:rPr>
      <w:vertAlign w:val="superscript"/>
    </w:rPr>
  </w:style>
  <w:style w:type="character" w:customStyle="1" w:styleId="selectable">
    <w:name w:val="selectable"/>
    <w:basedOn w:val="DefaultParagraphFont"/>
    <w:rsid w:val="004A7B5A"/>
  </w:style>
  <w:style w:type="character" w:customStyle="1" w:styleId="glossaryitem">
    <w:name w:val="glossary_item"/>
    <w:basedOn w:val="DefaultParagraphFont"/>
    <w:rsid w:val="004A7B5A"/>
  </w:style>
  <w:style w:type="character" w:customStyle="1" w:styleId="text">
    <w:name w:val="text"/>
    <w:basedOn w:val="DefaultParagraphFont"/>
    <w:rsid w:val="004A7B5A"/>
  </w:style>
  <w:style w:type="character" w:styleId="Emphasis">
    <w:name w:val="Emphasis"/>
    <w:basedOn w:val="DefaultParagraphFont"/>
    <w:uiPriority w:val="20"/>
    <w:qFormat/>
    <w:rsid w:val="004A7B5A"/>
    <w:rPr>
      <w:i/>
      <w:iCs/>
    </w:rPr>
  </w:style>
  <w:style w:type="character" w:styleId="Hyperlink">
    <w:name w:val="Hyperlink"/>
    <w:basedOn w:val="DefaultParagraphFont"/>
    <w:uiPriority w:val="99"/>
    <w:unhideWhenUsed/>
    <w:rsid w:val="004A7B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57937">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3">
          <w:marLeft w:val="0"/>
          <w:marRight w:val="0"/>
          <w:marTop w:val="0"/>
          <w:marBottom w:val="0"/>
          <w:divBdr>
            <w:top w:val="none" w:sz="0" w:space="0" w:color="auto"/>
            <w:left w:val="none" w:sz="0" w:space="0" w:color="auto"/>
            <w:bottom w:val="none" w:sz="0" w:space="0" w:color="auto"/>
            <w:right w:val="none" w:sz="0" w:space="0" w:color="auto"/>
          </w:divBdr>
          <w:divsChild>
            <w:div w:id="371728689">
              <w:marLeft w:val="0"/>
              <w:marRight w:val="0"/>
              <w:marTop w:val="750"/>
              <w:marBottom w:val="0"/>
              <w:divBdr>
                <w:top w:val="none" w:sz="0" w:space="0" w:color="auto"/>
                <w:left w:val="none" w:sz="0" w:space="0" w:color="auto"/>
                <w:bottom w:val="none" w:sz="0" w:space="0" w:color="auto"/>
                <w:right w:val="none" w:sz="0" w:space="0" w:color="auto"/>
              </w:divBdr>
              <w:divsChild>
                <w:div w:id="1720090603">
                  <w:marLeft w:val="0"/>
                  <w:marRight w:val="0"/>
                  <w:marTop w:val="1500"/>
                  <w:marBottom w:val="0"/>
                  <w:divBdr>
                    <w:top w:val="single" w:sz="6" w:space="0" w:color="FFFFFF"/>
                    <w:left w:val="single" w:sz="6" w:space="0" w:color="FFFFFF"/>
                    <w:bottom w:val="single" w:sz="6" w:space="0" w:color="FFFFFF"/>
                    <w:right w:val="single" w:sz="6" w:space="0" w:color="FFFFFF"/>
                  </w:divBdr>
                  <w:divsChild>
                    <w:div w:id="1913930713">
                      <w:marLeft w:val="-225"/>
                      <w:marRight w:val="-225"/>
                      <w:marTop w:val="0"/>
                      <w:marBottom w:val="0"/>
                      <w:divBdr>
                        <w:top w:val="none" w:sz="0" w:space="0" w:color="auto"/>
                        <w:left w:val="none" w:sz="0" w:space="0" w:color="auto"/>
                        <w:bottom w:val="none" w:sz="0" w:space="0" w:color="auto"/>
                        <w:right w:val="none" w:sz="0" w:space="0" w:color="auto"/>
                      </w:divBdr>
                      <w:divsChild>
                        <w:div w:id="1647903270">
                          <w:marLeft w:val="0"/>
                          <w:marRight w:val="0"/>
                          <w:marTop w:val="0"/>
                          <w:marBottom w:val="0"/>
                          <w:divBdr>
                            <w:top w:val="none" w:sz="0" w:space="0" w:color="auto"/>
                            <w:left w:val="none" w:sz="0" w:space="0" w:color="auto"/>
                            <w:bottom w:val="none" w:sz="0" w:space="0" w:color="auto"/>
                            <w:right w:val="none" w:sz="0" w:space="0" w:color="auto"/>
                          </w:divBdr>
                          <w:divsChild>
                            <w:div w:id="1240217980">
                              <w:marLeft w:val="0"/>
                              <w:marRight w:val="0"/>
                              <w:marTop w:val="0"/>
                              <w:marBottom w:val="0"/>
                              <w:divBdr>
                                <w:top w:val="none" w:sz="0" w:space="0" w:color="auto"/>
                                <w:left w:val="none" w:sz="0" w:space="0" w:color="auto"/>
                                <w:bottom w:val="none" w:sz="0" w:space="0" w:color="auto"/>
                                <w:right w:val="none" w:sz="0" w:space="0" w:color="auto"/>
                              </w:divBdr>
                              <w:divsChild>
                                <w:div w:id="405952857">
                                  <w:marLeft w:val="0"/>
                                  <w:marRight w:val="0"/>
                                  <w:marTop w:val="0"/>
                                  <w:marBottom w:val="0"/>
                                  <w:divBdr>
                                    <w:top w:val="none" w:sz="0" w:space="0" w:color="auto"/>
                                    <w:left w:val="none" w:sz="0" w:space="0" w:color="auto"/>
                                    <w:bottom w:val="none" w:sz="0" w:space="0" w:color="auto"/>
                                    <w:right w:val="none" w:sz="0" w:space="0" w:color="auto"/>
                                  </w:divBdr>
                                  <w:divsChild>
                                    <w:div w:id="865027371">
                                      <w:marLeft w:val="0"/>
                                      <w:marRight w:val="0"/>
                                      <w:marTop w:val="0"/>
                                      <w:marBottom w:val="0"/>
                                      <w:divBdr>
                                        <w:top w:val="none" w:sz="0" w:space="0" w:color="auto"/>
                                        <w:left w:val="none" w:sz="0" w:space="0" w:color="auto"/>
                                        <w:bottom w:val="none" w:sz="0" w:space="0" w:color="auto"/>
                                        <w:right w:val="none" w:sz="0" w:space="0" w:color="auto"/>
                                      </w:divBdr>
                                      <w:divsChild>
                                        <w:div w:id="1690134633">
                                          <w:marLeft w:val="0"/>
                                          <w:marRight w:val="0"/>
                                          <w:marTop w:val="0"/>
                                          <w:marBottom w:val="0"/>
                                          <w:divBdr>
                                            <w:top w:val="none" w:sz="0" w:space="0" w:color="auto"/>
                                            <w:left w:val="none" w:sz="0" w:space="0" w:color="auto"/>
                                            <w:bottom w:val="none" w:sz="0" w:space="0" w:color="auto"/>
                                            <w:right w:val="none" w:sz="0" w:space="0" w:color="auto"/>
                                          </w:divBdr>
                                          <w:divsChild>
                                            <w:div w:id="2067410576">
                                              <w:marLeft w:val="0"/>
                                              <w:marRight w:val="0"/>
                                              <w:marTop w:val="0"/>
                                              <w:marBottom w:val="0"/>
                                              <w:divBdr>
                                                <w:top w:val="none" w:sz="0" w:space="0" w:color="auto"/>
                                                <w:left w:val="none" w:sz="0" w:space="0" w:color="auto"/>
                                                <w:bottom w:val="none" w:sz="0" w:space="0" w:color="auto"/>
                                                <w:right w:val="none" w:sz="0" w:space="0" w:color="auto"/>
                                              </w:divBdr>
                                              <w:divsChild>
                                                <w:div w:id="323516457">
                                                  <w:marLeft w:val="0"/>
                                                  <w:marRight w:val="0"/>
                                                  <w:marTop w:val="0"/>
                                                  <w:marBottom w:val="0"/>
                                                  <w:divBdr>
                                                    <w:top w:val="none" w:sz="0" w:space="0" w:color="auto"/>
                                                    <w:left w:val="none" w:sz="0" w:space="0" w:color="auto"/>
                                                    <w:bottom w:val="none" w:sz="0" w:space="0" w:color="auto"/>
                                                    <w:right w:val="none" w:sz="0" w:space="0" w:color="auto"/>
                                                  </w:divBdr>
                                                  <w:divsChild>
                                                    <w:div w:id="1362363062">
                                                      <w:marLeft w:val="0"/>
                                                      <w:marRight w:val="0"/>
                                                      <w:marTop w:val="0"/>
                                                      <w:marBottom w:val="240"/>
                                                      <w:divBdr>
                                                        <w:top w:val="single" w:sz="6" w:space="0" w:color="FFFFFF"/>
                                                        <w:left w:val="single" w:sz="6" w:space="0" w:color="FFFFFF"/>
                                                        <w:bottom w:val="single" w:sz="6" w:space="0" w:color="FFFFFF"/>
                                                        <w:right w:val="single" w:sz="6" w:space="0" w:color="FFFFFF"/>
                                                      </w:divBdr>
                                                      <w:divsChild>
                                                        <w:div w:id="1045062138">
                                                          <w:marLeft w:val="-225"/>
                                                          <w:marRight w:val="-225"/>
                                                          <w:marTop w:val="0"/>
                                                          <w:marBottom w:val="0"/>
                                                          <w:divBdr>
                                                            <w:top w:val="none" w:sz="0" w:space="0" w:color="auto"/>
                                                            <w:left w:val="none" w:sz="0" w:space="0" w:color="auto"/>
                                                            <w:bottom w:val="none" w:sz="0" w:space="0" w:color="auto"/>
                                                            <w:right w:val="none" w:sz="0" w:space="0" w:color="auto"/>
                                                          </w:divBdr>
                                                          <w:divsChild>
                                                            <w:div w:id="1072116444">
                                                              <w:marLeft w:val="0"/>
                                                              <w:marRight w:val="0"/>
                                                              <w:marTop w:val="0"/>
                                                              <w:marBottom w:val="0"/>
                                                              <w:divBdr>
                                                                <w:top w:val="none" w:sz="0" w:space="0" w:color="auto"/>
                                                                <w:left w:val="none" w:sz="0" w:space="0" w:color="auto"/>
                                                                <w:bottom w:val="none" w:sz="0" w:space="0" w:color="auto"/>
                                                                <w:right w:val="none" w:sz="0" w:space="0" w:color="auto"/>
                                                              </w:divBdr>
                                                              <w:divsChild>
                                                                <w:div w:id="1651976560">
                                                                  <w:marLeft w:val="0"/>
                                                                  <w:marRight w:val="0"/>
                                                                  <w:marTop w:val="0"/>
                                                                  <w:marBottom w:val="0"/>
                                                                  <w:divBdr>
                                                                    <w:top w:val="none" w:sz="0" w:space="0" w:color="auto"/>
                                                                    <w:left w:val="none" w:sz="0" w:space="0" w:color="auto"/>
                                                                    <w:bottom w:val="none" w:sz="0" w:space="0" w:color="auto"/>
                                                                    <w:right w:val="none" w:sz="0" w:space="0" w:color="auto"/>
                                                                  </w:divBdr>
                                                                  <w:divsChild>
                                                                    <w:div w:id="18695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E9D06-F60E-4656-961F-77504508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2758</Words>
  <Characters>15722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Niema (Bristol CCG)</dc:creator>
  <cp:lastModifiedBy>Burns Niema (BNSSG CCG)</cp:lastModifiedBy>
  <cp:revision>2</cp:revision>
  <dcterms:created xsi:type="dcterms:W3CDTF">2019-05-24T05:57:00Z</dcterms:created>
  <dcterms:modified xsi:type="dcterms:W3CDTF">2019-05-24T05:57:00Z</dcterms:modified>
</cp:coreProperties>
</file>